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77777777" w:rsidR="000D29F7" w:rsidRDefault="000D29F7">
      <w:pPr>
        <w:spacing w:line="360" w:lineRule="auto"/>
        <w:jc w:val="center"/>
        <w:rPr>
          <w:rFonts w:ascii="Times New Roman" w:eastAsia="Times New Roman" w:hAnsi="Times New Roman" w:cs="Times New Roman"/>
          <w:b/>
          <w:sz w:val="36"/>
          <w:szCs w:val="36"/>
        </w:rPr>
      </w:pPr>
    </w:p>
    <w:p w14:paraId="00000002" w14:textId="77777777" w:rsidR="000D29F7" w:rsidRDefault="000D29F7">
      <w:pPr>
        <w:spacing w:line="360" w:lineRule="auto"/>
        <w:jc w:val="center"/>
        <w:rPr>
          <w:rFonts w:ascii="Times New Roman" w:eastAsia="Times New Roman" w:hAnsi="Times New Roman" w:cs="Times New Roman"/>
          <w:b/>
          <w:sz w:val="36"/>
          <w:szCs w:val="36"/>
        </w:rPr>
      </w:pPr>
    </w:p>
    <w:p w14:paraId="00000003" w14:textId="77777777" w:rsidR="000D29F7" w:rsidRDefault="000D29F7">
      <w:pPr>
        <w:spacing w:line="360" w:lineRule="auto"/>
        <w:jc w:val="center"/>
        <w:rPr>
          <w:rFonts w:ascii="Times New Roman" w:eastAsia="Times New Roman" w:hAnsi="Times New Roman" w:cs="Times New Roman"/>
          <w:b/>
          <w:sz w:val="36"/>
          <w:szCs w:val="36"/>
        </w:rPr>
      </w:pPr>
    </w:p>
    <w:p w14:paraId="00000004" w14:textId="77777777" w:rsidR="000D29F7" w:rsidRDefault="000D29F7">
      <w:pPr>
        <w:spacing w:line="360" w:lineRule="auto"/>
        <w:jc w:val="center"/>
        <w:rPr>
          <w:rFonts w:ascii="Times New Roman" w:eastAsia="Times New Roman" w:hAnsi="Times New Roman" w:cs="Times New Roman"/>
          <w:b/>
          <w:sz w:val="36"/>
          <w:szCs w:val="36"/>
        </w:rPr>
      </w:pPr>
    </w:p>
    <w:p w14:paraId="00000005" w14:textId="77777777" w:rsidR="000D29F7" w:rsidRDefault="000D29F7">
      <w:pPr>
        <w:spacing w:line="360" w:lineRule="auto"/>
        <w:jc w:val="center"/>
        <w:rPr>
          <w:rFonts w:ascii="Times New Roman" w:eastAsia="Times New Roman" w:hAnsi="Times New Roman" w:cs="Times New Roman"/>
          <w:b/>
          <w:sz w:val="36"/>
          <w:szCs w:val="36"/>
        </w:rPr>
      </w:pPr>
    </w:p>
    <w:p w14:paraId="00000006" w14:textId="77777777" w:rsidR="000D29F7" w:rsidRDefault="000D29F7">
      <w:pPr>
        <w:spacing w:line="360" w:lineRule="auto"/>
        <w:jc w:val="center"/>
        <w:rPr>
          <w:rFonts w:ascii="Times New Roman" w:eastAsia="Times New Roman" w:hAnsi="Times New Roman" w:cs="Times New Roman"/>
          <w:b/>
          <w:sz w:val="36"/>
          <w:szCs w:val="36"/>
        </w:rPr>
      </w:pPr>
    </w:p>
    <w:p w14:paraId="00000007" w14:textId="77777777" w:rsidR="000D29F7" w:rsidRDefault="000D29F7">
      <w:pPr>
        <w:spacing w:line="360" w:lineRule="auto"/>
        <w:jc w:val="center"/>
        <w:rPr>
          <w:rFonts w:ascii="Times New Roman" w:eastAsia="Times New Roman" w:hAnsi="Times New Roman" w:cs="Times New Roman"/>
          <w:b/>
          <w:sz w:val="36"/>
          <w:szCs w:val="36"/>
        </w:rPr>
      </w:pPr>
    </w:p>
    <w:p w14:paraId="00000008" w14:textId="77777777" w:rsidR="000D29F7" w:rsidRDefault="000D29F7">
      <w:pPr>
        <w:spacing w:line="360" w:lineRule="auto"/>
        <w:jc w:val="center"/>
        <w:rPr>
          <w:rFonts w:ascii="Times New Roman" w:eastAsia="Times New Roman" w:hAnsi="Times New Roman" w:cs="Times New Roman"/>
          <w:b/>
          <w:sz w:val="36"/>
          <w:szCs w:val="36"/>
        </w:rPr>
      </w:pPr>
    </w:p>
    <w:p w14:paraId="00000009" w14:textId="69248A9F" w:rsidR="000D29F7" w:rsidRDefault="00453826">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ab/>
      </w:r>
      <w:r w:rsidR="00BF43A7">
        <w:rPr>
          <w:rFonts w:ascii="Times New Roman" w:eastAsia="Times New Roman" w:hAnsi="Times New Roman" w:cs="Times New Roman"/>
          <w:b/>
          <w:sz w:val="36"/>
          <w:szCs w:val="36"/>
        </w:rPr>
        <w:t>PROJECT MANAGEMENT ASSESSMENT 2</w:t>
      </w:r>
    </w:p>
    <w:p w14:paraId="15AB5BCC" w14:textId="59F9A2F7" w:rsidR="00AD040A" w:rsidRDefault="00AD040A" w:rsidP="00AD040A">
      <w:pPr>
        <w:pStyle w:val="Normal1"/>
        <w:jc w:val="center"/>
        <w:rPr>
          <w:rFonts w:ascii="Times New Roman" w:eastAsia="Times New Roman" w:hAnsi="Times New Roman" w:cs="Times New Roman"/>
          <w:b/>
          <w:sz w:val="32"/>
          <w:szCs w:val="32"/>
        </w:rPr>
      </w:pPr>
      <w:bookmarkStart w:id="0" w:name="_GoBack"/>
      <w:bookmarkEnd w:id="0"/>
      <w:r>
        <w:rPr>
          <w:rFonts w:ascii="Times New Roman" w:eastAsia="Times New Roman" w:hAnsi="Times New Roman" w:cs="Times New Roman"/>
          <w:b/>
          <w:sz w:val="32"/>
          <w:szCs w:val="32"/>
        </w:rPr>
        <w:t xml:space="preserve"> </w:t>
      </w:r>
    </w:p>
    <w:p w14:paraId="69ED56FB" w14:textId="77777777" w:rsidR="00AD040A" w:rsidRDefault="00AD040A" w:rsidP="00AD040A">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LYUBOMIR MALAMOV</w:t>
      </w:r>
    </w:p>
    <w:p w14:paraId="512ECC06" w14:textId="77777777" w:rsidR="00AD040A" w:rsidRDefault="00AD040A" w:rsidP="00AD040A">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2019943</w:t>
      </w:r>
    </w:p>
    <w:p w14:paraId="0B55F127" w14:textId="77777777" w:rsidR="00AD040A" w:rsidRDefault="00AD040A" w:rsidP="00AD040A">
      <w:pPr>
        <w:pStyle w:val="Normal1"/>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 xml:space="preserve">BUSINESS MANAGEMENT </w:t>
      </w:r>
    </w:p>
    <w:p w14:paraId="616FB624" w14:textId="7B111904" w:rsidR="00AD040A" w:rsidRDefault="00AD040A" w:rsidP="00AD040A">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2"/>
          <w:szCs w:val="32"/>
        </w:rPr>
        <w:t>LEVEL5</w:t>
      </w:r>
    </w:p>
    <w:p w14:paraId="0000000A" w14:textId="77777777" w:rsidR="000D29F7" w:rsidRDefault="00453826">
      <w:pPr>
        <w:spacing w:line="360" w:lineRule="auto"/>
        <w:jc w:val="both"/>
        <w:rPr>
          <w:rFonts w:ascii="Times New Roman" w:eastAsia="Times New Roman" w:hAnsi="Times New Roman" w:cs="Times New Roman"/>
          <w:sz w:val="24"/>
          <w:szCs w:val="24"/>
        </w:rPr>
      </w:pPr>
      <w:r>
        <w:br w:type="page"/>
      </w:r>
    </w:p>
    <w:p w14:paraId="0000000B" w14:textId="77777777" w:rsidR="000D29F7" w:rsidRDefault="000D29F7">
      <w:pPr>
        <w:spacing w:line="360" w:lineRule="auto"/>
        <w:jc w:val="both"/>
        <w:rPr>
          <w:rFonts w:ascii="Times New Roman" w:eastAsia="Times New Roman" w:hAnsi="Times New Roman" w:cs="Times New Roman"/>
          <w:sz w:val="24"/>
          <w:szCs w:val="24"/>
        </w:rPr>
      </w:pPr>
    </w:p>
    <w:sdt>
      <w:sdtPr>
        <w:rPr>
          <w:rFonts w:ascii="Arial" w:eastAsia="Arial" w:hAnsi="Arial" w:cs="Arial"/>
          <w:color w:val="auto"/>
          <w:sz w:val="22"/>
          <w:szCs w:val="22"/>
          <w:lang w:val="en"/>
        </w:rPr>
        <w:id w:val="1007786105"/>
        <w:docPartObj>
          <w:docPartGallery w:val="Table of Contents"/>
          <w:docPartUnique/>
        </w:docPartObj>
      </w:sdtPr>
      <w:sdtEndPr>
        <w:rPr>
          <w:b/>
          <w:bCs/>
          <w:noProof/>
        </w:rPr>
      </w:sdtEndPr>
      <w:sdtContent>
        <w:p w14:paraId="1CDB1D21" w14:textId="2A3A6A31" w:rsidR="00BF43A7" w:rsidRPr="00BF43A7" w:rsidRDefault="00BF43A7" w:rsidP="00BF43A7">
          <w:pPr>
            <w:pStyle w:val="TOCHeading"/>
            <w:jc w:val="center"/>
            <w:rPr>
              <w:rFonts w:ascii="Times New Roman" w:hAnsi="Times New Roman" w:cs="Times New Roman"/>
              <w:b/>
              <w:bCs/>
              <w:color w:val="auto"/>
            </w:rPr>
          </w:pPr>
          <w:r w:rsidRPr="00BF43A7">
            <w:rPr>
              <w:rFonts w:ascii="Times New Roman" w:hAnsi="Times New Roman" w:cs="Times New Roman"/>
              <w:b/>
              <w:bCs/>
              <w:color w:val="auto"/>
            </w:rPr>
            <w:t>Table of Contents</w:t>
          </w:r>
        </w:p>
        <w:p w14:paraId="630127A7" w14:textId="59BB77D2" w:rsidR="00BF43A7" w:rsidRPr="00BF43A7" w:rsidRDefault="00BF43A7">
          <w:pPr>
            <w:pStyle w:val="TOC1"/>
            <w:tabs>
              <w:tab w:val="right" w:leader="dot" w:pos="9350"/>
            </w:tabs>
            <w:rPr>
              <w:rFonts w:ascii="Times New Roman" w:hAnsi="Times New Roman" w:cs="Times New Roman"/>
              <w:noProof/>
              <w:sz w:val="24"/>
              <w:szCs w:val="24"/>
            </w:rPr>
          </w:pPr>
          <w:r w:rsidRPr="00BF43A7">
            <w:rPr>
              <w:rFonts w:ascii="Times New Roman" w:hAnsi="Times New Roman" w:cs="Times New Roman"/>
              <w:sz w:val="24"/>
              <w:szCs w:val="24"/>
            </w:rPr>
            <w:fldChar w:fldCharType="begin"/>
          </w:r>
          <w:r w:rsidRPr="00BF43A7">
            <w:rPr>
              <w:rFonts w:ascii="Times New Roman" w:hAnsi="Times New Roman" w:cs="Times New Roman"/>
              <w:sz w:val="24"/>
              <w:szCs w:val="24"/>
            </w:rPr>
            <w:instrText xml:space="preserve"> TOC \o "1-3" \h \z \u </w:instrText>
          </w:r>
          <w:r w:rsidRPr="00BF43A7">
            <w:rPr>
              <w:rFonts w:ascii="Times New Roman" w:hAnsi="Times New Roman" w:cs="Times New Roman"/>
              <w:sz w:val="24"/>
              <w:szCs w:val="24"/>
            </w:rPr>
            <w:fldChar w:fldCharType="separate"/>
          </w:r>
          <w:hyperlink w:anchor="_Toc123920469" w:history="1">
            <w:r w:rsidRPr="00BF43A7">
              <w:rPr>
                <w:rStyle w:val="Hyperlink"/>
                <w:rFonts w:ascii="Times New Roman" w:hAnsi="Times New Roman" w:cs="Times New Roman"/>
                <w:noProof/>
                <w:sz w:val="24"/>
                <w:szCs w:val="24"/>
              </w:rPr>
              <w:t>Introduction</w:t>
            </w:r>
            <w:r w:rsidRPr="00BF43A7">
              <w:rPr>
                <w:rFonts w:ascii="Times New Roman" w:hAnsi="Times New Roman" w:cs="Times New Roman"/>
                <w:noProof/>
                <w:webHidden/>
                <w:sz w:val="24"/>
                <w:szCs w:val="24"/>
              </w:rPr>
              <w:tab/>
            </w:r>
            <w:r w:rsidRPr="00BF43A7">
              <w:rPr>
                <w:rFonts w:ascii="Times New Roman" w:hAnsi="Times New Roman" w:cs="Times New Roman"/>
                <w:noProof/>
                <w:webHidden/>
                <w:sz w:val="24"/>
                <w:szCs w:val="24"/>
              </w:rPr>
              <w:fldChar w:fldCharType="begin"/>
            </w:r>
            <w:r w:rsidRPr="00BF43A7">
              <w:rPr>
                <w:rFonts w:ascii="Times New Roman" w:hAnsi="Times New Roman" w:cs="Times New Roman"/>
                <w:noProof/>
                <w:webHidden/>
                <w:sz w:val="24"/>
                <w:szCs w:val="24"/>
              </w:rPr>
              <w:instrText xml:space="preserve"> PAGEREF _Toc123920469 \h </w:instrText>
            </w:r>
            <w:r w:rsidRPr="00BF43A7">
              <w:rPr>
                <w:rFonts w:ascii="Times New Roman" w:hAnsi="Times New Roman" w:cs="Times New Roman"/>
                <w:noProof/>
                <w:webHidden/>
                <w:sz w:val="24"/>
                <w:szCs w:val="24"/>
              </w:rPr>
            </w:r>
            <w:r w:rsidRPr="00BF43A7">
              <w:rPr>
                <w:rFonts w:ascii="Times New Roman" w:hAnsi="Times New Roman" w:cs="Times New Roman"/>
                <w:noProof/>
                <w:webHidden/>
                <w:sz w:val="24"/>
                <w:szCs w:val="24"/>
              </w:rPr>
              <w:fldChar w:fldCharType="separate"/>
            </w:r>
            <w:r w:rsidRPr="00BF43A7">
              <w:rPr>
                <w:rFonts w:ascii="Times New Roman" w:hAnsi="Times New Roman" w:cs="Times New Roman"/>
                <w:noProof/>
                <w:webHidden/>
                <w:sz w:val="24"/>
                <w:szCs w:val="24"/>
              </w:rPr>
              <w:t>3</w:t>
            </w:r>
            <w:r w:rsidRPr="00BF43A7">
              <w:rPr>
                <w:rFonts w:ascii="Times New Roman" w:hAnsi="Times New Roman" w:cs="Times New Roman"/>
                <w:noProof/>
                <w:webHidden/>
                <w:sz w:val="24"/>
                <w:szCs w:val="24"/>
              </w:rPr>
              <w:fldChar w:fldCharType="end"/>
            </w:r>
          </w:hyperlink>
        </w:p>
        <w:p w14:paraId="3E5B22BC" w14:textId="1BEE286C" w:rsidR="00BF43A7" w:rsidRPr="00BF43A7" w:rsidRDefault="00453826">
          <w:pPr>
            <w:pStyle w:val="TOC1"/>
            <w:tabs>
              <w:tab w:val="right" w:leader="dot" w:pos="9350"/>
            </w:tabs>
            <w:rPr>
              <w:rFonts w:ascii="Times New Roman" w:hAnsi="Times New Roman" w:cs="Times New Roman"/>
              <w:noProof/>
              <w:sz w:val="24"/>
              <w:szCs w:val="24"/>
            </w:rPr>
          </w:pPr>
          <w:hyperlink w:anchor="_Toc123920470" w:history="1">
            <w:r w:rsidR="00BF43A7" w:rsidRPr="00BF43A7">
              <w:rPr>
                <w:rStyle w:val="Hyperlink"/>
                <w:rFonts w:ascii="Times New Roman" w:hAnsi="Times New Roman" w:cs="Times New Roman"/>
                <w:noProof/>
                <w:sz w:val="24"/>
                <w:szCs w:val="24"/>
              </w:rPr>
              <w:t>Body</w:t>
            </w:r>
            <w:r w:rsidR="00BF43A7" w:rsidRPr="00BF43A7">
              <w:rPr>
                <w:rFonts w:ascii="Times New Roman" w:hAnsi="Times New Roman" w:cs="Times New Roman"/>
                <w:noProof/>
                <w:webHidden/>
                <w:sz w:val="24"/>
                <w:szCs w:val="24"/>
              </w:rPr>
              <w:tab/>
            </w:r>
            <w:r w:rsidR="00BF43A7" w:rsidRPr="00BF43A7">
              <w:rPr>
                <w:rFonts w:ascii="Times New Roman" w:hAnsi="Times New Roman" w:cs="Times New Roman"/>
                <w:noProof/>
                <w:webHidden/>
                <w:sz w:val="24"/>
                <w:szCs w:val="24"/>
              </w:rPr>
              <w:fldChar w:fldCharType="begin"/>
            </w:r>
            <w:r w:rsidR="00BF43A7" w:rsidRPr="00BF43A7">
              <w:rPr>
                <w:rFonts w:ascii="Times New Roman" w:hAnsi="Times New Roman" w:cs="Times New Roman"/>
                <w:noProof/>
                <w:webHidden/>
                <w:sz w:val="24"/>
                <w:szCs w:val="24"/>
              </w:rPr>
              <w:instrText xml:space="preserve"> PAGEREF _Toc123920470 \h </w:instrText>
            </w:r>
            <w:r w:rsidR="00BF43A7" w:rsidRPr="00BF43A7">
              <w:rPr>
                <w:rFonts w:ascii="Times New Roman" w:hAnsi="Times New Roman" w:cs="Times New Roman"/>
                <w:noProof/>
                <w:webHidden/>
                <w:sz w:val="24"/>
                <w:szCs w:val="24"/>
              </w:rPr>
            </w:r>
            <w:r w:rsidR="00BF43A7" w:rsidRPr="00BF43A7">
              <w:rPr>
                <w:rFonts w:ascii="Times New Roman" w:hAnsi="Times New Roman" w:cs="Times New Roman"/>
                <w:noProof/>
                <w:webHidden/>
                <w:sz w:val="24"/>
                <w:szCs w:val="24"/>
              </w:rPr>
              <w:fldChar w:fldCharType="separate"/>
            </w:r>
            <w:r w:rsidR="00BF43A7" w:rsidRPr="00BF43A7">
              <w:rPr>
                <w:rFonts w:ascii="Times New Roman" w:hAnsi="Times New Roman" w:cs="Times New Roman"/>
                <w:noProof/>
                <w:webHidden/>
                <w:sz w:val="24"/>
                <w:szCs w:val="24"/>
              </w:rPr>
              <w:t>3</w:t>
            </w:r>
            <w:r w:rsidR="00BF43A7" w:rsidRPr="00BF43A7">
              <w:rPr>
                <w:rFonts w:ascii="Times New Roman" w:hAnsi="Times New Roman" w:cs="Times New Roman"/>
                <w:noProof/>
                <w:webHidden/>
                <w:sz w:val="24"/>
                <w:szCs w:val="24"/>
              </w:rPr>
              <w:fldChar w:fldCharType="end"/>
            </w:r>
          </w:hyperlink>
        </w:p>
        <w:p w14:paraId="495063CF" w14:textId="625E34DC" w:rsidR="00BF43A7" w:rsidRPr="00BF43A7" w:rsidRDefault="00453826">
          <w:pPr>
            <w:pStyle w:val="TOC1"/>
            <w:tabs>
              <w:tab w:val="right" w:leader="dot" w:pos="9350"/>
            </w:tabs>
            <w:rPr>
              <w:rFonts w:ascii="Times New Roman" w:hAnsi="Times New Roman" w:cs="Times New Roman"/>
              <w:noProof/>
              <w:sz w:val="24"/>
              <w:szCs w:val="24"/>
            </w:rPr>
          </w:pPr>
          <w:hyperlink w:anchor="_Toc123920471" w:history="1">
            <w:r w:rsidR="00BF43A7" w:rsidRPr="00BF43A7">
              <w:rPr>
                <w:rStyle w:val="Hyperlink"/>
                <w:rFonts w:ascii="Times New Roman" w:hAnsi="Times New Roman" w:cs="Times New Roman"/>
                <w:noProof/>
                <w:sz w:val="24"/>
                <w:szCs w:val="24"/>
              </w:rPr>
              <w:t>Conclusion</w:t>
            </w:r>
            <w:r w:rsidR="00BF43A7" w:rsidRPr="00BF43A7">
              <w:rPr>
                <w:rFonts w:ascii="Times New Roman" w:hAnsi="Times New Roman" w:cs="Times New Roman"/>
                <w:noProof/>
                <w:webHidden/>
                <w:sz w:val="24"/>
                <w:szCs w:val="24"/>
              </w:rPr>
              <w:tab/>
            </w:r>
            <w:r w:rsidR="00BF43A7" w:rsidRPr="00BF43A7">
              <w:rPr>
                <w:rFonts w:ascii="Times New Roman" w:hAnsi="Times New Roman" w:cs="Times New Roman"/>
                <w:noProof/>
                <w:webHidden/>
                <w:sz w:val="24"/>
                <w:szCs w:val="24"/>
              </w:rPr>
              <w:fldChar w:fldCharType="begin"/>
            </w:r>
            <w:r w:rsidR="00BF43A7" w:rsidRPr="00BF43A7">
              <w:rPr>
                <w:rFonts w:ascii="Times New Roman" w:hAnsi="Times New Roman" w:cs="Times New Roman"/>
                <w:noProof/>
                <w:webHidden/>
                <w:sz w:val="24"/>
                <w:szCs w:val="24"/>
              </w:rPr>
              <w:instrText xml:space="preserve"> PAGEREF _Toc123920471 \h </w:instrText>
            </w:r>
            <w:r w:rsidR="00BF43A7" w:rsidRPr="00BF43A7">
              <w:rPr>
                <w:rFonts w:ascii="Times New Roman" w:hAnsi="Times New Roman" w:cs="Times New Roman"/>
                <w:noProof/>
                <w:webHidden/>
                <w:sz w:val="24"/>
                <w:szCs w:val="24"/>
              </w:rPr>
            </w:r>
            <w:r w:rsidR="00BF43A7" w:rsidRPr="00BF43A7">
              <w:rPr>
                <w:rFonts w:ascii="Times New Roman" w:hAnsi="Times New Roman" w:cs="Times New Roman"/>
                <w:noProof/>
                <w:webHidden/>
                <w:sz w:val="24"/>
                <w:szCs w:val="24"/>
              </w:rPr>
              <w:fldChar w:fldCharType="separate"/>
            </w:r>
            <w:r w:rsidR="00BF43A7" w:rsidRPr="00BF43A7">
              <w:rPr>
                <w:rFonts w:ascii="Times New Roman" w:hAnsi="Times New Roman" w:cs="Times New Roman"/>
                <w:noProof/>
                <w:webHidden/>
                <w:sz w:val="24"/>
                <w:szCs w:val="24"/>
              </w:rPr>
              <w:t>7</w:t>
            </w:r>
            <w:r w:rsidR="00BF43A7" w:rsidRPr="00BF43A7">
              <w:rPr>
                <w:rFonts w:ascii="Times New Roman" w:hAnsi="Times New Roman" w:cs="Times New Roman"/>
                <w:noProof/>
                <w:webHidden/>
                <w:sz w:val="24"/>
                <w:szCs w:val="24"/>
              </w:rPr>
              <w:fldChar w:fldCharType="end"/>
            </w:r>
          </w:hyperlink>
        </w:p>
        <w:p w14:paraId="2C11CA0D" w14:textId="1E4A1256" w:rsidR="00BF43A7" w:rsidRPr="00BF43A7" w:rsidRDefault="00453826">
          <w:pPr>
            <w:pStyle w:val="TOC1"/>
            <w:tabs>
              <w:tab w:val="right" w:leader="dot" w:pos="9350"/>
            </w:tabs>
            <w:rPr>
              <w:rFonts w:ascii="Times New Roman" w:hAnsi="Times New Roman" w:cs="Times New Roman"/>
              <w:noProof/>
              <w:sz w:val="24"/>
              <w:szCs w:val="24"/>
            </w:rPr>
          </w:pPr>
          <w:hyperlink w:anchor="_Toc123920472" w:history="1">
            <w:r w:rsidR="00BF43A7" w:rsidRPr="00BF43A7">
              <w:rPr>
                <w:rStyle w:val="Hyperlink"/>
                <w:rFonts w:ascii="Times New Roman" w:hAnsi="Times New Roman" w:cs="Times New Roman"/>
                <w:noProof/>
                <w:sz w:val="24"/>
                <w:szCs w:val="24"/>
              </w:rPr>
              <w:t>Reference</w:t>
            </w:r>
            <w:r w:rsidR="00BF43A7" w:rsidRPr="00BF43A7">
              <w:rPr>
                <w:rFonts w:ascii="Times New Roman" w:hAnsi="Times New Roman" w:cs="Times New Roman"/>
                <w:noProof/>
                <w:webHidden/>
                <w:sz w:val="24"/>
                <w:szCs w:val="24"/>
              </w:rPr>
              <w:tab/>
            </w:r>
            <w:r w:rsidR="00BF43A7" w:rsidRPr="00BF43A7">
              <w:rPr>
                <w:rFonts w:ascii="Times New Roman" w:hAnsi="Times New Roman" w:cs="Times New Roman"/>
                <w:noProof/>
                <w:webHidden/>
                <w:sz w:val="24"/>
                <w:szCs w:val="24"/>
              </w:rPr>
              <w:fldChar w:fldCharType="begin"/>
            </w:r>
            <w:r w:rsidR="00BF43A7" w:rsidRPr="00BF43A7">
              <w:rPr>
                <w:rFonts w:ascii="Times New Roman" w:hAnsi="Times New Roman" w:cs="Times New Roman"/>
                <w:noProof/>
                <w:webHidden/>
                <w:sz w:val="24"/>
                <w:szCs w:val="24"/>
              </w:rPr>
              <w:instrText xml:space="preserve"> PAGEREF _Toc123920472 \h </w:instrText>
            </w:r>
            <w:r w:rsidR="00BF43A7" w:rsidRPr="00BF43A7">
              <w:rPr>
                <w:rFonts w:ascii="Times New Roman" w:hAnsi="Times New Roman" w:cs="Times New Roman"/>
                <w:noProof/>
                <w:webHidden/>
                <w:sz w:val="24"/>
                <w:szCs w:val="24"/>
              </w:rPr>
            </w:r>
            <w:r w:rsidR="00BF43A7" w:rsidRPr="00BF43A7">
              <w:rPr>
                <w:rFonts w:ascii="Times New Roman" w:hAnsi="Times New Roman" w:cs="Times New Roman"/>
                <w:noProof/>
                <w:webHidden/>
                <w:sz w:val="24"/>
                <w:szCs w:val="24"/>
              </w:rPr>
              <w:fldChar w:fldCharType="separate"/>
            </w:r>
            <w:r w:rsidR="00BF43A7" w:rsidRPr="00BF43A7">
              <w:rPr>
                <w:rFonts w:ascii="Times New Roman" w:hAnsi="Times New Roman" w:cs="Times New Roman"/>
                <w:noProof/>
                <w:webHidden/>
                <w:sz w:val="24"/>
                <w:szCs w:val="24"/>
              </w:rPr>
              <w:t>9</w:t>
            </w:r>
            <w:r w:rsidR="00BF43A7" w:rsidRPr="00BF43A7">
              <w:rPr>
                <w:rFonts w:ascii="Times New Roman" w:hAnsi="Times New Roman" w:cs="Times New Roman"/>
                <w:noProof/>
                <w:webHidden/>
                <w:sz w:val="24"/>
                <w:szCs w:val="24"/>
              </w:rPr>
              <w:fldChar w:fldCharType="end"/>
            </w:r>
          </w:hyperlink>
        </w:p>
        <w:p w14:paraId="1CF94492" w14:textId="1AAE4283" w:rsidR="00BF43A7" w:rsidRDefault="00BF43A7">
          <w:r w:rsidRPr="00BF43A7">
            <w:rPr>
              <w:rFonts w:ascii="Times New Roman" w:hAnsi="Times New Roman" w:cs="Times New Roman"/>
              <w:b/>
              <w:bCs/>
              <w:noProof/>
              <w:sz w:val="24"/>
              <w:szCs w:val="24"/>
            </w:rPr>
            <w:fldChar w:fldCharType="end"/>
          </w:r>
        </w:p>
      </w:sdtContent>
    </w:sdt>
    <w:p w14:paraId="0000000C" w14:textId="77777777" w:rsidR="000D29F7" w:rsidRDefault="000D29F7">
      <w:pPr>
        <w:spacing w:line="360" w:lineRule="auto"/>
        <w:jc w:val="both"/>
        <w:rPr>
          <w:rFonts w:ascii="Times New Roman" w:eastAsia="Times New Roman" w:hAnsi="Times New Roman" w:cs="Times New Roman"/>
          <w:sz w:val="24"/>
          <w:szCs w:val="24"/>
        </w:rPr>
      </w:pPr>
    </w:p>
    <w:p w14:paraId="1FCAC069" w14:textId="77777777" w:rsidR="00BF43A7" w:rsidRDefault="00BF43A7">
      <w:pPr>
        <w:rPr>
          <w:rFonts w:ascii="Times New Roman" w:hAnsi="Times New Roman"/>
          <w:b/>
          <w:sz w:val="28"/>
          <w:szCs w:val="40"/>
        </w:rPr>
      </w:pPr>
      <w:r>
        <w:br w:type="page"/>
      </w:r>
    </w:p>
    <w:p w14:paraId="0000000D" w14:textId="6F0EA487" w:rsidR="000D29F7" w:rsidRDefault="00453826" w:rsidP="00BF43A7">
      <w:pPr>
        <w:pStyle w:val="Heading1"/>
      </w:pPr>
      <w:bookmarkStart w:id="1" w:name="_Toc123920469"/>
      <w:r>
        <w:lastRenderedPageBreak/>
        <w:t>Introduction</w:t>
      </w:r>
      <w:bookmarkEnd w:id="1"/>
      <w:r>
        <w:t xml:space="preserve"> </w:t>
      </w:r>
    </w:p>
    <w:p w14:paraId="0000000E" w14:textId="5F744EC9" w:rsidR="000D29F7" w:rsidRDefault="0045382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purpose of the assessment is to analyse the success or failure of the </w:t>
      </w:r>
      <w:r w:rsidR="00BF43A7">
        <w:rPr>
          <w:rFonts w:ascii="Times New Roman" w:eastAsia="Times New Roman" w:hAnsi="Times New Roman" w:cs="Times New Roman"/>
          <w:sz w:val="24"/>
          <w:szCs w:val="24"/>
        </w:rPr>
        <w:t>Cross-rail</w:t>
      </w:r>
      <w:r>
        <w:rPr>
          <w:rFonts w:ascii="Times New Roman" w:eastAsia="Times New Roman" w:hAnsi="Times New Roman" w:cs="Times New Roman"/>
          <w:sz w:val="24"/>
          <w:szCs w:val="24"/>
        </w:rPr>
        <w:t xml:space="preserve"> line in Europe which is a suburban railway. This is the highest budgeted project in Europe around £14.8 billion. The project aims to provide high speed and frequency to the people in Europe who will serve London and its surrounding areas. The Cross rail w</w:t>
      </w:r>
      <w:r>
        <w:rPr>
          <w:rFonts w:ascii="Times New Roman" w:eastAsia="Times New Roman" w:hAnsi="Times New Roman" w:cs="Times New Roman"/>
          <w:sz w:val="24"/>
          <w:szCs w:val="24"/>
        </w:rPr>
        <w:t>ill cover 40 stations and has a 100km plus rail line. The Cross rail was opened on May 24th 2022 in the central station that runs between Paddington and Abbey Wood. At the time of evaluation of the success or failure rate of the project, a logical and crit</w:t>
      </w:r>
      <w:r>
        <w:rPr>
          <w:rFonts w:ascii="Times New Roman" w:eastAsia="Times New Roman" w:hAnsi="Times New Roman" w:cs="Times New Roman"/>
          <w:sz w:val="24"/>
          <w:szCs w:val="24"/>
        </w:rPr>
        <w:t xml:space="preserve">ical discussion will be made to develop an understanding of the project. In addition, with the interpretation of data, valuable </w:t>
      </w:r>
      <w:r w:rsidR="00BF43A7">
        <w:rPr>
          <w:rFonts w:ascii="Times New Roman" w:eastAsia="Times New Roman" w:hAnsi="Times New Roman" w:cs="Times New Roman"/>
          <w:sz w:val="24"/>
          <w:szCs w:val="24"/>
        </w:rPr>
        <w:t>recommendations</w:t>
      </w:r>
      <w:r>
        <w:rPr>
          <w:rFonts w:ascii="Times New Roman" w:eastAsia="Times New Roman" w:hAnsi="Times New Roman" w:cs="Times New Roman"/>
          <w:sz w:val="24"/>
          <w:szCs w:val="24"/>
        </w:rPr>
        <w:t xml:space="preserve"> will be made for further development in similar projects. In addition, lessons will be highlighted that learned </w:t>
      </w:r>
      <w:r>
        <w:rPr>
          <w:rFonts w:ascii="Times New Roman" w:eastAsia="Times New Roman" w:hAnsi="Times New Roman" w:cs="Times New Roman"/>
          <w:sz w:val="24"/>
          <w:szCs w:val="24"/>
        </w:rPr>
        <w:t>from the project can be used for future similar practices.</w:t>
      </w:r>
    </w:p>
    <w:p w14:paraId="0000000F" w14:textId="77777777" w:rsidR="000D29F7" w:rsidRDefault="00453826" w:rsidP="00BF43A7">
      <w:pPr>
        <w:pStyle w:val="Heading1"/>
      </w:pPr>
      <w:bookmarkStart w:id="2" w:name="_Toc123920470"/>
      <w:r>
        <w:t>Body</w:t>
      </w:r>
      <w:bookmarkEnd w:id="2"/>
      <w:r>
        <w:t xml:space="preserve"> </w:t>
      </w:r>
    </w:p>
    <w:p w14:paraId="00000010" w14:textId="32D67753" w:rsidR="000D29F7" w:rsidRDefault="0045382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public transportation project, Crossrail helps in sustainable deliverables by reducing overcrowding in existing train services underground. It also helps London to add 10% extra rail ser</w:t>
      </w:r>
      <w:r>
        <w:rPr>
          <w:rFonts w:ascii="Times New Roman" w:eastAsia="Times New Roman" w:hAnsi="Times New Roman" w:cs="Times New Roman"/>
          <w:sz w:val="24"/>
          <w:szCs w:val="24"/>
        </w:rPr>
        <w:t xml:space="preserve">vice and reduce the time of trip around London. Annually it was projected that the </w:t>
      </w:r>
      <w:r w:rsidR="00BF43A7">
        <w:rPr>
          <w:rFonts w:ascii="Times New Roman" w:eastAsia="Times New Roman" w:hAnsi="Times New Roman" w:cs="Times New Roman"/>
          <w:sz w:val="24"/>
          <w:szCs w:val="24"/>
        </w:rPr>
        <w:t>Cross rail</w:t>
      </w:r>
      <w:r>
        <w:rPr>
          <w:rFonts w:ascii="Times New Roman" w:eastAsia="Times New Roman" w:hAnsi="Times New Roman" w:cs="Times New Roman"/>
          <w:sz w:val="24"/>
          <w:szCs w:val="24"/>
        </w:rPr>
        <w:t xml:space="preserve"> will help 200 million passengers to travel annually. It is a </w:t>
      </w:r>
      <w:r w:rsidR="00BF43A7">
        <w:rPr>
          <w:rFonts w:ascii="Times New Roman" w:eastAsia="Times New Roman" w:hAnsi="Times New Roman" w:cs="Times New Roman"/>
          <w:sz w:val="24"/>
          <w:szCs w:val="24"/>
        </w:rPr>
        <w:t>publicly</w:t>
      </w:r>
      <w:r>
        <w:rPr>
          <w:rFonts w:ascii="Times New Roman" w:eastAsia="Times New Roman" w:hAnsi="Times New Roman" w:cs="Times New Roman"/>
          <w:sz w:val="24"/>
          <w:szCs w:val="24"/>
        </w:rPr>
        <w:t xml:space="preserve"> funded project and managed by a privately owned public organisation. The planning of the Cro</w:t>
      </w:r>
      <w:r>
        <w:rPr>
          <w:rFonts w:ascii="Times New Roman" w:eastAsia="Times New Roman" w:hAnsi="Times New Roman" w:cs="Times New Roman"/>
          <w:sz w:val="24"/>
          <w:szCs w:val="24"/>
        </w:rPr>
        <w:t xml:space="preserve">ssrail Elizabeth line is to join east and west London. As per the UK national audit office, the project was estimated at £15.9 Bn and in 2010 the project faced a cut in budget spending. The cost of the project is below the industry average and blowout the </w:t>
      </w:r>
      <w:r>
        <w:rPr>
          <w:rFonts w:ascii="Times New Roman" w:eastAsia="Times New Roman" w:hAnsi="Times New Roman" w:cs="Times New Roman"/>
          <w:sz w:val="24"/>
          <w:szCs w:val="24"/>
        </w:rPr>
        <w:t>project of railways by 140%. The project was not perfect but it has been a leader in improving and changing the ineffective way people deliver civil infrastructure and the lack of growth in the construction industry over the last 40 years. With the help of</w:t>
      </w:r>
      <w:r>
        <w:rPr>
          <w:rFonts w:ascii="Times New Roman" w:eastAsia="Times New Roman" w:hAnsi="Times New Roman" w:cs="Times New Roman"/>
          <w:sz w:val="24"/>
          <w:szCs w:val="24"/>
        </w:rPr>
        <w:t xml:space="preserve"> the London Crossrail team the people of the country have a better approach. A digital twin of Crossrail also develops that used again and again in operation in the coming 100 years, by reducing the cost of overall assets. It is a partially successful and </w:t>
      </w:r>
      <w:r>
        <w:rPr>
          <w:rFonts w:ascii="Times New Roman" w:eastAsia="Times New Roman" w:hAnsi="Times New Roman" w:cs="Times New Roman"/>
          <w:sz w:val="24"/>
          <w:szCs w:val="24"/>
        </w:rPr>
        <w:t xml:space="preserve">partially failing undertaking since it has greatly facilitated travel for a variety of people. Additionally, a significant sum of money was spent on this particular initiative to ensure its success (A sustainable east to West Railway for London, 2022). </w:t>
      </w:r>
    </w:p>
    <w:p w14:paraId="1AE71632" w14:textId="77777777" w:rsidR="005969AA" w:rsidRPr="005969AA" w:rsidRDefault="00453826" w:rsidP="005969A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w:t>
      </w:r>
      <w:r>
        <w:rPr>
          <w:rFonts w:ascii="Times New Roman" w:eastAsia="Times New Roman" w:hAnsi="Times New Roman" w:cs="Times New Roman"/>
          <w:sz w:val="24"/>
          <w:szCs w:val="24"/>
        </w:rPr>
        <w:t xml:space="preserve">e research indicates that $14.8 billion has already been invested in this project to ensure its success. Additionally, a cross line connecting Heathrow and Reading in the west and Abbey Wood </w:t>
      </w:r>
      <w:r>
        <w:rPr>
          <w:rFonts w:ascii="Times New Roman" w:eastAsia="Times New Roman" w:hAnsi="Times New Roman" w:cs="Times New Roman"/>
          <w:sz w:val="24"/>
          <w:szCs w:val="24"/>
        </w:rPr>
        <w:lastRenderedPageBreak/>
        <w:t>and Sheffield in the east have already been built, making it simp</w:t>
      </w:r>
      <w:r>
        <w:rPr>
          <w:rFonts w:ascii="Times New Roman" w:eastAsia="Times New Roman" w:hAnsi="Times New Roman" w:cs="Times New Roman"/>
          <w:sz w:val="24"/>
          <w:szCs w:val="24"/>
        </w:rPr>
        <w:t>ler for the greatest number of individuals to travel. Further Cross Rail II will shortly be developed as a result of the Elizabeth line's full integration. Additionally, a number of amenities, such as restrooms, have served as a positive circumstance or ad</w:t>
      </w:r>
      <w:r>
        <w:rPr>
          <w:rFonts w:ascii="Times New Roman" w:eastAsia="Times New Roman" w:hAnsi="Times New Roman" w:cs="Times New Roman"/>
          <w:sz w:val="24"/>
          <w:szCs w:val="24"/>
        </w:rPr>
        <w:t xml:space="preserve">vantage that has contributed to the success of this project. Additionally, a number of beautiful and high-quality materials, like bronze or stone, have been effectively utilised to build the train line. However, in this particular instance, this endeavour </w:t>
      </w:r>
      <w:r>
        <w:rPr>
          <w:rFonts w:ascii="Times New Roman" w:eastAsia="Times New Roman" w:hAnsi="Times New Roman" w:cs="Times New Roman"/>
          <w:sz w:val="24"/>
          <w:szCs w:val="24"/>
        </w:rPr>
        <w:t>hasn't been entirely effective because of how it has touched so many different locations. Additionally, it has been significantly impacted as a result of geotechnical hazards. The hazards that have had the greatest influence on the project are mostly geote</w:t>
      </w:r>
      <w:r>
        <w:rPr>
          <w:rFonts w:ascii="Times New Roman" w:eastAsia="Times New Roman" w:hAnsi="Times New Roman" w:cs="Times New Roman"/>
          <w:sz w:val="24"/>
          <w:szCs w:val="24"/>
        </w:rPr>
        <w:t>chnical concerns such as landslides, deposits, fractures, and environmental catastrophes. It is a risk type that has the potential to affect both the project and people at the same time. The success or failure of the project has also been significantly imp</w:t>
      </w:r>
      <w:r>
        <w:rPr>
          <w:rFonts w:ascii="Times New Roman" w:eastAsia="Times New Roman" w:hAnsi="Times New Roman" w:cs="Times New Roman"/>
          <w:sz w:val="24"/>
          <w:szCs w:val="24"/>
        </w:rPr>
        <w:t xml:space="preserve">acted by a number of technicalities of the Cross Rail Elizabeth line (Milillo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2018). </w:t>
      </w:r>
      <w:r w:rsidR="005969AA" w:rsidRPr="005969AA">
        <w:rPr>
          <w:rFonts w:ascii="Times New Roman" w:eastAsia="Times New Roman" w:hAnsi="Times New Roman" w:cs="Times New Roman"/>
          <w:sz w:val="24"/>
          <w:szCs w:val="24"/>
        </w:rPr>
        <w:t>Like any project, the estimated cost of Crossrail fluctuated as the design developed. A significant challenge for CLRL was keeping budget planning and process development in line while different project components moved at different rates. As the design evolved into a more quantified complexity, the approach for estimating costs had to alter, with general and fundamental provisions becoming more present cases.</w:t>
      </w:r>
    </w:p>
    <w:p w14:paraId="00000012" w14:textId="18215937" w:rsidR="000D29F7" w:rsidRDefault="005969AA" w:rsidP="005969AA">
      <w:pPr>
        <w:spacing w:line="360" w:lineRule="auto"/>
        <w:jc w:val="both"/>
        <w:rPr>
          <w:rFonts w:ascii="Times New Roman" w:eastAsia="Times New Roman" w:hAnsi="Times New Roman" w:cs="Times New Roman"/>
          <w:sz w:val="24"/>
          <w:szCs w:val="24"/>
        </w:rPr>
      </w:pPr>
      <w:r w:rsidRPr="005969AA">
        <w:rPr>
          <w:rFonts w:ascii="Times New Roman" w:eastAsia="Times New Roman" w:hAnsi="Times New Roman" w:cs="Times New Roman"/>
          <w:sz w:val="24"/>
          <w:szCs w:val="24"/>
        </w:rPr>
        <w:t>It's important to keep in mind, though, that any predicted costs at this early stage could simply be a rough approximation based on the existing facts.</w:t>
      </w:r>
      <w:r>
        <w:rPr>
          <w:rFonts w:ascii="Times New Roman" w:eastAsia="Times New Roman" w:hAnsi="Times New Roman" w:cs="Times New Roman"/>
          <w:sz w:val="24"/>
          <w:szCs w:val="24"/>
        </w:rPr>
        <w:t xml:space="preserve"> Given the intricacy of Crossrail, there were several instances where there was more ambiguity than what could be observed and established. Understanding the modelling impact in different options of cost helps CLRL to set the benchmark and select the most affordable. Elements of the engineering might be questioned and, in certain cases, discarded at this preliminary phase thanks to the engagement of workers with operating expertise. For instance, the underground tunnelled portion of the railway included two crossings in each route in the basic concept. Trains can travel from one track to the opposing track using crossovers, but building these extremely complicated structures comes with a lot of danger in terms of engineering, money, and schedule. The operational team came to the conclusion that there were very few if any, situations where the rail network would be rerouted using the opposing track, hence the number of crossings was decreased to one for each way. solutions for the project. Similarly to this, the operator questioned the difficulty of the airflow for the tunnels and oversaw the procedure to get the support of the relevant authorities for fewer levels all along the constricted </w:t>
      </w:r>
      <w:r>
        <w:rPr>
          <w:rFonts w:ascii="Times New Roman" w:eastAsia="Times New Roman" w:hAnsi="Times New Roman" w:cs="Times New Roman"/>
          <w:sz w:val="24"/>
          <w:szCs w:val="24"/>
        </w:rPr>
        <w:lastRenderedPageBreak/>
        <w:t xml:space="preserve">route. Additionally, it is reasonable to anticipate that the cost estimate will begin high because budgetary and preliminary estimates represent the limited understanding of the needed repairs and the risk involved. The danger of the mayor adopting BRS was not insignificant (Williams, and Black, 2018). In addition to the political risk associated with implementing a levy throughout the city territory, the mayor had to choose the rate to be used, assure the collection, and oversee the ensuing bond issuance procedure to satisfy the project's financing requirements. London's train capacity is altered by Crossrail, as well as the city's overall economic advantages should be considered. </w:t>
      </w:r>
    </w:p>
    <w:p w14:paraId="3EF02292" w14:textId="77777777" w:rsidR="00C0770A" w:rsidRPr="00C0770A" w:rsidRDefault="00C0770A" w:rsidP="00C0770A">
      <w:pPr>
        <w:spacing w:line="360" w:lineRule="auto"/>
        <w:jc w:val="both"/>
        <w:rPr>
          <w:rFonts w:ascii="Times New Roman" w:eastAsia="Times New Roman" w:hAnsi="Times New Roman" w:cs="Times New Roman"/>
          <w:sz w:val="24"/>
          <w:szCs w:val="24"/>
        </w:rPr>
      </w:pPr>
      <w:r w:rsidRPr="00C0770A">
        <w:rPr>
          <w:rFonts w:ascii="Times New Roman" w:eastAsia="Times New Roman" w:hAnsi="Times New Roman" w:cs="Times New Roman"/>
          <w:sz w:val="24"/>
          <w:szCs w:val="24"/>
        </w:rPr>
        <w:t>London's economy and competitiveness will increase thanks to the jobs created during building and maintenance, as well as any savings that may result from improved transit connections and convenience for large numbers of passengers. According to Terry Morgan, the Treasury's estimate of £42 billion over a 60-year period is really rather low. The London metropolitan region will benefit from the redevelopment plans since significant actors like TfL and the local governments have committed cash alongside Crossrail to generate designs and carry out public space upgrades surrounding the terminals. Three million square feet of luxury business, retail, and residential housing are also being provided above or next to the new dedicated stations.</w:t>
      </w:r>
      <w:r>
        <w:rPr>
          <w:rFonts w:ascii="Times New Roman" w:eastAsia="Times New Roman" w:hAnsi="Times New Roman" w:cs="Times New Roman"/>
          <w:sz w:val="24"/>
          <w:szCs w:val="24"/>
        </w:rPr>
        <w:t xml:space="preserve"> </w:t>
      </w:r>
      <w:r w:rsidRPr="00C0770A">
        <w:rPr>
          <w:rFonts w:ascii="Times New Roman" w:eastAsia="Times New Roman" w:hAnsi="Times New Roman" w:cs="Times New Roman"/>
          <w:sz w:val="24"/>
          <w:szCs w:val="24"/>
        </w:rPr>
        <w:t>Twelve real estate developments are anticipated to provide £500 million in revenue for Crossrail's financing package, cutting down on government spending. Furthermore, as already said, independent estimations indicate that the project is accelerating or unlocking the supply of over 90,000 homes and over 4.4 million square metres of homes, offices, and commercial outlets, driving up the cost of real estate in London by £10.6 billion. However, there were delays in both service and project completion. Many of the people paid by Crossrail may not have cared or had no problem with the job continuing for as long as it was possible. In other cases, self-sabotage was both intentional and sporadic. As a result, additional security measures were put in place in various project locations. When the construction process was advanced, builders occasionally made informed assumptions about what should be built</w:t>
      </w:r>
      <w:r>
        <w:rPr>
          <w:rFonts w:ascii="Times New Roman" w:eastAsia="Times New Roman" w:hAnsi="Times New Roman" w:cs="Times New Roman"/>
          <w:sz w:val="24"/>
          <w:szCs w:val="24"/>
        </w:rPr>
        <w:t xml:space="preserve"> faster than the design. Employees dubbed the project "the hokey cokey" because pieces of labour have often been erected, removed, and then reinstalled (Lawrence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w:t>
      </w:r>
      <w:r w:rsidRPr="00C0770A">
        <w:rPr>
          <w:rFonts w:ascii="Times New Roman" w:eastAsia="Times New Roman" w:hAnsi="Times New Roman" w:cs="Times New Roman"/>
          <w:sz w:val="24"/>
          <w:szCs w:val="24"/>
        </w:rPr>
        <w:t>Workers witnessed waste being created that cost billions of dollars due to poor planning and administration. Poor project management at all phases resulted in several sites becoming chaotic and suspicious. The project started to go out of control almost two years before the original deadline of December 2018. Up until that point, the issue had been going rather well.</w:t>
      </w:r>
      <w:r>
        <w:rPr>
          <w:rFonts w:ascii="Times New Roman" w:eastAsia="Times New Roman" w:hAnsi="Times New Roman" w:cs="Times New Roman"/>
          <w:sz w:val="24"/>
          <w:szCs w:val="24"/>
        </w:rPr>
        <w:t xml:space="preserve"> Because </w:t>
      </w:r>
      <w:r>
        <w:rPr>
          <w:rFonts w:ascii="Times New Roman" w:eastAsia="Times New Roman" w:hAnsi="Times New Roman" w:cs="Times New Roman"/>
          <w:sz w:val="24"/>
          <w:szCs w:val="24"/>
        </w:rPr>
        <w:lastRenderedPageBreak/>
        <w:t xml:space="preserve">when the project required fitting out, the uncertainty began. The enormous tunnel-bored machines tunnelling into the city's core had accomplished so with reasonable ease. Fit-out entails the construction of all the various systems required for the railway to operate, including electric cables, the process will make, </w:t>
      </w:r>
      <w:r w:rsidR="007E3653">
        <w:rPr>
          <w:rFonts w:ascii="Times New Roman" w:eastAsia="Times New Roman" w:hAnsi="Times New Roman" w:cs="Times New Roman"/>
          <w:sz w:val="24"/>
          <w:szCs w:val="24"/>
        </w:rPr>
        <w:t>French</w:t>
      </w:r>
      <w:r>
        <w:rPr>
          <w:rFonts w:ascii="Times New Roman" w:eastAsia="Times New Roman" w:hAnsi="Times New Roman" w:cs="Times New Roman"/>
          <w:sz w:val="24"/>
          <w:szCs w:val="24"/>
        </w:rPr>
        <w:t xml:space="preserve"> drains, and exhaust shafts. To construct various pieces, many </w:t>
      </w:r>
      <w:r w:rsidR="007E3653">
        <w:rPr>
          <w:rFonts w:ascii="Times New Roman" w:eastAsia="Times New Roman" w:hAnsi="Times New Roman" w:cs="Times New Roman"/>
          <w:sz w:val="24"/>
          <w:szCs w:val="24"/>
        </w:rPr>
        <w:t>specialized</w:t>
      </w:r>
      <w:r>
        <w:rPr>
          <w:rFonts w:ascii="Times New Roman" w:eastAsia="Times New Roman" w:hAnsi="Times New Roman" w:cs="Times New Roman"/>
          <w:sz w:val="24"/>
          <w:szCs w:val="24"/>
        </w:rPr>
        <w:t xml:space="preserve"> subcontract "trades" collaborate together in this situation. As a consequence, the number of organizations working on the project increased as Crossrail's fit-out accelerated in 2016. On some of Crossrail's broad and challenging sites, the larger businesses recruited powerful senior executives, many of </w:t>
      </w:r>
      <w:r w:rsidR="007E3653">
        <w:rPr>
          <w:rFonts w:ascii="Times New Roman" w:eastAsia="Times New Roman" w:hAnsi="Times New Roman" w:cs="Times New Roman"/>
          <w:sz w:val="24"/>
          <w:szCs w:val="24"/>
        </w:rPr>
        <w:t>whom</w:t>
      </w:r>
      <w:r>
        <w:rPr>
          <w:rFonts w:ascii="Times New Roman" w:eastAsia="Times New Roman" w:hAnsi="Times New Roman" w:cs="Times New Roman"/>
          <w:sz w:val="24"/>
          <w:szCs w:val="24"/>
        </w:rPr>
        <w:t xml:space="preserve"> were personalities with strong egos. However, there are several economic benefits that the project has provided to the UK (Avgerinos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2018) </w:t>
      </w:r>
      <w:r w:rsidRPr="00C0770A">
        <w:rPr>
          <w:rFonts w:ascii="Times New Roman" w:eastAsia="Times New Roman" w:hAnsi="Times New Roman" w:cs="Times New Roman"/>
          <w:sz w:val="24"/>
          <w:szCs w:val="24"/>
        </w:rPr>
        <w:t>For the duration of the project, it is predicted that Crossrail and its distribution system would support tens of hundreds of full-time workers throughout the UK.</w:t>
      </w:r>
    </w:p>
    <w:p w14:paraId="00000014" w14:textId="3E110FED" w:rsidR="000D29F7" w:rsidRDefault="005969AA" w:rsidP="00C0770A">
      <w:pPr>
        <w:spacing w:line="360" w:lineRule="auto"/>
        <w:jc w:val="both"/>
        <w:rPr>
          <w:rFonts w:ascii="Times New Roman" w:eastAsia="Times New Roman" w:hAnsi="Times New Roman" w:cs="Times New Roman"/>
          <w:sz w:val="24"/>
          <w:szCs w:val="24"/>
        </w:rPr>
      </w:pPr>
      <w:r w:rsidRPr="005969AA">
        <w:rPr>
          <w:rFonts w:ascii="Times New Roman" w:eastAsia="Times New Roman" w:hAnsi="Times New Roman" w:cs="Times New Roman"/>
          <w:sz w:val="24"/>
          <w:szCs w:val="24"/>
        </w:rPr>
        <w:t>At its peak, more than 10,000 people were employed in more than 41 locations in and around London. Due of the project's extensive distribution network, businesses of various sizes in the UK have been able to collaborate on it. While 62% of Tier 1 subcontractors were small and medium-sized businesses (SMEs), 62% of the UK companies that took part in the project were located outside of London. These well-known sustainability topics—economic, environmental, and social—are utilised to demonstrate how effectively the Crossrail project has operated.</w:t>
      </w:r>
      <w:r>
        <w:rPr>
          <w:rFonts w:ascii="Times New Roman" w:eastAsia="Times New Roman" w:hAnsi="Times New Roman" w:cs="Times New Roman"/>
          <w:sz w:val="24"/>
          <w:szCs w:val="24"/>
        </w:rPr>
        <w:t xml:space="preserve"> This project was created to satisfy the needs of our joint sponsors, stakeholders, and future users. For the advantage of future developments and industry, comprehensive case studies regarding each of the stated sustainable approaches are accessible on Crossrail's Learning Legacy website. </w:t>
      </w:r>
      <w:r w:rsidR="00C0770A" w:rsidRPr="00C0770A">
        <w:rPr>
          <w:rFonts w:ascii="Times New Roman" w:eastAsia="Times New Roman" w:hAnsi="Times New Roman" w:cs="Times New Roman"/>
          <w:sz w:val="24"/>
          <w:szCs w:val="24"/>
        </w:rPr>
        <w:t>The Crossrail Learning legacy has recorded thousands of lessons learned during the development and operation of the Elizabeth line in order to develop the infrastructure projects and encourage the sharing of best practises</w:t>
      </w:r>
      <w:r>
        <w:rPr>
          <w:rFonts w:ascii="Times New Roman" w:eastAsia="Times New Roman" w:hAnsi="Times New Roman" w:cs="Times New Roman"/>
          <w:sz w:val="24"/>
          <w:szCs w:val="24"/>
        </w:rPr>
        <w:t xml:space="preserve">. From the project, it can be analyzed that with effective planning and framework, it is possible to meet the goal of a project and provide benefits to society, the environment and the economy. Many employment opportunities provide the project to the youth of the city. From the project, one can learn about effective project management to meet the efficiency and goals of the project. From the process, effective Coordination and risk management can be learned by one and apply to future similar projects. Further, the efficiency of investment management can be understood from the project which enhances the knowledge of investment management as well. The fact that Transport for London (Tlf) is yet to finish installing bathroom facilities for customers is among the most significant and acknowledged shortcomings of the Crossrail Elizabeth line. The </w:t>
      </w:r>
      <w:r>
        <w:rPr>
          <w:rFonts w:ascii="Times New Roman" w:eastAsia="Times New Roman" w:hAnsi="Times New Roman" w:cs="Times New Roman"/>
          <w:sz w:val="24"/>
          <w:szCs w:val="24"/>
        </w:rPr>
        <w:lastRenderedPageBreak/>
        <w:t>passengers have had a significant effect as a result. Additionally, it has assisted those who are elderly or disabled in difficult circumstances. Garb poles' black and silver colour palette is another drawback of Cross Rail since it makes it difficult for those who have vision impairments to see them. For the project, it can be recommended to improve time management to overcome the issue of delay in the project. With a proper delegation of time, the goal can be achieved or the team can use effective tools like the Gantt chart, and timesheet to meet their goals on time and not delay the process (Newlove-Eriksson, 2020). Cross Rail Elizabeth line has the ability to acquire high-</w:t>
      </w:r>
      <w:r w:rsidR="007E3653">
        <w:rPr>
          <w:rFonts w:ascii="Times New Roman" w:eastAsia="Times New Roman" w:hAnsi="Times New Roman" w:cs="Times New Roman"/>
          <w:sz w:val="24"/>
          <w:szCs w:val="24"/>
        </w:rPr>
        <w:t>caliber</w:t>
      </w:r>
      <w:r>
        <w:rPr>
          <w:rFonts w:ascii="Times New Roman" w:eastAsia="Times New Roman" w:hAnsi="Times New Roman" w:cs="Times New Roman"/>
          <w:sz w:val="24"/>
          <w:szCs w:val="24"/>
        </w:rPr>
        <w:t xml:space="preserve"> human resources, which will enhance service facilities and boost satisfaction among customers. Additionally, by providing restrooms for every </w:t>
      </w:r>
      <w:r w:rsidR="00BF43A7">
        <w:rPr>
          <w:rFonts w:ascii="Times New Roman" w:eastAsia="Times New Roman" w:hAnsi="Times New Roman" w:cs="Times New Roman"/>
          <w:sz w:val="24"/>
          <w:szCs w:val="24"/>
        </w:rPr>
        <w:t>traveller</w:t>
      </w:r>
      <w:r>
        <w:rPr>
          <w:rFonts w:ascii="Times New Roman" w:eastAsia="Times New Roman" w:hAnsi="Times New Roman" w:cs="Times New Roman"/>
          <w:sz w:val="24"/>
          <w:szCs w:val="24"/>
        </w:rPr>
        <w:t xml:space="preserve">, this particular initiative might draw a diverse group of </w:t>
      </w:r>
      <w:r w:rsidR="00BF43A7">
        <w:rPr>
          <w:rFonts w:ascii="Times New Roman" w:eastAsia="Times New Roman" w:hAnsi="Times New Roman" w:cs="Times New Roman"/>
          <w:sz w:val="24"/>
          <w:szCs w:val="24"/>
        </w:rPr>
        <w:t>travellers</w:t>
      </w:r>
      <w:r>
        <w:rPr>
          <w:rFonts w:ascii="Times New Roman" w:eastAsia="Times New Roman" w:hAnsi="Times New Roman" w:cs="Times New Roman"/>
          <w:sz w:val="24"/>
          <w:szCs w:val="24"/>
        </w:rPr>
        <w:t>. Most importantly, it has been determined that this construction does not include any restrooms for visitors, which has led to major issues. Therefore, if this project includes restrooms, it will present a wonderful chance for the project.</w:t>
      </w:r>
    </w:p>
    <w:p w14:paraId="00000015" w14:textId="77777777" w:rsidR="000D29F7" w:rsidRDefault="00453826" w:rsidP="00BF43A7">
      <w:pPr>
        <w:pStyle w:val="Heading1"/>
      </w:pPr>
      <w:bookmarkStart w:id="3" w:name="_Toc123920471"/>
      <w:r>
        <w:t>Conclusion</w:t>
      </w:r>
      <w:bookmarkEnd w:id="3"/>
    </w:p>
    <w:p w14:paraId="00000016" w14:textId="15F684A9" w:rsidR="000D29F7" w:rsidRDefault="0045382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Cross-rail construction in the UK has made a significant contribution to the development of the UK, as can be seen from the facts above. The initiative provided individuals </w:t>
      </w:r>
      <w:r w:rsidR="00BF43A7">
        <w:rPr>
          <w:rFonts w:ascii="Times New Roman" w:eastAsia="Times New Roman" w:hAnsi="Times New Roman" w:cs="Times New Roman"/>
          <w:sz w:val="24"/>
          <w:szCs w:val="24"/>
        </w:rPr>
        <w:t xml:space="preserve">with </w:t>
      </w:r>
      <w:r>
        <w:rPr>
          <w:rFonts w:ascii="Times New Roman" w:eastAsia="Times New Roman" w:hAnsi="Times New Roman" w:cs="Times New Roman"/>
          <w:sz w:val="24"/>
          <w:szCs w:val="24"/>
        </w:rPr>
        <w:t>the chance to acquire a significant amount of power to appreciate life and their careers in addition to cutting down on travel time. The UK's economy saw significant economic growth. All of the amenities improve the quality of life for everyone there and f</w:t>
      </w:r>
      <w:r>
        <w:rPr>
          <w:rFonts w:ascii="Times New Roman" w:eastAsia="Times New Roman" w:hAnsi="Times New Roman" w:cs="Times New Roman"/>
          <w:sz w:val="24"/>
          <w:szCs w:val="24"/>
        </w:rPr>
        <w:t xml:space="preserve">oster an atmosphere that allows the nation to develop to its maximum potential. Additionally, by not harming the environment, the initiative will be advantageous to it. According to the report, this initiative has already received investments </w:t>
      </w:r>
      <w:r w:rsidR="007E3653">
        <w:rPr>
          <w:rFonts w:ascii="Times New Roman" w:eastAsia="Times New Roman" w:hAnsi="Times New Roman" w:cs="Times New Roman"/>
          <w:sz w:val="24"/>
          <w:szCs w:val="24"/>
        </w:rPr>
        <w:t>totalling</w:t>
      </w:r>
      <w:r>
        <w:rPr>
          <w:rFonts w:ascii="Times New Roman" w:eastAsia="Times New Roman" w:hAnsi="Times New Roman" w:cs="Times New Roman"/>
          <w:sz w:val="24"/>
          <w:szCs w:val="24"/>
        </w:rPr>
        <w:t xml:space="preserve"> $14</w:t>
      </w:r>
      <w:r>
        <w:rPr>
          <w:rFonts w:ascii="Times New Roman" w:eastAsia="Times New Roman" w:hAnsi="Times New Roman" w:cs="Times New Roman"/>
          <w:sz w:val="24"/>
          <w:szCs w:val="24"/>
        </w:rPr>
        <w:t>.8 billion to assure its success. Additionally, a cross line has already been constructed, making it easier for most people to commute between Heathrow and Reading in the west and Abbey Wood and Sheffield in the east. In due course, more Cross Rail II will</w:t>
      </w:r>
      <w:r>
        <w:rPr>
          <w:rFonts w:ascii="Times New Roman" w:eastAsia="Times New Roman" w:hAnsi="Times New Roman" w:cs="Times New Roman"/>
          <w:sz w:val="24"/>
          <w:szCs w:val="24"/>
        </w:rPr>
        <w:t xml:space="preserve"> be created as a consequence of the Elizabeth line's complete integration. These well-known durability topics—economic, environmental, and social—are utilised to demonstrate how sustainably the Crossrail construction has performed. The goals of this projec</w:t>
      </w:r>
      <w:r>
        <w:rPr>
          <w:rFonts w:ascii="Times New Roman" w:eastAsia="Times New Roman" w:hAnsi="Times New Roman" w:cs="Times New Roman"/>
          <w:sz w:val="24"/>
          <w:szCs w:val="24"/>
        </w:rPr>
        <w:t>t were to meet the demands of our co-sponsors, stakeholders, and potential users. Comprehensive case studies for each of the aforementioned sustainable practises are available on Crossrail's Learning Legacy website for the benefit of industry and future pr</w:t>
      </w:r>
      <w:r>
        <w:rPr>
          <w:rFonts w:ascii="Times New Roman" w:eastAsia="Times New Roman" w:hAnsi="Times New Roman" w:cs="Times New Roman"/>
          <w:sz w:val="24"/>
          <w:szCs w:val="24"/>
        </w:rPr>
        <w:t xml:space="preserve">ojects. The Crossrail Learning legacy has recorded thousands of lessons </w:t>
      </w:r>
      <w:r>
        <w:rPr>
          <w:rFonts w:ascii="Times New Roman" w:eastAsia="Times New Roman" w:hAnsi="Times New Roman" w:cs="Times New Roman"/>
          <w:sz w:val="24"/>
          <w:szCs w:val="24"/>
        </w:rPr>
        <w:lastRenderedPageBreak/>
        <w:t>learned throughout the development and operation of the Elizabeth line in order to develop the infrastructure projects and encourage the sharing of best practices.</w:t>
      </w:r>
    </w:p>
    <w:p w14:paraId="00000017" w14:textId="77777777" w:rsidR="000D29F7" w:rsidRDefault="00453826">
      <w:pPr>
        <w:spacing w:line="360" w:lineRule="auto"/>
        <w:jc w:val="both"/>
        <w:rPr>
          <w:rFonts w:ascii="Times New Roman" w:eastAsia="Times New Roman" w:hAnsi="Times New Roman" w:cs="Times New Roman"/>
          <w:sz w:val="24"/>
          <w:szCs w:val="24"/>
        </w:rPr>
      </w:pPr>
      <w:r>
        <w:br w:type="page"/>
      </w:r>
    </w:p>
    <w:p w14:paraId="00000018" w14:textId="77777777" w:rsidR="000D29F7" w:rsidRDefault="00453826" w:rsidP="00BF43A7">
      <w:pPr>
        <w:pStyle w:val="Heading1"/>
      </w:pPr>
      <w:bookmarkStart w:id="4" w:name="_Toc123920472"/>
      <w:r>
        <w:lastRenderedPageBreak/>
        <w:t>Reference</w:t>
      </w:r>
      <w:bookmarkEnd w:id="4"/>
    </w:p>
    <w:p w14:paraId="1B9E82ED" w14:textId="77777777" w:rsidR="00BF43A7" w:rsidRDefault="00BF43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sustainable east to West Railway for London (2022) Crossrail. Available at: https://www.crossrail.co.uk/benefits/ (Accessed: January 6, 2023).</w:t>
      </w:r>
    </w:p>
    <w:p w14:paraId="2B118941" w14:textId="77777777" w:rsidR="00BF43A7" w:rsidRDefault="00BF43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Avgerinos, V., Potts, D.M., Standing, J.R. and Wan, M.S.P., 2018. Predicting tunnelling-induced ground movements and interpreting field measurements using numerical analysis: Crossrail case study at Hyde Park. Géotechnique, 68(1), pp.31-49.</w:t>
      </w:r>
    </w:p>
    <w:p w14:paraId="5ACB3D35" w14:textId="77777777" w:rsidR="00BF43A7" w:rsidRDefault="00BF43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Lawrence, U., Menkiti, C.O. and Black, M., 2018. Regional-scale groundwater investigations for the Crossrail project. Quarterly Journal of Engineering Geology and Hydrogeology, 51(1), pp.31-37.</w:t>
      </w:r>
    </w:p>
    <w:p w14:paraId="41F7F5BE" w14:textId="77777777" w:rsidR="00BF43A7" w:rsidRDefault="00BF43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Milillo, P., Giardina, G., DeJong, M.J., Perissin, D. and Milillo, G., 2018. Multi-temporal InSAR structural damage assessment: The London crossrail case study. Remote Sensing, 10(2), p.287.</w:t>
      </w:r>
    </w:p>
    <w:p w14:paraId="609B4B8B" w14:textId="77777777" w:rsidR="00BF43A7" w:rsidRDefault="00BF43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Newlove-Eriksson, L., 2020. Accountability and patchwork governance in urban rail interchanges: junctions of London Crossrail and Stockholm City Line compared. Public Works Management &amp; Policy, 25(2), pp.105-131.</w:t>
      </w:r>
    </w:p>
    <w:p w14:paraId="40AE0550" w14:textId="77777777" w:rsidR="00BF43A7" w:rsidRDefault="00BF43A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Williams, R.V. and Black, M. eds., 2018. Crossrail Project: Infrastructure design and construction. ICE Publishing.</w:t>
      </w:r>
    </w:p>
    <w:sectPr w:rsidR="00BF43A7" w:rsidSect="00BF43A7">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02180D" w14:textId="77777777" w:rsidR="00453826" w:rsidRDefault="00453826" w:rsidP="00BF43A7">
      <w:pPr>
        <w:spacing w:line="240" w:lineRule="auto"/>
      </w:pPr>
      <w:r>
        <w:separator/>
      </w:r>
    </w:p>
  </w:endnote>
  <w:endnote w:type="continuationSeparator" w:id="0">
    <w:p w14:paraId="35F39C50" w14:textId="77777777" w:rsidR="00453826" w:rsidRDefault="00453826" w:rsidP="00BF43A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sz w:val="24"/>
        <w:szCs w:val="24"/>
      </w:rPr>
      <w:id w:val="-1769616900"/>
      <w:docPartObj>
        <w:docPartGallery w:val="Page Numbers (Top of Page)"/>
        <w:docPartUnique/>
      </w:docPartObj>
    </w:sdtPr>
    <w:sdtEndPr/>
    <w:sdtContent>
      <w:p w14:paraId="13D64C28" w14:textId="77777777" w:rsidR="007E3653" w:rsidRPr="007E3653" w:rsidRDefault="007E3653" w:rsidP="007E3653">
        <w:pPr>
          <w:pStyle w:val="Footer"/>
          <w:jc w:val="right"/>
          <w:rPr>
            <w:rFonts w:ascii="Times New Roman" w:hAnsi="Times New Roman" w:cs="Times New Roman"/>
            <w:sz w:val="24"/>
            <w:szCs w:val="24"/>
          </w:rPr>
        </w:pPr>
        <w:r w:rsidRPr="007E3653">
          <w:rPr>
            <w:rFonts w:ascii="Times New Roman" w:hAnsi="Times New Roman" w:cs="Times New Roman"/>
            <w:sz w:val="24"/>
            <w:szCs w:val="24"/>
          </w:rPr>
          <w:t xml:space="preserve">Page </w:t>
        </w:r>
        <w:r w:rsidRPr="007E3653">
          <w:rPr>
            <w:rFonts w:ascii="Times New Roman" w:hAnsi="Times New Roman" w:cs="Times New Roman"/>
            <w:b/>
            <w:bCs/>
            <w:sz w:val="24"/>
            <w:szCs w:val="24"/>
          </w:rPr>
          <w:fldChar w:fldCharType="begin"/>
        </w:r>
        <w:r w:rsidRPr="007E3653">
          <w:rPr>
            <w:rFonts w:ascii="Times New Roman" w:hAnsi="Times New Roman" w:cs="Times New Roman"/>
            <w:b/>
            <w:bCs/>
            <w:sz w:val="24"/>
            <w:szCs w:val="24"/>
          </w:rPr>
          <w:instrText xml:space="preserve"> PAGE </w:instrText>
        </w:r>
        <w:r w:rsidRPr="007E3653">
          <w:rPr>
            <w:rFonts w:ascii="Times New Roman" w:hAnsi="Times New Roman" w:cs="Times New Roman"/>
            <w:b/>
            <w:bCs/>
            <w:sz w:val="24"/>
            <w:szCs w:val="24"/>
          </w:rPr>
          <w:fldChar w:fldCharType="separate"/>
        </w:r>
        <w:r w:rsidR="00AD040A">
          <w:rPr>
            <w:rFonts w:ascii="Times New Roman" w:hAnsi="Times New Roman" w:cs="Times New Roman"/>
            <w:b/>
            <w:bCs/>
            <w:noProof/>
            <w:sz w:val="24"/>
            <w:szCs w:val="24"/>
          </w:rPr>
          <w:t>9</w:t>
        </w:r>
        <w:r w:rsidRPr="007E3653">
          <w:rPr>
            <w:rFonts w:ascii="Times New Roman" w:hAnsi="Times New Roman" w:cs="Times New Roman"/>
            <w:b/>
            <w:bCs/>
            <w:sz w:val="24"/>
            <w:szCs w:val="24"/>
          </w:rPr>
          <w:fldChar w:fldCharType="end"/>
        </w:r>
        <w:r w:rsidRPr="007E3653">
          <w:rPr>
            <w:rFonts w:ascii="Times New Roman" w:hAnsi="Times New Roman" w:cs="Times New Roman"/>
            <w:sz w:val="24"/>
            <w:szCs w:val="24"/>
          </w:rPr>
          <w:t xml:space="preserve"> of </w:t>
        </w:r>
        <w:r w:rsidRPr="007E3653">
          <w:rPr>
            <w:rFonts w:ascii="Times New Roman" w:hAnsi="Times New Roman" w:cs="Times New Roman"/>
            <w:b/>
            <w:bCs/>
            <w:sz w:val="24"/>
            <w:szCs w:val="24"/>
          </w:rPr>
          <w:fldChar w:fldCharType="begin"/>
        </w:r>
        <w:r w:rsidRPr="007E3653">
          <w:rPr>
            <w:rFonts w:ascii="Times New Roman" w:hAnsi="Times New Roman" w:cs="Times New Roman"/>
            <w:b/>
            <w:bCs/>
            <w:sz w:val="24"/>
            <w:szCs w:val="24"/>
          </w:rPr>
          <w:instrText xml:space="preserve"> NUMPAGES  </w:instrText>
        </w:r>
        <w:r w:rsidRPr="007E3653">
          <w:rPr>
            <w:rFonts w:ascii="Times New Roman" w:hAnsi="Times New Roman" w:cs="Times New Roman"/>
            <w:b/>
            <w:bCs/>
            <w:sz w:val="24"/>
            <w:szCs w:val="24"/>
          </w:rPr>
          <w:fldChar w:fldCharType="separate"/>
        </w:r>
        <w:r w:rsidR="00AD040A">
          <w:rPr>
            <w:rFonts w:ascii="Times New Roman" w:hAnsi="Times New Roman" w:cs="Times New Roman"/>
            <w:b/>
            <w:bCs/>
            <w:noProof/>
            <w:sz w:val="24"/>
            <w:szCs w:val="24"/>
          </w:rPr>
          <w:t>9</w:t>
        </w:r>
        <w:r w:rsidRPr="007E3653">
          <w:rPr>
            <w:rFonts w:ascii="Times New Roman" w:hAnsi="Times New Roman" w:cs="Times New Roman"/>
            <w:b/>
            <w:bCs/>
            <w:sz w:val="24"/>
            <w:szCs w:val="24"/>
          </w:rPr>
          <w:fldChar w:fldCharType="end"/>
        </w:r>
      </w:p>
    </w:sdtContent>
  </w:sdt>
  <w:p w14:paraId="7CBA4E00" w14:textId="139BC4A7" w:rsidR="00BF43A7" w:rsidRDefault="00BF43A7">
    <w:pPr>
      <w:pStyle w:val="Footer"/>
      <w:jc w:val="right"/>
    </w:pPr>
  </w:p>
  <w:p w14:paraId="035A059F" w14:textId="77777777" w:rsidR="00BF43A7" w:rsidRDefault="00BF43A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DB9935" w14:textId="77777777" w:rsidR="00453826" w:rsidRDefault="00453826" w:rsidP="00BF43A7">
      <w:pPr>
        <w:spacing w:line="240" w:lineRule="auto"/>
      </w:pPr>
      <w:r>
        <w:separator/>
      </w:r>
    </w:p>
  </w:footnote>
  <w:footnote w:type="continuationSeparator" w:id="0">
    <w:p w14:paraId="05ACF88C" w14:textId="77777777" w:rsidR="00453826" w:rsidRDefault="00453826" w:rsidP="00BF43A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29F7"/>
    <w:rsid w:val="000D29F7"/>
    <w:rsid w:val="00320D0C"/>
    <w:rsid w:val="00453826"/>
    <w:rsid w:val="005969AA"/>
    <w:rsid w:val="007E3653"/>
    <w:rsid w:val="00AD040A"/>
    <w:rsid w:val="00BF43A7"/>
    <w:rsid w:val="00C07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067B4"/>
  <w15:docId w15:val="{6AE18F4D-9F77-4B3F-BFED-9DCDF2A73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rsid w:val="00BF43A7"/>
    <w:pPr>
      <w:keepNext/>
      <w:keepLines/>
      <w:spacing w:before="400" w:after="120"/>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BF43A7"/>
    <w:pPr>
      <w:tabs>
        <w:tab w:val="center" w:pos="4680"/>
        <w:tab w:val="right" w:pos="9360"/>
      </w:tabs>
      <w:spacing w:line="240" w:lineRule="auto"/>
    </w:pPr>
  </w:style>
  <w:style w:type="character" w:customStyle="1" w:styleId="HeaderChar">
    <w:name w:val="Header Char"/>
    <w:basedOn w:val="DefaultParagraphFont"/>
    <w:link w:val="Header"/>
    <w:uiPriority w:val="99"/>
    <w:rsid w:val="00BF43A7"/>
  </w:style>
  <w:style w:type="paragraph" w:styleId="Footer">
    <w:name w:val="footer"/>
    <w:basedOn w:val="Normal"/>
    <w:link w:val="FooterChar"/>
    <w:uiPriority w:val="99"/>
    <w:unhideWhenUsed/>
    <w:rsid w:val="00BF43A7"/>
    <w:pPr>
      <w:tabs>
        <w:tab w:val="center" w:pos="4680"/>
        <w:tab w:val="right" w:pos="9360"/>
      </w:tabs>
      <w:spacing w:line="240" w:lineRule="auto"/>
    </w:pPr>
  </w:style>
  <w:style w:type="character" w:customStyle="1" w:styleId="FooterChar">
    <w:name w:val="Footer Char"/>
    <w:basedOn w:val="DefaultParagraphFont"/>
    <w:link w:val="Footer"/>
    <w:uiPriority w:val="99"/>
    <w:rsid w:val="00BF43A7"/>
  </w:style>
  <w:style w:type="paragraph" w:styleId="TOCHeading">
    <w:name w:val="TOC Heading"/>
    <w:basedOn w:val="Heading1"/>
    <w:next w:val="Normal"/>
    <w:uiPriority w:val="39"/>
    <w:unhideWhenUsed/>
    <w:qFormat/>
    <w:rsid w:val="00BF43A7"/>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BF43A7"/>
    <w:pPr>
      <w:spacing w:after="100"/>
    </w:pPr>
  </w:style>
  <w:style w:type="character" w:styleId="Hyperlink">
    <w:name w:val="Hyperlink"/>
    <w:basedOn w:val="DefaultParagraphFont"/>
    <w:uiPriority w:val="99"/>
    <w:unhideWhenUsed/>
    <w:rsid w:val="00BF43A7"/>
    <w:rPr>
      <w:color w:val="0000FF" w:themeColor="hyperlink"/>
      <w:u w:val="single"/>
    </w:rPr>
  </w:style>
  <w:style w:type="paragraph" w:customStyle="1" w:styleId="Normal1">
    <w:name w:val="Normal1"/>
    <w:rsid w:val="00AD040A"/>
    <w:pPr>
      <w:shd w:val="clear" w:color="auto" w:fill="FFFFFF"/>
      <w:spacing w:line="360" w:lineRule="auto"/>
      <w:jc w:val="both"/>
    </w:pPr>
    <w:rPr>
      <w:color w:val="202124"/>
      <w:sz w:val="24"/>
      <w:szCs w:val="24"/>
      <w:highlight w:val="whit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8262C8-1883-4E8F-840B-219189580A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2358</Words>
  <Characters>13444</Characters>
  <Application>Microsoft Office Word</Application>
  <DocSecurity>0</DocSecurity>
  <Lines>112</Lines>
  <Paragraphs>31</Paragraphs>
  <ScaleCrop>false</ScaleCrop>
  <Company/>
  <LinksUpToDate>false</LinksUpToDate>
  <CharactersWithSpaces>15771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Konstantina malamova</cp:lastModifiedBy>
  <cp:revision>3</cp:revision>
  <dcterms:created xsi:type="dcterms:W3CDTF">2023-01-06T12:27:00Z</dcterms:created>
  <dcterms:modified xsi:type="dcterms:W3CDTF">2023-01-09T21:05:00Z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fd29568ce38e76ded49921b03fbdcb3b08c1aac449b0aa6af6950912c920e42a</vt:lpwstr>
  </property>
</Properties>
</file>