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8291905" w14:textId="5BD2C7FD" w:rsidR="00466106" w:rsidRPr="00466106" w:rsidRDefault="00466106" w:rsidP="00466106">
      <w:pPr>
        <w:pStyle w:val="TOCHeading"/>
        <w:spacing w:line="360" w:lineRule="auto"/>
        <w:rPr>
          <w:rFonts w:ascii="Arial" w:hAnsi="Arial" w:cs="Arial"/>
          <w:b/>
          <w:bCs/>
          <w:color w:val="auto"/>
        </w:rPr>
      </w:pPr>
      <w:r w:rsidRPr="00466106">
        <w:rPr>
          <w:rFonts w:ascii="Arial" w:hAnsi="Arial" w:cs="Arial"/>
          <w:b/>
          <w:bCs/>
          <w:color w:val="auto"/>
        </w:rPr>
        <w:t>Student name</w:t>
      </w:r>
      <w:r w:rsidRPr="00466106">
        <w:rPr>
          <w:rFonts w:ascii="Arial" w:hAnsi="Arial" w:cs="Arial"/>
          <w:color w:val="auto"/>
        </w:rPr>
        <w:t>: </w:t>
      </w:r>
      <w:r w:rsidR="002F5513">
        <w:rPr>
          <w:rFonts w:ascii="Arial" w:hAnsi="Arial" w:cs="Arial"/>
          <w:color w:val="auto"/>
        </w:rPr>
        <w:t>Faiza Tahir</w:t>
      </w:r>
    </w:p>
    <w:p w14:paraId="42733232" w14:textId="0A0B6BEE" w:rsidR="002F5513" w:rsidRPr="002F5513" w:rsidRDefault="00466106" w:rsidP="002F5513">
      <w:pPr>
        <w:pStyle w:val="TOCHeading"/>
        <w:spacing w:line="360" w:lineRule="auto"/>
        <w:rPr>
          <w:rFonts w:ascii="Arial" w:hAnsi="Arial" w:cs="Arial"/>
          <w:color w:val="auto"/>
        </w:rPr>
      </w:pPr>
      <w:r w:rsidRPr="00466106">
        <w:rPr>
          <w:rFonts w:ascii="Arial" w:hAnsi="Arial" w:cs="Arial"/>
          <w:b/>
          <w:bCs/>
          <w:color w:val="auto"/>
        </w:rPr>
        <w:t>Student ID number: </w:t>
      </w:r>
      <w:r w:rsidR="002F5513">
        <w:rPr>
          <w:rFonts w:ascii="Arial" w:hAnsi="Arial" w:cs="Arial"/>
          <w:color w:val="auto"/>
        </w:rPr>
        <w:t>2333852</w:t>
      </w:r>
    </w:p>
    <w:p w14:paraId="4FC77841" w14:textId="142B5402" w:rsidR="00466106" w:rsidRPr="00466106" w:rsidRDefault="00466106" w:rsidP="00466106">
      <w:pPr>
        <w:pStyle w:val="TOCHeading"/>
        <w:spacing w:line="360" w:lineRule="auto"/>
        <w:rPr>
          <w:rFonts w:ascii="Arial" w:hAnsi="Arial" w:cs="Arial"/>
          <w:b/>
          <w:bCs/>
          <w:color w:val="auto"/>
        </w:rPr>
      </w:pPr>
      <w:r w:rsidRPr="00466106">
        <w:rPr>
          <w:rFonts w:ascii="Arial" w:hAnsi="Arial" w:cs="Arial"/>
          <w:b/>
          <w:bCs/>
          <w:color w:val="auto"/>
        </w:rPr>
        <w:t>Programmed: </w:t>
      </w:r>
      <w:r w:rsidRPr="00466106">
        <w:rPr>
          <w:rFonts w:ascii="Arial" w:hAnsi="Arial" w:cs="Arial"/>
          <w:color w:val="auto"/>
        </w:rPr>
        <w:t>Certificate of Higher Education Skills for the Workplace (Health &amp; Social Care)</w:t>
      </w:r>
    </w:p>
    <w:p w14:paraId="325D2B7B" w14:textId="77777777" w:rsidR="00466106" w:rsidRPr="00466106" w:rsidRDefault="00466106" w:rsidP="00466106">
      <w:pPr>
        <w:pStyle w:val="TOCHeading"/>
        <w:spacing w:line="360" w:lineRule="auto"/>
        <w:rPr>
          <w:rFonts w:ascii="Arial" w:hAnsi="Arial" w:cs="Arial"/>
          <w:b/>
          <w:bCs/>
          <w:color w:val="auto"/>
        </w:rPr>
      </w:pPr>
      <w:r w:rsidRPr="00466106">
        <w:rPr>
          <w:rFonts w:ascii="Arial" w:hAnsi="Arial" w:cs="Arial"/>
          <w:b/>
          <w:bCs/>
          <w:color w:val="auto"/>
        </w:rPr>
        <w:t>Module: </w:t>
      </w:r>
      <w:r w:rsidRPr="00466106">
        <w:rPr>
          <w:rFonts w:ascii="Arial" w:hAnsi="Arial" w:cs="Arial"/>
          <w:color w:val="auto"/>
        </w:rPr>
        <w:t>Introduction to Health and Social Care</w:t>
      </w:r>
    </w:p>
    <w:p w14:paraId="3B59EDAB" w14:textId="77777777" w:rsidR="00466106" w:rsidRPr="00466106" w:rsidRDefault="00466106" w:rsidP="00466106">
      <w:pPr>
        <w:pStyle w:val="TOCHeading"/>
        <w:spacing w:line="360" w:lineRule="auto"/>
        <w:rPr>
          <w:rFonts w:ascii="Arial" w:hAnsi="Arial" w:cs="Arial"/>
          <w:b/>
          <w:bCs/>
          <w:color w:val="auto"/>
        </w:rPr>
      </w:pPr>
      <w:r w:rsidRPr="00466106">
        <w:rPr>
          <w:rFonts w:ascii="Arial" w:hAnsi="Arial" w:cs="Arial"/>
          <w:b/>
          <w:bCs/>
          <w:color w:val="auto"/>
        </w:rPr>
        <w:t>Module code: </w:t>
      </w:r>
      <w:r w:rsidRPr="00466106">
        <w:rPr>
          <w:rFonts w:ascii="Arial" w:hAnsi="Arial" w:cs="Arial"/>
          <w:color w:val="auto"/>
        </w:rPr>
        <w:t>LCHS4003</w:t>
      </w:r>
    </w:p>
    <w:p w14:paraId="03FF86C0" w14:textId="77777777" w:rsidR="00466106" w:rsidRPr="00466106" w:rsidRDefault="00466106" w:rsidP="00466106">
      <w:pPr>
        <w:pStyle w:val="TOCHeading"/>
        <w:spacing w:line="360" w:lineRule="auto"/>
        <w:rPr>
          <w:rFonts w:ascii="Arial" w:hAnsi="Arial" w:cs="Arial"/>
          <w:b/>
          <w:bCs/>
          <w:color w:val="auto"/>
        </w:rPr>
      </w:pPr>
      <w:r w:rsidRPr="00466106">
        <w:rPr>
          <w:rFonts w:ascii="Arial" w:hAnsi="Arial" w:cs="Arial"/>
          <w:b/>
          <w:bCs/>
          <w:color w:val="auto"/>
        </w:rPr>
        <w:t>Lecturer: </w:t>
      </w:r>
      <w:r w:rsidRPr="00466106">
        <w:rPr>
          <w:rFonts w:ascii="Arial" w:hAnsi="Arial" w:cs="Arial"/>
          <w:color w:val="auto"/>
        </w:rPr>
        <w:t>Dr Helen Parsons</w:t>
      </w:r>
    </w:p>
    <w:p w14:paraId="7CE12E1E" w14:textId="02766096" w:rsidR="00466106" w:rsidRPr="00466106" w:rsidRDefault="00466106" w:rsidP="00466106">
      <w:pPr>
        <w:pStyle w:val="TOCHeading"/>
        <w:spacing w:line="360" w:lineRule="auto"/>
        <w:rPr>
          <w:rFonts w:ascii="Arial" w:hAnsi="Arial" w:cs="Arial"/>
          <w:b/>
          <w:bCs/>
          <w:color w:val="auto"/>
        </w:rPr>
      </w:pPr>
      <w:r w:rsidRPr="00466106">
        <w:rPr>
          <w:rFonts w:ascii="Arial" w:hAnsi="Arial" w:cs="Arial"/>
          <w:b/>
          <w:bCs/>
          <w:color w:val="auto"/>
        </w:rPr>
        <w:t>Assignment Title: </w:t>
      </w:r>
      <w:r w:rsidRPr="00466106">
        <w:rPr>
          <w:rFonts w:ascii="Arial" w:hAnsi="Arial" w:cs="Arial"/>
          <w:color w:val="auto"/>
        </w:rPr>
        <w:t>Communication, Administration and Collaborative Working in Health and Social Care: A Case Study of Mrs. Thompson</w:t>
      </w:r>
    </w:p>
    <w:p w14:paraId="65B321D8" w14:textId="77777777" w:rsidR="00466106" w:rsidRPr="00466106" w:rsidRDefault="00466106" w:rsidP="00466106">
      <w:pPr>
        <w:pStyle w:val="TOCHeading"/>
        <w:spacing w:line="360" w:lineRule="auto"/>
        <w:rPr>
          <w:rFonts w:ascii="Arial" w:hAnsi="Arial" w:cs="Arial"/>
          <w:b/>
          <w:bCs/>
          <w:color w:val="auto"/>
        </w:rPr>
      </w:pPr>
      <w:r w:rsidRPr="00466106">
        <w:rPr>
          <w:rFonts w:ascii="Arial" w:hAnsi="Arial" w:cs="Arial"/>
          <w:b/>
          <w:bCs/>
          <w:color w:val="auto"/>
        </w:rPr>
        <w:t>Submission Date: </w:t>
      </w:r>
      <w:r w:rsidRPr="00466106">
        <w:rPr>
          <w:rFonts w:ascii="Arial" w:hAnsi="Arial" w:cs="Arial"/>
          <w:color w:val="auto"/>
        </w:rPr>
        <w:t>24th July 2026</w:t>
      </w:r>
    </w:p>
    <w:p w14:paraId="3DF889A5" w14:textId="77777777" w:rsidR="00466106" w:rsidRPr="00466106" w:rsidRDefault="00466106" w:rsidP="00466106">
      <w:pPr>
        <w:spacing w:line="240" w:lineRule="auto"/>
        <w:jc w:val="left"/>
        <w:rPr>
          <w:sz w:val="22"/>
        </w:rPr>
      </w:pPr>
      <w:r w:rsidRPr="00466106">
        <w:rPr>
          <w:sz w:val="22"/>
        </w:rPr>
        <w:br w:type="page"/>
      </w:r>
    </w:p>
    <w:sdt>
      <w:sdtPr>
        <w:rPr>
          <w:rFonts w:ascii="Arial" w:eastAsia="Arial" w:hAnsi="Arial" w:cs="Arial"/>
          <w:color w:val="auto"/>
          <w:sz w:val="22"/>
          <w:szCs w:val="22"/>
          <w:lang w:val="en-GB" w:eastAsia="en-GB"/>
        </w:rPr>
        <w:id w:val="-264313877"/>
        <w:docPartObj>
          <w:docPartGallery w:val="Table of Contents"/>
          <w:docPartUnique/>
        </w:docPartObj>
      </w:sdtPr>
      <w:sdtEndPr>
        <w:rPr>
          <w:b/>
          <w:bCs/>
          <w:noProof/>
          <w:sz w:val="24"/>
        </w:rPr>
      </w:sdtEndPr>
      <w:sdtContent>
        <w:p w14:paraId="58BC4DA6" w14:textId="1C7E8D1E" w:rsidR="005C3699" w:rsidRPr="001B38F0" w:rsidRDefault="005C3699" w:rsidP="001B38F0">
          <w:pPr>
            <w:pStyle w:val="TOCHeading"/>
            <w:spacing w:line="360" w:lineRule="auto"/>
            <w:rPr>
              <w:rFonts w:ascii="Arial" w:hAnsi="Arial" w:cs="Arial"/>
              <w:sz w:val="22"/>
              <w:szCs w:val="22"/>
            </w:rPr>
          </w:pPr>
          <w:r w:rsidRPr="001B38F0">
            <w:rPr>
              <w:rFonts w:ascii="Arial" w:hAnsi="Arial" w:cs="Arial"/>
              <w:sz w:val="22"/>
              <w:szCs w:val="22"/>
            </w:rPr>
            <w:t>Contents</w:t>
          </w:r>
        </w:p>
        <w:p w14:paraId="33D544A7" w14:textId="58C7101E" w:rsidR="00C624C0" w:rsidRDefault="005C3699">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r w:rsidRPr="001B38F0">
            <w:fldChar w:fldCharType="begin"/>
          </w:r>
          <w:r w:rsidRPr="001B38F0">
            <w:instrText xml:space="preserve"> TOC \o "1-3" \h \z \u </w:instrText>
          </w:r>
          <w:r w:rsidRPr="001B38F0">
            <w:fldChar w:fldCharType="separate"/>
          </w:r>
          <w:hyperlink w:anchor="_Toc233823507" w:history="1">
            <w:r w:rsidR="00C624C0" w:rsidRPr="00112DAD">
              <w:rPr>
                <w:rStyle w:val="Hyperlink"/>
                <w:noProof/>
              </w:rPr>
              <w:t>Introduction</w:t>
            </w:r>
            <w:r w:rsidR="00C624C0">
              <w:rPr>
                <w:noProof/>
                <w:webHidden/>
              </w:rPr>
              <w:tab/>
            </w:r>
            <w:r w:rsidR="00C624C0">
              <w:rPr>
                <w:noProof/>
                <w:webHidden/>
              </w:rPr>
              <w:fldChar w:fldCharType="begin"/>
            </w:r>
            <w:r w:rsidR="00C624C0">
              <w:rPr>
                <w:noProof/>
                <w:webHidden/>
              </w:rPr>
              <w:instrText xml:space="preserve"> PAGEREF _Toc233823507 \h </w:instrText>
            </w:r>
            <w:r w:rsidR="00C624C0">
              <w:rPr>
                <w:noProof/>
                <w:webHidden/>
              </w:rPr>
            </w:r>
            <w:r w:rsidR="00C624C0">
              <w:rPr>
                <w:noProof/>
                <w:webHidden/>
              </w:rPr>
              <w:fldChar w:fldCharType="separate"/>
            </w:r>
            <w:r w:rsidR="00C624C0">
              <w:rPr>
                <w:noProof/>
                <w:webHidden/>
              </w:rPr>
              <w:t>3</w:t>
            </w:r>
            <w:r w:rsidR="00C624C0">
              <w:rPr>
                <w:noProof/>
                <w:webHidden/>
              </w:rPr>
              <w:fldChar w:fldCharType="end"/>
            </w:r>
          </w:hyperlink>
        </w:p>
        <w:p w14:paraId="17B77B55" w14:textId="2047DD50" w:rsidR="00C624C0" w:rsidRDefault="00C624C0">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33823508" w:history="1">
            <w:r w:rsidRPr="00112DAD">
              <w:rPr>
                <w:rStyle w:val="Hyperlink"/>
                <w:noProof/>
              </w:rPr>
              <w:t>Effective Communication in Mrs Thompson's Care</w:t>
            </w:r>
            <w:r>
              <w:rPr>
                <w:noProof/>
                <w:webHidden/>
              </w:rPr>
              <w:tab/>
            </w:r>
            <w:r>
              <w:rPr>
                <w:noProof/>
                <w:webHidden/>
              </w:rPr>
              <w:fldChar w:fldCharType="begin"/>
            </w:r>
            <w:r>
              <w:rPr>
                <w:noProof/>
                <w:webHidden/>
              </w:rPr>
              <w:instrText xml:space="preserve"> PAGEREF _Toc233823508 \h </w:instrText>
            </w:r>
            <w:r>
              <w:rPr>
                <w:noProof/>
                <w:webHidden/>
              </w:rPr>
            </w:r>
            <w:r>
              <w:rPr>
                <w:noProof/>
                <w:webHidden/>
              </w:rPr>
              <w:fldChar w:fldCharType="separate"/>
            </w:r>
            <w:r>
              <w:rPr>
                <w:noProof/>
                <w:webHidden/>
              </w:rPr>
              <w:t>3</w:t>
            </w:r>
            <w:r>
              <w:rPr>
                <w:noProof/>
                <w:webHidden/>
              </w:rPr>
              <w:fldChar w:fldCharType="end"/>
            </w:r>
          </w:hyperlink>
        </w:p>
        <w:p w14:paraId="75033C59" w14:textId="67A0CB5D" w:rsidR="00C624C0" w:rsidRDefault="00C624C0">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33823509" w:history="1">
            <w:r w:rsidRPr="00112DAD">
              <w:rPr>
                <w:rStyle w:val="Hyperlink"/>
                <w:noProof/>
              </w:rPr>
              <w:t>Administrative Skills, Record Keeping and Data Protection</w:t>
            </w:r>
            <w:r>
              <w:rPr>
                <w:noProof/>
                <w:webHidden/>
              </w:rPr>
              <w:tab/>
            </w:r>
            <w:r>
              <w:rPr>
                <w:noProof/>
                <w:webHidden/>
              </w:rPr>
              <w:fldChar w:fldCharType="begin"/>
            </w:r>
            <w:r>
              <w:rPr>
                <w:noProof/>
                <w:webHidden/>
              </w:rPr>
              <w:instrText xml:space="preserve"> PAGEREF _Toc233823509 \h </w:instrText>
            </w:r>
            <w:r>
              <w:rPr>
                <w:noProof/>
                <w:webHidden/>
              </w:rPr>
            </w:r>
            <w:r>
              <w:rPr>
                <w:noProof/>
                <w:webHidden/>
              </w:rPr>
              <w:fldChar w:fldCharType="separate"/>
            </w:r>
            <w:r>
              <w:rPr>
                <w:noProof/>
                <w:webHidden/>
              </w:rPr>
              <w:t>4</w:t>
            </w:r>
            <w:r>
              <w:rPr>
                <w:noProof/>
                <w:webHidden/>
              </w:rPr>
              <w:fldChar w:fldCharType="end"/>
            </w:r>
          </w:hyperlink>
        </w:p>
        <w:p w14:paraId="182F25AF" w14:textId="76ABD7F5" w:rsidR="00C624C0" w:rsidRDefault="00C624C0">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33823510" w:history="1">
            <w:r w:rsidRPr="00112DAD">
              <w:rPr>
                <w:rStyle w:val="Hyperlink"/>
                <w:noProof/>
              </w:rPr>
              <w:t>Collaborative Working with Other Professionals</w:t>
            </w:r>
            <w:r>
              <w:rPr>
                <w:noProof/>
                <w:webHidden/>
              </w:rPr>
              <w:tab/>
            </w:r>
            <w:r>
              <w:rPr>
                <w:noProof/>
                <w:webHidden/>
              </w:rPr>
              <w:fldChar w:fldCharType="begin"/>
            </w:r>
            <w:r>
              <w:rPr>
                <w:noProof/>
                <w:webHidden/>
              </w:rPr>
              <w:instrText xml:space="preserve"> PAGEREF _Toc233823510 \h </w:instrText>
            </w:r>
            <w:r>
              <w:rPr>
                <w:noProof/>
                <w:webHidden/>
              </w:rPr>
            </w:r>
            <w:r>
              <w:rPr>
                <w:noProof/>
                <w:webHidden/>
              </w:rPr>
              <w:fldChar w:fldCharType="separate"/>
            </w:r>
            <w:r>
              <w:rPr>
                <w:noProof/>
                <w:webHidden/>
              </w:rPr>
              <w:t>6</w:t>
            </w:r>
            <w:r>
              <w:rPr>
                <w:noProof/>
                <w:webHidden/>
              </w:rPr>
              <w:fldChar w:fldCharType="end"/>
            </w:r>
          </w:hyperlink>
        </w:p>
        <w:p w14:paraId="63C56E15" w14:textId="4E48EBC8" w:rsidR="00C624C0" w:rsidRDefault="00C624C0">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33823511" w:history="1">
            <w:r w:rsidRPr="00112DAD">
              <w:rPr>
                <w:rStyle w:val="Hyperlink"/>
                <w:noProof/>
              </w:rPr>
              <w:t>Conclusion</w:t>
            </w:r>
            <w:r>
              <w:rPr>
                <w:noProof/>
                <w:webHidden/>
              </w:rPr>
              <w:tab/>
            </w:r>
            <w:r>
              <w:rPr>
                <w:noProof/>
                <w:webHidden/>
              </w:rPr>
              <w:fldChar w:fldCharType="begin"/>
            </w:r>
            <w:r>
              <w:rPr>
                <w:noProof/>
                <w:webHidden/>
              </w:rPr>
              <w:instrText xml:space="preserve"> PAGEREF _Toc233823511 \h </w:instrText>
            </w:r>
            <w:r>
              <w:rPr>
                <w:noProof/>
                <w:webHidden/>
              </w:rPr>
            </w:r>
            <w:r>
              <w:rPr>
                <w:noProof/>
                <w:webHidden/>
              </w:rPr>
              <w:fldChar w:fldCharType="separate"/>
            </w:r>
            <w:r>
              <w:rPr>
                <w:noProof/>
                <w:webHidden/>
              </w:rPr>
              <w:t>7</w:t>
            </w:r>
            <w:r>
              <w:rPr>
                <w:noProof/>
                <w:webHidden/>
              </w:rPr>
              <w:fldChar w:fldCharType="end"/>
            </w:r>
          </w:hyperlink>
        </w:p>
        <w:p w14:paraId="281D0EB8" w14:textId="75159844" w:rsidR="00C624C0" w:rsidRDefault="00C624C0">
          <w:pPr>
            <w:pStyle w:val="TOC1"/>
            <w:tabs>
              <w:tab w:val="right" w:leader="dot" w:pos="9350"/>
            </w:tabs>
            <w:rPr>
              <w:rFonts w:asciiTheme="minorHAnsi" w:eastAsiaTheme="minorEastAsia" w:hAnsiTheme="minorHAnsi" w:cstheme="minorBidi"/>
              <w:noProof/>
              <w:kern w:val="2"/>
              <w:szCs w:val="24"/>
              <w:lang w:val="en-US" w:eastAsia="en-US"/>
              <w14:ligatures w14:val="standardContextual"/>
            </w:rPr>
          </w:pPr>
          <w:hyperlink w:anchor="_Toc233823512" w:history="1">
            <w:r w:rsidRPr="00112DAD">
              <w:rPr>
                <w:rStyle w:val="Hyperlink"/>
                <w:noProof/>
              </w:rPr>
              <w:t>Reference List</w:t>
            </w:r>
            <w:r>
              <w:rPr>
                <w:noProof/>
                <w:webHidden/>
              </w:rPr>
              <w:tab/>
            </w:r>
            <w:r>
              <w:rPr>
                <w:noProof/>
                <w:webHidden/>
              </w:rPr>
              <w:fldChar w:fldCharType="begin"/>
            </w:r>
            <w:r>
              <w:rPr>
                <w:noProof/>
                <w:webHidden/>
              </w:rPr>
              <w:instrText xml:space="preserve"> PAGEREF _Toc233823512 \h </w:instrText>
            </w:r>
            <w:r>
              <w:rPr>
                <w:noProof/>
                <w:webHidden/>
              </w:rPr>
            </w:r>
            <w:r>
              <w:rPr>
                <w:noProof/>
                <w:webHidden/>
              </w:rPr>
              <w:fldChar w:fldCharType="separate"/>
            </w:r>
            <w:r>
              <w:rPr>
                <w:noProof/>
                <w:webHidden/>
              </w:rPr>
              <w:t>8</w:t>
            </w:r>
            <w:r>
              <w:rPr>
                <w:noProof/>
                <w:webHidden/>
              </w:rPr>
              <w:fldChar w:fldCharType="end"/>
            </w:r>
          </w:hyperlink>
        </w:p>
        <w:p w14:paraId="4AFBCDE5" w14:textId="7DCA82AE" w:rsidR="005C3699" w:rsidRPr="001B38F0" w:rsidRDefault="005C3699" w:rsidP="001B38F0">
          <w:r w:rsidRPr="001B38F0">
            <w:rPr>
              <w:b/>
              <w:bCs/>
              <w:noProof/>
            </w:rPr>
            <w:fldChar w:fldCharType="end"/>
          </w:r>
        </w:p>
      </w:sdtContent>
    </w:sdt>
    <w:p w14:paraId="13F5C29B" w14:textId="08B4947F" w:rsidR="005C3699" w:rsidRPr="001B38F0" w:rsidRDefault="005C3699" w:rsidP="001B38F0">
      <w:r w:rsidRPr="001B38F0">
        <w:br w:type="page"/>
      </w:r>
    </w:p>
    <w:p w14:paraId="0BF30D7F" w14:textId="6EABC6CB" w:rsidR="000F5DEA" w:rsidRPr="001B38F0" w:rsidRDefault="002F5513" w:rsidP="001B38F0">
      <w:pPr>
        <w:pStyle w:val="Heading1"/>
        <w:spacing w:line="360" w:lineRule="auto"/>
        <w:rPr>
          <w:sz w:val="22"/>
          <w:szCs w:val="22"/>
        </w:rPr>
      </w:pPr>
      <w:bookmarkStart w:id="0" w:name="_Toc233823507"/>
      <w:r w:rsidRPr="001B38F0">
        <w:rPr>
          <w:sz w:val="22"/>
          <w:szCs w:val="22"/>
        </w:rPr>
        <w:lastRenderedPageBreak/>
        <w:t>Introduction</w:t>
      </w:r>
      <w:bookmarkEnd w:id="0"/>
    </w:p>
    <w:p w14:paraId="5DC16DF9" w14:textId="77777777" w:rsidR="001B38F0" w:rsidRPr="001B38F0" w:rsidRDefault="001B38F0" w:rsidP="001B38F0">
      <w:pPr>
        <w:rPr>
          <w:b/>
          <w:bCs/>
        </w:rPr>
      </w:pPr>
      <w:r w:rsidRPr="001B38F0">
        <w:t>The UK health and social care system originated from the Beveridge Report (1942) and the establishment of the NHS in 1948, creating a universal, publicly funded model of care (Timmins, 2012). However, the system now faces significant challenges, including an ageing population, financial constraints, and difficulties integrating health and social services (Ham, 2019). This report examines these systemic challenges through the case of Mrs Thompson, an 84-year-old woman living alone with mild dementia and domiciliary care. Following hospitalisation for pneumonia, concerns arose regarding medication non-adherence and inadequate clothing, prompting local authority review. The report addresses three professional practice areas: effective communication under the Equality Act 2010, record-keeping under the Data Protection Act 2018, and collaborative multi-agency working. This analysis demonstrates how legislation, policy, and partnership working collectively safeguard vulnerable individuals like Mrs Thompson within the contemporary health and social care landscape.</w:t>
      </w:r>
    </w:p>
    <w:p w14:paraId="30C47DBE" w14:textId="6E0F5875" w:rsidR="000F5DEA" w:rsidRPr="001B38F0" w:rsidRDefault="002F5513" w:rsidP="001B38F0">
      <w:pPr>
        <w:pStyle w:val="Heading1"/>
        <w:spacing w:line="360" w:lineRule="auto"/>
        <w:rPr>
          <w:sz w:val="22"/>
          <w:szCs w:val="22"/>
        </w:rPr>
      </w:pPr>
      <w:bookmarkStart w:id="1" w:name="_Toc233823508"/>
      <w:r w:rsidRPr="001B38F0">
        <w:rPr>
          <w:sz w:val="22"/>
          <w:szCs w:val="22"/>
        </w:rPr>
        <w:t>Effective Communication in Mrs Thompson's Care</w:t>
      </w:r>
      <w:bookmarkEnd w:id="1"/>
    </w:p>
    <w:p w14:paraId="03E8CFA0" w14:textId="1F4AD026" w:rsidR="008A3F54" w:rsidRPr="001B38F0" w:rsidRDefault="00343002" w:rsidP="001B38F0">
      <w:pPr>
        <w:spacing w:after="200"/>
      </w:pPr>
      <w:r w:rsidRPr="001B38F0">
        <w:t>The UK health and social care system faces increasing pressures due to an ageing population, with more individuals like Mrs Thompson requiring community-based care (Ham, 2019). Resource constraints within the system mean care workers have limited time per visit, making effective communication even more critical to prevent errors.</w:t>
      </w:r>
      <w:r w:rsidRPr="001B38F0">
        <w:rPr>
          <w:b/>
          <w:bCs/>
        </w:rPr>
        <w:t xml:space="preserve"> </w:t>
      </w:r>
      <w:r w:rsidR="008A3F54" w:rsidRPr="001B38F0">
        <w:t>Communication is a key component of safe and person-centred practice especially with older people with cognitive impairment</w:t>
      </w:r>
      <w:r w:rsidR="0069518E">
        <w:t xml:space="preserve"> </w:t>
      </w:r>
      <w:r w:rsidR="0069518E" w:rsidRPr="0069518E">
        <w:t>(O’Rourke et al., 2022)</w:t>
      </w:r>
      <w:r w:rsidR="008A3F54" w:rsidRPr="001B38F0">
        <w:t xml:space="preserve">. For Mrs Thompson, mild dementia, practitioners need to adjust their communication to help the person understand and minimise confusion. Communication </w:t>
      </w:r>
      <w:r w:rsidR="001B38F0" w:rsidRPr="001B38F0">
        <w:t>involves</w:t>
      </w:r>
      <w:r w:rsidR="008A3F54" w:rsidRPr="001B38F0">
        <w:t xml:space="preserve"> tone, rate, repetition, and listening, which builds trust between care workers, </w:t>
      </w:r>
      <w:r w:rsidR="001B38F0" w:rsidRPr="001B38F0">
        <w:t>service users</w:t>
      </w:r>
      <w:r w:rsidR="008A3F54" w:rsidRPr="001B38F0">
        <w:t>, and family members (Wanko Keutchafo, Kerr and Baloyi, 2022). Eye contact, open postures and slow interaction add to understanding respect and reassurance</w:t>
      </w:r>
      <w:r w:rsidR="001B38F0">
        <w:t>.</w:t>
      </w:r>
    </w:p>
    <w:p w14:paraId="49A17778" w14:textId="250BDBCF" w:rsidR="008A3F54" w:rsidRPr="001B38F0" w:rsidRDefault="001B38F0" w:rsidP="001B38F0">
      <w:pPr>
        <w:spacing w:after="200"/>
      </w:pPr>
      <w:r w:rsidRPr="001B38F0">
        <w:t>The SOLER model supports this practice</w:t>
      </w:r>
      <w:r>
        <w:t xml:space="preserve"> </w:t>
      </w:r>
      <w:r w:rsidR="008A3F54" w:rsidRPr="001B38F0">
        <w:t xml:space="preserve">SOLER: during interaction. </w:t>
      </w:r>
      <w:r w:rsidR="00343002" w:rsidRPr="001B38F0">
        <w:t xml:space="preserve">Applied to Mrs Thompson, the SOLER model would involve care workers slowing down when explaining her medication, using visual cues such as holding up her medication card, and verifying </w:t>
      </w:r>
      <w:r w:rsidR="00343002" w:rsidRPr="001B38F0">
        <w:lastRenderedPageBreak/>
        <w:t>understanding before leaving each visit. This approach is particularly important because Mrs Thompson missed two consecutive days of medication due to her mild dementia, which increased her confusion and ultimately led to the incident report and medication review request. Without such communication adjustments, similar incidents could recur,</w:t>
      </w:r>
      <w:r>
        <w:t xml:space="preserve"> </w:t>
      </w:r>
      <w:r w:rsidR="008A3F54" w:rsidRPr="001B38F0">
        <w:t xml:space="preserve">(Wanko Keutchafo, Kerr and Baloyi, 2022). </w:t>
      </w:r>
      <w:r>
        <w:t>O</w:t>
      </w:r>
      <w:r w:rsidR="008A3F54" w:rsidRPr="001B38F0">
        <w:t>ne-third or more of the meaning in a dementia care encounter can be communicated nonverbal</w:t>
      </w:r>
      <w:r w:rsidR="00066527">
        <w:t>.</w:t>
      </w:r>
    </w:p>
    <w:p w14:paraId="0652242E" w14:textId="63C593DC" w:rsidR="008A3F54" w:rsidRPr="001B38F0" w:rsidRDefault="008A3F54" w:rsidP="001B38F0">
      <w:r w:rsidRPr="001B38F0">
        <w:t>Mrs Thompson is unable to be isolated from her family when talking with or listening to them, as they monitor and support Mrs Thompson's wellbeing and inform decisions-making</w:t>
      </w:r>
      <w:r w:rsidR="00A567A5" w:rsidRPr="001B38F0">
        <w:t xml:space="preserve"> (</w:t>
      </w:r>
      <w:proofErr w:type="spellStart"/>
      <w:r w:rsidR="00A567A5" w:rsidRPr="001B38F0">
        <w:t>Ogbadu-Oladapo</w:t>
      </w:r>
      <w:proofErr w:type="spellEnd"/>
      <w:r w:rsidR="00A567A5" w:rsidRPr="001B38F0">
        <w:t xml:space="preserve"> et al., 2024)</w:t>
      </w:r>
      <w:r w:rsidRPr="001B38F0">
        <w:t>. Keep the relatives appropriately informed whilst balancing this with Mrs Thompson right to reasonable information and self-determination when she has capacity. The Equality Act 2010 ensures that individuals are safeguarded from discrimination due to their protected characteristics such as age and disability (Dowie, 2024). This on the ground, means ensuring that Mrs Thompson is not unwittingly excluded from the discussions around her care because of age and/or dementia, and implementing reasonable adjustments (e.g. using plain language, written reminders, more time, etc.). Failure to do so risks poor outcomes for Mrs Thompson and a violation of statutory equality duties on health and social care providers (Dowie, 2024).</w:t>
      </w:r>
      <w:r w:rsidR="00343002" w:rsidRPr="001B38F0">
        <w:t xml:space="preserve"> For Mrs Thompson, reasonable adjustments under the Equality Act 2010 would include providing written medication reminders, allowing extra time during care visits, involving her family in discussions (with her consent), and using simple, clear language when explaining care decisions. These adjustments are essential because her dementia affects her short-term memory, making it difficult for her to remember medication instructions independently. Without these adjustments, Mrs Thompson risks being excluded from her own care decisions, which would violate her rights under the Equality Act 2010.</w:t>
      </w:r>
    </w:p>
    <w:p w14:paraId="4C541F1A" w14:textId="470AD9CB" w:rsidR="000F5DEA" w:rsidRPr="001B38F0" w:rsidRDefault="002F5513" w:rsidP="001B38F0">
      <w:pPr>
        <w:pStyle w:val="Heading1"/>
        <w:spacing w:line="360" w:lineRule="auto"/>
        <w:rPr>
          <w:sz w:val="22"/>
          <w:szCs w:val="22"/>
        </w:rPr>
      </w:pPr>
      <w:bookmarkStart w:id="2" w:name="_Toc233823509"/>
      <w:r w:rsidRPr="001B38F0">
        <w:rPr>
          <w:sz w:val="22"/>
          <w:szCs w:val="22"/>
        </w:rPr>
        <w:t>Administrative Skills, Record Keeping and Data Protection</w:t>
      </w:r>
      <w:bookmarkEnd w:id="2"/>
    </w:p>
    <w:p w14:paraId="2455117D" w14:textId="77777777" w:rsidR="0069518E" w:rsidRPr="0069518E" w:rsidRDefault="0069518E" w:rsidP="0069518E">
      <w:r w:rsidRPr="0069518E">
        <w:t xml:space="preserve">Financial constraints within the UK health and social care system have increased reliance on domiciliary care, with limited resources and staffing pressures affecting service delivery (Ham, 2019). This makes accurate record-keeping essential, as workers have less time per visit and must rely on written documentation to ensure continuity of care. Good administrative practice underpins the safe delivery of care and is especially </w:t>
      </w:r>
      <w:r w:rsidRPr="0069518E">
        <w:lastRenderedPageBreak/>
        <w:t>meaningful in Mrs Thompson's instance, where medication was missed and a safeguarding concern noted. A well-kept record gathers information about her treatment, including when she is given medicines, her mood, mobility, and any safety concerns. Records are the main evidence of care given and decisions made, according to Brooks (2021), and evidence should be factual, contemporised and absent of ambiguity. Mrs Thompson's documentation of the missed medication and incident is important so that the planned medication review and local council's case review is based on accurate and complete information, rather than incomplete or informal accounts.</w:t>
      </w:r>
    </w:p>
    <w:p w14:paraId="6E8CB593" w14:textId="1424AF5A" w:rsidR="0069518E" w:rsidRPr="0069518E" w:rsidRDefault="0069518E" w:rsidP="0069518E">
      <w:r w:rsidRPr="0069518E">
        <w:t>The Data Protection Act 2018, along with the UK General Data Protection Regulation, provides the principles by which personal information will be processed, is kept secure and can only be shared with those who have a 'legitimate need' to access it in relation to the provision of a person's care (Dowie, 2024b). For Mrs Thompson, this means her care records will be held securely (electronically and/or on paper) and shared only with relevant practitioners (the GP, domiciliary care provider and the team from the local authority safeguarding practitioners).</w:t>
      </w:r>
      <w:r>
        <w:t xml:space="preserve"> </w:t>
      </w:r>
      <w:r w:rsidRPr="0069518E">
        <w:t>This legal framework ensures Mrs Thompson's sensitive health information remains confidential whilst enabling essential information sharing between professionals. The following restraints would apply to sharing beyond this circle without consent, apart from a known safeguarding reason: data protection legislation and professional codes of conduct.</w:t>
      </w:r>
    </w:p>
    <w:p w14:paraId="271EBCCE" w14:textId="77777777" w:rsidR="0069518E" w:rsidRPr="0069518E" w:rsidRDefault="0069518E" w:rsidP="0069518E">
      <w:r w:rsidRPr="0069518E">
        <w:t>Organisational policies, such as the incident reporting process already initiated regarding Mrs Thompson's missed medication, provide clear procedures for raising concerns. For Mrs Thompson, accurate and detailed documentation of the missed medication incident is critical because it:</w:t>
      </w:r>
    </w:p>
    <w:p w14:paraId="613DF863" w14:textId="77777777" w:rsidR="0069518E" w:rsidRPr="0069518E" w:rsidRDefault="0069518E" w:rsidP="0069518E">
      <w:pPr>
        <w:pStyle w:val="ListParagraph"/>
        <w:numPr>
          <w:ilvl w:val="0"/>
          <w:numId w:val="4"/>
        </w:numPr>
        <w:spacing w:line="360" w:lineRule="auto"/>
      </w:pPr>
      <w:r w:rsidRPr="0069518E">
        <w:t>Provides the evidence base for the requested medication review</w:t>
      </w:r>
    </w:p>
    <w:p w14:paraId="216EC7BB" w14:textId="77777777" w:rsidR="0069518E" w:rsidRPr="0069518E" w:rsidRDefault="0069518E" w:rsidP="0069518E">
      <w:pPr>
        <w:pStyle w:val="ListParagraph"/>
        <w:numPr>
          <w:ilvl w:val="0"/>
          <w:numId w:val="4"/>
        </w:numPr>
        <w:spacing w:line="360" w:lineRule="auto"/>
      </w:pPr>
      <w:r w:rsidRPr="0069518E">
        <w:t>Supports the local council's safeguarding investigation</w:t>
      </w:r>
    </w:p>
    <w:p w14:paraId="31F11BA3" w14:textId="77777777" w:rsidR="0069518E" w:rsidRPr="0069518E" w:rsidRDefault="0069518E" w:rsidP="0069518E">
      <w:pPr>
        <w:pStyle w:val="ListParagraph"/>
        <w:numPr>
          <w:ilvl w:val="0"/>
          <w:numId w:val="4"/>
        </w:numPr>
        <w:spacing w:line="360" w:lineRule="auto"/>
      </w:pPr>
      <w:r w:rsidRPr="0069518E">
        <w:t>Helps the GP make informed decisions about her medication</w:t>
      </w:r>
    </w:p>
    <w:p w14:paraId="09BE19BB" w14:textId="77777777" w:rsidR="0069518E" w:rsidRPr="0069518E" w:rsidRDefault="0069518E" w:rsidP="0069518E">
      <w:pPr>
        <w:pStyle w:val="ListParagraph"/>
        <w:numPr>
          <w:ilvl w:val="0"/>
          <w:numId w:val="4"/>
        </w:numPr>
        <w:spacing w:line="360" w:lineRule="auto"/>
      </w:pPr>
      <w:r w:rsidRPr="0069518E">
        <w:t>Prevents repetition of errors by identifying patterns</w:t>
      </w:r>
    </w:p>
    <w:p w14:paraId="5CEDC26B" w14:textId="226D5C29" w:rsidR="0069518E" w:rsidRPr="0069518E" w:rsidRDefault="0069518E" w:rsidP="0069518E">
      <w:r w:rsidRPr="0069518E">
        <w:t xml:space="preserve">Without accurate records, the medication review would lack essential information, potentially leading to inappropriate prescribing decisions and continued risk to Mrs Thompson's health. Accurate record keeping serves several purposes: continuity of care between shifts and agencies, an audit trail protecting both Mrs Thompson and </w:t>
      </w:r>
      <w:r w:rsidRPr="0069518E">
        <w:lastRenderedPageBreak/>
        <w:t>practitioners, and evidence required for the medication review and safeguarding investigation (Tamworth et al., 2025). Late warning signs, like a pattern of confusion associated with missed medications, are more likely to be unnoticed if early warning signs are inadequately documented.</w:t>
      </w:r>
      <w:r>
        <w:t xml:space="preserve"> </w:t>
      </w:r>
      <w:r w:rsidRPr="0069518E">
        <w:t> Proper documentation also supports accountability, enabling providers to demonstrate compliance with regulatory standards and professional obligations.</w:t>
      </w:r>
    </w:p>
    <w:p w14:paraId="33AA1989" w14:textId="410B45A8" w:rsidR="000F5DEA" w:rsidRPr="001B38F0" w:rsidRDefault="002F5513" w:rsidP="001B38F0">
      <w:pPr>
        <w:pStyle w:val="Heading1"/>
        <w:spacing w:line="360" w:lineRule="auto"/>
        <w:rPr>
          <w:sz w:val="22"/>
          <w:szCs w:val="22"/>
        </w:rPr>
      </w:pPr>
      <w:bookmarkStart w:id="3" w:name="_Toc233823510"/>
      <w:r w:rsidRPr="001B38F0">
        <w:rPr>
          <w:sz w:val="22"/>
          <w:szCs w:val="22"/>
        </w:rPr>
        <w:t>Collaborative Working with Other Professionals</w:t>
      </w:r>
      <w:bookmarkEnd w:id="3"/>
    </w:p>
    <w:p w14:paraId="40AC43EC" w14:textId="77777777" w:rsidR="00C624C0" w:rsidRDefault="001B38F0" w:rsidP="001B38F0">
      <w:r w:rsidRPr="001B38F0">
        <w:t xml:space="preserve">The fragmentation between health and social care services remains a persistent challenge within the UK system, with different organisations having separate funding streams, priorities, and communication systems (Ham, 2019). This fragmentation can lead to gaps in care, as evidenced by Mrs Thompson's case. </w:t>
      </w:r>
      <w:r w:rsidR="008A3F54" w:rsidRPr="001B38F0">
        <w:t xml:space="preserve">This case shows the importance of working cooperatively among various professionals, </w:t>
      </w:r>
      <w:r w:rsidRPr="001B38F0">
        <w:t xml:space="preserve">such as Mrs Thompson's GP (responsible for prescribing and the requested medication review), community nurse (monitoring her recovery from pneumonia and overall health), domiciliary care workers (providing twice-daily support with medication and personal care), and the local council safeguarding team (conducting the review following the cold weather incident). </w:t>
      </w:r>
    </w:p>
    <w:p w14:paraId="1D5E5124" w14:textId="465B893A" w:rsidR="00C624C0" w:rsidRDefault="001B38F0" w:rsidP="001B38F0">
      <w:r w:rsidRPr="001B38F0">
        <w:t xml:space="preserve">Each professional holds specific and complementary information about her health and situation. </w:t>
      </w:r>
      <w:r w:rsidR="008A3F54" w:rsidRPr="001B38F0">
        <w:t>There is a positive link between interprofessional working and better outcomes for older people since risks, such as the missed medication and the cold-weather incident, can be identified and tackled in an interprofessional manner rather than a separate service (</w:t>
      </w:r>
      <w:proofErr w:type="spellStart"/>
      <w:r w:rsidR="008A3F54" w:rsidRPr="001B38F0">
        <w:t>Moncatar</w:t>
      </w:r>
      <w:proofErr w:type="spellEnd"/>
      <w:r w:rsidR="008A3F54" w:rsidRPr="001B38F0">
        <w:t xml:space="preserve"> et al., 2021). Some of the practice which helps effective collaboration is through shared care planning meetings, clear communication between agencies and a co-ordinating professional where the information from the medication review is shared as well as the information that comes from the team of people providing care at the person's home and from the council safeguarding process</w:t>
      </w:r>
      <w:r w:rsidR="0069518E">
        <w:t xml:space="preserve"> </w:t>
      </w:r>
      <w:r w:rsidR="0069518E" w:rsidRPr="0069518E">
        <w:t>(Rosengren and Szemberg, 2024)</w:t>
      </w:r>
      <w:r w:rsidR="008A3F54" w:rsidRPr="001B38F0">
        <w:t xml:space="preserve">. </w:t>
      </w:r>
    </w:p>
    <w:p w14:paraId="02AB433A" w14:textId="3DA27B3B" w:rsidR="008A3F54" w:rsidRPr="001B38F0" w:rsidRDefault="005B10E1" w:rsidP="001B38F0">
      <w:r w:rsidRPr="001B38F0">
        <w:t>Although multi-agency working is often blamed for having significant challenges, these relate to communication issues, the lack of clarity over roles, differing organisational goals or language and terminology between health and social care agencies (</w:t>
      </w:r>
      <w:proofErr w:type="spellStart"/>
      <w:r w:rsidRPr="001B38F0">
        <w:t>Moncatar</w:t>
      </w:r>
      <w:proofErr w:type="spellEnd"/>
      <w:r w:rsidRPr="001B38F0">
        <w:t xml:space="preserve"> et al., 2021). Mrs Thompson may experience this when the GP doesn't receive timely information about her missed medication from the domiciliary care provider, or uncertainty over which agency is responsible for lead on the safeguarding review. One way to address these challenges is to find a balance by allowing both professions to be very specific in their involvement, have a routine for regular multi-disciplinary reviews and ensure a culture of mutual respect, trust and a shared focus on Mrs Thompson's wellbeing that each offers a different but equally important input into that. Incorporating these practices will help to coordinate and not fragment a response to the current concerns about her medication adherence and safety. </w:t>
      </w:r>
    </w:p>
    <w:p w14:paraId="3AAE0101" w14:textId="77F1648C" w:rsidR="000F5DEA" w:rsidRPr="001B38F0" w:rsidRDefault="002F5513" w:rsidP="001B38F0">
      <w:pPr>
        <w:pStyle w:val="Heading1"/>
        <w:spacing w:line="360" w:lineRule="auto"/>
        <w:rPr>
          <w:sz w:val="22"/>
          <w:szCs w:val="22"/>
        </w:rPr>
      </w:pPr>
      <w:bookmarkStart w:id="4" w:name="_Toc233823511"/>
      <w:r w:rsidRPr="001B38F0">
        <w:rPr>
          <w:sz w:val="22"/>
          <w:szCs w:val="22"/>
        </w:rPr>
        <w:t>Conclusion</w:t>
      </w:r>
      <w:bookmarkEnd w:id="4"/>
    </w:p>
    <w:p w14:paraId="267B86FF" w14:textId="6008944D" w:rsidR="00A74475" w:rsidRPr="001B38F0" w:rsidRDefault="001B38F0" w:rsidP="001B38F0">
      <w:r w:rsidRPr="001B38F0">
        <w:t>This report has demonstrated that the UK health and social care system, despite its foundations in the post-war welfare state</w:t>
      </w:r>
      <w:r w:rsidR="00C624C0">
        <w:t xml:space="preserve">, </w:t>
      </w:r>
      <w:r w:rsidRPr="001B38F0">
        <w:t>continues to face significant challenges, including an ageing population, financial constraints, and difficulties integrating health and social services</w:t>
      </w:r>
      <w:r w:rsidR="00C624C0">
        <w:t xml:space="preserve">. </w:t>
      </w:r>
      <w:r w:rsidRPr="001B38F0">
        <w:t>Mrs Thompson's case illustrates how these systemic pressures manifest in everyday care delivery. Effective communication, using the SOLER model and guided by the Equality Act 2010, ensures her voice remains central to decisions despite her dementia. Robust record-keeping under the Data Protection Act 2018 provides the evidence base for her medication review and safeguarding investigation. Furthermore, collaborative multi-agency working between her GP, community nurse, and domiciliary care workers addresses the fragmentation that often characterises the UK system. Ultimately, this report underscores that a cohesive, ethical, and person-centred approach grounded in legislation, policy, and partnership is vital to protecting vulnerable individuals like Mrs Thompson, ensuring their dignity, independence, and wellbeing within an increasingly pressured health and social care landscape.</w:t>
      </w:r>
      <w:r w:rsidR="00A74475" w:rsidRPr="001B38F0">
        <w:br w:type="page"/>
      </w:r>
    </w:p>
    <w:p w14:paraId="225DA5C4" w14:textId="237A50D3" w:rsidR="000F5DEA" w:rsidRPr="001B38F0" w:rsidRDefault="002F5513" w:rsidP="001B38F0">
      <w:pPr>
        <w:pStyle w:val="Heading1"/>
        <w:spacing w:line="360" w:lineRule="auto"/>
        <w:rPr>
          <w:sz w:val="22"/>
          <w:szCs w:val="22"/>
        </w:rPr>
      </w:pPr>
      <w:bookmarkStart w:id="5" w:name="_Toc233823512"/>
      <w:r w:rsidRPr="001B38F0">
        <w:rPr>
          <w:sz w:val="22"/>
          <w:szCs w:val="22"/>
        </w:rPr>
        <w:t>Reference List</w:t>
      </w:r>
      <w:bookmarkEnd w:id="5"/>
    </w:p>
    <w:p w14:paraId="0B38B65C" w14:textId="77777777" w:rsidR="00C624C0" w:rsidRPr="0069518E" w:rsidRDefault="00C624C0" w:rsidP="0069518E">
      <w:pPr>
        <w:spacing w:after="160"/>
        <w:ind w:left="720" w:hanging="720"/>
      </w:pPr>
      <w:r w:rsidRPr="0069518E">
        <w:t>Brooks, N. (2021) 'How to undertake effective record-keeping and documentation', </w:t>
      </w:r>
      <w:r w:rsidRPr="0069518E">
        <w:rPr>
          <w:i/>
          <w:iCs/>
        </w:rPr>
        <w:t>Nursing Standard</w:t>
      </w:r>
      <w:r w:rsidRPr="0069518E">
        <w:t>, 36(4), pp. 31-33.</w:t>
      </w:r>
    </w:p>
    <w:p w14:paraId="19B89A13" w14:textId="77777777" w:rsidR="00C624C0" w:rsidRPr="0069518E" w:rsidRDefault="00C624C0" w:rsidP="0069518E">
      <w:pPr>
        <w:spacing w:after="160"/>
        <w:ind w:left="720" w:hanging="720"/>
      </w:pPr>
      <w:r w:rsidRPr="0069518E">
        <w:t>Dowie, I. (2024a) 'The Equality Act 2010 and the community nurse', </w:t>
      </w:r>
      <w:r w:rsidRPr="0069518E">
        <w:rPr>
          <w:i/>
          <w:iCs/>
        </w:rPr>
        <w:t>British Journal of Community Nursing</w:t>
      </w:r>
      <w:r w:rsidRPr="0069518E">
        <w:t>, 29(12), pp. 598-601.</w:t>
      </w:r>
    </w:p>
    <w:p w14:paraId="59FB9CA6" w14:textId="77777777" w:rsidR="00C624C0" w:rsidRPr="0069518E" w:rsidRDefault="00C624C0" w:rsidP="0069518E">
      <w:pPr>
        <w:spacing w:after="160"/>
        <w:ind w:left="720" w:hanging="720"/>
      </w:pPr>
      <w:r w:rsidRPr="0069518E">
        <w:t>Dowie, I. (2024b) 'Record keeping and the community nurse', </w:t>
      </w:r>
      <w:r w:rsidRPr="0069518E">
        <w:rPr>
          <w:i/>
          <w:iCs/>
        </w:rPr>
        <w:t>British Journal of Community Nursing</w:t>
      </w:r>
      <w:r w:rsidRPr="0069518E">
        <w:t>, 29(2), pp. 86-89.</w:t>
      </w:r>
    </w:p>
    <w:p w14:paraId="24B56CAA" w14:textId="77777777" w:rsidR="00C624C0" w:rsidRPr="0069518E" w:rsidRDefault="00C624C0" w:rsidP="0069518E">
      <w:pPr>
        <w:spacing w:after="160"/>
        <w:ind w:left="720" w:hanging="720"/>
      </w:pPr>
      <w:r w:rsidRPr="0069518E">
        <w:t>Ham, C. (2019) 'The NHS and Social Care: Challenges and Opportunities', in </w:t>
      </w:r>
      <w:r w:rsidRPr="0069518E">
        <w:rPr>
          <w:i/>
          <w:iCs/>
        </w:rPr>
        <w:t>Health and Social Care in the UK</w:t>
      </w:r>
      <w:r w:rsidRPr="0069518E">
        <w:t>. London: King's Fund.</w:t>
      </w:r>
    </w:p>
    <w:p w14:paraId="5F167FDC" w14:textId="77777777" w:rsidR="00C624C0" w:rsidRPr="0069518E" w:rsidRDefault="00C624C0" w:rsidP="0069518E">
      <w:pPr>
        <w:spacing w:after="160"/>
        <w:ind w:left="720" w:hanging="720"/>
      </w:pPr>
      <w:proofErr w:type="spellStart"/>
      <w:r w:rsidRPr="0069518E">
        <w:t>Moncatar</w:t>
      </w:r>
      <w:proofErr w:type="spellEnd"/>
      <w:r w:rsidRPr="0069518E">
        <w:t xml:space="preserve">, T.J.R.T., </w:t>
      </w:r>
      <w:proofErr w:type="spellStart"/>
      <w:r w:rsidRPr="0069518E">
        <w:t>Nakamura</w:t>
      </w:r>
      <w:proofErr w:type="spellEnd"/>
      <w:r w:rsidRPr="0069518E">
        <w:t xml:space="preserve">, K., </w:t>
      </w:r>
      <w:proofErr w:type="spellStart"/>
      <w:r w:rsidRPr="0069518E">
        <w:t>Siongco</w:t>
      </w:r>
      <w:proofErr w:type="spellEnd"/>
      <w:r w:rsidRPr="0069518E">
        <w:t xml:space="preserve">, K.L.L., </w:t>
      </w:r>
      <w:proofErr w:type="spellStart"/>
      <w:r w:rsidRPr="0069518E">
        <w:t>Seino</w:t>
      </w:r>
      <w:proofErr w:type="spellEnd"/>
      <w:r w:rsidRPr="0069518E">
        <w:t>, K., Carlson, R., Canila, C.C., Javier, R.S. and Lorenzo, F.M.E. (2021) 'Interprofessional collaboration and barriers among health and social workers caring for older adults: a Philippine case study', </w:t>
      </w:r>
      <w:r w:rsidRPr="0069518E">
        <w:rPr>
          <w:i/>
          <w:iCs/>
        </w:rPr>
        <w:t>Human Resources for Health</w:t>
      </w:r>
      <w:r w:rsidRPr="0069518E">
        <w:t>, 19, p. 52.</w:t>
      </w:r>
    </w:p>
    <w:p w14:paraId="7D340D69" w14:textId="77777777" w:rsidR="00C624C0" w:rsidRPr="0069518E" w:rsidRDefault="00C624C0" w:rsidP="0069518E">
      <w:pPr>
        <w:spacing w:after="160"/>
        <w:ind w:left="720" w:hanging="720"/>
      </w:pPr>
      <w:proofErr w:type="spellStart"/>
      <w:r w:rsidRPr="0069518E">
        <w:t>Ogbadu-Oladapo</w:t>
      </w:r>
      <w:proofErr w:type="spellEnd"/>
      <w:r w:rsidRPr="0069518E">
        <w:t xml:space="preserve">, L., </w:t>
      </w:r>
      <w:proofErr w:type="spellStart"/>
      <w:r w:rsidRPr="0069518E">
        <w:t>Bissadu</w:t>
      </w:r>
      <w:proofErr w:type="spellEnd"/>
      <w:r w:rsidRPr="0069518E">
        <w:t>, K., Kim, H. and Smith, D.L. (2024) 'Information and health literacy: could there be any impact on health decision-making among adults? evidence from North America', </w:t>
      </w:r>
      <w:proofErr w:type="spellStart"/>
      <w:r w:rsidRPr="0069518E">
        <w:rPr>
          <w:i/>
          <w:iCs/>
        </w:rPr>
        <w:t>Zeitschrift</w:t>
      </w:r>
      <w:proofErr w:type="spellEnd"/>
      <w:r w:rsidRPr="0069518E">
        <w:rPr>
          <w:i/>
          <w:iCs/>
        </w:rPr>
        <w:t xml:space="preserve"> </w:t>
      </w:r>
      <w:proofErr w:type="spellStart"/>
      <w:r w:rsidRPr="0069518E">
        <w:rPr>
          <w:i/>
          <w:iCs/>
        </w:rPr>
        <w:t>für</w:t>
      </w:r>
      <w:proofErr w:type="spellEnd"/>
      <w:r w:rsidRPr="0069518E">
        <w:rPr>
          <w:i/>
          <w:iCs/>
        </w:rPr>
        <w:t xml:space="preserve"> Gesundheitswissenschaften/Journal of Public Health</w:t>
      </w:r>
      <w:r w:rsidRPr="0069518E">
        <w:t>.</w:t>
      </w:r>
    </w:p>
    <w:p w14:paraId="50F363F6" w14:textId="77777777" w:rsidR="00C624C0" w:rsidRPr="0069518E" w:rsidRDefault="00C624C0" w:rsidP="0069518E">
      <w:pPr>
        <w:spacing w:after="160"/>
        <w:ind w:left="720" w:hanging="720"/>
      </w:pPr>
      <w:r w:rsidRPr="0069518E">
        <w:t xml:space="preserve">O'Rourke, D.J., </w:t>
      </w:r>
      <w:proofErr w:type="spellStart"/>
      <w:r w:rsidRPr="0069518E">
        <w:t>Lobchuk</w:t>
      </w:r>
      <w:proofErr w:type="spellEnd"/>
      <w:r w:rsidRPr="0069518E">
        <w:t>, M.M., Thompson, G.N. and Lengyel, C. (2022) 'Expanding the conversation: a person-centred communication enhancement model', </w:t>
      </w:r>
      <w:r w:rsidRPr="0069518E">
        <w:rPr>
          <w:i/>
          <w:iCs/>
        </w:rPr>
        <w:t>Dementia</w:t>
      </w:r>
      <w:r w:rsidRPr="0069518E">
        <w:t>, 21(6), pp. 2101-2120.</w:t>
      </w:r>
      <w:r>
        <w:t xml:space="preserve">  </w:t>
      </w:r>
    </w:p>
    <w:p w14:paraId="244EC716" w14:textId="77777777" w:rsidR="00C624C0" w:rsidRPr="0069518E" w:rsidRDefault="00C624C0" w:rsidP="0069518E">
      <w:pPr>
        <w:spacing w:after="160"/>
        <w:ind w:left="720" w:hanging="720"/>
      </w:pPr>
      <w:r w:rsidRPr="0069518E">
        <w:t xml:space="preserve">Rosengren, K. and </w:t>
      </w:r>
      <w:proofErr w:type="spellStart"/>
      <w:r w:rsidRPr="0069518E">
        <w:t>Szemberg</w:t>
      </w:r>
      <w:proofErr w:type="spellEnd"/>
      <w:r w:rsidRPr="0069518E">
        <w:t>, E. (2024) 'Collaborative practices in health and social care: a systematic review', </w:t>
      </w:r>
      <w:r w:rsidRPr="0069518E">
        <w:rPr>
          <w:i/>
          <w:iCs/>
        </w:rPr>
        <w:t>Journal of Interprofessional Care</w:t>
      </w:r>
      <w:r w:rsidRPr="0069518E">
        <w:t>, 38(2), pp. 245-258.</w:t>
      </w:r>
    </w:p>
    <w:p w14:paraId="7D384DFC" w14:textId="77777777" w:rsidR="00C624C0" w:rsidRPr="0069518E" w:rsidRDefault="00C624C0" w:rsidP="0069518E">
      <w:pPr>
        <w:spacing w:after="160"/>
        <w:ind w:left="720" w:hanging="720"/>
      </w:pPr>
      <w:r w:rsidRPr="0069518E">
        <w:t>Tamworth, J., Williams, P. and Davies, R. (2025) 'Record keeping and accountability in domiciliary care', </w:t>
      </w:r>
      <w:r w:rsidRPr="0069518E">
        <w:rPr>
          <w:i/>
          <w:iCs/>
        </w:rPr>
        <w:t>British Journal of Healthcare Management</w:t>
      </w:r>
      <w:r w:rsidRPr="0069518E">
        <w:t>, 31(1), pp. 12-19.</w:t>
      </w:r>
      <w:r>
        <w:t xml:space="preserve"> </w:t>
      </w:r>
    </w:p>
    <w:p w14:paraId="7414C92F" w14:textId="77777777" w:rsidR="00C624C0" w:rsidRPr="0069518E" w:rsidRDefault="00C624C0" w:rsidP="0069518E">
      <w:pPr>
        <w:spacing w:after="160"/>
        <w:ind w:left="720" w:hanging="720"/>
      </w:pPr>
      <w:r w:rsidRPr="0069518E">
        <w:t>Timmins, N. (2012) </w:t>
      </w:r>
      <w:r w:rsidRPr="0069518E">
        <w:rPr>
          <w:i/>
          <w:iCs/>
        </w:rPr>
        <w:t>The Five Giants: A Biography of the Welfare State</w:t>
      </w:r>
      <w:r w:rsidRPr="0069518E">
        <w:t>. London: HarperPress.</w:t>
      </w:r>
    </w:p>
    <w:p w14:paraId="5C770E07" w14:textId="77777777" w:rsidR="00C624C0" w:rsidRPr="0069518E" w:rsidRDefault="00C624C0" w:rsidP="0069518E">
      <w:pPr>
        <w:spacing w:after="160"/>
        <w:ind w:left="720" w:hanging="720"/>
      </w:pPr>
      <w:r w:rsidRPr="0069518E">
        <w:t>Wanko Keutchafo, E.L., Kerr, J. and Baloyi, O.B. (2022) 'A model for effective nonverbal communication between nurses and older patients: a grounded theory inquiry', </w:t>
      </w:r>
      <w:r w:rsidRPr="0069518E">
        <w:rPr>
          <w:i/>
          <w:iCs/>
        </w:rPr>
        <w:t>Healthcare</w:t>
      </w:r>
      <w:r w:rsidRPr="0069518E">
        <w:t>, 10(11), p. 2119.</w:t>
      </w:r>
      <w:r>
        <w:t xml:space="preserve"> </w:t>
      </w:r>
    </w:p>
    <w:p w14:paraId="26FD7518" w14:textId="77777777" w:rsidR="005C3699" w:rsidRPr="001B38F0" w:rsidRDefault="005C3699" w:rsidP="001B38F0">
      <w:pPr>
        <w:spacing w:after="160"/>
        <w:ind w:left="720" w:hanging="720"/>
      </w:pPr>
    </w:p>
    <w:sectPr w:rsidR="005C3699" w:rsidRPr="001B38F0">
      <w:footerReference w:type="default" r:id="rId8"/>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20F92DC" w14:textId="77777777" w:rsidR="00D02355" w:rsidRDefault="00D02355">
      <w:r>
        <w:separator/>
      </w:r>
    </w:p>
  </w:endnote>
  <w:endnote w:type="continuationSeparator" w:id="0">
    <w:p w14:paraId="22C19A8C" w14:textId="77777777" w:rsidR="00D02355" w:rsidRDefault="00D023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5ABA9E1" w14:textId="1D96C7EC" w:rsidR="000F5DEA" w:rsidRDefault="000F5DEA">
    <w:pP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3FBDAA6A" w14:textId="77777777" w:rsidR="00D02355" w:rsidRDefault="00D02355">
      <w:r>
        <w:separator/>
      </w:r>
    </w:p>
  </w:footnote>
  <w:footnote w:type="continuationSeparator" w:id="0">
    <w:p w14:paraId="222C5F01" w14:textId="77777777" w:rsidR="00D02355" w:rsidRDefault="00D023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1B1A47"/>
    <w:multiLevelType w:val="multilevel"/>
    <w:tmpl w:val="91FE3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D739CF"/>
    <w:multiLevelType w:val="hybridMultilevel"/>
    <w:tmpl w:val="095C5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8C79EC"/>
    <w:multiLevelType w:val="multilevel"/>
    <w:tmpl w:val="3F38D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739383D"/>
    <w:multiLevelType w:val="hybridMultilevel"/>
    <w:tmpl w:val="71DEAD2C"/>
    <w:lvl w:ilvl="0" w:tplc="E77627F8">
      <w:start w:val="1"/>
      <w:numFmt w:val="bullet"/>
      <w:lvlText w:val="●"/>
      <w:lvlJc w:val="left"/>
      <w:pPr>
        <w:ind w:left="720" w:hanging="360"/>
      </w:pPr>
    </w:lvl>
    <w:lvl w:ilvl="1" w:tplc="B5E81E6C">
      <w:start w:val="1"/>
      <w:numFmt w:val="bullet"/>
      <w:lvlText w:val="○"/>
      <w:lvlJc w:val="left"/>
      <w:pPr>
        <w:ind w:left="1440" w:hanging="360"/>
      </w:pPr>
    </w:lvl>
    <w:lvl w:ilvl="2" w:tplc="A122475C">
      <w:start w:val="1"/>
      <w:numFmt w:val="bullet"/>
      <w:lvlText w:val="■"/>
      <w:lvlJc w:val="left"/>
      <w:pPr>
        <w:ind w:left="2160" w:hanging="360"/>
      </w:pPr>
    </w:lvl>
    <w:lvl w:ilvl="3" w:tplc="ECA653A0">
      <w:start w:val="1"/>
      <w:numFmt w:val="bullet"/>
      <w:lvlText w:val="●"/>
      <w:lvlJc w:val="left"/>
      <w:pPr>
        <w:ind w:left="2880" w:hanging="360"/>
      </w:pPr>
    </w:lvl>
    <w:lvl w:ilvl="4" w:tplc="953EF852">
      <w:start w:val="1"/>
      <w:numFmt w:val="bullet"/>
      <w:lvlText w:val="○"/>
      <w:lvlJc w:val="left"/>
      <w:pPr>
        <w:ind w:left="3600" w:hanging="360"/>
      </w:pPr>
    </w:lvl>
    <w:lvl w:ilvl="5" w:tplc="1B34161A">
      <w:start w:val="1"/>
      <w:numFmt w:val="bullet"/>
      <w:lvlText w:val="■"/>
      <w:lvlJc w:val="left"/>
      <w:pPr>
        <w:ind w:left="4320" w:hanging="360"/>
      </w:pPr>
    </w:lvl>
    <w:lvl w:ilvl="6" w:tplc="2D3EF388">
      <w:start w:val="1"/>
      <w:numFmt w:val="bullet"/>
      <w:lvlText w:val="●"/>
      <w:lvlJc w:val="left"/>
      <w:pPr>
        <w:ind w:left="5040" w:hanging="360"/>
      </w:pPr>
    </w:lvl>
    <w:lvl w:ilvl="7" w:tplc="5EAED544">
      <w:start w:val="1"/>
      <w:numFmt w:val="bullet"/>
      <w:lvlText w:val="●"/>
      <w:lvlJc w:val="left"/>
      <w:pPr>
        <w:ind w:left="5760" w:hanging="360"/>
      </w:pPr>
    </w:lvl>
    <w:lvl w:ilvl="8" w:tplc="28E8B748">
      <w:start w:val="1"/>
      <w:numFmt w:val="bullet"/>
      <w:lvlText w:val="●"/>
      <w:lvlJc w:val="left"/>
      <w:pPr>
        <w:ind w:left="6480" w:hanging="360"/>
      </w:pPr>
    </w:lvl>
  </w:abstractNum>
  <w:num w:numId="1" w16cid:durableId="64181633">
    <w:abstractNumId w:val="3"/>
    <w:lvlOverride w:ilvl="0">
      <w:startOverride w:val="1"/>
    </w:lvlOverride>
  </w:num>
  <w:num w:numId="2" w16cid:durableId="1528253585">
    <w:abstractNumId w:val="0"/>
  </w:num>
  <w:num w:numId="3" w16cid:durableId="638341766">
    <w:abstractNumId w:val="2"/>
  </w:num>
  <w:num w:numId="4" w16cid:durableId="1642802883">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72"/>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5DEA"/>
    <w:rsid w:val="000270E8"/>
    <w:rsid w:val="00066527"/>
    <w:rsid w:val="000F5DEA"/>
    <w:rsid w:val="001B38F0"/>
    <w:rsid w:val="002F5513"/>
    <w:rsid w:val="00343002"/>
    <w:rsid w:val="00466106"/>
    <w:rsid w:val="004C4FB5"/>
    <w:rsid w:val="004E3682"/>
    <w:rsid w:val="005B10E1"/>
    <w:rsid w:val="005C3699"/>
    <w:rsid w:val="0069518E"/>
    <w:rsid w:val="008A3F54"/>
    <w:rsid w:val="008F02F5"/>
    <w:rsid w:val="0092292E"/>
    <w:rsid w:val="00A567A5"/>
    <w:rsid w:val="00A74475"/>
    <w:rsid w:val="00BD40D0"/>
    <w:rsid w:val="00C058C6"/>
    <w:rsid w:val="00C624C0"/>
    <w:rsid w:val="00D02355"/>
    <w:rsid w:val="00D077ED"/>
    <w:rsid w:val="00D85650"/>
    <w:rsid w:val="00D91022"/>
    <w:rsid w:val="00E20076"/>
    <w:rsid w:val="00E6330F"/>
    <w:rsid w:val="00E659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84A9EE"/>
  <w15:docId w15:val="{7E798305-D386-48B4-8C0C-7B4704D34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24C0"/>
    <w:pPr>
      <w:spacing w:line="360" w:lineRule="auto"/>
      <w:jc w:val="both"/>
    </w:pPr>
    <w:rPr>
      <w:sz w:val="24"/>
    </w:rPr>
  </w:style>
  <w:style w:type="paragraph" w:styleId="Heading1">
    <w:name w:val="heading 1"/>
    <w:uiPriority w:val="9"/>
    <w:qFormat/>
    <w:pPr>
      <w:spacing w:before="300" w:after="200"/>
      <w:outlineLvl w:val="0"/>
    </w:pPr>
    <w:rPr>
      <w:b/>
      <w:bCs/>
      <w:color w:val="000000"/>
      <w:sz w:val="26"/>
      <w:szCs w:val="26"/>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BD40D0"/>
    <w:pPr>
      <w:tabs>
        <w:tab w:val="center" w:pos="4513"/>
        <w:tab w:val="right" w:pos="9026"/>
      </w:tabs>
    </w:pPr>
  </w:style>
  <w:style w:type="character" w:customStyle="1" w:styleId="HeaderChar">
    <w:name w:val="Header Char"/>
    <w:basedOn w:val="DefaultParagraphFont"/>
    <w:link w:val="Header"/>
    <w:uiPriority w:val="99"/>
    <w:rsid w:val="00BD40D0"/>
  </w:style>
  <w:style w:type="paragraph" w:styleId="Footer">
    <w:name w:val="footer"/>
    <w:basedOn w:val="Normal"/>
    <w:link w:val="FooterChar"/>
    <w:uiPriority w:val="99"/>
    <w:unhideWhenUsed/>
    <w:rsid w:val="00BD40D0"/>
    <w:pPr>
      <w:tabs>
        <w:tab w:val="center" w:pos="4513"/>
        <w:tab w:val="right" w:pos="9026"/>
      </w:tabs>
    </w:pPr>
  </w:style>
  <w:style w:type="character" w:customStyle="1" w:styleId="FooterChar">
    <w:name w:val="Footer Char"/>
    <w:basedOn w:val="DefaultParagraphFont"/>
    <w:link w:val="Footer"/>
    <w:uiPriority w:val="99"/>
    <w:rsid w:val="00BD40D0"/>
  </w:style>
  <w:style w:type="paragraph" w:styleId="TOCHeading">
    <w:name w:val="TOC Heading"/>
    <w:basedOn w:val="Heading1"/>
    <w:next w:val="Normal"/>
    <w:uiPriority w:val="39"/>
    <w:unhideWhenUsed/>
    <w:qFormat/>
    <w:rsid w:val="005C3699"/>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lang w:val="en-US" w:eastAsia="en-US"/>
    </w:rPr>
  </w:style>
  <w:style w:type="paragraph" w:styleId="TOC1">
    <w:name w:val="toc 1"/>
    <w:basedOn w:val="Normal"/>
    <w:next w:val="Normal"/>
    <w:autoRedefine/>
    <w:uiPriority w:val="39"/>
    <w:unhideWhenUsed/>
    <w:rsid w:val="005C3699"/>
    <w:pPr>
      <w:spacing w:after="100"/>
    </w:pPr>
  </w:style>
  <w:style w:type="character" w:styleId="CommentReference">
    <w:name w:val="annotation reference"/>
    <w:basedOn w:val="DefaultParagraphFont"/>
    <w:uiPriority w:val="99"/>
    <w:semiHidden/>
    <w:unhideWhenUsed/>
    <w:rsid w:val="004C4FB5"/>
    <w:rPr>
      <w:sz w:val="16"/>
      <w:szCs w:val="16"/>
    </w:rPr>
  </w:style>
  <w:style w:type="paragraph" w:styleId="CommentText">
    <w:name w:val="annotation text"/>
    <w:basedOn w:val="Normal"/>
    <w:link w:val="CommentTextChar"/>
    <w:uiPriority w:val="99"/>
    <w:semiHidden/>
    <w:unhideWhenUsed/>
    <w:rsid w:val="004C4FB5"/>
    <w:rPr>
      <w:sz w:val="20"/>
      <w:szCs w:val="20"/>
    </w:rPr>
  </w:style>
  <w:style w:type="character" w:customStyle="1" w:styleId="CommentTextChar">
    <w:name w:val="Comment Text Char"/>
    <w:basedOn w:val="DefaultParagraphFont"/>
    <w:link w:val="CommentText"/>
    <w:uiPriority w:val="99"/>
    <w:semiHidden/>
    <w:rsid w:val="004C4FB5"/>
    <w:rPr>
      <w:sz w:val="20"/>
      <w:szCs w:val="20"/>
    </w:rPr>
  </w:style>
  <w:style w:type="paragraph" w:styleId="CommentSubject">
    <w:name w:val="annotation subject"/>
    <w:basedOn w:val="CommentText"/>
    <w:next w:val="CommentText"/>
    <w:link w:val="CommentSubjectChar"/>
    <w:uiPriority w:val="99"/>
    <w:semiHidden/>
    <w:unhideWhenUsed/>
    <w:rsid w:val="004C4FB5"/>
    <w:rPr>
      <w:b/>
      <w:bCs/>
    </w:rPr>
  </w:style>
  <w:style w:type="character" w:customStyle="1" w:styleId="CommentSubjectChar">
    <w:name w:val="Comment Subject Char"/>
    <w:basedOn w:val="CommentTextChar"/>
    <w:link w:val="CommentSubject"/>
    <w:uiPriority w:val="99"/>
    <w:semiHidden/>
    <w:rsid w:val="004C4FB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58B5A2-46FF-4263-9541-00F4EE95C5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2131</Words>
  <Characters>12147</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Faiza Khan</cp:lastModifiedBy>
  <cp:revision>3</cp:revision>
  <dcterms:created xsi:type="dcterms:W3CDTF">2026-07-02T13:45:00Z</dcterms:created>
  <dcterms:modified xsi:type="dcterms:W3CDTF">2026-07-02T15:16:00Z</dcterms:modified>
</cp:coreProperties>
</file>