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75C0A" w14:textId="5FE1695E" w:rsidR="0068367E" w:rsidRDefault="6D2AE254" w:rsidP="71B32097">
      <w:pPr>
        <w:spacing w:after="0" w:line="360" w:lineRule="auto"/>
        <w:ind w:left="40"/>
        <w:jc w:val="center"/>
      </w:pPr>
      <w:r>
        <w:rPr>
          <w:noProof/>
        </w:rPr>
        <w:drawing>
          <wp:anchor distT="0" distB="0" distL="114300" distR="114300" simplePos="0" relativeHeight="251658240" behindDoc="0" locked="0" layoutInCell="1" allowOverlap="1" wp14:anchorId="4A0B77F2" wp14:editId="56DC4860">
            <wp:simplePos x="0" y="0"/>
            <wp:positionH relativeFrom="column">
              <wp:align>left</wp:align>
            </wp:positionH>
            <wp:positionV relativeFrom="paragraph">
              <wp:posOffset>0</wp:posOffset>
            </wp:positionV>
            <wp:extent cx="2657475" cy="1381125"/>
            <wp:effectExtent l="0" t="0" r="0" b="0"/>
            <wp:wrapSquare wrapText="bothSides"/>
            <wp:docPr id="543508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24945" name="Picture 1204924945"/>
                    <pic:cNvPicPr/>
                  </pic:nvPicPr>
                  <pic:blipFill>
                    <a:blip r:embed="rId4">
                      <a:extLst>
                        <a:ext uri="{28A0092B-C50C-407E-A947-70E740481C1C}">
                          <a14:useLocalDpi xmlns:a14="http://schemas.microsoft.com/office/drawing/2010/main"/>
                        </a:ext>
                      </a:extLst>
                    </a:blip>
                    <a:stretch>
                      <a:fillRect/>
                    </a:stretch>
                  </pic:blipFill>
                  <pic:spPr>
                    <a:xfrm>
                      <a:off x="0" y="0"/>
                      <a:ext cx="2657475" cy="1381125"/>
                    </a:xfrm>
                    <a:prstGeom prst="rect">
                      <a:avLst/>
                    </a:prstGeom>
                  </pic:spPr>
                </pic:pic>
              </a:graphicData>
            </a:graphic>
            <wp14:sizeRelH relativeFrom="page">
              <wp14:pctWidth>0</wp14:pctWidth>
            </wp14:sizeRelH>
            <wp14:sizeRelV relativeFrom="page">
              <wp14:pctHeight>0</wp14:pctHeight>
            </wp14:sizeRelV>
          </wp:anchor>
        </w:drawing>
      </w:r>
    </w:p>
    <w:p w14:paraId="425753A7" w14:textId="0F0C0A2D" w:rsidR="0068367E" w:rsidRDefault="0068367E" w:rsidP="71B32097">
      <w:pPr>
        <w:spacing w:after="0" w:line="360" w:lineRule="auto"/>
        <w:ind w:left="40"/>
        <w:jc w:val="center"/>
      </w:pPr>
    </w:p>
    <w:p w14:paraId="4D1591AC" w14:textId="672C69EC" w:rsidR="0068367E" w:rsidRDefault="0068367E" w:rsidP="71B32097">
      <w:pPr>
        <w:spacing w:after="0" w:line="360" w:lineRule="auto"/>
        <w:ind w:left="40"/>
        <w:jc w:val="center"/>
      </w:pPr>
    </w:p>
    <w:p w14:paraId="52CDCB8D" w14:textId="77777777" w:rsidR="008D1727" w:rsidRDefault="008D1727" w:rsidP="6D2AE254">
      <w:pPr>
        <w:spacing w:after="0" w:line="360" w:lineRule="auto"/>
        <w:rPr>
          <w:rFonts w:ascii="Arial Nova" w:eastAsia="Arial Nova" w:hAnsi="Arial Nova" w:cs="Arial Nova"/>
          <w:color w:val="000000" w:themeColor="text1"/>
        </w:rPr>
      </w:pPr>
    </w:p>
    <w:p w14:paraId="7691C73D" w14:textId="77777777" w:rsidR="008D1727" w:rsidRDefault="008D1727" w:rsidP="6D2AE254">
      <w:pPr>
        <w:spacing w:after="0" w:line="360" w:lineRule="auto"/>
        <w:rPr>
          <w:rFonts w:ascii="Arial Nova" w:eastAsia="Arial Nova" w:hAnsi="Arial Nova" w:cs="Arial Nova"/>
          <w:color w:val="000000" w:themeColor="text1"/>
        </w:rPr>
      </w:pPr>
    </w:p>
    <w:p w14:paraId="6979FB96" w14:textId="77777777" w:rsidR="008D1727" w:rsidRDefault="008D1727" w:rsidP="6D2AE254">
      <w:pPr>
        <w:spacing w:after="0" w:line="360" w:lineRule="auto"/>
        <w:rPr>
          <w:rFonts w:ascii="Arial Nova" w:eastAsia="Arial Nova" w:hAnsi="Arial Nova" w:cs="Arial Nova"/>
          <w:color w:val="000000" w:themeColor="text1"/>
        </w:rPr>
      </w:pPr>
    </w:p>
    <w:p w14:paraId="5CFFDD12" w14:textId="77777777" w:rsidR="008D1727" w:rsidRDefault="008D1727" w:rsidP="6D2AE254">
      <w:pPr>
        <w:spacing w:after="0" w:line="360" w:lineRule="auto"/>
        <w:rPr>
          <w:rFonts w:ascii="Arial Nova" w:eastAsia="Arial Nova" w:hAnsi="Arial Nova" w:cs="Arial Nova"/>
          <w:color w:val="000000" w:themeColor="text1"/>
        </w:rPr>
      </w:pPr>
    </w:p>
    <w:p w14:paraId="5446393D" w14:textId="07B59ACA" w:rsidR="0068367E" w:rsidRDefault="6905A5FE" w:rsidP="6D2AE254">
      <w:pPr>
        <w:spacing w:after="0" w:line="360" w:lineRule="auto"/>
        <w:rPr>
          <w:rFonts w:ascii="Arial Nova" w:eastAsia="Arial Nova" w:hAnsi="Arial Nova" w:cs="Arial Nova"/>
          <w:color w:val="000000" w:themeColor="text1"/>
        </w:rPr>
      </w:pPr>
      <w:r w:rsidRPr="6D2AE254">
        <w:rPr>
          <w:rFonts w:ascii="Arial Nova" w:eastAsia="Arial Nova" w:hAnsi="Arial Nova" w:cs="Arial Nova"/>
          <w:color w:val="000000" w:themeColor="text1"/>
        </w:rPr>
        <w:t>Name: Oksana Lazdovska</w:t>
      </w:r>
    </w:p>
    <w:p w14:paraId="4B7BB185" w14:textId="37266089" w:rsidR="0068367E" w:rsidRDefault="6905A5FE" w:rsidP="6D2AE254">
      <w:pPr>
        <w:spacing w:after="0" w:line="360" w:lineRule="auto"/>
        <w:rPr>
          <w:rFonts w:ascii="Arial Nova" w:eastAsia="Arial Nova" w:hAnsi="Arial Nova" w:cs="Arial Nova"/>
          <w:color w:val="000000" w:themeColor="text1"/>
        </w:rPr>
      </w:pPr>
      <w:r w:rsidRPr="6D2AE254">
        <w:rPr>
          <w:rFonts w:ascii="Arial Nova" w:eastAsia="Arial Nova" w:hAnsi="Arial Nova" w:cs="Arial Nova"/>
          <w:color w:val="000000" w:themeColor="text1"/>
        </w:rPr>
        <w:t>Student ID: 2511190</w:t>
      </w:r>
      <w:r w:rsidR="008D1727">
        <w:rPr>
          <w:rFonts w:ascii="Arial Nova" w:eastAsia="Arial Nova" w:hAnsi="Arial Nova" w:cs="Arial Nova"/>
          <w:color w:val="000000" w:themeColor="text1"/>
        </w:rPr>
        <w:t xml:space="preserve"> </w:t>
      </w:r>
    </w:p>
    <w:p w14:paraId="15422151" w14:textId="2DD64D4F" w:rsidR="0068367E" w:rsidRDefault="6905A5FE" w:rsidP="6D2AE254">
      <w:pPr>
        <w:spacing w:after="0" w:line="360" w:lineRule="auto"/>
        <w:rPr>
          <w:rFonts w:ascii="Arial Nova" w:eastAsia="Arial Nova" w:hAnsi="Arial Nova" w:cs="Arial Nova"/>
          <w:color w:val="000000" w:themeColor="text1"/>
        </w:rPr>
      </w:pPr>
      <w:r w:rsidRPr="6D2AE254">
        <w:rPr>
          <w:rFonts w:ascii="Arial Nova" w:eastAsia="Arial Nova" w:hAnsi="Arial Nova" w:cs="Arial Nova"/>
          <w:color w:val="000000" w:themeColor="text1"/>
        </w:rPr>
        <w:t>Module Code: LCHS 4008</w:t>
      </w:r>
    </w:p>
    <w:p w14:paraId="0F516550" w14:textId="6BB4A088" w:rsidR="0068367E" w:rsidRDefault="6905A5FE" w:rsidP="6D2AE254">
      <w:pPr>
        <w:spacing w:after="0" w:line="360" w:lineRule="auto"/>
        <w:rPr>
          <w:rFonts w:ascii="Arial Nova" w:eastAsia="Arial Nova" w:hAnsi="Arial Nova" w:cs="Arial Nova"/>
          <w:color w:val="000000" w:themeColor="text1"/>
        </w:rPr>
      </w:pPr>
      <w:r w:rsidRPr="6D2AE254">
        <w:rPr>
          <w:rFonts w:ascii="Arial Nova" w:eastAsia="Arial Nova" w:hAnsi="Arial Nova" w:cs="Arial Nova"/>
          <w:color w:val="000000" w:themeColor="text1"/>
        </w:rPr>
        <w:t>Module: Introduction to Public Health</w:t>
      </w:r>
    </w:p>
    <w:p w14:paraId="09231759" w14:textId="76522D0A" w:rsidR="0068367E" w:rsidRDefault="6905A5FE" w:rsidP="6D2AE254">
      <w:pPr>
        <w:spacing w:after="0" w:line="360" w:lineRule="auto"/>
        <w:rPr>
          <w:rFonts w:ascii="Arial Nova" w:eastAsia="Arial Nova" w:hAnsi="Arial Nova" w:cs="Arial Nova"/>
          <w:color w:val="000000" w:themeColor="text1"/>
        </w:rPr>
      </w:pPr>
      <w:r w:rsidRPr="6D2AE254">
        <w:rPr>
          <w:rFonts w:ascii="Arial Nova" w:eastAsia="Arial Nova" w:hAnsi="Arial Nova" w:cs="Arial Nova"/>
          <w:color w:val="000000" w:themeColor="text1"/>
        </w:rPr>
        <w:t>Lecture: Debra Odeh</w:t>
      </w:r>
    </w:p>
    <w:p w14:paraId="6271B0A8" w14:textId="4DE308BC" w:rsidR="0068367E" w:rsidRDefault="6905A5FE" w:rsidP="6D2AE254">
      <w:pPr>
        <w:spacing w:after="0" w:line="360" w:lineRule="auto"/>
        <w:rPr>
          <w:rFonts w:ascii="Arial Nova" w:eastAsia="Arial Nova" w:hAnsi="Arial Nova" w:cs="Arial Nova"/>
          <w:color w:val="000000" w:themeColor="text1"/>
        </w:rPr>
      </w:pPr>
      <w:r w:rsidRPr="6D2AE254">
        <w:rPr>
          <w:rFonts w:ascii="Arial Nova" w:eastAsia="Arial Nova" w:hAnsi="Arial Nova" w:cs="Arial Nova"/>
          <w:color w:val="000000" w:themeColor="text1"/>
        </w:rPr>
        <w:t xml:space="preserve">Component 2 writing report </w:t>
      </w:r>
      <w:r w:rsidRPr="6D2AE254">
        <w:rPr>
          <w:rFonts w:ascii="Arial" w:eastAsia="Arial" w:hAnsi="Arial" w:cs="Arial"/>
          <w:sz w:val="22"/>
          <w:szCs w:val="22"/>
        </w:rPr>
        <w:t>coronary heart disease</w:t>
      </w:r>
    </w:p>
    <w:p w14:paraId="7F3B1F9C" w14:textId="199E8DA1" w:rsidR="0068367E" w:rsidRDefault="0068367E" w:rsidP="6D2AE254">
      <w:pPr>
        <w:spacing w:after="0" w:line="360" w:lineRule="auto"/>
        <w:rPr>
          <w:rFonts w:ascii="Arial Nova" w:eastAsia="Arial Nova" w:hAnsi="Arial Nova" w:cs="Arial Nova"/>
          <w:color w:val="000000" w:themeColor="text1"/>
        </w:rPr>
      </w:pPr>
    </w:p>
    <w:p w14:paraId="66011B68" w14:textId="77777777" w:rsidR="6D2AE254" w:rsidRDefault="6D2AE254" w:rsidP="6D2AE254">
      <w:pPr>
        <w:spacing w:after="0" w:line="360" w:lineRule="auto"/>
        <w:ind w:left="40"/>
        <w:jc w:val="center"/>
      </w:pPr>
    </w:p>
    <w:p w14:paraId="45AD6E00" w14:textId="6B09EE7F" w:rsidR="0068367E" w:rsidRDefault="00000000">
      <w:r>
        <w:br w:type="page"/>
      </w:r>
    </w:p>
    <w:p w14:paraId="72548C8D" w14:textId="259175DE" w:rsidR="0068367E" w:rsidRDefault="0068367E" w:rsidP="71B32097">
      <w:pPr>
        <w:spacing w:after="0" w:line="360" w:lineRule="auto"/>
        <w:ind w:left="40"/>
        <w:jc w:val="center"/>
        <w:rPr>
          <w:rFonts w:ascii="Arial" w:eastAsia="Arial" w:hAnsi="Arial" w:cs="Arial"/>
          <w:sz w:val="22"/>
          <w:szCs w:val="22"/>
          <w:lang w:val="en-US"/>
        </w:rPr>
      </w:pPr>
    </w:p>
    <w:p w14:paraId="5A5C2ADC" w14:textId="65C23D1B" w:rsidR="0068367E" w:rsidRDefault="050CC6F8" w:rsidP="71B32097">
      <w:pPr>
        <w:spacing w:after="0" w:line="360" w:lineRule="auto"/>
        <w:ind w:left="40"/>
        <w:jc w:val="center"/>
      </w:pPr>
      <w:r w:rsidRPr="71B32097">
        <w:rPr>
          <w:rFonts w:ascii="Arial" w:eastAsia="Arial" w:hAnsi="Arial" w:cs="Arial"/>
          <w:sz w:val="22"/>
          <w:szCs w:val="22"/>
        </w:rPr>
        <w:t>Coronary heart disease</w:t>
      </w:r>
    </w:p>
    <w:p w14:paraId="2F6587E9" w14:textId="11BC4B34" w:rsidR="0068367E" w:rsidRDefault="390C2A97" w:rsidP="71B32097">
      <w:pPr>
        <w:pStyle w:val="Heading1"/>
        <w:spacing w:before="0" w:after="0" w:line="360" w:lineRule="auto"/>
        <w:rPr>
          <w:rFonts w:ascii="Arial" w:eastAsia="Arial" w:hAnsi="Arial" w:cs="Arial"/>
          <w:b/>
          <w:bCs/>
          <w:sz w:val="22"/>
          <w:szCs w:val="22"/>
        </w:rPr>
      </w:pPr>
      <w:r w:rsidRPr="71B32097">
        <w:rPr>
          <w:rFonts w:ascii="Arial" w:eastAsia="Arial" w:hAnsi="Arial" w:cs="Arial"/>
          <w:b/>
          <w:bCs/>
          <w:sz w:val="22"/>
          <w:szCs w:val="22"/>
        </w:rPr>
        <w:t>Introduction</w:t>
      </w:r>
    </w:p>
    <w:p w14:paraId="1E2F8EB4" w14:textId="11C52DC5" w:rsidR="0068367E" w:rsidRDefault="390C2A97" w:rsidP="71B32097">
      <w:pPr>
        <w:spacing w:after="0" w:line="360" w:lineRule="auto"/>
        <w:ind w:firstLine="720"/>
      </w:pPr>
      <w:r w:rsidRPr="71B32097">
        <w:rPr>
          <w:rFonts w:ascii="Arial" w:eastAsia="Arial" w:hAnsi="Arial" w:cs="Arial"/>
          <w:sz w:val="22"/>
          <w:szCs w:val="22"/>
        </w:rPr>
        <w:t>Coronary heart disease (CHD) is a cardiovascular disease that occurs when the coronary arteries narrow or get blocked by atherosclerotic changes, leading to reduced blood supply and reduced blood flow to the heart muscle (NHS, n.d.). Symptoms may involve angina (chest pain), shortness of breath, tiredness and heart attack symptoms, such as extreme chest pain, sweating. Earlier diagnosis of the risk and promoting lifestyle changes are critical in mitigating risk, especially in high-risk individuals, and will have a major impact in preventing the disease from progressing and in the overall long-term cardiovascular outcome. Cardiovascular diseases kill about 17.9 million people worldwide every year – this is the top cause of death worldwide (WHO 2025). CHD is still a significant public health problem in the UK, which causes a significant burden of morbidity, mortality and healthcare demand (BHF, 2024).</w:t>
      </w:r>
    </w:p>
    <w:p w14:paraId="63A0FDA4" w14:textId="4711037A" w:rsidR="0068367E" w:rsidRDefault="390C2A97" w:rsidP="71B32097">
      <w:pPr>
        <w:spacing w:line="360" w:lineRule="auto"/>
      </w:pPr>
      <w:r w:rsidRPr="71B32097">
        <w:rPr>
          <w:rFonts w:ascii="Arial" w:eastAsia="Arial" w:hAnsi="Arial" w:cs="Arial"/>
          <w:sz w:val="22"/>
          <w:szCs w:val="22"/>
        </w:rPr>
        <w:t xml:space="preserve"> </w:t>
      </w:r>
    </w:p>
    <w:p w14:paraId="0E381A52" w14:textId="0E372074" w:rsidR="0068367E" w:rsidRDefault="390C2A97" w:rsidP="71B32097">
      <w:pPr>
        <w:pStyle w:val="Heading1"/>
        <w:spacing w:before="0" w:after="0" w:line="360" w:lineRule="auto"/>
        <w:rPr>
          <w:rFonts w:ascii="Arial" w:eastAsia="Arial" w:hAnsi="Arial" w:cs="Arial"/>
          <w:b/>
          <w:bCs/>
          <w:sz w:val="22"/>
          <w:szCs w:val="22"/>
        </w:rPr>
      </w:pPr>
      <w:r w:rsidRPr="71B32097">
        <w:rPr>
          <w:rFonts w:ascii="Arial" w:eastAsia="Arial" w:hAnsi="Arial" w:cs="Arial"/>
          <w:b/>
          <w:bCs/>
          <w:sz w:val="22"/>
          <w:szCs w:val="22"/>
        </w:rPr>
        <w:t>Approaches Used to Measure and Monitor Coronary Heart Disease</w:t>
      </w:r>
    </w:p>
    <w:p w14:paraId="4C7CA232" w14:textId="0203CEBC" w:rsidR="0068367E" w:rsidRDefault="390C2A97" w:rsidP="71B32097">
      <w:pPr>
        <w:pStyle w:val="Heading2"/>
        <w:spacing w:before="0" w:after="0" w:line="360" w:lineRule="auto"/>
        <w:rPr>
          <w:rFonts w:ascii="Arial" w:eastAsia="Arial" w:hAnsi="Arial" w:cs="Arial"/>
          <w:sz w:val="22"/>
          <w:szCs w:val="22"/>
        </w:rPr>
      </w:pPr>
      <w:r w:rsidRPr="71B32097">
        <w:rPr>
          <w:rFonts w:ascii="Arial" w:eastAsia="Arial" w:hAnsi="Arial" w:cs="Arial"/>
          <w:sz w:val="22"/>
          <w:szCs w:val="22"/>
        </w:rPr>
        <w:t>Epidemiological Surveillance</w:t>
      </w:r>
    </w:p>
    <w:p w14:paraId="3EF3C27F" w14:textId="7BE8619D" w:rsidR="0068367E" w:rsidRDefault="390C2A97" w:rsidP="71B32097">
      <w:pPr>
        <w:spacing w:after="0" w:line="360" w:lineRule="auto"/>
        <w:ind w:firstLine="720"/>
      </w:pPr>
      <w:r w:rsidRPr="71B32097">
        <w:rPr>
          <w:rFonts w:ascii="Arial" w:eastAsia="Arial" w:hAnsi="Arial" w:cs="Arial"/>
          <w:sz w:val="22"/>
          <w:szCs w:val="22"/>
        </w:rPr>
        <w:t>The monitoring of coronary heart disease (CHD) is done through epidemiological surveillance through indicators of incidence, prevalence, mortality rates and hospital admissions. Incidence provides an estimate of new cases within a target population, whilst prevalence provides an estimate of CHD prevalence, aiding health care providers to gauge the burden of CHD and plan service needs appropriately (Conrad et al., 2024). Data on mortality rate and hospital admissions also give some indication of the burden of CHD on individuals and health systems, as it shows the trends over time, and helps to inform prioritise of public health action (Allara et al, 2025).</w:t>
      </w:r>
    </w:p>
    <w:p w14:paraId="17B8EA5E" w14:textId="0B156891" w:rsidR="0068367E" w:rsidRDefault="390C2A97" w:rsidP="71B32097">
      <w:pPr>
        <w:spacing w:line="360" w:lineRule="auto"/>
      </w:pPr>
      <w:r w:rsidRPr="71B32097">
        <w:rPr>
          <w:rFonts w:ascii="Arial" w:eastAsia="Arial" w:hAnsi="Arial" w:cs="Arial"/>
          <w:sz w:val="22"/>
          <w:szCs w:val="22"/>
        </w:rPr>
        <w:t xml:space="preserve"> </w:t>
      </w:r>
    </w:p>
    <w:p w14:paraId="0C6AB470" w14:textId="749ED4A8" w:rsidR="0068367E" w:rsidRDefault="390C2A97" w:rsidP="71B32097">
      <w:pPr>
        <w:pStyle w:val="Heading2"/>
        <w:spacing w:before="0" w:after="0" w:line="360" w:lineRule="auto"/>
        <w:rPr>
          <w:rFonts w:ascii="Arial" w:eastAsia="Arial" w:hAnsi="Arial" w:cs="Arial"/>
          <w:sz w:val="22"/>
          <w:szCs w:val="22"/>
        </w:rPr>
      </w:pPr>
      <w:r w:rsidRPr="71B32097">
        <w:rPr>
          <w:rFonts w:ascii="Arial" w:eastAsia="Arial" w:hAnsi="Arial" w:cs="Arial"/>
          <w:sz w:val="22"/>
          <w:szCs w:val="22"/>
        </w:rPr>
        <w:t>Electronic Health Records and Population Databases</w:t>
      </w:r>
    </w:p>
    <w:p w14:paraId="31298382" w14:textId="784BF91C" w:rsidR="0068367E" w:rsidRDefault="390C2A97" w:rsidP="71B32097">
      <w:pPr>
        <w:spacing w:after="0" w:line="360" w:lineRule="auto"/>
        <w:ind w:firstLine="720"/>
      </w:pPr>
      <w:r w:rsidRPr="71B32097">
        <w:rPr>
          <w:rFonts w:ascii="Arial" w:eastAsia="Arial" w:hAnsi="Arial" w:cs="Arial"/>
          <w:sz w:val="22"/>
          <w:szCs w:val="22"/>
        </w:rPr>
        <w:t xml:space="preserve">The use of electronic health records and systems linking information across populations is highly important in the UK for tracking CHD. The use of </w:t>
      </w:r>
      <w:proofErr w:type="gramStart"/>
      <w:r w:rsidRPr="71B32097">
        <w:rPr>
          <w:rFonts w:ascii="Arial" w:eastAsia="Arial" w:hAnsi="Arial" w:cs="Arial"/>
          <w:sz w:val="22"/>
          <w:szCs w:val="22"/>
        </w:rPr>
        <w:t>evidence based</w:t>
      </w:r>
      <w:proofErr w:type="gramEnd"/>
      <w:r w:rsidRPr="71B32097">
        <w:rPr>
          <w:rFonts w:ascii="Arial" w:eastAsia="Arial" w:hAnsi="Arial" w:cs="Arial"/>
          <w:sz w:val="22"/>
          <w:szCs w:val="22"/>
        </w:rPr>
        <w:t xml:space="preserve"> healthcare planning will support the use of NHS data including NHS records, Primary Care databases, Hospital statistics and disease registries, which will provide an understanding of patient diagnosis, treatment and outcome. To support evidence-based planning for healthcare, NHS data such as NHS records, Primary Care databases, Hospital statistics and disease registers are used to gain an understanding of patient diagnosis, treatment and outcomes. Moreover, longitudinal population studies follow the subjects over the </w:t>
      </w:r>
      <w:proofErr w:type="gramStart"/>
      <w:r w:rsidRPr="71B32097">
        <w:rPr>
          <w:rFonts w:ascii="Arial" w:eastAsia="Arial" w:hAnsi="Arial" w:cs="Arial"/>
          <w:sz w:val="22"/>
          <w:szCs w:val="22"/>
        </w:rPr>
        <w:t xml:space="preserve">period of </w:t>
      </w:r>
      <w:r w:rsidRPr="71B32097">
        <w:rPr>
          <w:rFonts w:ascii="Arial" w:eastAsia="Arial" w:hAnsi="Arial" w:cs="Arial"/>
          <w:sz w:val="22"/>
          <w:szCs w:val="22"/>
        </w:rPr>
        <w:lastRenderedPageBreak/>
        <w:t>time</w:t>
      </w:r>
      <w:proofErr w:type="gramEnd"/>
      <w:r w:rsidRPr="71B32097">
        <w:rPr>
          <w:rFonts w:ascii="Arial" w:eastAsia="Arial" w:hAnsi="Arial" w:cs="Arial"/>
          <w:sz w:val="22"/>
          <w:szCs w:val="22"/>
        </w:rPr>
        <w:t>, allowing the study of the course of a disease, its risk factors, and the long-term outcome. These data sources can be linked or may complement each other to enhance surveillance of cardiovascular diseases and help understand cardiovascular diseases trends amongst population subgroups (Conrad et al. 2024).</w:t>
      </w:r>
    </w:p>
    <w:p w14:paraId="410F8DDE" w14:textId="479BD830" w:rsidR="0068367E" w:rsidRDefault="390C2A97" w:rsidP="71B32097">
      <w:pPr>
        <w:spacing w:line="360" w:lineRule="auto"/>
        <w:ind w:firstLine="720"/>
      </w:pPr>
      <w:r w:rsidRPr="71B32097">
        <w:rPr>
          <w:rFonts w:ascii="Arial" w:eastAsia="Arial" w:hAnsi="Arial" w:cs="Arial"/>
          <w:sz w:val="22"/>
          <w:szCs w:val="22"/>
        </w:rPr>
        <w:t xml:space="preserve"> </w:t>
      </w:r>
    </w:p>
    <w:p w14:paraId="5DBA7B45" w14:textId="3F90CB09" w:rsidR="0068367E" w:rsidRDefault="390C2A97" w:rsidP="71B32097">
      <w:pPr>
        <w:pStyle w:val="Heading2"/>
        <w:spacing w:before="0" w:after="0" w:line="360" w:lineRule="auto"/>
        <w:rPr>
          <w:rFonts w:ascii="Arial" w:eastAsia="Arial" w:hAnsi="Arial" w:cs="Arial"/>
          <w:sz w:val="22"/>
          <w:szCs w:val="22"/>
        </w:rPr>
      </w:pPr>
      <w:r w:rsidRPr="71B32097">
        <w:rPr>
          <w:rFonts w:ascii="Arial" w:eastAsia="Arial" w:hAnsi="Arial" w:cs="Arial"/>
          <w:sz w:val="22"/>
          <w:szCs w:val="22"/>
        </w:rPr>
        <w:t>Risk Assessment and Clinical Monitoring</w:t>
      </w:r>
    </w:p>
    <w:p w14:paraId="684FCED9" w14:textId="6160FE8B" w:rsidR="0068367E" w:rsidRDefault="390C2A97" w:rsidP="71B32097">
      <w:pPr>
        <w:spacing w:after="0" w:line="360" w:lineRule="auto"/>
        <w:ind w:firstLine="720"/>
      </w:pPr>
      <w:r w:rsidRPr="71B32097">
        <w:rPr>
          <w:rFonts w:ascii="Arial" w:eastAsia="Arial" w:hAnsi="Arial" w:cs="Arial"/>
          <w:sz w:val="22"/>
          <w:szCs w:val="22"/>
        </w:rPr>
        <w:t>Early detection and prevention of CHD is enabled by risk assessment and clinical monitoring. Tracking of blood pressure and cholesterol levels can detect the presence of modifiable cardiovascular risk factors before these health issues become significant, which can be done by regular monitoring of these by healthcare providers (Canoy et al., 2022). There are also some methods for predicting cardiovascular risk that use these variables to help predict the risk of developing CHD. Thus, the patients can undergo screening, and preventive measures can be implemented. There are also health benefits when the disease is caught early, in that the treatment will result in better health and prevent the unnecessary burden of disease (NHS, n.d).</w:t>
      </w:r>
    </w:p>
    <w:p w14:paraId="584D6FA1" w14:textId="16717CB2" w:rsidR="0068367E" w:rsidRDefault="390C2A97" w:rsidP="71B32097">
      <w:pPr>
        <w:spacing w:line="360" w:lineRule="auto"/>
      </w:pPr>
      <w:r w:rsidRPr="71B32097">
        <w:rPr>
          <w:rFonts w:ascii="Arial" w:eastAsia="Arial" w:hAnsi="Arial" w:cs="Arial"/>
          <w:sz w:val="22"/>
          <w:szCs w:val="22"/>
        </w:rPr>
        <w:t xml:space="preserve"> </w:t>
      </w:r>
    </w:p>
    <w:p w14:paraId="6880630F" w14:textId="1CE76B0B" w:rsidR="0068367E" w:rsidRDefault="390C2A97" w:rsidP="71B32097">
      <w:pPr>
        <w:pStyle w:val="Heading2"/>
        <w:spacing w:before="0" w:after="0" w:line="360" w:lineRule="auto"/>
        <w:rPr>
          <w:rFonts w:ascii="Arial" w:eastAsia="Arial" w:hAnsi="Arial" w:cs="Arial"/>
          <w:sz w:val="22"/>
          <w:szCs w:val="22"/>
        </w:rPr>
      </w:pPr>
      <w:r w:rsidRPr="71B32097">
        <w:rPr>
          <w:rFonts w:ascii="Arial" w:eastAsia="Arial" w:hAnsi="Arial" w:cs="Arial"/>
          <w:sz w:val="22"/>
          <w:szCs w:val="22"/>
        </w:rPr>
        <w:t>Critical Analysis</w:t>
      </w:r>
    </w:p>
    <w:p w14:paraId="6EBC163F" w14:textId="766C1A17" w:rsidR="0068367E" w:rsidRDefault="390C2A97" w:rsidP="71B32097">
      <w:pPr>
        <w:spacing w:after="0" w:line="360" w:lineRule="auto"/>
        <w:ind w:firstLine="720"/>
      </w:pPr>
      <w:r w:rsidRPr="71B32097">
        <w:rPr>
          <w:rFonts w:ascii="Arial" w:eastAsia="Arial" w:hAnsi="Arial" w:cs="Arial"/>
          <w:sz w:val="22"/>
          <w:szCs w:val="22"/>
        </w:rPr>
        <w:t>The UK monitoring system is distinct in that it is based on large data sets and provides linked health-care data, improving monitoring and information to help inform decision-making. There are challenges to overcome, such as underdiagnostics, or 'chronic' socio-economic differences in regular screening and the provision of health care, which affects diagnosis and outcomes, and therefore improvements in uptake of health care and tracking socio-economic inequalities are required (Raleigh et al., 2022).</w:t>
      </w:r>
    </w:p>
    <w:p w14:paraId="74622E60" w14:textId="62431263" w:rsidR="0068367E" w:rsidRDefault="390C2A97" w:rsidP="71B32097">
      <w:pPr>
        <w:spacing w:line="360" w:lineRule="auto"/>
      </w:pPr>
      <w:r w:rsidRPr="71B32097">
        <w:rPr>
          <w:rFonts w:ascii="Arial" w:eastAsia="Arial" w:hAnsi="Arial" w:cs="Arial"/>
          <w:sz w:val="22"/>
          <w:szCs w:val="22"/>
        </w:rPr>
        <w:t xml:space="preserve"> </w:t>
      </w:r>
    </w:p>
    <w:p w14:paraId="3C17B9EF" w14:textId="08BB775A" w:rsidR="0068367E" w:rsidRDefault="390C2A97" w:rsidP="71B32097">
      <w:pPr>
        <w:pStyle w:val="Heading1"/>
        <w:spacing w:before="0" w:after="0" w:line="360" w:lineRule="auto"/>
        <w:rPr>
          <w:rFonts w:ascii="Arial" w:eastAsia="Arial" w:hAnsi="Arial" w:cs="Arial"/>
          <w:b/>
          <w:bCs/>
          <w:sz w:val="22"/>
          <w:szCs w:val="22"/>
        </w:rPr>
      </w:pPr>
      <w:r w:rsidRPr="71B32097">
        <w:rPr>
          <w:rFonts w:ascii="Arial" w:eastAsia="Arial" w:hAnsi="Arial" w:cs="Arial"/>
          <w:b/>
          <w:bCs/>
          <w:sz w:val="22"/>
          <w:szCs w:val="22"/>
        </w:rPr>
        <w:t>How Coronary Heart Disease is controlled</w:t>
      </w:r>
    </w:p>
    <w:p w14:paraId="3A68BB01" w14:textId="37ED26E8" w:rsidR="0068367E" w:rsidRDefault="390C2A97" w:rsidP="71B32097">
      <w:pPr>
        <w:pStyle w:val="Heading2"/>
        <w:spacing w:before="0" w:after="0" w:line="360" w:lineRule="auto"/>
        <w:rPr>
          <w:rFonts w:ascii="Arial" w:eastAsia="Arial" w:hAnsi="Arial" w:cs="Arial"/>
          <w:sz w:val="22"/>
          <w:szCs w:val="22"/>
        </w:rPr>
      </w:pPr>
      <w:r w:rsidRPr="71B32097">
        <w:rPr>
          <w:rFonts w:ascii="Arial" w:eastAsia="Arial" w:hAnsi="Arial" w:cs="Arial"/>
          <w:sz w:val="22"/>
          <w:szCs w:val="22"/>
        </w:rPr>
        <w:t>Primary Prevention</w:t>
      </w:r>
    </w:p>
    <w:p w14:paraId="4BE837CE" w14:textId="3599DEB8" w:rsidR="0068367E" w:rsidRDefault="390C2A97" w:rsidP="71B32097">
      <w:pPr>
        <w:spacing w:after="0" w:line="360" w:lineRule="auto"/>
        <w:ind w:firstLine="720"/>
      </w:pPr>
      <w:r w:rsidRPr="71B32097">
        <w:rPr>
          <w:rFonts w:ascii="Arial" w:eastAsia="Arial" w:hAnsi="Arial" w:cs="Arial"/>
          <w:sz w:val="22"/>
          <w:szCs w:val="22"/>
        </w:rPr>
        <w:t>Primary prevention attempts to minimise the presence of actionable risk factors prior to the onset of CHD. Central to this are the interventions of smoking cessation, healthy diets, regular physical activity and weight control to decrease the risk of atherosclerosis and promote good circulation (NHS, n.d). There are also recommendations to motivate behavioural change to reduce exposure to cardiovascular risk factors and promote long-term cardiovascular disease prevention, which remain/reach the objectives of public health campaigns (WHO, 2025).</w:t>
      </w:r>
    </w:p>
    <w:p w14:paraId="69ADDDB6" w14:textId="237407F2" w:rsidR="0068367E" w:rsidRDefault="390C2A97" w:rsidP="71B32097">
      <w:pPr>
        <w:spacing w:line="360" w:lineRule="auto"/>
      </w:pPr>
      <w:r w:rsidRPr="71B32097">
        <w:rPr>
          <w:rFonts w:ascii="Arial" w:eastAsia="Arial" w:hAnsi="Arial" w:cs="Arial"/>
          <w:sz w:val="22"/>
          <w:szCs w:val="22"/>
        </w:rPr>
        <w:t xml:space="preserve"> </w:t>
      </w:r>
    </w:p>
    <w:p w14:paraId="3985DA11" w14:textId="357131FB" w:rsidR="0068367E" w:rsidRDefault="390C2A97" w:rsidP="71B32097">
      <w:pPr>
        <w:pStyle w:val="Heading2"/>
        <w:spacing w:before="0" w:after="0" w:line="360" w:lineRule="auto"/>
        <w:rPr>
          <w:rFonts w:ascii="Arial" w:eastAsia="Arial" w:hAnsi="Arial" w:cs="Arial"/>
          <w:sz w:val="22"/>
          <w:szCs w:val="22"/>
        </w:rPr>
      </w:pPr>
      <w:r w:rsidRPr="71B32097">
        <w:rPr>
          <w:rFonts w:ascii="Arial" w:eastAsia="Arial" w:hAnsi="Arial" w:cs="Arial"/>
          <w:sz w:val="22"/>
          <w:szCs w:val="22"/>
        </w:rPr>
        <w:lastRenderedPageBreak/>
        <w:t>Medical Management</w:t>
      </w:r>
    </w:p>
    <w:p w14:paraId="3A3BE6F0" w14:textId="2AF4E31D" w:rsidR="0068367E" w:rsidRDefault="390C2A97" w:rsidP="71B32097">
      <w:pPr>
        <w:spacing w:after="0" w:line="360" w:lineRule="auto"/>
        <w:ind w:firstLine="720"/>
      </w:pPr>
      <w:r w:rsidRPr="71B32097">
        <w:rPr>
          <w:rFonts w:ascii="Arial" w:eastAsia="Arial" w:hAnsi="Arial" w:cs="Arial"/>
          <w:sz w:val="22"/>
          <w:szCs w:val="22"/>
        </w:rPr>
        <w:t>In people who have CHD, medical management involves managing the disease to prevent further complications and to slow disease progress. Reduction in BP may be especially important as hypertension has a significant contribution to cardiovascular risk, and evidence indicates that lower BP translates to fewer cardiovascular events (Canoy et al., 2022). Statins can also lower cholesterol, whilst anti-clotting medicines will prevent blood clots from forming, which means that they will not only help to make heart attack less likely, but also another myocardial event.</w:t>
      </w:r>
    </w:p>
    <w:p w14:paraId="5E5787A5" w14:textId="3FA4C5DE" w:rsidR="0068367E" w:rsidRDefault="0068367E"/>
    <w:sectPr w:rsidR="0068367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20B0504020202020204"/>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19F8E8"/>
    <w:rsid w:val="00154353"/>
    <w:rsid w:val="0068367E"/>
    <w:rsid w:val="008D1727"/>
    <w:rsid w:val="050CC6F8"/>
    <w:rsid w:val="08DC3C8F"/>
    <w:rsid w:val="1C724405"/>
    <w:rsid w:val="29DED716"/>
    <w:rsid w:val="30FB8FE9"/>
    <w:rsid w:val="390C2A97"/>
    <w:rsid w:val="4619F8E8"/>
    <w:rsid w:val="47943427"/>
    <w:rsid w:val="532C928D"/>
    <w:rsid w:val="5CDDA723"/>
    <w:rsid w:val="5E509065"/>
    <w:rsid w:val="6905A5FE"/>
    <w:rsid w:val="6D2AE254"/>
    <w:rsid w:val="6DBB907B"/>
    <w:rsid w:val="71B32097"/>
    <w:rsid w:val="7D191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836E"/>
  <w15:chartTrackingRefBased/>
  <w15:docId w15:val="{1E102E7E-4C96-4B7B-8493-C22BCCB3B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1B320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1B320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898</Words>
  <Characters>4571</Characters>
  <Application>Microsoft Office Word</Application>
  <DocSecurity>0</DocSecurity>
  <Lines>114</Lines>
  <Paragraphs>39</Paragraphs>
  <ScaleCrop>false</ScaleCrop>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Lazdovska (2511190)</dc:creator>
  <cp:keywords/>
  <dc:description/>
  <cp:lastModifiedBy>Oksana Lazdovska (2511190)</cp:lastModifiedBy>
  <cp:revision>5</cp:revision>
  <dcterms:created xsi:type="dcterms:W3CDTF">2026-07-08T15:00:00Z</dcterms:created>
  <dcterms:modified xsi:type="dcterms:W3CDTF">2026-07-08T15:48:00Z</dcterms:modified>
</cp:coreProperties>
</file>