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AI Acknowledgement</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acknowledge the use of Grammarly (https://www.grammarly.com/) on 9 December 2025 to check my work using the prompt: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Please check the following text for readability, grammar and syntax. </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06">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E">
      <w:pPr>
        <w:spacing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spacing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Discuss </w:t>
      </w:r>
      <w:r w:rsidDel="00000000" w:rsidR="00000000" w:rsidRPr="00000000">
        <w:rPr>
          <w:rFonts w:ascii="Times New Roman" w:cs="Times New Roman" w:eastAsia="Times New Roman" w:hAnsi="Times New Roman"/>
          <w:b w:val="1"/>
          <w:bCs w:val="1"/>
          <w:sz w:val="24"/>
          <w:szCs w:val="24"/>
          <w:rtl w:val="0"/>
        </w:rPr>
        <w:t xml:space="preserve">how </w:t>
      </w:r>
      <w:r w:rsidDel="00000000" w:rsidR="00000000" w:rsidRPr="00000000">
        <w:rPr>
          <w:rFonts w:ascii="Times New Roman" w:cs="Times New Roman" w:eastAsia="Times New Roman" w:hAnsi="Times New Roman"/>
          <w:b w:val="1"/>
          <w:bCs w:val="1"/>
          <w:sz w:val="24"/>
          <w:szCs w:val="24"/>
          <w:rtl w:val="0"/>
        </w:rPr>
        <w:t xml:space="preserve">our understanding</w:t>
      </w:r>
      <w:r w:rsidDel="00000000" w:rsidR="00000000" w:rsidRPr="00000000">
        <w:rPr>
          <w:rFonts w:ascii="Times New Roman" w:cs="Times New Roman" w:eastAsia="Times New Roman" w:hAnsi="Times New Roman"/>
          <w:b w:val="1"/>
          <w:bCs w:val="1"/>
          <w:sz w:val="24"/>
          <w:szCs w:val="24"/>
          <w:rtl w:val="0"/>
        </w:rPr>
        <w:t xml:space="preserve"> of </w:t>
      </w:r>
      <w:r w:rsidDel="00000000" w:rsidR="00000000" w:rsidRPr="00000000">
        <w:rPr>
          <w:rFonts w:ascii="Times New Roman" w:cs="Times New Roman" w:eastAsia="Times New Roman" w:hAnsi="Times New Roman"/>
          <w:b w:val="1"/>
          <w:bCs w:val="1"/>
          <w:sz w:val="24"/>
          <w:szCs w:val="24"/>
          <w:rtl w:val="0"/>
        </w:rPr>
        <w:t xml:space="preserve">melancholia and approaches to treatment </w:t>
      </w:r>
      <w:r w:rsidDel="00000000" w:rsidR="00000000" w:rsidRPr="00000000">
        <w:rPr>
          <w:rFonts w:ascii="Times New Roman" w:cs="Times New Roman" w:eastAsia="Times New Roman" w:hAnsi="Times New Roman"/>
          <w:b w:val="1"/>
          <w:bCs w:val="1"/>
          <w:sz w:val="24"/>
          <w:szCs w:val="24"/>
          <w:rtl w:val="0"/>
        </w:rPr>
        <w:t xml:space="preserve">have </w:t>
      </w:r>
      <w:r w:rsidDel="00000000" w:rsidR="00000000" w:rsidRPr="00000000">
        <w:rPr>
          <w:rFonts w:ascii="Times New Roman" w:cs="Times New Roman" w:eastAsia="Times New Roman" w:hAnsi="Times New Roman"/>
          <w:b w:val="1"/>
          <w:bCs w:val="1"/>
          <w:sz w:val="24"/>
          <w:szCs w:val="24"/>
          <w:rtl w:val="0"/>
        </w:rPr>
        <w:t xml:space="preserve">changed over time</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The Changing Attitudes of ‘Black Bile’</w:t>
      </w:r>
      <w:r w:rsidDel="00000000" w:rsidR="00000000" w:rsidRPr="00000000">
        <w:rPr>
          <w:rtl w:val="0"/>
        </w:rPr>
      </w:r>
    </w:p>
    <w:p w:rsidR="00000000" w:rsidDel="00000000" w:rsidP="00000000" w:rsidRDefault="00000000" w:rsidRPr="00000000" w14:paraId="00000023">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bile,' has been a subject extensively examined throughout history. In recent decades, a deeper understanding of mental illness has emerged, revealing faults behind the explanations of early philosophers. Our comprehension has developed to such an extent that what was once viewed as a singular disorder has now been separated into various diagnoses. This shift has positioned melancholia as a component of major depressive disorder and as a transient state of mind rather than a fixed trait. Although pensive sadness and anxiety remain linked with the term, melancholia is no longer recognised as a distinct clinical condition.</w:t>
      </w:r>
    </w:p>
    <w:p w:rsidR="00000000" w:rsidDel="00000000" w:rsidP="00000000" w:rsidRDefault="00000000" w:rsidRPr="00000000" w14:paraId="00000024">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essay is to explore the pivotal moments throughout history, recognising the key theorists who put forward revolutionary ideas that transformed our understanding of melancholia.</w:t>
      </w:r>
    </w:p>
    <w:p w:rsidR="00000000" w:rsidDel="00000000" w:rsidP="00000000" w:rsidRDefault="00000000" w:rsidRPr="00000000" w14:paraId="00000025">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6">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Melancholia originates in Greek philosophy, a concept further developed by Hippocrates. Central to his theory were the four humours: blood, phlegm, yellow bile, and black bile. An imbalance among these was believed to produce different emotional characteristics. A surplus of black bile in the spleen was thought to cause a melancholic temperament, associated with gloominess and fear. Restoring health required stabilising the humours, often through dietary adjustments such as consuming boiled meat to provide heat and moisture. Another significant, though hazardous, treatment involved removing excess fluids through bloodletting or purges.</w:t>
      </w:r>
    </w:p>
    <w:p w:rsidR="00000000" w:rsidDel="00000000" w:rsidP="00000000" w:rsidRDefault="00000000" w:rsidRPr="00000000" w14:paraId="00000027">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Hippocrates’ purely biological explanation was a huge contrast to what the Greeks formerly believed to be a consequence of displeasing the gods. Hippocrates, in his book ‘</w:t>
      </w:r>
      <w:r w:rsidDel="00000000" w:rsidR="00000000" w:rsidRPr="00000000">
        <w:rPr>
          <w:rFonts w:ascii="Times New Roman" w:cs="Times New Roman" w:eastAsia="Times New Roman" w:hAnsi="Times New Roman"/>
          <w:i w:val="1"/>
          <w:iCs w:val="1"/>
          <w:sz w:val="24"/>
          <w:szCs w:val="24"/>
          <w:rtl w:val="0"/>
        </w:rPr>
        <w:t xml:space="preserve">On the Sacred Disease’</w:t>
      </w:r>
      <w:r w:rsidDel="00000000" w:rsidR="00000000" w:rsidRPr="00000000">
        <w:rPr>
          <w:rFonts w:ascii="Times New Roman" w:cs="Times New Roman" w:eastAsia="Times New Roman" w:hAnsi="Times New Roman"/>
          <w:sz w:val="24"/>
          <w:szCs w:val="24"/>
          <w:rtl w:val="0"/>
        </w:rPr>
        <w:t xml:space="preserve">, called out those who viewed the illness as divine as having “utter ignorance”. Despite his rejection of any supernatural intervention, it would come to be that many individuals conversely saw melancholia as sinful, especially in Christian tradition, turning to exorcisms to cure the ‘insane’. Additionally, Arabs held ‘jinn’ accountable for disease. They interpreted unexplained emotional disturbances as a sign of possession; however, they also adhered to the humoral theory. For that reason, muslim physicians would cauterise the heads of the melancholic with hot irons to banish the demons.</w:t>
      </w:r>
    </w:p>
    <w:p w:rsidR="00000000" w:rsidDel="00000000" w:rsidP="00000000" w:rsidRDefault="00000000" w:rsidRPr="00000000" w14:paraId="00000028">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previously mentioned, Hippocratic medicine was strongly linked with the works of Galen in the 2nd century. Galen also drew heavily from the writings of Rufus of Ephesus, who emphasised that psychological factors played a role in illness, rather than just physical causes. Intense intellectual activity, consistent worrying, and persistent sadness were highlighted as contributors to the symptoms of melancholia. Galen adopted these ideas, incorporating them into his treatments, encouraging physical care as a method of diminishing sadness. 'Galenism' became the core of professional medicine in the Middle East for centuries, shaping the understanding of melancholia.​</w:t>
      </w:r>
    </w:p>
    <w:p w:rsidR="00000000" w:rsidDel="00000000" w:rsidP="00000000" w:rsidRDefault="00000000" w:rsidRPr="00000000" w14:paraId="00000029">
      <w:pPr>
        <w:spacing w:after="120" w:before="12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forward into the Medieval era, there was an introduction of a more progressive view of melancholia, claiming that those who obtained it were actually of higher intellect. It was no longer a detrimental illness that needed to be fixed. Instead, it was fashionable, notably because of its relations to popular poets and artists. In the 4th century, in ‘</w:t>
      </w:r>
      <w:r w:rsidDel="00000000" w:rsidR="00000000" w:rsidRPr="00000000">
        <w:rPr>
          <w:rFonts w:ascii="Times New Roman" w:cs="Times New Roman" w:eastAsia="Times New Roman" w:hAnsi="Times New Roman"/>
          <w:i w:val="1"/>
          <w:iCs w:val="1"/>
          <w:sz w:val="24"/>
          <w:szCs w:val="24"/>
          <w:rtl w:val="0"/>
        </w:rPr>
        <w:t xml:space="preserve">Problemata’ </w:t>
      </w:r>
      <w:r w:rsidDel="00000000" w:rsidR="00000000" w:rsidRPr="00000000">
        <w:rPr>
          <w:rFonts w:ascii="Times New Roman" w:cs="Times New Roman" w:eastAsia="Times New Roman" w:hAnsi="Times New Roman"/>
          <w:sz w:val="24"/>
          <w:szCs w:val="24"/>
          <w:rtl w:val="0"/>
        </w:rPr>
        <w:t xml:space="preserve">30.1, Aristotle famously asks, “Why is it that all those men who excel in philosophy, politics, or the arts appear to be melancholics?”, highlighting the concept that depressives have superior knowledge. He even claimed that those who excel in the arts may be “blessed by a humoral effect”, implying that melancholics were ‘healthier’ due to their creativity and eminence than ‘normal’ individuals, according to Andreasan and Canter (1974).</w:t>
      </w:r>
    </w:p>
    <w:p w:rsidR="00000000" w:rsidDel="00000000" w:rsidP="00000000" w:rsidRDefault="00000000" w:rsidRPr="00000000" w14:paraId="0000002B">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often than not, melancholic poets wove the symptoms of lovesickness throughout their work. Since sufferers of lovesickness displayed similar characteristics to melancholia, like fever and madness, the condition was often viewed as a subtype. It became a recurring theme throughout medieval literature. For example, in Chretien de Troyes’ ‘</w:t>
      </w:r>
      <w:r w:rsidDel="00000000" w:rsidR="00000000" w:rsidRPr="00000000">
        <w:rPr>
          <w:rFonts w:ascii="Times New Roman" w:cs="Times New Roman" w:eastAsia="Times New Roman" w:hAnsi="Times New Roman"/>
          <w:i w:val="1"/>
          <w:iCs w:val="1"/>
          <w:sz w:val="24"/>
          <w:szCs w:val="24"/>
          <w:rtl w:val="0"/>
        </w:rPr>
        <w:t xml:space="preserve">Yvain, the Knight of the Lion’</w:t>
      </w:r>
      <w:r w:rsidDel="00000000" w:rsidR="00000000" w:rsidRPr="00000000">
        <w:rPr>
          <w:rFonts w:ascii="Times New Roman" w:cs="Times New Roman" w:eastAsia="Times New Roman" w:hAnsi="Times New Roman"/>
          <w:sz w:val="24"/>
          <w:szCs w:val="24"/>
          <w:rtl w:val="0"/>
        </w:rPr>
        <w:t xml:space="preserve">, Yvain becomes mad and befriends a lion after being rejected by his wife. Furthermore, in Shakespeare's' ' </w:t>
      </w:r>
      <w:r w:rsidDel="00000000" w:rsidR="00000000" w:rsidRPr="00000000">
        <w:rPr>
          <w:rFonts w:ascii="Times New Roman" w:cs="Times New Roman" w:eastAsia="Times New Roman" w:hAnsi="Times New Roman"/>
          <w:i w:val="1"/>
          <w:iCs w:val="1"/>
          <w:sz w:val="24"/>
          <w:szCs w:val="24"/>
          <w:rtl w:val="0"/>
        </w:rPr>
        <w:t xml:space="preserve">As You Like It’</w:t>
      </w:r>
      <w:r w:rsidDel="00000000" w:rsidR="00000000" w:rsidRPr="00000000">
        <w:rPr>
          <w:rFonts w:ascii="Times New Roman" w:cs="Times New Roman" w:eastAsia="Times New Roman" w:hAnsi="Times New Roman"/>
          <w:sz w:val="24"/>
          <w:szCs w:val="24"/>
          <w:rtl w:val="0"/>
        </w:rPr>
        <w:t xml:space="preserve"> ‘ he states " Love is merely a madness”. </w:t>
      </w:r>
    </w:p>
    <w:p w:rsidR="00000000" w:rsidDel="00000000" w:rsidP="00000000" w:rsidRDefault="00000000" w:rsidRPr="00000000" w14:paraId="0000002C">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Various theorists suggested that melancholia had the possibility of intensifying to such a degree that the lines between melancholy and insanity became blurred. This showed in many plays as madness was represented as gory and feverish, e.g. Titus Andronicus (1594). This shows that, on one hand, melancholia was tremendously romanticised and desired, yet on the other hand, it was still a frightening and ferocious disease to possess.</w:t>
      </w:r>
    </w:p>
    <w:p w:rsidR="00000000" w:rsidDel="00000000" w:rsidP="00000000" w:rsidRDefault="00000000" w:rsidRPr="00000000" w14:paraId="0000002D">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beginning of the Enlightenment era was a colossal moment in history. It saw the introduction of psychiatric hospitals and neurology, laying the groundwork for modern psychiatry. St. Mary of Bethlehem/‘Bedlam’ was England’s first mental asylum, established in 1247. Although it is known to be one of the most pioneering psychiatric hospitals of all time, it only became a definitive psychiatric institution in the 1400s.</w:t>
      </w:r>
    </w:p>
    <w:p w:rsidR="00000000" w:rsidDel="00000000" w:rsidP="00000000" w:rsidRDefault="00000000" w:rsidRPr="00000000" w14:paraId="0000002F">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institutions were more like “dog kennels”, imprisoning patients, and establishing abuse as a normal discipline. African Americans were frequently turned away from asylums. Yet, on the rare condition that they were accepted, they were treated even worse than usual. In opposition, William Tuke founded The Retreat in 1796. Unlike the usual mental asylums, patients were encouraged to be in aesthetically pleasing environments and to engage in therapeutic activities, as Tuke believed treating them like normal people might return them to their natural state. Reform asylums like The Retreat were praised, particularly by Dorothea Dix, who campaigned to male congressmen for more. An alternative was to </w:t>
      </w:r>
      <w:r w:rsidDel="00000000" w:rsidR="00000000" w:rsidRPr="00000000">
        <w:rPr>
          <w:rFonts w:ascii="Times New Roman" w:cs="Times New Roman" w:eastAsia="Times New Roman" w:hAnsi="Times New Roman"/>
          <w:sz w:val="24"/>
          <w:szCs w:val="24"/>
          <w:rtl w:val="0"/>
        </w:rPr>
        <w:t xml:space="preserve">have family</w:t>
      </w:r>
      <w:r w:rsidDel="00000000" w:rsidR="00000000" w:rsidRPr="00000000">
        <w:rPr>
          <w:rFonts w:ascii="Times New Roman" w:cs="Times New Roman" w:eastAsia="Times New Roman" w:hAnsi="Times New Roman"/>
          <w:sz w:val="24"/>
          <w:szCs w:val="24"/>
          <w:rtl w:val="0"/>
        </w:rPr>
        <w:t xml:space="preserve"> look after the mentally ill, yet this was primarily an option for the rich. As Plato once said, a “madman” is not to be left alone “but is to be taken care of by his relatives”. However, Pinel, a French physician, argued that “deranged” patients rarely get cured in the bosom of their family, discouraging it as a treatment option.</w:t>
      </w:r>
    </w:p>
    <w:p w:rsidR="00000000" w:rsidDel="00000000" w:rsidP="00000000" w:rsidRDefault="00000000" w:rsidRPr="00000000" w14:paraId="00000030">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Alongside new treatments were new theories. René Descartes’ concept of the mind being separate from the body was brought to light in the 19th century. His perspective sparked Griesinger to introduce the notion that mental illness was caused by a disturbance of the brain, and, Willis, to found neurology. Willis believed that nerves ‘revealed the true and genuine reasons for the actions that take place in our body’. Neurologists, on the whole, claimed expertise in the treatment of melancholia. A momentous neurologist treatment for mental illness was ‘rest-cure’. The Western Health Reform Institute was the largest, most famous sanitarium to exist in 1860 using rest-cure as their main therapy. Yet, individuals professed after their stay that it drove them insane in an even greater measure than before. The methods that were included were diets to efficiently empty the colon, abstinence from alcohol, and ECT. ECT was a process involving administering electric shocks to alleviate severe emotional symptoms. Kaufmann invented it for men who suffered from ‘shell shock’ after the war. Shell shock is closely related to the previous understanding of melancholia.</w:t>
      </w:r>
    </w:p>
    <w:p w:rsidR="00000000" w:rsidDel="00000000" w:rsidP="00000000" w:rsidRDefault="00000000" w:rsidRPr="00000000" w14:paraId="00000031">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the same time, Freud produced psychoanalysis; a revolutionary therapy that we still use today. He focused on turning our unconscious memories conscious. This was possible by hypnosis or dream analysis. One of Freud’s seniors, Josef Breuer, had treated ‘Anna O.’ by having prolonged, thoughtful conversations with her to bring forward her repressed memories. By doing so, her “hysterical symptoms immediately and permanently disappeared”. </w:t>
      </w:r>
    </w:p>
    <w:p w:rsidR="00000000" w:rsidDel="00000000" w:rsidP="00000000" w:rsidRDefault="00000000" w:rsidRPr="00000000" w14:paraId="00000032">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3">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early 20th century, melancholia began to decline as a diagnosis. Kraepelin's nosology of dementia praecox and manic-depressive insanity had consequences for how depression was classified. Melancholia became a simple part of manic-depressive insanity, not an individual disease. To add to that, Adolf Meyer asserted that melancholia was simply a reaction type. Thus, melancholia was replaced by ‘depression’.</w:t>
      </w:r>
    </w:p>
    <w:p w:rsidR="00000000" w:rsidDel="00000000" w:rsidP="00000000" w:rsidRDefault="00000000" w:rsidRPr="00000000" w14:paraId="00000034">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period also saw the rise of eugenics. The idea that certain traits were inheritable goes back to the 18th century views of Jean-Baptiste Lamarck. However it was Galton’s ideas that became the basis of behavioural genetics. The concept that genetic relations with a mentally ill individual meant you were more likely to be affected was what ultimately influenced Hitler in 1933 to secure the Law for the Prevention of Hereditarily Diseased Offspring, setting of ‘The Holocaust’. Along with this was the belief that women were the bearers of all disease. This was a persistent thought throughout Ancient Greece too. Yet, here they began to conduct oophorectomies as a method to prevent affected women from giving birth.</w:t>
      </w:r>
    </w:p>
    <w:p w:rsidR="00000000" w:rsidDel="00000000" w:rsidP="00000000" w:rsidRDefault="00000000" w:rsidRPr="00000000" w14:paraId="00000035">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popular ‘treatment’ during this time actually aimed to damage the brain. A leucotomy, developed by Moniz, required severing brain tissue in the frontal lobe until the symptoms subsided. However, in the 1960s, all forms of psychosurgery and shock therapies were proclaimed as ‘psychiatric oppression’. A safer, more effective approach was desperately needed. </w:t>
      </w:r>
    </w:p>
    <w:p w:rsidR="00000000" w:rsidDel="00000000" w:rsidP="00000000" w:rsidRDefault="00000000" w:rsidRPr="00000000" w14:paraId="00000036">
      <w:pPr>
        <w:spacing w:after="120" w:before="12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Chlorpromazine was identified as a “chemical lobotomy” (Anton-Stephens, 1954). This was exhibited in 1942 where a woman with dementia praecox sufficiently improved on Chlorpromazine after failing to respond to ECT. It was the first drug to treat individuals instead of masking their symptoms. This marked the beginning of psychopharmacology. Throughout this period, hypotheses of serotonin flourished. As a result, drugs like fluoxetine were published, which increased the levels of the neurotransmitter, along with happiness. </w:t>
      </w:r>
    </w:p>
    <w:p w:rsidR="00000000" w:rsidDel="00000000" w:rsidP="00000000" w:rsidRDefault="00000000" w:rsidRPr="00000000" w14:paraId="00000038">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late 20th century provided us with fundamental insights into how the human brain functions and transformed how we approach mental illness completely. Currently, psychopharmaceuticals are the highest-selling drugs in society.  Nevertheless, despite the soaring profits of SSRI, researchers discovered that they increased suicidal behaviour. Thus, it is recommended that they should be administered alongside talking therapy (pioneered by Freud).</w:t>
      </w:r>
    </w:p>
    <w:p w:rsidR="00000000" w:rsidDel="00000000" w:rsidP="00000000" w:rsidRDefault="00000000" w:rsidRPr="00000000" w14:paraId="00000039">
      <w:pPr>
        <w:spacing w:after="120" w:before="12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120" w:before="1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our understanding of ‘black bile’ has transformed entirely. Psychiatrists, and physicians have long struggled to make sense of mental illness, and even now, we are still figuring things out. The emergence of asylums and the recognition of the brain as a source were two pivotal turning points in history that reshaped how melancholia is characterised. Additionally, collective insight into melancholia has guided us into creating ethically sound, efficient treatments for depression that we depend upon today.</w:t>
      </w:r>
    </w:p>
    <w:p w:rsidR="00000000" w:rsidDel="00000000" w:rsidP="00000000" w:rsidRDefault="00000000" w:rsidRPr="00000000" w14:paraId="0000003B">
      <w:pPr>
        <w:spacing w:after="120" w:before="12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 list</w:t>
      </w:r>
    </w:p>
    <w:p w:rsidR="00000000" w:rsidDel="00000000" w:rsidP="00000000" w:rsidRDefault="00000000" w:rsidRPr="00000000" w14:paraId="00000057">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8">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Akiskal, H. S., &amp; Akiskal, K. K. (2007).</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search of Aristotle: Temperament, human nature, melancholia, creativity and eminence.</w:t>
      </w:r>
      <w:r w:rsidDel="00000000" w:rsidR="00000000" w:rsidRPr="00000000">
        <w:rPr>
          <w:rFonts w:ascii="Times New Roman" w:cs="Times New Roman" w:eastAsia="Times New Roman" w:hAnsi="Times New Roman"/>
          <w:i w:val="1"/>
          <w:iCs w:val="1"/>
          <w:sz w:val="24"/>
          <w:szCs w:val="24"/>
          <w:rtl w:val="0"/>
        </w:rPr>
        <w:t xml:space="preserve"> Journal of Affective Disorders, 100</w:t>
      </w:r>
      <w:r w:rsidDel="00000000" w:rsidR="00000000" w:rsidRPr="00000000">
        <w:rPr>
          <w:rFonts w:ascii="Times New Roman" w:cs="Times New Roman" w:eastAsia="Times New Roman" w:hAnsi="Times New Roman"/>
          <w:sz w:val="24"/>
          <w:szCs w:val="24"/>
          <w:rtl w:val="0"/>
        </w:rPr>
        <w:t xml:space="preserve">(1-3), 1-6. </w:t>
      </w:r>
      <w:hyperlink r:id="rId6">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https://doi.org/10.1016/j.jad.2007.04.013</w:t>
        </w:r>
      </w:hyperlink>
      <w:r w:rsidDel="00000000" w:rsidR="00000000" w:rsidRPr="00000000">
        <w:rPr>
          <w:rtl w:val="0"/>
        </w:rPr>
      </w:r>
    </w:p>
    <w:p w:rsidR="00000000" w:rsidDel="00000000" w:rsidP="00000000" w:rsidRDefault="00000000" w:rsidRPr="00000000" w14:paraId="00000059">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Braslow, J. T., &amp; Marder, S. R. (2019). History of Psychopharmacology. </w:t>
      </w:r>
      <w:r w:rsidDel="00000000" w:rsidR="00000000" w:rsidRPr="00000000">
        <w:rPr>
          <w:rFonts w:ascii="Times New Roman" w:cs="Times New Roman" w:eastAsia="Times New Roman" w:hAnsi="Times New Roman"/>
          <w:i w:val="1"/>
          <w:iCs w:val="1"/>
          <w:sz w:val="24"/>
          <w:szCs w:val="24"/>
          <w:rtl w:val="0"/>
        </w:rPr>
        <w:t xml:space="preserve">Annual Review of Clinical Psychology, 15</w:t>
      </w:r>
      <w:r w:rsidDel="00000000" w:rsidR="00000000" w:rsidRPr="00000000">
        <w:rPr>
          <w:rFonts w:ascii="Times New Roman" w:cs="Times New Roman" w:eastAsia="Times New Roman" w:hAnsi="Times New Roman"/>
          <w:sz w:val="24"/>
          <w:szCs w:val="24"/>
          <w:rtl w:val="0"/>
        </w:rPr>
        <w:t xml:space="preserve">, 25-50. </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https://doi.org/10.1146/annurev-clinpsy-050718-095514</w:t>
        </w:r>
      </w:hyperlink>
      <w:r w:rsidDel="00000000" w:rsidR="00000000" w:rsidRPr="00000000">
        <w:rPr>
          <w:rtl w:val="0"/>
        </w:rPr>
      </w:r>
    </w:p>
    <w:p w:rsidR="00000000" w:rsidDel="00000000" w:rsidP="00000000" w:rsidRDefault="00000000" w:rsidRPr="00000000" w14:paraId="0000005A">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Jansson, Å. (2020). Conclusion: Melancholia, Depression, and the Politics of Classification. In </w:t>
      </w:r>
      <w:r w:rsidDel="00000000" w:rsidR="00000000" w:rsidRPr="00000000">
        <w:rPr>
          <w:rFonts w:ascii="Times New Roman" w:cs="Times New Roman" w:eastAsia="Times New Roman" w:hAnsi="Times New Roman"/>
          <w:i w:val="1"/>
          <w:iCs w:val="1"/>
          <w:color w:val="222222"/>
          <w:sz w:val="24"/>
          <w:szCs w:val="24"/>
          <w:highlight w:val="white"/>
          <w:rtl w:val="0"/>
        </w:rPr>
        <w:t xml:space="preserve">From Melancholia to Depression: Disordered Mood in Nineteenth-Century Psychiatry </w:t>
      </w:r>
      <w:r w:rsidDel="00000000" w:rsidR="00000000" w:rsidRPr="00000000">
        <w:rPr>
          <w:rFonts w:ascii="Times New Roman" w:cs="Times New Roman" w:eastAsia="Times New Roman" w:hAnsi="Times New Roman"/>
          <w:color w:val="222222"/>
          <w:sz w:val="24"/>
          <w:szCs w:val="24"/>
          <w:highlight w:val="white"/>
          <w:rtl w:val="0"/>
        </w:rPr>
        <w:t xml:space="preserve">(209-228). Palgrave Macmillan.</w:t>
      </w:r>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https://doi.org/10.1007/978-3-030-54802-5_7</w:t>
        </w:r>
      </w:hyperlink>
      <w:r w:rsidDel="00000000" w:rsidR="00000000" w:rsidRPr="00000000">
        <w:rPr>
          <w:rtl w:val="0"/>
        </w:rPr>
      </w:r>
    </w:p>
    <w:p w:rsidR="00000000" w:rsidDel="00000000" w:rsidP="00000000" w:rsidRDefault="00000000" w:rsidRPr="00000000" w14:paraId="0000005B">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Kemp, S. (2019). Mental disorder and mysticism in the late medieval world. </w:t>
      </w:r>
      <w:r w:rsidDel="00000000" w:rsidR="00000000" w:rsidRPr="00000000">
        <w:rPr>
          <w:rFonts w:ascii="Times New Roman" w:cs="Times New Roman" w:eastAsia="Times New Roman" w:hAnsi="Times New Roman"/>
          <w:i w:val="1"/>
          <w:iCs w:val="1"/>
          <w:color w:val="212529"/>
          <w:sz w:val="24"/>
          <w:szCs w:val="24"/>
          <w:highlight w:val="white"/>
          <w:rtl w:val="0"/>
        </w:rPr>
        <w:t xml:space="preserve">History of Psychology, 22</w:t>
      </w:r>
      <w:r w:rsidDel="00000000" w:rsidR="00000000" w:rsidRPr="00000000">
        <w:rPr>
          <w:rFonts w:ascii="Times New Roman" w:cs="Times New Roman" w:eastAsia="Times New Roman" w:hAnsi="Times New Roman"/>
          <w:color w:val="212529"/>
          <w:sz w:val="24"/>
          <w:szCs w:val="24"/>
          <w:highlight w:val="white"/>
          <w:rtl w:val="0"/>
        </w:rPr>
        <w:t xml:space="preserve">(2), 149–162.</w:t>
      </w:r>
      <w:r w:rsidDel="00000000" w:rsidR="00000000" w:rsidRPr="00000000">
        <w:rPr>
          <w:rFonts w:ascii="Times New Roman" w:cs="Times New Roman" w:eastAsia="Times New Roman" w:hAnsi="Times New Roman"/>
          <w:color w:val="212529"/>
          <w:sz w:val="21"/>
          <w:szCs w:val="21"/>
          <w:highlight w:val="white"/>
          <w:rtl w:val="0"/>
        </w:rPr>
        <w:t xml:space="preserve">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https://doi.org/10.1037/hop0000121</w:t>
        </w:r>
      </w:hyperlink>
      <w:r w:rsidDel="00000000" w:rsidR="00000000" w:rsidRPr="00000000">
        <w:rPr>
          <w:rtl w:val="0"/>
        </w:rPr>
      </w:r>
    </w:p>
    <w:p w:rsidR="00000000" w:rsidDel="00000000" w:rsidP="00000000" w:rsidRDefault="00000000" w:rsidRPr="00000000" w14:paraId="0000005C">
      <w:pPr>
        <w:spacing w:line="480" w:lineRule="auto"/>
        <w:ind w:left="720" w:hanging="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highlight w:val="white"/>
          <w:rtl w:val="0"/>
        </w:rPr>
        <w:t xml:space="preserve">Leventhal, A. M., &amp; Rehm, L, P. (2005). The empirical status of melancholia: Implications for psychology. </w:t>
      </w:r>
      <w:r w:rsidDel="00000000" w:rsidR="00000000" w:rsidRPr="00000000">
        <w:rPr>
          <w:rFonts w:ascii="Times New Roman" w:cs="Times New Roman" w:eastAsia="Times New Roman" w:hAnsi="Times New Roman"/>
          <w:i w:val="1"/>
          <w:iCs w:val="1"/>
          <w:color w:val="222222"/>
          <w:sz w:val="24"/>
          <w:szCs w:val="24"/>
          <w:highlight w:val="white"/>
          <w:rtl w:val="0"/>
        </w:rPr>
        <w:t xml:space="preserve">Clinical Psychology Review, 25, </w:t>
      </w:r>
      <w:r w:rsidDel="00000000" w:rsidR="00000000" w:rsidRPr="00000000">
        <w:rPr>
          <w:rFonts w:ascii="Times New Roman" w:cs="Times New Roman" w:eastAsia="Times New Roman" w:hAnsi="Times New Roman"/>
          <w:color w:val="222222"/>
          <w:sz w:val="24"/>
          <w:szCs w:val="24"/>
          <w:highlight w:val="white"/>
          <w:rtl w:val="0"/>
        </w:rPr>
        <w:t xml:space="preserve">25-44.</w:t>
      </w:r>
      <w:r w:rsidDel="00000000" w:rsidR="00000000" w:rsidRPr="00000000">
        <w:rPr>
          <w:rFonts w:ascii="Times New Roman" w:cs="Times New Roman" w:eastAsia="Times New Roman" w:hAnsi="Times New Roman"/>
          <w:color w:val="222222"/>
          <w:sz w:val="24"/>
          <w:szCs w:val="24"/>
          <w:highlight w:val="white"/>
          <w:u w:val="single"/>
          <w:rtl w:val="0"/>
        </w:rPr>
        <w:t xml:space="preserve">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https://doi.org/10.1016/j.cpr.2004.09.001</w:t>
        </w:r>
      </w:hyperlink>
      <w:r w:rsidDel="00000000" w:rsidR="00000000" w:rsidRPr="00000000">
        <w:rPr>
          <w:rtl w:val="0"/>
        </w:rPr>
      </w:r>
    </w:p>
    <w:p w:rsidR="00000000" w:rsidDel="00000000" w:rsidP="00000000" w:rsidRDefault="00000000" w:rsidRPr="00000000" w14:paraId="0000005D">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Perez, J., Baldessarini, R. J., Undurraga, J., &amp; Sanchez-Moreno, J. (2012). Origins of Psychiatric Hospitalization in Medieval Spain. </w:t>
      </w:r>
      <w:r w:rsidDel="00000000" w:rsidR="00000000" w:rsidRPr="00000000">
        <w:rPr>
          <w:rFonts w:ascii="Times New Roman" w:cs="Times New Roman" w:eastAsia="Times New Roman" w:hAnsi="Times New Roman"/>
          <w:i w:val="1"/>
          <w:iCs w:val="1"/>
          <w:color w:val="222222"/>
          <w:sz w:val="24"/>
          <w:szCs w:val="24"/>
          <w:highlight w:val="white"/>
          <w:rtl w:val="0"/>
        </w:rPr>
        <w:t xml:space="preserve">Psychiatric Quarterly, 83</w:t>
      </w:r>
      <w:r w:rsidDel="00000000" w:rsidR="00000000" w:rsidRPr="00000000">
        <w:rPr>
          <w:rFonts w:ascii="Times New Roman" w:cs="Times New Roman" w:eastAsia="Times New Roman" w:hAnsi="Times New Roman"/>
          <w:color w:val="222222"/>
          <w:sz w:val="24"/>
          <w:szCs w:val="24"/>
          <w:highlight w:val="white"/>
          <w:rtl w:val="0"/>
        </w:rPr>
        <w:t xml:space="preserve">(4), 419-430.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https://doi.org/10.1007/s11126-012-9212-8</w:t>
        </w:r>
      </w:hyperlink>
      <w:r w:rsidDel="00000000" w:rsidR="00000000" w:rsidRPr="00000000">
        <w:rPr>
          <w:rtl w:val="0"/>
        </w:rPr>
      </w:r>
    </w:p>
    <w:p w:rsidR="00000000" w:rsidDel="00000000" w:rsidP="00000000" w:rsidRDefault="00000000" w:rsidRPr="00000000" w14:paraId="0000005E">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Pormann, P. E. (2008). Introduction. In P. E. Pormann (Ed.), </w:t>
      </w:r>
      <w:r w:rsidDel="00000000" w:rsidR="00000000" w:rsidRPr="00000000">
        <w:rPr>
          <w:rFonts w:ascii="Times New Roman" w:cs="Times New Roman" w:eastAsia="Times New Roman" w:hAnsi="Times New Roman"/>
          <w:i w:val="1"/>
          <w:iCs w:val="1"/>
          <w:color w:val="222222"/>
          <w:sz w:val="24"/>
          <w:szCs w:val="24"/>
          <w:highlight w:val="white"/>
          <w:rtl w:val="0"/>
        </w:rPr>
        <w:t xml:space="preserve">On Melancholy: Rufus of Ephesus</w:t>
      </w:r>
      <w:r w:rsidDel="00000000" w:rsidR="00000000" w:rsidRPr="00000000">
        <w:rPr>
          <w:rFonts w:ascii="Times New Roman" w:cs="Times New Roman" w:eastAsia="Times New Roman" w:hAnsi="Times New Roman"/>
          <w:color w:val="222222"/>
          <w:sz w:val="24"/>
          <w:szCs w:val="24"/>
          <w:highlight w:val="white"/>
          <w:rtl w:val="0"/>
        </w:rPr>
        <w:t xml:space="preserve">, (3-24). Mohr Siebeck GmbH &amp; Co. KG</w:t>
      </w:r>
      <w:r w:rsidDel="00000000" w:rsidR="00000000" w:rsidRPr="00000000">
        <w:rPr>
          <w:rFonts w:ascii="Times New Roman" w:cs="Times New Roman" w:eastAsia="Times New Roman" w:hAnsi="Times New Roman"/>
          <w:i w:val="1"/>
          <w:iCs w:val="1"/>
          <w:color w:val="222222"/>
          <w:sz w:val="24"/>
          <w:szCs w:val="24"/>
          <w:highlight w:val="white"/>
          <w:rtl w:val="0"/>
        </w:rPr>
        <w:t xml:space="preserve">.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http://www.jstor.org/stable/j.ctv9b2w2k.5</w:t>
        </w:r>
      </w:hyperlink>
      <w:r w:rsidDel="00000000" w:rsidR="00000000" w:rsidRPr="00000000">
        <w:rPr>
          <w:rtl w:val="0"/>
        </w:rPr>
      </w:r>
    </w:p>
    <w:p w:rsidR="00000000" w:rsidDel="00000000" w:rsidP="00000000" w:rsidRDefault="00000000" w:rsidRPr="00000000" w14:paraId="0000005F">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Scull,A. (2022) </w:t>
      </w:r>
      <w:r w:rsidDel="00000000" w:rsidR="00000000" w:rsidRPr="00000000">
        <w:rPr>
          <w:rFonts w:ascii="Times New Roman" w:cs="Times New Roman" w:eastAsia="Times New Roman" w:hAnsi="Times New Roman"/>
          <w:i w:val="1"/>
          <w:iCs w:val="1"/>
          <w:sz w:val="24"/>
          <w:szCs w:val="24"/>
          <w:rtl w:val="0"/>
        </w:rPr>
        <w:t xml:space="preserve">Desperate remedies.</w:t>
      </w:r>
      <w:r w:rsidDel="00000000" w:rsidR="00000000" w:rsidRPr="00000000">
        <w:rPr>
          <w:rFonts w:ascii="Times New Roman" w:cs="Times New Roman" w:eastAsia="Times New Roman" w:hAnsi="Times New Roman"/>
          <w:sz w:val="24"/>
          <w:szCs w:val="24"/>
          <w:rtl w:val="0"/>
        </w:rPr>
        <w:t xml:space="preserve"> The Belknap Press of Harvard University Press.</w:t>
      </w:r>
      <w:r w:rsidDel="00000000" w:rsidR="00000000" w:rsidRPr="00000000">
        <w:rPr>
          <w:rtl w:val="0"/>
        </w:rPr>
      </w:r>
    </w:p>
    <w:p w:rsidR="00000000" w:rsidDel="00000000" w:rsidP="00000000" w:rsidRDefault="00000000" w:rsidRPr="00000000" w14:paraId="00000060">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Scull, A. (2015). </w:t>
      </w:r>
      <w:r w:rsidDel="00000000" w:rsidR="00000000" w:rsidRPr="00000000">
        <w:rPr>
          <w:rFonts w:ascii="Times New Roman" w:cs="Times New Roman" w:eastAsia="Times New Roman" w:hAnsi="Times New Roman"/>
          <w:i w:val="1"/>
          <w:iCs w:val="1"/>
          <w:sz w:val="24"/>
          <w:szCs w:val="24"/>
          <w:rtl w:val="0"/>
        </w:rPr>
        <w:t xml:space="preserve">Madness in civilization: a cultural history of insanity from Bible to Freud, from the madhouse to modern medicine. </w:t>
      </w:r>
      <w:r w:rsidDel="00000000" w:rsidR="00000000" w:rsidRPr="00000000">
        <w:rPr>
          <w:rFonts w:ascii="Times New Roman" w:cs="Times New Roman" w:eastAsia="Times New Roman" w:hAnsi="Times New Roman"/>
          <w:sz w:val="24"/>
          <w:szCs w:val="24"/>
          <w:rtl w:val="0"/>
        </w:rPr>
        <w:t xml:space="preserve">Thames &amp; Hudson.</w:t>
      </w:r>
    </w:p>
    <w:p w:rsidR="00000000" w:rsidDel="00000000" w:rsidP="00000000" w:rsidRDefault="00000000" w:rsidRPr="00000000" w14:paraId="00000061">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Royal Society of Medicine. (2023). </w:t>
      </w:r>
      <w:r w:rsidDel="00000000" w:rsidR="00000000" w:rsidRPr="00000000">
        <w:rPr>
          <w:rFonts w:ascii="Times New Roman" w:cs="Times New Roman" w:eastAsia="Times New Roman" w:hAnsi="Times New Roman"/>
          <w:i w:val="1"/>
          <w:iCs w:val="1"/>
          <w:sz w:val="24"/>
          <w:szCs w:val="24"/>
          <w:rtl w:val="0"/>
        </w:rPr>
        <w:t xml:space="preserve">The Golden Age of Melancholy. </w:t>
      </w:r>
      <w:hyperlink r:id="rId13">
        <w:r w:rsidDel="00000000" w:rsidR="00000000" w:rsidRPr="00000000">
          <w:rPr>
            <w:rFonts w:ascii="Times New Roman" w:cs="Times New Roman" w:eastAsia="Times New Roman" w:hAnsi="Times New Roman"/>
            <w:color w:val="1155cc"/>
            <w:sz w:val="24"/>
            <w:szCs w:val="24"/>
            <w:u w:val="single"/>
            <w:rtl w:val="0"/>
          </w:rPr>
          <w:t xml:space="preserve">https://www.rsm.ac.uk/media/5477883/the-golden-age-of-melancholy-booklet.pdf</w:t>
        </w:r>
      </w:hyperlink>
      <w:r w:rsidDel="00000000" w:rsidR="00000000" w:rsidRPr="00000000">
        <w:rPr>
          <w:rtl w:val="0"/>
        </w:rPr>
      </w:r>
    </w:p>
    <w:p w:rsidR="00000000" w:rsidDel="00000000" w:rsidP="00000000" w:rsidRDefault="00000000" w:rsidRPr="00000000" w14:paraId="00000062">
      <w:pPr>
        <w:spacing w:line="276" w:lineRule="auto"/>
        <w:ind w:left="720"/>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63">
      <w:pPr>
        <w:spacing w:line="276" w:lineRule="auto"/>
        <w:ind w:left="720"/>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07/s11126-012-9212-8" TargetMode="External"/><Relationship Id="rId10" Type="http://schemas.openxmlformats.org/officeDocument/2006/relationships/hyperlink" Target="https://doi.org/10.1016/j.cpr.2004.09.001" TargetMode="External"/><Relationship Id="rId13" Type="http://schemas.openxmlformats.org/officeDocument/2006/relationships/hyperlink" Target="https://www.rsm.ac.uk/media/5477883/the-golden-age-of-melancholy-booklet.pdf" TargetMode="External"/><Relationship Id="rId12" Type="http://schemas.openxmlformats.org/officeDocument/2006/relationships/hyperlink" Target="http://www.jstor.org/stable/j.ctv9b2w2k.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37/hop0000121" TargetMode="External"/><Relationship Id="rId5" Type="http://schemas.openxmlformats.org/officeDocument/2006/relationships/styles" Target="styles.xml"/><Relationship Id="rId6" Type="http://schemas.openxmlformats.org/officeDocument/2006/relationships/hyperlink" Target="https://doi.org/10.1016/j.jad.2007.04.013" TargetMode="External"/><Relationship Id="rId7" Type="http://schemas.openxmlformats.org/officeDocument/2006/relationships/hyperlink" Target="https://doi.org/10.1146/annurev-clinpsy-050718-095514" TargetMode="External"/><Relationship Id="rId8" Type="http://schemas.openxmlformats.org/officeDocument/2006/relationships/hyperlink" Target="https://doi.org/10.1007/978-3-030-54802-5_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