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BF25D2" w14:textId="4C171749" w:rsidR="0125CE14" w:rsidRDefault="5D1FA627" w:rsidP="5D1FA627">
      <w:pPr>
        <w:spacing w:line="480" w:lineRule="auto"/>
        <w:rPr>
          <w:rFonts w:ascii="Arial" w:eastAsia="Arial" w:hAnsi="Arial" w:cs="Arial"/>
          <w:sz w:val="24"/>
          <w:szCs w:val="24"/>
        </w:rPr>
      </w:pPr>
      <w:bookmarkStart w:id="0" w:name="_GoBack"/>
      <w:bookmarkEnd w:id="0"/>
      <w:r w:rsidRPr="5D1FA627">
        <w:rPr>
          <w:rFonts w:ascii="Arial" w:eastAsia="Arial" w:hAnsi="Arial" w:cs="Arial"/>
          <w:sz w:val="24"/>
          <w:szCs w:val="24"/>
        </w:rPr>
        <w:t>There are concerns with regards to literacy levels within the educational system in Wales. Studies in Wales such as Dauncey (2013) states, that in the 2009 PISA results, Wales,’ ‘Results were lower that other countries in the UK, and there were similar indications from the, “Millennium Cohort Study” (Dauncey, 2013, p.2), that literacy levels in Wales for pupils aged seven were lower than that in England. It was also noted that at KS4 GCSE level English Language and Mathematics were also lower in Wales than in England.  In 2011 Leighton Andrews who was then Education Minister raised concerns over the PISA results and produced a “20-point plan” detailed in “</w:t>
      </w:r>
      <w:r w:rsidRPr="5D1FA627">
        <w:rPr>
          <w:rFonts w:ascii="Arial" w:eastAsia="Arial" w:hAnsi="Arial" w:cs="Arial"/>
          <w:i/>
          <w:iCs/>
          <w:sz w:val="24"/>
          <w:szCs w:val="24"/>
        </w:rPr>
        <w:t xml:space="preserve">Raising School Standards” </w:t>
      </w:r>
      <w:r w:rsidRPr="5D1FA627">
        <w:rPr>
          <w:rFonts w:ascii="Arial" w:eastAsia="Arial" w:hAnsi="Arial" w:cs="Arial"/>
          <w:sz w:val="24"/>
          <w:szCs w:val="24"/>
        </w:rPr>
        <w:t>(Andrews, 2011) which, was introduced in one of his speeches to improve Literacy and Numeracy results within schools.   Andrews developed and introduced the Literacy and Numeracy Framework (LNF) in 2013.  It was developed to embed literacy and numeracy in all subjects across the curriculum and not just in English and Maths.  The strands of the LNF for Literacy are split into three areas, Oracy, Reading and Writing.  These three strands are broken down again; oracy includes speaking and listening; reading comprises of reading strategies, comprehension, response and analysis; writing consists of meaning, purposes and readers; structure and organisation; language, grammar, punctuation, spelling and handwriting.  In addition, the National Reading and Numeracy tests were also introduced in May 2013 as part of the LNF which are undertaken by seven-year olds to fourteen-year olds in Wales, they were introduced to record literacy and numeracy data within this age group, the literacy and numeracy data is recorded in standardised scores which is formulated by taking into account the child’s date of birth and raw score.   In light of the data and results from the PISA report, Professor Donaldson created a document called, “</w:t>
      </w:r>
      <w:r w:rsidRPr="5D1FA627">
        <w:rPr>
          <w:rFonts w:ascii="Arial" w:eastAsia="Arial" w:hAnsi="Arial" w:cs="Arial"/>
          <w:i/>
          <w:iCs/>
          <w:sz w:val="24"/>
          <w:szCs w:val="24"/>
        </w:rPr>
        <w:t xml:space="preserve">A curriculum for Wales – a curriculum for life” </w:t>
      </w:r>
      <w:r w:rsidRPr="5D1FA627">
        <w:rPr>
          <w:rFonts w:ascii="Arial" w:eastAsia="Arial" w:hAnsi="Arial" w:cs="Arial"/>
          <w:sz w:val="24"/>
          <w:szCs w:val="24"/>
        </w:rPr>
        <w:t xml:space="preserve">(Donaldson, 2015).  The vision is to over haul the </w:t>
      </w:r>
      <w:r w:rsidRPr="5D1FA627">
        <w:rPr>
          <w:rFonts w:ascii="Arial" w:eastAsia="Arial" w:hAnsi="Arial" w:cs="Arial"/>
          <w:sz w:val="24"/>
          <w:szCs w:val="24"/>
        </w:rPr>
        <w:lastRenderedPageBreak/>
        <w:t xml:space="preserve">curriculum in Wales and to provide a new curriculum which will be, ‘evidence-led, based on subsidiarity, ambitious and inclusive, manageable, with pace, passion and professionalism’ (Donaldson, 2015, p.4).  The report also states that the curriculum will be inclusive to all pupils. To ensure all pupils will have access to the curriculum, schools need to address any areas which they feel needs improvement and these improvements are detailed on School Development plans and Departmental Improvement plans, these plans are then used for the basis for strategic planning. </w:t>
      </w:r>
    </w:p>
    <w:p w14:paraId="64408E02" w14:textId="65EEE19C" w:rsidR="0125CE14" w:rsidRDefault="0125CE14" w:rsidP="0125CE14">
      <w:pPr>
        <w:spacing w:line="480" w:lineRule="auto"/>
        <w:rPr>
          <w:rFonts w:ascii="Arial" w:eastAsia="Arial" w:hAnsi="Arial" w:cs="Arial"/>
          <w:sz w:val="24"/>
          <w:szCs w:val="24"/>
        </w:rPr>
      </w:pPr>
    </w:p>
    <w:p w14:paraId="18BDB9AD" w14:textId="1E44F9AB" w:rsidR="0125CE14" w:rsidRDefault="5D1FA627" w:rsidP="5D1FA627">
      <w:pPr>
        <w:spacing w:line="480" w:lineRule="auto"/>
        <w:rPr>
          <w:rFonts w:ascii="Arial" w:eastAsia="Arial" w:hAnsi="Arial" w:cs="Arial"/>
          <w:sz w:val="24"/>
          <w:szCs w:val="24"/>
        </w:rPr>
      </w:pPr>
      <w:r w:rsidRPr="5D1FA627">
        <w:rPr>
          <w:rFonts w:ascii="Arial" w:eastAsia="Arial" w:hAnsi="Arial" w:cs="Arial"/>
          <w:sz w:val="24"/>
          <w:szCs w:val="24"/>
        </w:rPr>
        <w:t xml:space="preserve">To implement a strategic plan successfully there is a need to be able to strategically think.  The planner must be able to, “Search out opportunities and recognise threats” (Fidler, 2002, p. 7).  The strategic thinking needs to include and take into account, individual competence, changing priorities, changing organisational competence and changing environment.  According to Fidler (2002), strategic planning is mapping general directions in which to take, rather than detailed instructions mapping out what to do at each point.  Its purpose is, to identify what needs to be changed in the future and mapping a plan on how to get there.    Davies and Ellison (2003) state that short term plans are working well within schools and that they well established and effective within the majority of schools. However, Davies and Ellison (2003) also point out that short term planning can become, “Over-prescriptive and reductionist in its approach” (Davies &amp; Ellison, 2003, p. 1), meaning that the original intentions are over thought and too many interventions do not reduce the problem, so very little is accomplished in combating the original plan.  Although Fidler (2002) states, strategic plans are detailed with strategies normally over a short period of time, such as the upcoming academic year, prior to any other plans being implemented to continue the progress in the area which, has been deemed needing improvement (Fidler, 2002, p. </w:t>
      </w:r>
      <w:r w:rsidRPr="5D1FA627">
        <w:rPr>
          <w:rFonts w:ascii="Arial" w:eastAsia="Arial" w:hAnsi="Arial" w:cs="Arial"/>
          <w:sz w:val="24"/>
          <w:szCs w:val="24"/>
        </w:rPr>
        <w:lastRenderedPageBreak/>
        <w:t xml:space="preserve">6). Davies and Ellison (2003) argue that the it should be viewed as a medium-term activity approximately three to five years.  This plan should deal with groups of observations which are replaced with summary statistics based on those observations, rather than detailed plans. There appears to be conflicting views on the length of time these plans should run, but all agree that they are effective within schools and therefore important to the success of the school’s performance.  According to Bell (2002), “Strategic plans are an approach to establishing a long-term future development of the organisation.” (Bell, 2002, P.2). However, all agree that strategic planning requires analysis of data, to understand what areas need to be changed or improved.  This is also echoed in Baldwin et al (1998) where it mentions the, “Planning and review cycle” (Baldwin et al, 1998, p. 21).  The cycle consists of action research where data analysis and research are conducted, from this data analysis the school can develop improvement plans.  This moves on to the Department and year teams where these plans will be implemented as and when appropriate.  The next step in the cycle is to monitor the implementation of the plan and review and monitor against the success criteria of the school, set out in the School development plan.  The last step is to analyse the data at the end of the academic year to check whether or not the gender gap has been closed or if further intervention is needed.  Some of these areas within the plan may come from the Consortia in the Challenge advisors visit and recommendations for the way forward.  Fidler (1998) believes that strategic planning is important where there is concern from professionals within the education system, this ensures that the school and its pupils succeed.  All schools want to offer and be able to deliver quality teaching and take into consideration outside influences and the plan is a way to remedy any shortcomings within the school’s data analysis. </w:t>
      </w:r>
    </w:p>
    <w:p w14:paraId="02308046" w14:textId="5D7EF930" w:rsidR="5D1FA627" w:rsidRDefault="5D1FA627" w:rsidP="5D1FA627">
      <w:pPr>
        <w:spacing w:line="480" w:lineRule="auto"/>
        <w:rPr>
          <w:rFonts w:ascii="Arial" w:eastAsia="Arial" w:hAnsi="Arial" w:cs="Arial"/>
          <w:sz w:val="24"/>
          <w:szCs w:val="24"/>
        </w:rPr>
      </w:pPr>
    </w:p>
    <w:p w14:paraId="145C0045" w14:textId="3994162D" w:rsidR="6BC3ED56" w:rsidRPr="00762CD5" w:rsidRDefault="5D1FA627" w:rsidP="5D1FA627">
      <w:pPr>
        <w:spacing w:line="480" w:lineRule="auto"/>
        <w:rPr>
          <w:rFonts w:ascii="Arial" w:eastAsia="Arial" w:hAnsi="Arial" w:cs="Arial"/>
          <w:sz w:val="24"/>
          <w:szCs w:val="24"/>
        </w:rPr>
      </w:pPr>
      <w:r w:rsidRPr="5D1FA627">
        <w:rPr>
          <w:rFonts w:ascii="Arial" w:eastAsia="Arial" w:hAnsi="Arial" w:cs="Arial"/>
          <w:sz w:val="24"/>
          <w:szCs w:val="24"/>
        </w:rPr>
        <w:t>The majority of schools have School Development plans which are aimed at learning conditions and changing them and other related conditions, where educational goals is accomplished more effectively (Fidler, 1996).  School X’s School Development plan has raised areas within their school where there is a need for further development not just departmental but whole school.  In accordance with the Donaldson report  2015, the LNF and the 2009 PISA results they have emphasised that the school is to focus on raising the attainment and cancelling out, ‘performance variations’ (Appendix A) between certain groups within the school as highlighted in “Priority 1 - Adopt new measures, item (e)” (Appendix A, 2018, p.1).  The English Department has noted in their Departmental Improvement Plan (Appendix B, 2018, p.1) that there are certain areas of this target which are relevant to the department and have decided to focus on raising attainment of boys within the school.  These areas are not just common problems in School X but Nationwide.  For many years it has been noted that there is a growing gap between the performance of boys and girls. According to Estyn (2008), In the National Curriculum girls’ attainment has “outpaced” (Estyn, 2008, P.2), boys’ attainment in the majority of subjects.   Although this information is not restricted to Wales but is a worldwide issue, there is large amount of pressure for schools to tackle and improve in this area.  In recent years boys are leaving schools with fewer or poorer grades in GCSEs’ than girls regardless of the boys’ backgrounds or social standing within the communities in which they live but for pupils to succeed in school, gender is not the only important factor, post code and ethnicity also play a crucial role, this is the reason why it is so important to implement strategies to combat this problem within the school.  Henry et al (2012) also report that girls are outperforming boys and in the long term have a lasting result on their future, they also suggest strategies to try and raise the attainment.  Fig. 1 below is taken from My Local School, (2017), it shows data in relation to School X’s level two threshold including English and Maths.  It illustrates that in 2016 boys were performing lower than girls by approximately 10% (WAG, 2017).</w:t>
      </w:r>
    </w:p>
    <w:p w14:paraId="274BBEBE" w14:textId="25BF5594" w:rsidR="6BC3ED56" w:rsidRPr="00762CD5" w:rsidRDefault="6BC3ED56" w:rsidP="0125CE14">
      <w:pPr>
        <w:spacing w:line="480" w:lineRule="auto"/>
        <w:rPr>
          <w:rFonts w:ascii="Arial" w:eastAsia="Arial" w:hAnsi="Arial" w:cs="Arial"/>
          <w:sz w:val="24"/>
          <w:szCs w:val="24"/>
        </w:rPr>
      </w:pPr>
      <w:r w:rsidRPr="00762CD5">
        <w:rPr>
          <w:noProof/>
          <w:sz w:val="20"/>
          <w:szCs w:val="20"/>
          <w:lang w:eastAsia="en-GB"/>
        </w:rPr>
        <w:drawing>
          <wp:inline distT="0" distB="0" distL="0" distR="0" wp14:anchorId="1AF688A4" wp14:editId="61633843">
            <wp:extent cx="5663784" cy="3171987"/>
            <wp:effectExtent l="0" t="0" r="0" b="0"/>
            <wp:docPr id="7849274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rcRect l="7500" t="13925" r="11999" b="5925"/>
                    <a:stretch>
                      <a:fillRect/>
                    </a:stretch>
                  </pic:blipFill>
                  <pic:spPr>
                    <a:xfrm>
                      <a:off x="0" y="0"/>
                      <a:ext cx="5663784" cy="3171987"/>
                    </a:xfrm>
                    <a:prstGeom prst="rect">
                      <a:avLst/>
                    </a:prstGeom>
                  </pic:spPr>
                </pic:pic>
              </a:graphicData>
            </a:graphic>
          </wp:inline>
        </w:drawing>
      </w:r>
    </w:p>
    <w:p w14:paraId="548DA2FA" w14:textId="66716A45" w:rsidR="4E720FA3" w:rsidRPr="00762CD5" w:rsidRDefault="5D1FA627" w:rsidP="48BB928C">
      <w:pPr>
        <w:spacing w:line="480" w:lineRule="auto"/>
        <w:rPr>
          <w:rFonts w:ascii="Arial" w:eastAsia="Arial" w:hAnsi="Arial" w:cs="Arial"/>
          <w:sz w:val="24"/>
          <w:szCs w:val="24"/>
        </w:rPr>
      </w:pPr>
      <w:r w:rsidRPr="5D1FA627">
        <w:rPr>
          <w:rFonts w:ascii="Arial" w:eastAsia="Arial" w:hAnsi="Arial" w:cs="Arial"/>
          <w:sz w:val="24"/>
          <w:szCs w:val="24"/>
        </w:rPr>
        <w:t xml:space="preserve">According to School X’s 2016 Estyn report it was noted that boys’ performance declined slightly in KS4, (Estyn, 2016) including in English, whereas the performance of girls is consistently improving and been better than those results from similar schools.  </w:t>
      </w:r>
    </w:p>
    <w:p w14:paraId="1BD64B7A" w14:textId="0F0C3435" w:rsidR="5D1FA627" w:rsidRDefault="5D1FA627" w:rsidP="5D1FA627">
      <w:pPr>
        <w:spacing w:line="480" w:lineRule="auto"/>
        <w:rPr>
          <w:rFonts w:ascii="Arial" w:eastAsia="Arial" w:hAnsi="Arial" w:cs="Arial"/>
          <w:sz w:val="24"/>
          <w:szCs w:val="24"/>
        </w:rPr>
      </w:pPr>
    </w:p>
    <w:p w14:paraId="61EE54A9" w14:textId="353EBDD7" w:rsidR="0125CE14" w:rsidRDefault="5D1FA627" w:rsidP="0125CE14">
      <w:pPr>
        <w:spacing w:line="480" w:lineRule="auto"/>
        <w:rPr>
          <w:rFonts w:ascii="Arial" w:eastAsia="Arial" w:hAnsi="Arial" w:cs="Arial"/>
          <w:sz w:val="24"/>
          <w:szCs w:val="24"/>
        </w:rPr>
      </w:pPr>
      <w:r w:rsidRPr="5D1FA627">
        <w:rPr>
          <w:rFonts w:ascii="Arial" w:eastAsia="Arial" w:hAnsi="Arial" w:cs="Arial"/>
          <w:sz w:val="24"/>
          <w:szCs w:val="24"/>
        </w:rPr>
        <w:t xml:space="preserve">Recent data made available from School X for KS4 (Appendix C) also confirms that in certain areas of the curriculum girls are outperforming boys, especially at Level 2, although the data does show a marginal increase in boys performing better than their counter parts at Level 1 in English, Science and Maths.  </w:t>
      </w:r>
    </w:p>
    <w:p w14:paraId="6C2A7A83" w14:textId="3925EA32" w:rsidR="5D1FA627" w:rsidRDefault="5D1FA627" w:rsidP="5D1FA627">
      <w:pPr>
        <w:spacing w:line="480" w:lineRule="auto"/>
        <w:rPr>
          <w:rFonts w:ascii="Arial" w:eastAsia="Arial" w:hAnsi="Arial" w:cs="Arial"/>
          <w:sz w:val="24"/>
          <w:szCs w:val="24"/>
        </w:rPr>
      </w:pPr>
    </w:p>
    <w:p w14:paraId="15C54C48" w14:textId="0967FBAD" w:rsidR="0125CE14" w:rsidRDefault="5D1FA627" w:rsidP="48BB928C">
      <w:pPr>
        <w:spacing w:line="480" w:lineRule="auto"/>
        <w:rPr>
          <w:rFonts w:ascii="Arial" w:eastAsia="Arial" w:hAnsi="Arial" w:cs="Arial"/>
          <w:sz w:val="24"/>
          <w:szCs w:val="24"/>
        </w:rPr>
      </w:pPr>
      <w:r w:rsidRPr="5D1FA627">
        <w:rPr>
          <w:rFonts w:ascii="Arial" w:eastAsia="Arial" w:hAnsi="Arial" w:cs="Arial"/>
          <w:sz w:val="24"/>
          <w:szCs w:val="24"/>
        </w:rPr>
        <w:t>Estyn (2008), has reported that the gap between the performance of boys and girls is widening.   It has been ascertained that there is a growing performance variation between boys and girls and the need to raise the attainment of boys to ensure that they are given the chance to succeed not just in school, but to successfully and actively participate in the wider community in the future on equal footing.</w:t>
      </w:r>
    </w:p>
    <w:p w14:paraId="1796FFBE" w14:textId="3B8762EE" w:rsidR="5D1FA627" w:rsidRDefault="5D1FA627" w:rsidP="5D1FA627">
      <w:pPr>
        <w:spacing w:line="480" w:lineRule="auto"/>
        <w:rPr>
          <w:rFonts w:ascii="Arial" w:eastAsia="Arial" w:hAnsi="Arial" w:cs="Arial"/>
          <w:sz w:val="24"/>
          <w:szCs w:val="24"/>
        </w:rPr>
      </w:pPr>
    </w:p>
    <w:p w14:paraId="6574C34F" w14:textId="6AF4EA38" w:rsidR="0125CE14" w:rsidRDefault="5D1FA627" w:rsidP="5D1FA627">
      <w:pPr>
        <w:spacing w:line="480" w:lineRule="auto"/>
        <w:rPr>
          <w:rFonts w:ascii="Arial" w:eastAsia="Arial" w:hAnsi="Arial" w:cs="Arial"/>
          <w:sz w:val="24"/>
          <w:szCs w:val="24"/>
        </w:rPr>
      </w:pPr>
      <w:r w:rsidRPr="5D1FA627">
        <w:rPr>
          <w:rFonts w:ascii="Arial" w:eastAsia="Arial" w:hAnsi="Arial" w:cs="Arial"/>
          <w:sz w:val="24"/>
          <w:szCs w:val="24"/>
        </w:rPr>
        <w:t xml:space="preserve">There are several strategies, which can be used to increase the attainment in boys and Younger et al (2005) believe that these strategies can be grouped into four areas.  Although there was no further evidence of these four groups elsewhere, only areas such as genetics, family, school management, mentoring and several others were mentioned numerous times but these headings can fit  in to the groups below. </w:t>
      </w:r>
    </w:p>
    <w:p w14:paraId="62764D87" w14:textId="52F6FDE2" w:rsidR="0125CE14" w:rsidRDefault="0125CE14" w:rsidP="0125CE14">
      <w:pPr>
        <w:pStyle w:val="ListParagraph"/>
        <w:numPr>
          <w:ilvl w:val="0"/>
          <w:numId w:val="1"/>
        </w:numPr>
        <w:spacing w:line="480" w:lineRule="auto"/>
        <w:rPr>
          <w:sz w:val="24"/>
          <w:szCs w:val="24"/>
        </w:rPr>
      </w:pPr>
      <w:r w:rsidRPr="0125CE14">
        <w:rPr>
          <w:rFonts w:ascii="Arial" w:eastAsia="Arial" w:hAnsi="Arial" w:cs="Arial"/>
          <w:sz w:val="24"/>
          <w:szCs w:val="24"/>
        </w:rPr>
        <w:t>Individual approach</w:t>
      </w:r>
    </w:p>
    <w:p w14:paraId="7D533D57" w14:textId="11426D7D" w:rsidR="0125CE14" w:rsidRDefault="0125CE14" w:rsidP="0125CE14">
      <w:pPr>
        <w:pStyle w:val="ListParagraph"/>
        <w:numPr>
          <w:ilvl w:val="0"/>
          <w:numId w:val="1"/>
        </w:numPr>
        <w:spacing w:line="480" w:lineRule="auto"/>
        <w:rPr>
          <w:sz w:val="24"/>
          <w:szCs w:val="24"/>
        </w:rPr>
      </w:pPr>
      <w:r w:rsidRPr="0125CE14">
        <w:rPr>
          <w:rFonts w:ascii="Arial" w:eastAsia="Arial" w:hAnsi="Arial" w:cs="Arial"/>
          <w:sz w:val="24"/>
          <w:szCs w:val="24"/>
        </w:rPr>
        <w:t>Pedagogical approach</w:t>
      </w:r>
    </w:p>
    <w:p w14:paraId="0C1D32A7" w14:textId="7F17244A" w:rsidR="0125CE14" w:rsidRDefault="0125CE14" w:rsidP="0125CE14">
      <w:pPr>
        <w:pStyle w:val="ListParagraph"/>
        <w:numPr>
          <w:ilvl w:val="0"/>
          <w:numId w:val="1"/>
        </w:numPr>
        <w:spacing w:line="480" w:lineRule="auto"/>
        <w:rPr>
          <w:sz w:val="24"/>
          <w:szCs w:val="24"/>
        </w:rPr>
      </w:pPr>
      <w:r w:rsidRPr="0125CE14">
        <w:rPr>
          <w:rFonts w:ascii="Arial" w:eastAsia="Arial" w:hAnsi="Arial" w:cs="Arial"/>
          <w:sz w:val="24"/>
          <w:szCs w:val="24"/>
        </w:rPr>
        <w:t>Socio-cultural approach</w:t>
      </w:r>
    </w:p>
    <w:p w14:paraId="45566466" w14:textId="19E9AD74" w:rsidR="0125CE14" w:rsidRDefault="5D1FA627" w:rsidP="5D1FA627">
      <w:pPr>
        <w:pStyle w:val="ListParagraph"/>
        <w:numPr>
          <w:ilvl w:val="0"/>
          <w:numId w:val="1"/>
        </w:numPr>
        <w:spacing w:line="480" w:lineRule="auto"/>
        <w:rPr>
          <w:sz w:val="24"/>
          <w:szCs w:val="24"/>
        </w:rPr>
      </w:pPr>
      <w:r w:rsidRPr="5D1FA627">
        <w:rPr>
          <w:rFonts w:ascii="Arial" w:eastAsia="Arial" w:hAnsi="Arial" w:cs="Arial"/>
          <w:sz w:val="24"/>
          <w:szCs w:val="24"/>
        </w:rPr>
        <w:t>Organisational approach.</w:t>
      </w:r>
    </w:p>
    <w:p w14:paraId="798DBDE3" w14:textId="197CCA2A" w:rsidR="5D1FA627" w:rsidRDefault="5D1FA627" w:rsidP="5D1FA627">
      <w:pPr>
        <w:spacing w:line="480" w:lineRule="auto"/>
        <w:ind w:left="360"/>
        <w:rPr>
          <w:rFonts w:ascii="Arial" w:eastAsia="Arial" w:hAnsi="Arial" w:cs="Arial"/>
          <w:sz w:val="24"/>
          <w:szCs w:val="24"/>
        </w:rPr>
      </w:pPr>
    </w:p>
    <w:p w14:paraId="1755D036" w14:textId="40D6FB5C" w:rsidR="0125CE14" w:rsidRDefault="5D1FA627" w:rsidP="5D1FA627">
      <w:pPr>
        <w:spacing w:line="480" w:lineRule="auto"/>
        <w:rPr>
          <w:rFonts w:ascii="Arial" w:eastAsia="Arial" w:hAnsi="Arial" w:cs="Arial"/>
          <w:sz w:val="24"/>
          <w:szCs w:val="24"/>
        </w:rPr>
      </w:pPr>
      <w:r w:rsidRPr="5D1FA627">
        <w:rPr>
          <w:rFonts w:ascii="Arial" w:eastAsia="Arial" w:hAnsi="Arial" w:cs="Arial"/>
          <w:sz w:val="24"/>
          <w:szCs w:val="24"/>
        </w:rPr>
        <w:t xml:space="preserve">The Individual approach strategy is basically to ensure the male pupils who have been identified to receive the intervention receive mentoring and realistic target setting.  Younger et al (2005) believe that in some schools this has been extremely important in raising and sustaining improvements.  Although Younger et al (2005) do note that there are limitations to implementing this strategy and there is a “need to avoid focusing scarce resources on a minority of students” (Younger et al, 2005, p. 11).  These students are normally boys who are ordinarily performing in the 5 A* -C area at GCSE level.    Although mentoring is a good idea as the mentor can form a relationship with the pupil to encourage and engage the pupil in particular areas where there is need for improvement.  This is also echoed by The Scottish Parliament (Marcus, 2016) who believe that mentoring, tutoring and assessment are powerful tools when used together.  They involve learners in their social and emotional development and in each other’s learning.  Noble et al (2001) also agree that mentoring although it is a relatively new intervention it involves a well-supported schedule where students have interviews with their mentor on regular possibly weekly meetings. Although this appears to be a positive strategy, Younger et al (2005) echoed in Marcus (2016) state that it has limitations as some schemes can be demotivating for pupils or oppressive if certain pupils feel that they are being targeted or, the mentor does not have enough free time to be able to put the time and effort in that is needed to raise the particular pupil’s attainment. Also, staff and tutors need to be trained for this to be effective.   This also follows the view of Donaldson (2015) who believes it is important in that we raise individual pupils’, “Aspirations and ambitions to succeed in everything they choose to do” (Donaldson, 2005, p. 13).  The Education Endowment Foundation (EEF, 2017) agrees that the individual approach works for one to one intervention and also targeted small groups.  The EEF (2017) continues to state that this has, “The potential for the largest immediate impact on attainment.” (EEF, 2017, p.16).  There are limitations to this approach where this only works well in small groups and on a one to one basis, but it can be costly to schools to run these small intervention groups and staffing needs to be thoroughly planned.  The EEF (2016) stated in Marcus (2016) that to create Individual plans for the pupils can be arduous for teacher management and is therefore not effective, although whole school intervention or class intervention can work; it takes a long time to show any results.  </w:t>
      </w:r>
    </w:p>
    <w:p w14:paraId="20E182FA" w14:textId="5D804776" w:rsidR="0125CE14" w:rsidRDefault="0125CE14" w:rsidP="0125CE14">
      <w:pPr>
        <w:spacing w:line="480" w:lineRule="auto"/>
        <w:rPr>
          <w:rFonts w:ascii="Arial" w:eastAsia="Arial" w:hAnsi="Arial" w:cs="Arial"/>
          <w:sz w:val="24"/>
          <w:szCs w:val="24"/>
        </w:rPr>
      </w:pPr>
    </w:p>
    <w:p w14:paraId="2E644A2F" w14:textId="612452EB" w:rsidR="5FF468D4" w:rsidRDefault="5D1FA627" w:rsidP="5D1FA627">
      <w:pPr>
        <w:spacing w:line="480" w:lineRule="auto"/>
        <w:rPr>
          <w:rFonts w:ascii="Arial" w:eastAsia="Arial" w:hAnsi="Arial" w:cs="Arial"/>
          <w:sz w:val="25"/>
          <w:szCs w:val="25"/>
        </w:rPr>
      </w:pPr>
      <w:r w:rsidRPr="5D1FA627">
        <w:rPr>
          <w:rFonts w:ascii="Arial" w:eastAsia="Arial" w:hAnsi="Arial" w:cs="Arial"/>
          <w:sz w:val="24"/>
          <w:szCs w:val="24"/>
        </w:rPr>
        <w:t xml:space="preserve">The next group is the pedagogical approach, which is based on learning within a classroom environment and is based around teaching and learning but any changes that are introduced into the classroom or school as a whole to raise the attainment must show professionalism.  Noble and Bradford (2000) argue that teachers and staff must not be afraid to try new things within the classroom, reflect and either adopt or abandon what they deem to have failed.  The EEF (2017) argue that teacher assessment is a critical skill which is required as this provides up to date information on what pupils know or do not know.    Teachers must not be afraid to fail and ask for help and ideas.  From asking for help or ideas comes success barriers begin to disappear and even the management of the classroom is under scrutiny and discussion.  Noble and Bradford (2000) express that all these areas if they are addressed will succeed in a successful classroom and help raise the attainment gap between boys and girls.   According to Younger et al (2005) boys lack the skills at reading and writing compared to girls and there is a need to identify pedagogy to help support pupils in this area to bridge the gap i.e., Scaffolding. Younger et al (2005) believe that a holistic approach is the most effective way in which to deal with this, which incorporates opportunities to combine speaking and listening, reading and writing on a whole.  To be most effective the topic and contexts taught must be relevant to engage boys within the classroom.   Husbands and Pearce (2012) agree that scaffolding pupils’ learning is effective pedagogy, where there is an emphasis on dialogue, discussion and social context in line with constructivist theories.  By scaffolding you are supporting a developmental change within the pupils and taking their leaning further than their current knowledge and understanding, which allows them to develop an understanding at a higher level.   Younger et al (2005) believe it is crucial for boys to become confident readers but there are limitations in that they felt that this only worked when teachers gave pupils time to discuss and reflect on their reading by sharing information; what engaged them through teaching relevant topics; what they liked about the text which they were reading. It was noted that reading skills improved dramatically.  Younger et al (2005) also conducted studies into reading according to learning styles.  This is argued considerably especially by </w:t>
      </w:r>
      <w:r w:rsidRPr="5D1FA627">
        <w:rPr>
          <w:rFonts w:ascii="Arial" w:eastAsia="Arial" w:hAnsi="Arial" w:cs="Arial"/>
          <w:sz w:val="25"/>
          <w:szCs w:val="25"/>
        </w:rPr>
        <w:t xml:space="preserve">Psychological Science in the Public Interest magazine (2019), who conducted a report rebuking that there is no evidence to suggest that pupils are a particular learning style and pupils should not be labelled into these categories.  Consideration should be taken when planning lessons that some pupils do engage and perform better with a variety of stimulus on offer within the classroom. </w:t>
      </w:r>
    </w:p>
    <w:p w14:paraId="4CEF50E0" w14:textId="5289CEF5" w:rsidR="5D1FA627" w:rsidRDefault="5D1FA627" w:rsidP="5D1FA627">
      <w:pPr>
        <w:spacing w:line="480" w:lineRule="auto"/>
        <w:rPr>
          <w:rFonts w:ascii="Arial" w:eastAsia="Arial" w:hAnsi="Arial" w:cs="Arial"/>
          <w:sz w:val="25"/>
          <w:szCs w:val="25"/>
        </w:rPr>
      </w:pPr>
    </w:p>
    <w:p w14:paraId="4BEF5616" w14:textId="5421EE57" w:rsidR="6D5EB470" w:rsidRDefault="5D1FA627" w:rsidP="48BB928C">
      <w:pPr>
        <w:spacing w:line="480" w:lineRule="auto"/>
        <w:rPr>
          <w:rFonts w:ascii="Arial" w:eastAsia="Arial" w:hAnsi="Arial" w:cs="Arial"/>
          <w:sz w:val="24"/>
          <w:szCs w:val="24"/>
        </w:rPr>
      </w:pPr>
      <w:r w:rsidRPr="5D1FA627">
        <w:rPr>
          <w:rFonts w:ascii="Arial" w:eastAsia="Arial" w:hAnsi="Arial" w:cs="Arial"/>
          <w:sz w:val="25"/>
          <w:szCs w:val="25"/>
        </w:rPr>
        <w:t xml:space="preserve">The next group is the Socio-cultural approach, this is a powerful influence and has an impact on the attainment results within schools, this does not just include poverty.  This group can be extended to include ethnicity disability, sexuality and culture.  All these inequalities can have an impact on attainment levels within schools, (Marcus, 2016).   It is well known that boys do not like to let their guard down and like to keep up the ego and keep their self-worth.  Younger et al (2005) and Estyn (2008) both state that by causing disruption in the classroom this stops boys from performing as well as they should and can also protect them from failure.  For extreme behaviour boys make up 80% of exclusions; a large number of pupils in Pupil Referral Units are boys.  The EEF (2016) say that, “The attainment gap is greatest for those from economically disadvantaged backgrounds and those assessed with special educational needs” (EEF, 2016, p. 4).  This may not necessarily be through poverty but pupils living in deprived areas and do not come under the banner of free school meals.  Therefore, it is essential that an all-inclusive approach is taken when considering which pupils to target, these factors need to be taken into account when analysing result data to ascertain where the largest gaps are. </w:t>
      </w:r>
    </w:p>
    <w:p w14:paraId="14CB6643" w14:textId="50FBB922" w:rsidR="5D1FA627" w:rsidRDefault="5D1FA627" w:rsidP="5D1FA627">
      <w:pPr>
        <w:spacing w:line="480" w:lineRule="auto"/>
        <w:rPr>
          <w:rFonts w:ascii="Arial" w:eastAsia="Arial" w:hAnsi="Arial" w:cs="Arial"/>
          <w:sz w:val="24"/>
          <w:szCs w:val="24"/>
        </w:rPr>
      </w:pPr>
    </w:p>
    <w:p w14:paraId="6B7C910B" w14:textId="70D006B0" w:rsidR="6D5EB470" w:rsidRDefault="48BB928C" w:rsidP="48BB928C">
      <w:pPr>
        <w:spacing w:line="480" w:lineRule="auto"/>
        <w:rPr>
          <w:rFonts w:ascii="Arial" w:eastAsia="Arial" w:hAnsi="Arial" w:cs="Arial"/>
          <w:sz w:val="24"/>
          <w:szCs w:val="24"/>
        </w:rPr>
      </w:pPr>
      <w:r w:rsidRPr="48BB928C">
        <w:rPr>
          <w:rFonts w:ascii="Arial" w:eastAsia="Arial" w:hAnsi="Arial" w:cs="Arial"/>
          <w:sz w:val="24"/>
          <w:szCs w:val="24"/>
        </w:rPr>
        <w:t xml:space="preserve">There is a huge debate amongst academics why boys underachieve, many believe that it is to do with less focus, class room behaviour and disruption and many are more interested in sport than academic subjects, (Noble and Bradford, 2000; Noble et al, 2001; Epstein et all, 2004).  Background, ethnicity and postcode are also another area where there is discussion, which can cause an effect in the classroom again this links to poverty, living in a deprived area and if the pupils are from an ethnic minority background.  Some teachers just believe that boys don’t work as hard as girls and that, “They are lazier” (Noble and Bradford, 2000, p. 15). If teachers are successful in raising the attainment of boys from disadvantaged backgrounds then it is believed by the EEF (2017) that it is, “Likely to yield significant increases in National Wealth” (EEF, 2017, p. 8).  </w:t>
      </w:r>
    </w:p>
    <w:p w14:paraId="0DA209AC" w14:textId="7367ABED" w:rsidR="6D5EB470" w:rsidRDefault="6D5EB470" w:rsidP="48BB928C">
      <w:pPr>
        <w:spacing w:line="480" w:lineRule="auto"/>
        <w:rPr>
          <w:rFonts w:ascii="Arial" w:eastAsia="Arial" w:hAnsi="Arial" w:cs="Arial"/>
          <w:sz w:val="25"/>
          <w:szCs w:val="25"/>
        </w:rPr>
      </w:pPr>
    </w:p>
    <w:p w14:paraId="722671FB" w14:textId="160EB110" w:rsidR="6D5EB470" w:rsidRDefault="0E9C85FA" w:rsidP="0E9C85FA">
      <w:pPr>
        <w:spacing w:line="480" w:lineRule="auto"/>
        <w:rPr>
          <w:rFonts w:ascii="Arial" w:eastAsia="Arial" w:hAnsi="Arial" w:cs="Arial"/>
          <w:sz w:val="25"/>
          <w:szCs w:val="25"/>
        </w:rPr>
      </w:pPr>
      <w:r w:rsidRPr="0E9C85FA">
        <w:rPr>
          <w:rFonts w:ascii="Arial" w:eastAsia="Arial" w:hAnsi="Arial" w:cs="Arial"/>
          <w:sz w:val="25"/>
          <w:szCs w:val="25"/>
        </w:rPr>
        <w:t>Finally, the organisational approach according to Younger et al (2005) this approach has been discussed in detail whether or not all boy classes would achieve better attainment levels, but they state that after conducting research boys and girls both agree that they would rather mixed gender classes than same sex classes.  Both boys and girls feel that lessons are more engaging and that they feel more at ease.  For this approach to work, support needs to be whole school from an, “Assertive approach in the classroom” (Younger et al, 2005, p.12) to promoting intervention from all staff, parents, carers and governors. Where these organisational conditions have been in place, the pupils had been carefully selected by target subjects and it was noted that there was a positive effect on raising the attainment levels in relation to boys.  Noble and Bradford (2000) argue that schools are to blame and that it is due to the, “anti-swot culture” (Noble and Bradford, 2000, p. 21).  There were limited resources to delve further into the anti-swot culture, but it is believed to be that certain boys are singled out for participating fully and are engaged in lessons.  They are made to feel as if they are in the minority and possibly feel threatened for wanting to learn and improve in the classroom.  Noble and Bradford (2000) firmly believe that there is no place for this in schools, that it results in misery, under-achievement and an assault upon equal opportunities.  Noble, Brown and Murphy (2001) believe there are certain areas which contribute to the under-achievement of boys, and one of these areas is Organisational Management, who also agree that the school’s inability or acceptance to tackle the Anti-swot culture is a management responsibility, and that is should be dealt with as a form of racism, all anti-swot remarks within the classroom should be dealt with and again we are drawn back to classroom management.  The teacher should know all their pupils and the different behaviours which can exhibit themselves from boys within the classroom and interventions need to be put in place such as seating plan etc.</w:t>
      </w:r>
    </w:p>
    <w:p w14:paraId="7814447C" w14:textId="1818BC55" w:rsidR="0125CE14" w:rsidRDefault="01FD04DC" w:rsidP="01FD04DC">
      <w:pPr>
        <w:spacing w:line="480" w:lineRule="auto"/>
        <w:rPr>
          <w:rFonts w:ascii="Arial" w:eastAsia="Arial" w:hAnsi="Arial" w:cs="Arial"/>
          <w:sz w:val="24"/>
          <w:szCs w:val="24"/>
        </w:rPr>
      </w:pPr>
      <w:r w:rsidRPr="01FD04DC">
        <w:rPr>
          <w:rFonts w:ascii="Arial" w:eastAsia="Arial" w:hAnsi="Arial" w:cs="Arial"/>
          <w:sz w:val="24"/>
          <w:szCs w:val="24"/>
        </w:rPr>
        <w:t xml:space="preserve">There are two intervention in the English department at School X to work in line with the Departmental Improvement plan and the larger overview of the School Development Plan.  The first intervention that  is in place is that the English Department have currently created a Boy’s Proforma (Appendix D) which, allows members of staff to undertake a learning walk with in and out of the classroom observations and also a form to record pupil focus groups.  The proforma is aimed directly at the pupils in focus groups, by directly asking boys questions about what they enjoy learning etc.  By completing these forms, it allows the subject teacher to have a further insight and understanding into the boy pupils within their class.  </w:t>
      </w:r>
    </w:p>
    <w:p w14:paraId="4C60B28A" w14:textId="6C4B5998" w:rsidR="0125CE14" w:rsidRDefault="5D1FA627" w:rsidP="5D1FA627">
      <w:pPr>
        <w:spacing w:line="480" w:lineRule="auto"/>
        <w:rPr>
          <w:rFonts w:ascii="Arial" w:eastAsia="Arial" w:hAnsi="Arial" w:cs="Arial"/>
          <w:sz w:val="24"/>
          <w:szCs w:val="24"/>
        </w:rPr>
      </w:pPr>
      <w:r w:rsidRPr="5D1FA627">
        <w:rPr>
          <w:rFonts w:ascii="Arial" w:eastAsia="Arial" w:hAnsi="Arial" w:cs="Arial"/>
          <w:sz w:val="24"/>
          <w:szCs w:val="24"/>
        </w:rPr>
        <w:t>The make-up of the proforma is straight forward with the first section asking basic questions such as “Were there any boys late to lesson?” (Appendix D).  The next section looks at how boys interact in the classroom with girls; how they interact with the classroom themselves such as displays and how the class management is handled. Another section is dedicated to boys outside the classroom environment and at lunch and break times, what type of things do the boys do?  such as, do they interact with other members of staff? Are there any signs of peer pressure/bullying?   The final section in the proforma on based on pupil voice. Pupil voice is where pupils are engaged and involved in the participation of school matters and this can be a powerful tool to schools and teacher in providing valuable information to improve their own practice or school.    According to Flutter (2007) over the last decade pupil voice has attained high-profile encouraging pupils to consult and participate, this is evident in many countries around the world and included in official policies. Ruddock et al (2004)   believe that it is important to understand and know what pupils want and think as this will make a difference to their learning, mindset and commitment in classroom.  As with all interventions this technique also has its limitations in that pupils when questioned will answer with what they personally feel and should happen, some of these requests are not always realistic and flawed, but as with the majority of questioning, the more confident pupils will always answer.</w:t>
      </w:r>
    </w:p>
    <w:p w14:paraId="4E049EFC" w14:textId="53FF7D54" w:rsidR="01FD04DC" w:rsidRDefault="5D1FA627" w:rsidP="5D1FA627">
      <w:pPr>
        <w:spacing w:line="480" w:lineRule="auto"/>
        <w:rPr>
          <w:rFonts w:ascii="Arial" w:eastAsia="Arial" w:hAnsi="Arial" w:cs="Arial"/>
          <w:sz w:val="24"/>
          <w:szCs w:val="24"/>
        </w:rPr>
      </w:pPr>
      <w:r w:rsidRPr="5D1FA627">
        <w:rPr>
          <w:rFonts w:ascii="Arial" w:eastAsia="Arial" w:hAnsi="Arial" w:cs="Arial"/>
          <w:sz w:val="24"/>
          <w:szCs w:val="24"/>
        </w:rPr>
        <w:t>Another intervention, which is in place within the English Department in School X is ‘No opt out’ and ‘Cold calling’ (Lemov, 2015).  These strategies have been recently adopted to raise attainment with boys. Originally brought in within the English Department but rolled out to the rest of the school during Inset training day.  ‘No opt out’   ensure boys take responsibility in their own learning but can also help all students.  The strategy works by the teacher focusing questions to specific pupils and not waiting for hands up. The questions can be directed at boys and specific pupils that the teacher has ascertained has a gap in their knowledge.  If the pupil does not know the answer, the question is opened to the class.  When the correct answer is given, the original pupil is asked to repeat the answer to ensure understanding.   It replaces the, “I don’t know” answer within the class and turns it in to positivity ensuring that those pupils who cannot answer or will not try, ‘Practice getting it right’ (Lemov, 2015, p. 90).  The whole process allows the pupil to rehearse the correct answer, and through reiteration gaining the knowledge and embedding the information into the long-term memory.  This simple success is a positive reinforcement and raises self-esteem and motivation for the pupil who previously was reluctant to answer or did not know the answer.  It engages all pupils within the lesson as no pupil knows who is going to be asked the next question.</w:t>
      </w:r>
    </w:p>
    <w:p w14:paraId="723FC328" w14:textId="0819C4CB" w:rsidR="01FD04DC" w:rsidRDefault="01FD04DC" w:rsidP="01FD04DC">
      <w:pPr>
        <w:spacing w:line="480" w:lineRule="auto"/>
        <w:rPr>
          <w:rFonts w:ascii="Arial" w:eastAsia="Arial" w:hAnsi="Arial" w:cs="Arial"/>
          <w:sz w:val="24"/>
          <w:szCs w:val="24"/>
        </w:rPr>
      </w:pPr>
      <w:r w:rsidRPr="01FD04DC">
        <w:rPr>
          <w:rFonts w:ascii="Arial" w:eastAsia="Arial" w:hAnsi="Arial" w:cs="Arial"/>
          <w:sz w:val="24"/>
          <w:szCs w:val="24"/>
        </w:rPr>
        <w:t xml:space="preserve">‘Cold calling’ (Lemov, 2015) is another strategy which is used within the classroom on a daily basis.  This type of questioning calls, ‘On students regardless of whether they’ve raised their hands’ (Lemov, 2015, p. 249).  Lemov (2015) believes that there are four reasons why this has an impact and effect within a classroom.  The first reason is to check the pupil’s understanding.  If you ask a general question it is known that the same people always put their hand up to answer, using this strategy no pupil knows who is going to be asked a question, the class teacher is familiar with their pupils and know each and every level within her class.  By directing questions especially at those less skilled it is a clear way of checking for understanding. </w:t>
      </w:r>
    </w:p>
    <w:p w14:paraId="02B9D854" w14:textId="18D34064" w:rsidR="01FD04DC" w:rsidRDefault="5D1FA627" w:rsidP="5D1FA627">
      <w:pPr>
        <w:spacing w:line="480" w:lineRule="auto"/>
        <w:rPr>
          <w:rFonts w:ascii="Arial" w:eastAsia="Arial" w:hAnsi="Arial" w:cs="Arial"/>
          <w:sz w:val="24"/>
          <w:szCs w:val="24"/>
        </w:rPr>
      </w:pPr>
      <w:r w:rsidRPr="5D1FA627">
        <w:rPr>
          <w:rFonts w:ascii="Arial" w:eastAsia="Arial" w:hAnsi="Arial" w:cs="Arial"/>
          <w:sz w:val="24"/>
          <w:szCs w:val="24"/>
        </w:rPr>
        <w:t xml:space="preserve">The second reason Lemov (2015) believes is, ‘Creating a culture of engaged accountability’ (Lemov, 2015, p.250).  Lemov feels that by targeting pupils who have not raised their hands to answer a question in class, those who have raised their hands will learn that when they do raise their hands, it is to signify that they have something worthwhile to offer to the lesson and their hand is not a tool, which they can use to decide whether or not they participate in the class.  Every member of the class expects and are prepared in case they are called upon during the lesson to contribute, by using this strategy the questions can be directed to those boys within the class whose attainment scores are lower than the rest. </w:t>
      </w:r>
    </w:p>
    <w:p w14:paraId="1D4693D3" w14:textId="7B475902" w:rsidR="01FD04DC" w:rsidRDefault="5D1FA627" w:rsidP="5D1FA627">
      <w:pPr>
        <w:spacing w:line="480" w:lineRule="auto"/>
        <w:rPr>
          <w:rFonts w:ascii="Arial" w:eastAsia="Arial" w:hAnsi="Arial" w:cs="Arial"/>
          <w:sz w:val="24"/>
          <w:szCs w:val="24"/>
        </w:rPr>
      </w:pPr>
      <w:r w:rsidRPr="5D1FA627">
        <w:rPr>
          <w:rFonts w:ascii="Arial" w:eastAsia="Arial" w:hAnsi="Arial" w:cs="Arial"/>
          <w:sz w:val="24"/>
          <w:szCs w:val="24"/>
        </w:rPr>
        <w:t xml:space="preserve">The third reason is pacing, this is when the class teacher revisits questions which the class have answered in their books and asks for anyone to give an answer.  The same people put up their hands and the teacher remind the class that he is seeing the same hands up and offers someone else the chance to contribute.  Lemov (2015) argues that it would have been a lot easier if the teacher had directed the question specifically to a particular pupil, which could be focused on the boys who are failing within the lesson. </w:t>
      </w:r>
    </w:p>
    <w:p w14:paraId="200E995E" w14:textId="67FA2DDA" w:rsidR="01FD04DC" w:rsidRDefault="5D1FA627" w:rsidP="5D1FA627">
      <w:pPr>
        <w:spacing w:line="480" w:lineRule="auto"/>
        <w:rPr>
          <w:rFonts w:ascii="Arial" w:eastAsia="Arial" w:hAnsi="Arial" w:cs="Arial"/>
          <w:sz w:val="24"/>
          <w:szCs w:val="24"/>
        </w:rPr>
      </w:pPr>
      <w:r w:rsidRPr="5D1FA627">
        <w:rPr>
          <w:rFonts w:ascii="Arial" w:eastAsia="Arial" w:hAnsi="Arial" w:cs="Arial"/>
          <w:sz w:val="24"/>
          <w:szCs w:val="24"/>
        </w:rPr>
        <w:t xml:space="preserve">Finally, the fourth point is backstopping your ratio, Lemov (2015) states that this is effectively used when asking a class, a question, which requires pupils to think independently for the answer, but students are made aware after the allocated thinking time, cold calling will be used, so all students are focused expecting to be questioned.  Lemov (2015) says that this the, ‘Most rigorous activities less discretionary and more accountable’ (Lemov, 2015, p. 251).  This strategy engages all pupils in the class including the boys and again the question can be targeted directly at specific pupils. </w:t>
      </w:r>
    </w:p>
    <w:p w14:paraId="38C4DEC4" w14:textId="4148CEC7" w:rsidR="01FD04DC" w:rsidRDefault="01FD04DC" w:rsidP="01FD04DC">
      <w:pPr>
        <w:spacing w:line="480" w:lineRule="auto"/>
        <w:rPr>
          <w:rFonts w:ascii="Arial" w:eastAsia="Arial" w:hAnsi="Arial" w:cs="Arial"/>
          <w:sz w:val="24"/>
          <w:szCs w:val="24"/>
        </w:rPr>
      </w:pPr>
      <w:r w:rsidRPr="01FD04DC">
        <w:rPr>
          <w:rFonts w:ascii="Arial" w:eastAsia="Arial" w:hAnsi="Arial" w:cs="Arial"/>
          <w:sz w:val="24"/>
          <w:szCs w:val="24"/>
        </w:rPr>
        <w:t xml:space="preserve"> For cold calling to work effectively as it builds an accountability within the students and the become aware of it as regular practice over time.  If your directed question surprises a pupil then they will make sure that they are ready the next time.  To engage boys fully this strategy must be kept positive.  If a wrong answer is given, give it to the class to expand or alter the original answer.  The return to the original pupil and ask them to repeat the correct answer.  This way cold call and no opt out work hand in hand and this has been found to be effective in raising boys’ attainment in English in School X. </w:t>
      </w:r>
    </w:p>
    <w:p w14:paraId="76974601" w14:textId="267B6905" w:rsidR="0125CE14" w:rsidRDefault="01FD04DC" w:rsidP="01FD04DC">
      <w:pPr>
        <w:spacing w:line="480" w:lineRule="auto"/>
        <w:rPr>
          <w:rFonts w:ascii="Arial" w:eastAsia="Arial" w:hAnsi="Arial" w:cs="Arial"/>
          <w:sz w:val="24"/>
          <w:szCs w:val="24"/>
        </w:rPr>
      </w:pPr>
      <w:r w:rsidRPr="01FD04DC">
        <w:rPr>
          <w:rFonts w:ascii="Arial" w:eastAsia="Arial" w:hAnsi="Arial" w:cs="Arial"/>
          <w:sz w:val="24"/>
          <w:szCs w:val="24"/>
        </w:rPr>
        <w:t xml:space="preserve">School X’s English department has no other interventions running at the moment but strategies which could be put in place to assist with raising the attainment in boys in the future. One area which could be investigated is the involvement of parents, it is vital that parents support the school and their children in the achievement and raising attainment.  Parents must encourage and read or listen to their child; involve them in discussions and this relates to all age groups.  Family literacy groups could be organised targeting boy pupils and those on free school meals.  This involves parents attending the school once a week and involving themselves in the curriculum which will aid them in helping their own children at home and be able to engage with them further in discussing topics being covered.   </w:t>
      </w:r>
    </w:p>
    <w:p w14:paraId="06B01A00" w14:textId="468FAB2F" w:rsidR="01FD04DC" w:rsidRDefault="01FD04DC" w:rsidP="01FD04DC">
      <w:pPr>
        <w:spacing w:line="480" w:lineRule="auto"/>
        <w:rPr>
          <w:rFonts w:ascii="Arial" w:eastAsia="Arial" w:hAnsi="Arial" w:cs="Arial"/>
          <w:sz w:val="24"/>
          <w:szCs w:val="24"/>
        </w:rPr>
      </w:pPr>
    </w:p>
    <w:p w14:paraId="16F816AC" w14:textId="7CFD05D0" w:rsidR="0125CE14" w:rsidRDefault="0E9C85FA" w:rsidP="0E9C85FA">
      <w:pPr>
        <w:spacing w:line="480" w:lineRule="auto"/>
        <w:rPr>
          <w:rFonts w:ascii="Arial" w:eastAsia="Arial" w:hAnsi="Arial" w:cs="Arial"/>
          <w:sz w:val="24"/>
          <w:szCs w:val="24"/>
        </w:rPr>
      </w:pPr>
      <w:r w:rsidRPr="0E9C85FA">
        <w:rPr>
          <w:rFonts w:ascii="Arial" w:eastAsia="Arial" w:hAnsi="Arial" w:cs="Arial"/>
          <w:sz w:val="24"/>
          <w:szCs w:val="24"/>
        </w:rPr>
        <w:t xml:space="preserve">Other strategies which could be used to promote English and raising attainment with boys are computers.  It is known that boys like to use ICT and relate to, “Audio-visual work” (Noble et al, 2001, p. 76).  The image that it portrays of using computers appeals to boys.  It allows boys to be creative in their own way by researching, cutting, pasting and copying up written work.  The idea that boys can also work in pairs or sitting next to each other discussing what is on each other’s screen appeals to them. It has been noted earlier that boys dislike reading.  Unfortunately, the curriculum involves reading set books in KS4 and if these books do not appeal to boys, then this can cause disengagement with the pupils and make it harder to raise the attainment gap.  In KS3 it is slightly easier and although certain areas have English have to be taught, the teacher in many instances can choose to pick the topics themselves, which can be anything that will relate to them and real-life instances to engage them in the classroom.  Like most things, this has its limitations in that introducing too many boy strategies, the girls in the class can lose interest and they will then become disengaged as the lessons will be boy orientated.  The class teacher must ensure that the lesson is well balanced to ensure engagement by both genders but will not just raise girl's attainment as the gap will continually be there but slightly more boy orientated to raise their levels to bring them in line with the girls.  </w:t>
      </w:r>
    </w:p>
    <w:p w14:paraId="53E8E186" w14:textId="2DA2038D" w:rsidR="0125CE14" w:rsidRDefault="48BB928C" w:rsidP="48BB928C">
      <w:pPr>
        <w:spacing w:line="480" w:lineRule="auto"/>
        <w:rPr>
          <w:rFonts w:ascii="Arial" w:eastAsia="Arial" w:hAnsi="Arial" w:cs="Arial"/>
          <w:sz w:val="24"/>
          <w:szCs w:val="24"/>
        </w:rPr>
      </w:pPr>
      <w:r w:rsidRPr="48BB928C">
        <w:rPr>
          <w:rFonts w:ascii="Arial" w:eastAsia="Arial" w:hAnsi="Arial" w:cs="Arial"/>
          <w:sz w:val="24"/>
          <w:szCs w:val="24"/>
        </w:rPr>
        <w:t xml:space="preserve">The class teacher must also take into consideration when planning their lesson what LNF strand to focus on depending where the gap in attainment is such as oracy, reading or writing.  Baldwin et al (1998) believe that the best lessons to engage boys are purposeful, frequent activities and, “Small, targeted and self-directed groups constantly re-engineering across gender and ability lines” (Baldwin et al, 1998, p. 39). </w:t>
      </w:r>
    </w:p>
    <w:p w14:paraId="576FA233" w14:textId="495650E5" w:rsidR="0125CE14" w:rsidRDefault="48BB928C" w:rsidP="48BB928C">
      <w:pPr>
        <w:spacing w:line="480" w:lineRule="auto"/>
        <w:rPr>
          <w:rFonts w:ascii="Arial" w:eastAsia="Arial" w:hAnsi="Arial" w:cs="Arial"/>
          <w:sz w:val="24"/>
          <w:szCs w:val="24"/>
        </w:rPr>
      </w:pPr>
      <w:r w:rsidRPr="48BB928C">
        <w:rPr>
          <w:rFonts w:ascii="Arial" w:eastAsia="Arial" w:hAnsi="Arial" w:cs="Arial"/>
          <w:sz w:val="24"/>
          <w:szCs w:val="24"/>
        </w:rPr>
        <w:t xml:space="preserve">To ensure success and to drive this important area further there needs to be a detailed breakdown of the departmental plan to ensure that the intervention is not over-prescribed, possibly into termly plans and specific areas, where boys are falling behind is targeted on a termly basis to cover what strand is being targeted.  This could be implemented over a six-week basis with a short whole class pre-assessment and post assessment to ensure that there is an improvement in the skill learned, and data can be collected for long term analyses to ascertain overall improvement throughout the year. </w:t>
      </w:r>
    </w:p>
    <w:p w14:paraId="57DD26B9" w14:textId="351D9A47" w:rsidR="48BB928C" w:rsidRDefault="0E9C85FA" w:rsidP="0E9C85FA">
      <w:pPr>
        <w:spacing w:line="480" w:lineRule="auto"/>
        <w:rPr>
          <w:rFonts w:ascii="Arial" w:eastAsia="Arial" w:hAnsi="Arial" w:cs="Arial"/>
          <w:sz w:val="24"/>
          <w:szCs w:val="24"/>
        </w:rPr>
      </w:pPr>
      <w:r w:rsidRPr="0E9C85FA">
        <w:rPr>
          <w:rFonts w:ascii="Arial" w:eastAsia="Arial" w:hAnsi="Arial" w:cs="Arial"/>
          <w:sz w:val="24"/>
          <w:szCs w:val="24"/>
        </w:rPr>
        <w:t>In conclusion there is no easy fix to improve literacy levels in Wales, especially raising the attainment gap between boys and girls.  This problem has been going on for many years, but on a local school basis there are strategies which can be implemented through careful strategic planning to target this area.  This can be seen in School X’s School development plan and followed through by the school’s departmental improvement plan.  It has been noted that there is numerous research material into the subject at academia level and also at government level which shows that this is an area which is deemed important and needs to be resolved.  Unfortunately, there are factors which are always going to play an important part of why boy’s performance levels are lower than girls. In that socio-cultural influences outside of the school environment contribute immensely to these factors.</w:t>
      </w:r>
    </w:p>
    <w:p w14:paraId="11D2F33F" w14:textId="00B58816" w:rsidR="48BB928C" w:rsidRDefault="48BB928C" w:rsidP="0E9C85FA">
      <w:pPr>
        <w:spacing w:line="480" w:lineRule="auto"/>
        <w:rPr>
          <w:rFonts w:ascii="Arial" w:eastAsia="Arial" w:hAnsi="Arial" w:cs="Arial"/>
          <w:sz w:val="24"/>
          <w:szCs w:val="24"/>
          <w:highlight w:val="yellow"/>
        </w:rPr>
      </w:pPr>
    </w:p>
    <w:p w14:paraId="281ED96A" w14:textId="7ADE0EA8" w:rsidR="7B7C0812" w:rsidRPr="00762CD5" w:rsidRDefault="5D1FA627" w:rsidP="5D1FA627">
      <w:pPr>
        <w:spacing w:line="480" w:lineRule="auto"/>
        <w:rPr>
          <w:rFonts w:ascii="Arial" w:eastAsia="Arial" w:hAnsi="Arial" w:cs="Arial"/>
          <w:b/>
          <w:bCs/>
          <w:sz w:val="24"/>
          <w:szCs w:val="24"/>
          <w:u w:val="single"/>
        </w:rPr>
      </w:pPr>
      <w:r w:rsidRPr="5D1FA627">
        <w:rPr>
          <w:rFonts w:ascii="Arial" w:eastAsia="Arial" w:hAnsi="Arial" w:cs="Arial"/>
          <w:b/>
          <w:bCs/>
          <w:sz w:val="24"/>
          <w:szCs w:val="24"/>
          <w:u w:val="single"/>
        </w:rPr>
        <w:t>Word count 5095</w:t>
      </w:r>
    </w:p>
    <w:p w14:paraId="4F512186" w14:textId="1B715841" w:rsidR="5FF468D4" w:rsidRDefault="48BB928C" w:rsidP="48BB928C">
      <w:pPr>
        <w:spacing w:line="480" w:lineRule="auto"/>
        <w:rPr>
          <w:rFonts w:ascii="Arial" w:eastAsia="Arial" w:hAnsi="Arial" w:cs="Arial"/>
          <w:b/>
          <w:bCs/>
          <w:sz w:val="24"/>
          <w:szCs w:val="24"/>
          <w:u w:val="single"/>
        </w:rPr>
      </w:pPr>
      <w:r w:rsidRPr="48BB928C">
        <w:rPr>
          <w:rFonts w:ascii="Arial" w:eastAsia="Arial" w:hAnsi="Arial" w:cs="Arial"/>
          <w:b/>
          <w:bCs/>
          <w:sz w:val="24"/>
          <w:szCs w:val="24"/>
          <w:u w:val="single"/>
        </w:rPr>
        <w:t>Appendices</w:t>
      </w:r>
    </w:p>
    <w:p w14:paraId="5DF76521" w14:textId="4A510215" w:rsidR="5FF468D4" w:rsidRDefault="48BB928C" w:rsidP="48BB928C">
      <w:pPr>
        <w:spacing w:line="240" w:lineRule="auto"/>
        <w:rPr>
          <w:rFonts w:ascii="Arial" w:eastAsia="Arial" w:hAnsi="Arial" w:cs="Arial"/>
          <w:sz w:val="24"/>
          <w:szCs w:val="24"/>
          <w:u w:val="single"/>
        </w:rPr>
      </w:pPr>
      <w:r w:rsidRPr="48BB928C">
        <w:rPr>
          <w:rFonts w:ascii="Arial" w:eastAsia="Arial" w:hAnsi="Arial" w:cs="Arial"/>
          <w:sz w:val="24"/>
          <w:szCs w:val="24"/>
        </w:rPr>
        <w:t>Appendix A – School X’s School Development Plan</w:t>
      </w:r>
    </w:p>
    <w:p w14:paraId="3767DEDD" w14:textId="2048FC69" w:rsidR="5FF468D4" w:rsidRDefault="48BB928C" w:rsidP="48BB928C">
      <w:pPr>
        <w:spacing w:line="240" w:lineRule="auto"/>
        <w:rPr>
          <w:rFonts w:ascii="Arial" w:eastAsia="Arial" w:hAnsi="Arial" w:cs="Arial"/>
          <w:sz w:val="24"/>
          <w:szCs w:val="24"/>
        </w:rPr>
      </w:pPr>
      <w:r w:rsidRPr="48BB928C">
        <w:rPr>
          <w:rFonts w:ascii="Arial" w:eastAsia="Arial" w:hAnsi="Arial" w:cs="Arial"/>
          <w:sz w:val="24"/>
          <w:szCs w:val="24"/>
        </w:rPr>
        <w:t>Appendix B – School X’s Departmental Improvement Plan</w:t>
      </w:r>
    </w:p>
    <w:p w14:paraId="1B292587" w14:textId="5981F146" w:rsidR="5FF468D4" w:rsidRDefault="48BB928C" w:rsidP="48BB928C">
      <w:pPr>
        <w:spacing w:line="240" w:lineRule="auto"/>
        <w:rPr>
          <w:rFonts w:ascii="Arial" w:eastAsia="Arial" w:hAnsi="Arial" w:cs="Arial"/>
          <w:sz w:val="24"/>
          <w:szCs w:val="24"/>
        </w:rPr>
      </w:pPr>
      <w:r w:rsidRPr="48BB928C">
        <w:rPr>
          <w:rFonts w:ascii="Arial" w:eastAsia="Arial" w:hAnsi="Arial" w:cs="Arial"/>
          <w:sz w:val="24"/>
          <w:szCs w:val="24"/>
        </w:rPr>
        <w:t>Appendix C – School X’s KS4 results 2018</w:t>
      </w:r>
    </w:p>
    <w:p w14:paraId="16FD91E4" w14:textId="5B584977" w:rsidR="5FF468D4" w:rsidRDefault="48BB928C" w:rsidP="48BB928C">
      <w:pPr>
        <w:spacing w:line="240" w:lineRule="auto"/>
        <w:rPr>
          <w:rFonts w:ascii="Arial" w:eastAsia="Arial" w:hAnsi="Arial" w:cs="Arial"/>
          <w:sz w:val="24"/>
          <w:szCs w:val="24"/>
        </w:rPr>
      </w:pPr>
      <w:r w:rsidRPr="48BB928C">
        <w:rPr>
          <w:rFonts w:ascii="Arial" w:eastAsia="Arial" w:hAnsi="Arial" w:cs="Arial"/>
          <w:sz w:val="24"/>
          <w:szCs w:val="24"/>
        </w:rPr>
        <w:t>Appendix D – Boy's Proforma</w:t>
      </w:r>
    </w:p>
    <w:p w14:paraId="037F913C" w14:textId="1560893C" w:rsidR="5FF468D4" w:rsidRDefault="48BB928C" w:rsidP="48BB928C">
      <w:pPr>
        <w:spacing w:line="480" w:lineRule="auto"/>
        <w:rPr>
          <w:rFonts w:ascii="Arial" w:eastAsia="Arial" w:hAnsi="Arial" w:cs="Arial"/>
          <w:b/>
          <w:bCs/>
          <w:sz w:val="24"/>
          <w:szCs w:val="24"/>
          <w:u w:val="single"/>
        </w:rPr>
      </w:pPr>
      <w:r w:rsidRPr="48BB928C">
        <w:rPr>
          <w:rFonts w:ascii="Arial" w:eastAsia="Arial" w:hAnsi="Arial" w:cs="Arial"/>
          <w:b/>
          <w:bCs/>
          <w:sz w:val="24"/>
          <w:szCs w:val="24"/>
          <w:u w:val="single"/>
        </w:rPr>
        <w:t>References</w:t>
      </w:r>
    </w:p>
    <w:p w14:paraId="0305A7C6" w14:textId="73AC5A13" w:rsidR="5FF468D4" w:rsidRDefault="5FF468D4" w:rsidP="5FF468D4">
      <w:pPr>
        <w:spacing w:line="240" w:lineRule="auto"/>
        <w:rPr>
          <w:rFonts w:ascii="Arial" w:eastAsia="Arial" w:hAnsi="Arial" w:cs="Arial"/>
          <w:sz w:val="24"/>
          <w:szCs w:val="24"/>
        </w:rPr>
      </w:pPr>
      <w:r w:rsidRPr="5FF468D4">
        <w:rPr>
          <w:rFonts w:ascii="Arial" w:eastAsia="Arial" w:hAnsi="Arial" w:cs="Arial"/>
          <w:sz w:val="24"/>
          <w:szCs w:val="24"/>
        </w:rPr>
        <w:t xml:space="preserve">Andrews, L. (2011) </w:t>
      </w:r>
      <w:r w:rsidRPr="5FF468D4">
        <w:rPr>
          <w:rFonts w:ascii="Arial" w:eastAsia="Arial" w:hAnsi="Arial" w:cs="Arial"/>
          <w:i/>
          <w:iCs/>
          <w:sz w:val="24"/>
          <w:szCs w:val="24"/>
        </w:rPr>
        <w:t xml:space="preserve">Raising School Standards, </w:t>
      </w:r>
      <w:r w:rsidRPr="5FF468D4">
        <w:rPr>
          <w:rFonts w:ascii="Arial" w:eastAsia="Arial" w:hAnsi="Arial" w:cs="Arial"/>
          <w:sz w:val="24"/>
          <w:szCs w:val="24"/>
        </w:rPr>
        <w:t xml:space="preserve">Welsh Assembly Government, available at </w:t>
      </w:r>
      <w:hyperlink r:id="rId8">
        <w:r w:rsidRPr="5FF468D4">
          <w:rPr>
            <w:rStyle w:val="Hyperlink"/>
            <w:rFonts w:ascii="Arial" w:eastAsia="Arial" w:hAnsi="Arial" w:cs="Arial"/>
            <w:sz w:val="24"/>
            <w:szCs w:val="24"/>
          </w:rPr>
          <w:t>https://dera.ioe.ac.uk/4250/1/raising-standards-29-06-11-eng.pdf</w:t>
        </w:r>
      </w:hyperlink>
      <w:r w:rsidRPr="5FF468D4">
        <w:rPr>
          <w:rFonts w:ascii="Arial" w:eastAsia="Arial" w:hAnsi="Arial" w:cs="Arial"/>
          <w:sz w:val="24"/>
          <w:szCs w:val="24"/>
        </w:rPr>
        <w:t xml:space="preserve"> (accessed on 12 January 2019)</w:t>
      </w:r>
    </w:p>
    <w:p w14:paraId="08678307" w14:textId="7B3C82E0" w:rsidR="5FF468D4" w:rsidRDefault="5FF468D4" w:rsidP="5FF468D4">
      <w:pPr>
        <w:spacing w:line="240" w:lineRule="auto"/>
      </w:pPr>
      <w:r w:rsidRPr="5FF468D4">
        <w:rPr>
          <w:rFonts w:ascii="Arial" w:eastAsia="Arial" w:hAnsi="Arial" w:cs="Arial"/>
          <w:sz w:val="24"/>
          <w:szCs w:val="24"/>
        </w:rPr>
        <w:t xml:space="preserve">Association for Psychological Science (2009) available at  </w:t>
      </w:r>
      <w:hyperlink r:id="rId9">
        <w:r w:rsidRPr="5FF468D4">
          <w:rPr>
            <w:rStyle w:val="Hyperlink"/>
            <w:rFonts w:ascii="Arial" w:eastAsia="Arial" w:hAnsi="Arial" w:cs="Arial"/>
            <w:sz w:val="24"/>
            <w:szCs w:val="24"/>
          </w:rPr>
          <w:t>https://www.psychologicalscience.org/news/releases/learning-styles-debunked-there-is-no-evidence-supporting-auditory-and-visual-learning-psychologists-say.html</w:t>
        </w:r>
      </w:hyperlink>
    </w:p>
    <w:p w14:paraId="4115E245" w14:textId="1EE4E79B" w:rsidR="5FF468D4" w:rsidRDefault="48BB928C" w:rsidP="5FF468D4">
      <w:pPr>
        <w:spacing w:line="240" w:lineRule="auto"/>
        <w:rPr>
          <w:rFonts w:ascii="Arial" w:eastAsia="Arial" w:hAnsi="Arial" w:cs="Arial"/>
          <w:sz w:val="24"/>
          <w:szCs w:val="24"/>
        </w:rPr>
      </w:pPr>
      <w:r w:rsidRPr="48BB928C">
        <w:rPr>
          <w:rFonts w:ascii="Arial" w:eastAsia="Arial" w:hAnsi="Arial" w:cs="Arial"/>
          <w:sz w:val="24"/>
          <w:szCs w:val="24"/>
        </w:rPr>
        <w:t>(accessed on 21 January 2019)</w:t>
      </w:r>
    </w:p>
    <w:p w14:paraId="27C4A2B5" w14:textId="4765CA68" w:rsidR="48BB928C" w:rsidRDefault="48BB928C" w:rsidP="48BB928C">
      <w:pPr>
        <w:spacing w:line="240" w:lineRule="auto"/>
        <w:rPr>
          <w:rFonts w:ascii="Arial" w:eastAsia="Arial" w:hAnsi="Arial" w:cs="Arial"/>
          <w:i/>
          <w:iCs/>
          <w:sz w:val="24"/>
          <w:szCs w:val="24"/>
        </w:rPr>
      </w:pPr>
      <w:r w:rsidRPr="48BB928C">
        <w:rPr>
          <w:rFonts w:ascii="Arial" w:eastAsia="Arial" w:hAnsi="Arial" w:cs="Arial"/>
          <w:sz w:val="24"/>
          <w:szCs w:val="24"/>
        </w:rPr>
        <w:t>Baldwin, T. Baldwin, P. Barker, B. (1998)</w:t>
      </w:r>
      <w:r w:rsidRPr="48BB928C">
        <w:rPr>
          <w:rFonts w:ascii="Arial" w:eastAsia="Arial" w:hAnsi="Arial" w:cs="Arial"/>
          <w:i/>
          <w:iCs/>
          <w:sz w:val="24"/>
          <w:szCs w:val="24"/>
        </w:rPr>
        <w:t xml:space="preserve"> Improving Boys’ Performance</w:t>
      </w:r>
      <w:r w:rsidRPr="48BB928C">
        <w:rPr>
          <w:rFonts w:ascii="Arial" w:eastAsia="Arial" w:hAnsi="Arial" w:cs="Arial"/>
          <w:sz w:val="24"/>
          <w:szCs w:val="24"/>
        </w:rPr>
        <w:t xml:space="preserve">, Cambridge: Pearson Publishing. </w:t>
      </w:r>
    </w:p>
    <w:p w14:paraId="593647D6" w14:textId="4016C704" w:rsidR="5FF468D4" w:rsidRDefault="48BB928C" w:rsidP="5FF468D4">
      <w:pPr>
        <w:spacing w:line="240" w:lineRule="auto"/>
        <w:rPr>
          <w:rFonts w:ascii="Arial" w:eastAsia="Arial" w:hAnsi="Arial" w:cs="Arial"/>
          <w:sz w:val="24"/>
          <w:szCs w:val="24"/>
        </w:rPr>
      </w:pPr>
      <w:r w:rsidRPr="48BB928C">
        <w:rPr>
          <w:rFonts w:ascii="Arial" w:eastAsia="Arial" w:hAnsi="Arial" w:cs="Arial"/>
          <w:sz w:val="24"/>
          <w:szCs w:val="24"/>
        </w:rPr>
        <w:t xml:space="preserve">BELL, L., 2002. Strategic planning and school management: Full of sound and fury, signifying nothing? </w:t>
      </w:r>
      <w:r w:rsidRPr="48BB928C">
        <w:rPr>
          <w:rFonts w:ascii="Arial" w:eastAsia="Arial" w:hAnsi="Arial" w:cs="Arial"/>
          <w:i/>
          <w:iCs/>
          <w:sz w:val="24"/>
          <w:szCs w:val="24"/>
        </w:rPr>
        <w:t xml:space="preserve">Journal of Educational Administration, </w:t>
      </w:r>
      <w:r w:rsidRPr="48BB928C">
        <w:rPr>
          <w:rFonts w:ascii="Arial" w:eastAsia="Arial" w:hAnsi="Arial" w:cs="Arial"/>
          <w:b/>
          <w:bCs/>
          <w:sz w:val="24"/>
          <w:szCs w:val="24"/>
        </w:rPr>
        <w:t>40</w:t>
      </w:r>
      <w:r w:rsidRPr="48BB928C">
        <w:rPr>
          <w:rFonts w:ascii="Arial" w:eastAsia="Arial" w:hAnsi="Arial" w:cs="Arial"/>
          <w:sz w:val="24"/>
          <w:szCs w:val="24"/>
        </w:rPr>
        <w:t xml:space="preserve">(4), pp. 407-424. Available at </w:t>
      </w:r>
      <w:hyperlink r:id="rId10">
        <w:r w:rsidRPr="48BB928C">
          <w:rPr>
            <w:rStyle w:val="Hyperlink"/>
            <w:rFonts w:ascii="Arial" w:eastAsia="Arial" w:hAnsi="Arial" w:cs="Arial"/>
            <w:sz w:val="24"/>
            <w:szCs w:val="24"/>
          </w:rPr>
          <w:t>https://search-proquest-com.ezproxy.uwtsd.ac.uk/docview/220473684/fulltextPDF/388DD86150B04305PQ/1?accountid=130472</w:t>
        </w:r>
      </w:hyperlink>
      <w:r w:rsidRPr="48BB928C">
        <w:rPr>
          <w:rFonts w:ascii="Arial" w:eastAsia="Arial" w:hAnsi="Arial" w:cs="Arial"/>
          <w:sz w:val="24"/>
          <w:szCs w:val="24"/>
        </w:rPr>
        <w:t xml:space="preserve"> (accessed online 20 January 2019)</w:t>
      </w:r>
    </w:p>
    <w:p w14:paraId="7F0EC095" w14:textId="5EEAE4D6" w:rsidR="48BB928C" w:rsidRDefault="48BB928C" w:rsidP="48BB928C">
      <w:pPr>
        <w:spacing w:line="240" w:lineRule="auto"/>
        <w:rPr>
          <w:rFonts w:ascii="Arial" w:eastAsia="Arial" w:hAnsi="Arial" w:cs="Arial"/>
          <w:sz w:val="24"/>
          <w:szCs w:val="24"/>
        </w:rPr>
      </w:pPr>
    </w:p>
    <w:p w14:paraId="3C080179" w14:textId="2B8359E7" w:rsidR="5FF468D4" w:rsidRDefault="48BB928C" w:rsidP="48BB928C">
      <w:pPr>
        <w:spacing w:line="240" w:lineRule="auto"/>
        <w:rPr>
          <w:rFonts w:ascii="Arial" w:eastAsia="Arial" w:hAnsi="Arial" w:cs="Arial"/>
          <w:sz w:val="24"/>
          <w:szCs w:val="24"/>
        </w:rPr>
      </w:pPr>
      <w:r w:rsidRPr="48BB928C">
        <w:rPr>
          <w:rFonts w:ascii="Arial" w:eastAsia="Arial" w:hAnsi="Arial" w:cs="Arial"/>
          <w:sz w:val="24"/>
          <w:szCs w:val="24"/>
        </w:rPr>
        <w:t xml:space="preserve">Dauncey, M. (2013) “Literacy and Numeracy in Wales” in </w:t>
      </w:r>
      <w:r w:rsidRPr="48BB928C">
        <w:rPr>
          <w:rFonts w:ascii="Arial" w:eastAsia="Arial" w:hAnsi="Arial" w:cs="Arial"/>
          <w:i/>
          <w:iCs/>
          <w:sz w:val="24"/>
          <w:szCs w:val="24"/>
        </w:rPr>
        <w:t xml:space="preserve">National Assembly for Wales Research Paper, </w:t>
      </w:r>
      <w:r w:rsidRPr="48BB928C">
        <w:rPr>
          <w:rFonts w:ascii="Arial" w:eastAsia="Arial" w:hAnsi="Arial" w:cs="Arial"/>
          <w:sz w:val="24"/>
          <w:szCs w:val="24"/>
        </w:rPr>
        <w:t>Cardiff Bay, Cardiff, National Assembly for Wales (p.2)</w:t>
      </w:r>
    </w:p>
    <w:p w14:paraId="226C99FE" w14:textId="6D3576A5" w:rsidR="5FF468D4" w:rsidRDefault="5FF468D4" w:rsidP="5FF468D4">
      <w:pPr>
        <w:spacing w:line="240" w:lineRule="auto"/>
        <w:rPr>
          <w:rFonts w:ascii="Arial" w:eastAsia="Arial" w:hAnsi="Arial" w:cs="Arial"/>
          <w:sz w:val="24"/>
          <w:szCs w:val="24"/>
        </w:rPr>
      </w:pPr>
      <w:r w:rsidRPr="5FF468D4">
        <w:rPr>
          <w:rFonts w:ascii="Arial" w:eastAsia="Arial" w:hAnsi="Arial" w:cs="Arial"/>
          <w:sz w:val="24"/>
          <w:szCs w:val="24"/>
        </w:rPr>
        <w:t xml:space="preserve">Davies, B &amp; Ellison L. (2003) (eds) </w:t>
      </w:r>
      <w:r w:rsidRPr="5FF468D4">
        <w:rPr>
          <w:rFonts w:ascii="Arial" w:eastAsia="Arial" w:hAnsi="Arial" w:cs="Arial"/>
          <w:i/>
          <w:iCs/>
          <w:sz w:val="24"/>
          <w:szCs w:val="24"/>
        </w:rPr>
        <w:t xml:space="preserve">The New Strategic Direction and Development of the School, </w:t>
      </w:r>
      <w:r w:rsidRPr="5FF468D4">
        <w:rPr>
          <w:rFonts w:ascii="Arial" w:eastAsia="Arial" w:hAnsi="Arial" w:cs="Arial"/>
          <w:sz w:val="24"/>
          <w:szCs w:val="24"/>
        </w:rPr>
        <w:t>Abingdon, Oxon, Routledge.</w:t>
      </w:r>
    </w:p>
    <w:p w14:paraId="13A78EC4" w14:textId="3B77334F" w:rsidR="5FF468D4" w:rsidRDefault="5FF468D4" w:rsidP="5FF468D4">
      <w:pPr>
        <w:spacing w:line="240" w:lineRule="auto"/>
        <w:rPr>
          <w:rFonts w:ascii="Arial" w:eastAsia="Arial" w:hAnsi="Arial" w:cs="Arial"/>
          <w:sz w:val="24"/>
          <w:szCs w:val="24"/>
        </w:rPr>
      </w:pPr>
      <w:r w:rsidRPr="5FF468D4">
        <w:rPr>
          <w:rFonts w:ascii="Arial" w:eastAsia="Arial" w:hAnsi="Arial" w:cs="Arial"/>
          <w:sz w:val="24"/>
          <w:szCs w:val="24"/>
        </w:rPr>
        <w:t xml:space="preserve">Donaldson, G. (2015)  </w:t>
      </w:r>
      <w:r w:rsidRPr="5FF468D4">
        <w:rPr>
          <w:rFonts w:ascii="Arial" w:eastAsia="Arial" w:hAnsi="Arial" w:cs="Arial"/>
          <w:i/>
          <w:iCs/>
          <w:sz w:val="24"/>
          <w:szCs w:val="24"/>
        </w:rPr>
        <w:t xml:space="preserve">A curriculum for Wales – a curriculum for life, </w:t>
      </w:r>
      <w:r w:rsidRPr="5FF468D4">
        <w:rPr>
          <w:rFonts w:ascii="Arial" w:eastAsia="Arial" w:hAnsi="Arial" w:cs="Arial"/>
          <w:sz w:val="24"/>
          <w:szCs w:val="24"/>
        </w:rPr>
        <w:t xml:space="preserve">Cardiff, WAG. Available at </w:t>
      </w:r>
      <w:hyperlink r:id="rId11">
        <w:r w:rsidRPr="5FF468D4">
          <w:rPr>
            <w:rStyle w:val="Hyperlink"/>
            <w:rFonts w:ascii="Arial" w:eastAsia="Arial" w:hAnsi="Arial" w:cs="Arial"/>
            <w:sz w:val="24"/>
            <w:szCs w:val="24"/>
          </w:rPr>
          <w:t>https://dera.ioe.ac.uk/24680/1/151021-a-curriculum-for-wales-a-curriculum-for-life-en_Redacted.pdf</w:t>
        </w:r>
      </w:hyperlink>
      <w:r w:rsidRPr="5FF468D4">
        <w:rPr>
          <w:rFonts w:ascii="Arial" w:eastAsia="Arial" w:hAnsi="Arial" w:cs="Arial"/>
          <w:sz w:val="24"/>
          <w:szCs w:val="24"/>
        </w:rPr>
        <w:t xml:space="preserve"> (accessed on 20 January 2019)</w:t>
      </w:r>
    </w:p>
    <w:p w14:paraId="4DED75C7" w14:textId="3686DE37" w:rsidR="5FF468D4" w:rsidRDefault="5FF468D4" w:rsidP="5FF468D4">
      <w:pPr>
        <w:spacing w:line="240" w:lineRule="auto"/>
        <w:rPr>
          <w:rFonts w:ascii="Arial" w:eastAsia="Arial" w:hAnsi="Arial" w:cs="Arial"/>
          <w:sz w:val="24"/>
          <w:szCs w:val="24"/>
        </w:rPr>
      </w:pPr>
      <w:r w:rsidRPr="5FF468D4">
        <w:rPr>
          <w:rFonts w:ascii="Arial" w:eastAsia="Arial" w:hAnsi="Arial" w:cs="Arial"/>
          <w:sz w:val="24"/>
          <w:szCs w:val="24"/>
        </w:rPr>
        <w:t xml:space="preserve">Education Endowment Foundation (2017) </w:t>
      </w:r>
      <w:r w:rsidRPr="5FF468D4">
        <w:rPr>
          <w:rFonts w:ascii="Arial" w:eastAsia="Arial" w:hAnsi="Arial" w:cs="Arial"/>
          <w:i/>
          <w:iCs/>
          <w:sz w:val="24"/>
          <w:szCs w:val="24"/>
        </w:rPr>
        <w:t xml:space="preserve">The Attainment Gap 2017, </w:t>
      </w:r>
      <w:r w:rsidRPr="5FF468D4">
        <w:rPr>
          <w:rFonts w:ascii="Arial" w:eastAsia="Arial" w:hAnsi="Arial" w:cs="Arial"/>
          <w:sz w:val="24"/>
          <w:szCs w:val="24"/>
        </w:rPr>
        <w:t xml:space="preserve">London available at </w:t>
      </w:r>
      <w:hyperlink r:id="rId12">
        <w:r w:rsidRPr="5FF468D4">
          <w:rPr>
            <w:rStyle w:val="Hyperlink"/>
            <w:rFonts w:ascii="Arial" w:eastAsia="Arial" w:hAnsi="Arial" w:cs="Arial"/>
            <w:sz w:val="24"/>
            <w:szCs w:val="24"/>
          </w:rPr>
          <w:t>https://educationendowmentfoundation.org.uk/public/files/Annual_Reports/EEF_Attainment_Gap_Report_2018_-_print.pdf</w:t>
        </w:r>
      </w:hyperlink>
      <w:r w:rsidRPr="5FF468D4">
        <w:rPr>
          <w:rFonts w:ascii="Arial" w:eastAsia="Arial" w:hAnsi="Arial" w:cs="Arial"/>
          <w:sz w:val="24"/>
          <w:szCs w:val="24"/>
        </w:rPr>
        <w:t xml:space="preserve"> (accessed on 21 January 2019)</w:t>
      </w:r>
    </w:p>
    <w:p w14:paraId="3191F6BE" w14:textId="51EB78AE" w:rsidR="5FF468D4" w:rsidRDefault="5FF468D4" w:rsidP="5FF468D4">
      <w:pPr>
        <w:spacing w:line="240" w:lineRule="auto"/>
        <w:rPr>
          <w:rFonts w:ascii="Arial" w:eastAsia="Arial" w:hAnsi="Arial" w:cs="Arial"/>
          <w:sz w:val="24"/>
          <w:szCs w:val="24"/>
        </w:rPr>
      </w:pPr>
      <w:r w:rsidRPr="5FF468D4">
        <w:rPr>
          <w:rFonts w:ascii="Arial" w:eastAsia="Arial" w:hAnsi="Arial" w:cs="Arial"/>
          <w:sz w:val="24"/>
          <w:szCs w:val="24"/>
        </w:rPr>
        <w:t xml:space="preserve">Estyn (2008) “Closing the gap between boys’ and girls’ attainment in school” available at   </w:t>
      </w:r>
      <w:hyperlink r:id="rId13">
        <w:r w:rsidRPr="5FF468D4">
          <w:rPr>
            <w:rStyle w:val="Hyperlink"/>
            <w:rFonts w:ascii="Arial" w:eastAsia="Arial" w:hAnsi="Arial" w:cs="Arial"/>
            <w:sz w:val="24"/>
            <w:szCs w:val="24"/>
          </w:rPr>
          <w:t>https://dera.ioe.ac.uk/7498/1/Gender_Gap_Report_March_2008.pdf</w:t>
        </w:r>
      </w:hyperlink>
      <w:r w:rsidRPr="5FF468D4">
        <w:rPr>
          <w:rFonts w:ascii="Arial" w:eastAsia="Arial" w:hAnsi="Arial" w:cs="Arial"/>
          <w:sz w:val="24"/>
          <w:szCs w:val="24"/>
        </w:rPr>
        <w:t xml:space="preserve"> (accessed on 14 January 2019)</w:t>
      </w:r>
    </w:p>
    <w:p w14:paraId="2A72D95F" w14:textId="379C8F78" w:rsidR="5FF468D4" w:rsidRDefault="48BB928C" w:rsidP="48BB928C">
      <w:pPr>
        <w:spacing w:line="240" w:lineRule="auto"/>
        <w:rPr>
          <w:rFonts w:ascii="Arial" w:eastAsia="Arial" w:hAnsi="Arial" w:cs="Arial"/>
          <w:sz w:val="24"/>
          <w:szCs w:val="24"/>
        </w:rPr>
      </w:pPr>
      <w:r w:rsidRPr="48BB928C">
        <w:rPr>
          <w:rFonts w:ascii="Arial" w:eastAsia="Arial" w:hAnsi="Arial" w:cs="Arial"/>
          <w:sz w:val="24"/>
          <w:szCs w:val="24"/>
        </w:rPr>
        <w:t>Estyn (2016) Inspection report for School X, available at (accessed on 14 January 2019)</w:t>
      </w:r>
    </w:p>
    <w:p w14:paraId="4BB0AD1A" w14:textId="32477650" w:rsidR="5FF468D4" w:rsidRDefault="48BB928C" w:rsidP="5FF468D4">
      <w:pPr>
        <w:spacing w:line="240" w:lineRule="auto"/>
        <w:rPr>
          <w:rFonts w:ascii="Arial" w:eastAsia="Arial" w:hAnsi="Arial" w:cs="Arial"/>
          <w:sz w:val="24"/>
          <w:szCs w:val="24"/>
        </w:rPr>
      </w:pPr>
      <w:r w:rsidRPr="48BB928C">
        <w:rPr>
          <w:rFonts w:ascii="Arial" w:eastAsia="Arial" w:hAnsi="Arial" w:cs="Arial"/>
          <w:sz w:val="24"/>
          <w:szCs w:val="24"/>
        </w:rPr>
        <w:t xml:space="preserve">Fidler, B. (1998) How can a Successful School Avoid Failure?: Strategic management in schools, School Leadership &amp; Management, 18:4, 497-509 available at </w:t>
      </w:r>
      <w:hyperlink r:id="rId14">
        <w:r w:rsidRPr="48BB928C">
          <w:rPr>
            <w:rStyle w:val="Hyperlink"/>
            <w:rFonts w:ascii="Arial" w:eastAsia="Arial" w:hAnsi="Arial" w:cs="Arial"/>
            <w:sz w:val="24"/>
            <w:szCs w:val="24"/>
          </w:rPr>
          <w:t>https://www-tandfonline-com.ezproxy.uwtsd.ac.uk/doi/pdf/10.1080/13632439869466</w:t>
        </w:r>
      </w:hyperlink>
      <w:r w:rsidRPr="48BB928C">
        <w:rPr>
          <w:rFonts w:ascii="Arial" w:eastAsia="Arial" w:hAnsi="Arial" w:cs="Arial"/>
          <w:sz w:val="24"/>
          <w:szCs w:val="24"/>
        </w:rPr>
        <w:t xml:space="preserve">  (accessed 16 January 2019).</w:t>
      </w:r>
    </w:p>
    <w:p w14:paraId="7619107E" w14:textId="66B87811" w:rsidR="48BB928C" w:rsidRDefault="48BB928C">
      <w:r w:rsidRPr="48BB928C">
        <w:rPr>
          <w:rFonts w:ascii="Arial" w:eastAsia="Arial" w:hAnsi="Arial" w:cs="Arial"/>
          <w:sz w:val="24"/>
          <w:szCs w:val="24"/>
        </w:rPr>
        <w:t xml:space="preserve">Flutter, J. jaed100@cam. ac. u. (2007) ‘Teacher development and pupil voice’, </w:t>
      </w:r>
      <w:r w:rsidRPr="48BB928C">
        <w:rPr>
          <w:rFonts w:ascii="Arial" w:eastAsia="Arial" w:hAnsi="Arial" w:cs="Arial"/>
          <w:i/>
          <w:iCs/>
          <w:sz w:val="24"/>
          <w:szCs w:val="24"/>
        </w:rPr>
        <w:t>Curriculum Journal</w:t>
      </w:r>
      <w:r w:rsidRPr="48BB928C">
        <w:rPr>
          <w:rFonts w:ascii="Arial" w:eastAsia="Arial" w:hAnsi="Arial" w:cs="Arial"/>
          <w:sz w:val="24"/>
          <w:szCs w:val="24"/>
        </w:rPr>
        <w:t>, 18(3), pp. 343–354. doi: 10.1080/09585170701589983.</w:t>
      </w:r>
    </w:p>
    <w:p w14:paraId="7DC6FB4A" w14:textId="4020B534" w:rsidR="48BB928C" w:rsidRDefault="48BB928C" w:rsidP="48BB928C">
      <w:pPr>
        <w:spacing w:line="240" w:lineRule="auto"/>
      </w:pPr>
      <w:r w:rsidRPr="48BB928C">
        <w:rPr>
          <w:rFonts w:ascii="Arial" w:eastAsia="Arial" w:hAnsi="Arial" w:cs="Arial"/>
          <w:sz w:val="24"/>
          <w:szCs w:val="24"/>
        </w:rPr>
        <w:t>Henry, K., Lagos, A., &amp; Berndt, F. (2012). Bridging the literacy gap between boys and girls: An opportunity for the National Year of Reading 2012. Australian Library Journal, 61(2), 143-150.</w:t>
      </w:r>
    </w:p>
    <w:p w14:paraId="0EE65CCE" w14:textId="04202930" w:rsidR="5FF468D4" w:rsidRDefault="2AA458C9" w:rsidP="5FF468D4">
      <w:pPr>
        <w:spacing w:line="240" w:lineRule="auto"/>
        <w:rPr>
          <w:rFonts w:ascii="Arial" w:eastAsia="Arial" w:hAnsi="Arial" w:cs="Arial"/>
          <w:sz w:val="24"/>
          <w:szCs w:val="24"/>
        </w:rPr>
      </w:pPr>
      <w:r w:rsidRPr="2AA458C9">
        <w:rPr>
          <w:rFonts w:ascii="Arial" w:eastAsia="Arial" w:hAnsi="Arial" w:cs="Arial"/>
          <w:sz w:val="24"/>
          <w:szCs w:val="24"/>
        </w:rPr>
        <w:t xml:space="preserve">Husbands,C &amp; Pearce J. (2012) </w:t>
      </w:r>
      <w:r w:rsidRPr="2AA458C9">
        <w:rPr>
          <w:rFonts w:ascii="Arial" w:eastAsia="Arial" w:hAnsi="Arial" w:cs="Arial"/>
          <w:i/>
          <w:iCs/>
          <w:sz w:val="24"/>
          <w:szCs w:val="24"/>
        </w:rPr>
        <w:t xml:space="preserve">What makes great pedagogy? Nine claims from research, </w:t>
      </w:r>
      <w:r w:rsidRPr="2AA458C9">
        <w:rPr>
          <w:rFonts w:ascii="Arial" w:eastAsia="Arial" w:hAnsi="Arial" w:cs="Arial"/>
          <w:sz w:val="24"/>
          <w:szCs w:val="24"/>
        </w:rPr>
        <w:t xml:space="preserve">Nottingham: The National College of School Leadership available at </w:t>
      </w:r>
      <w:hyperlink r:id="rId15">
        <w:r w:rsidRPr="2AA458C9">
          <w:rPr>
            <w:rStyle w:val="Hyperlink"/>
            <w:rFonts w:ascii="Arial" w:eastAsia="Arial" w:hAnsi="Arial" w:cs="Arial"/>
            <w:sz w:val="24"/>
            <w:szCs w:val="24"/>
          </w:rPr>
          <w:t>https://assets.publishing.service.gov.uk/government/uploads/system/uploads/attachment_data/file/329746/what-makes-great-pedagogy-nine-claims-from-research.pdf</w:t>
        </w:r>
      </w:hyperlink>
      <w:r w:rsidRPr="2AA458C9">
        <w:rPr>
          <w:rFonts w:ascii="Arial" w:eastAsia="Arial" w:hAnsi="Arial" w:cs="Arial"/>
          <w:sz w:val="24"/>
          <w:szCs w:val="24"/>
        </w:rPr>
        <w:t xml:space="preserve"> (access on 21 January 2019)</w:t>
      </w:r>
    </w:p>
    <w:p w14:paraId="27C918C1" w14:textId="05280877" w:rsidR="2AA458C9" w:rsidRDefault="2AA458C9" w:rsidP="2AA458C9">
      <w:pPr>
        <w:spacing w:line="240" w:lineRule="auto"/>
        <w:rPr>
          <w:rFonts w:ascii="Arial" w:eastAsia="Arial" w:hAnsi="Arial" w:cs="Arial"/>
          <w:sz w:val="24"/>
          <w:szCs w:val="24"/>
        </w:rPr>
      </w:pPr>
      <w:r w:rsidRPr="2AA458C9">
        <w:rPr>
          <w:rFonts w:ascii="Arial" w:eastAsia="Arial" w:hAnsi="Arial" w:cs="Arial"/>
          <w:sz w:val="24"/>
          <w:szCs w:val="24"/>
        </w:rPr>
        <w:t xml:space="preserve">Lemov, D. (2015) </w:t>
      </w:r>
      <w:r w:rsidRPr="2AA458C9">
        <w:rPr>
          <w:rFonts w:ascii="Arial" w:eastAsia="Arial" w:hAnsi="Arial" w:cs="Arial"/>
          <w:i/>
          <w:iCs/>
          <w:sz w:val="24"/>
          <w:szCs w:val="24"/>
        </w:rPr>
        <w:t xml:space="preserve">Teach Like A Champion 2:0 </w:t>
      </w:r>
      <w:r w:rsidRPr="2AA458C9">
        <w:rPr>
          <w:rFonts w:ascii="Arial" w:eastAsia="Arial" w:hAnsi="Arial" w:cs="Arial"/>
          <w:sz w:val="24"/>
          <w:szCs w:val="24"/>
        </w:rPr>
        <w:t xml:space="preserve"> San Francisco: Jossey-Bass</w:t>
      </w:r>
    </w:p>
    <w:p w14:paraId="20290CE1" w14:textId="3A4E8A9D" w:rsidR="5FF468D4" w:rsidRDefault="48BB928C" w:rsidP="48BB928C">
      <w:pPr>
        <w:spacing w:line="240" w:lineRule="auto"/>
        <w:rPr>
          <w:rFonts w:ascii="Arial" w:eastAsia="Arial" w:hAnsi="Arial" w:cs="Arial"/>
          <w:sz w:val="24"/>
          <w:szCs w:val="24"/>
        </w:rPr>
      </w:pPr>
      <w:r w:rsidRPr="48BB928C">
        <w:rPr>
          <w:rFonts w:ascii="Arial" w:eastAsia="Arial" w:hAnsi="Arial" w:cs="Arial"/>
          <w:sz w:val="24"/>
          <w:szCs w:val="24"/>
        </w:rPr>
        <w:t xml:space="preserve">Marcus, G. (2016) </w:t>
      </w:r>
      <w:r w:rsidRPr="48BB928C">
        <w:rPr>
          <w:rFonts w:ascii="Arial" w:eastAsia="Arial" w:hAnsi="Arial" w:cs="Arial"/>
          <w:i/>
          <w:iCs/>
          <w:sz w:val="24"/>
          <w:szCs w:val="24"/>
        </w:rPr>
        <w:t xml:space="preserve">Closing the Attainment Gap: What Can Schools Do? </w:t>
      </w:r>
      <w:r w:rsidRPr="48BB928C">
        <w:rPr>
          <w:rFonts w:ascii="Arial" w:eastAsia="Arial" w:hAnsi="Arial" w:cs="Arial"/>
          <w:sz w:val="24"/>
          <w:szCs w:val="24"/>
        </w:rPr>
        <w:t xml:space="preserve"> Edinburgh: Scottish Parliament Information Centre available at </w:t>
      </w:r>
      <w:hyperlink r:id="rId16">
        <w:r w:rsidRPr="48BB928C">
          <w:rPr>
            <w:rStyle w:val="Hyperlink"/>
            <w:rFonts w:ascii="Arial" w:eastAsia="Arial" w:hAnsi="Arial" w:cs="Arial"/>
            <w:sz w:val="24"/>
            <w:szCs w:val="24"/>
          </w:rPr>
          <w:t>http://www.parliament.scot/ResearchBriefingsAndFactsheets/S5/SB_16-68_Closing_The_Attainment_Gap_What_Can_Schools_Do.pdf</w:t>
        </w:r>
      </w:hyperlink>
      <w:r w:rsidRPr="48BB928C">
        <w:rPr>
          <w:rFonts w:ascii="Arial" w:eastAsia="Arial" w:hAnsi="Arial" w:cs="Arial"/>
          <w:sz w:val="24"/>
          <w:szCs w:val="24"/>
        </w:rPr>
        <w:t xml:space="preserve">  (accessed on 21 January 2019)</w:t>
      </w:r>
    </w:p>
    <w:p w14:paraId="3D400584" w14:textId="1DFCF8C3" w:rsidR="48BB928C" w:rsidRDefault="48BB928C" w:rsidP="48BB928C">
      <w:pPr>
        <w:spacing w:line="240" w:lineRule="auto"/>
        <w:rPr>
          <w:rFonts w:ascii="Arial" w:eastAsia="Arial" w:hAnsi="Arial" w:cs="Arial"/>
          <w:sz w:val="24"/>
          <w:szCs w:val="24"/>
        </w:rPr>
      </w:pPr>
      <w:r w:rsidRPr="48BB928C">
        <w:rPr>
          <w:rFonts w:ascii="Arial" w:eastAsia="Arial" w:hAnsi="Arial" w:cs="Arial"/>
          <w:sz w:val="24"/>
          <w:szCs w:val="24"/>
        </w:rPr>
        <w:t xml:space="preserve">Noble, C. Bradford, W. (2000) </w:t>
      </w:r>
      <w:r w:rsidRPr="48BB928C">
        <w:rPr>
          <w:rFonts w:ascii="Arial" w:eastAsia="Arial" w:hAnsi="Arial" w:cs="Arial"/>
          <w:i/>
          <w:iCs/>
          <w:sz w:val="24"/>
          <w:szCs w:val="24"/>
        </w:rPr>
        <w:t>Getting it right</w:t>
      </w:r>
      <w:r w:rsidRPr="48BB928C">
        <w:rPr>
          <w:rFonts w:ascii="Arial" w:eastAsia="Arial" w:hAnsi="Arial" w:cs="Arial"/>
          <w:sz w:val="24"/>
          <w:szCs w:val="24"/>
        </w:rPr>
        <w:t xml:space="preserve"> for boys ...and girls, Abington: Routledge</w:t>
      </w:r>
    </w:p>
    <w:p w14:paraId="7F6608B5" w14:textId="6C849BF7" w:rsidR="48BB928C" w:rsidRDefault="48BB928C" w:rsidP="48BB928C">
      <w:pPr>
        <w:spacing w:line="240" w:lineRule="auto"/>
        <w:rPr>
          <w:rFonts w:ascii="Arial" w:eastAsia="Arial" w:hAnsi="Arial" w:cs="Arial"/>
          <w:sz w:val="24"/>
          <w:szCs w:val="24"/>
        </w:rPr>
      </w:pPr>
      <w:r w:rsidRPr="48BB928C">
        <w:rPr>
          <w:rFonts w:ascii="Arial" w:eastAsia="Arial" w:hAnsi="Arial" w:cs="Arial"/>
          <w:sz w:val="24"/>
          <w:szCs w:val="24"/>
        </w:rPr>
        <w:t xml:space="preserve">Noble, C. Brown, J. Murphy, J (2001) </w:t>
      </w:r>
      <w:r w:rsidRPr="48BB928C">
        <w:rPr>
          <w:rFonts w:ascii="Arial" w:eastAsia="Arial" w:hAnsi="Arial" w:cs="Arial"/>
          <w:i/>
          <w:iCs/>
          <w:sz w:val="24"/>
          <w:szCs w:val="24"/>
        </w:rPr>
        <w:t xml:space="preserve">How to Raise Boys’ Achievement, </w:t>
      </w:r>
      <w:r w:rsidRPr="48BB928C">
        <w:rPr>
          <w:rFonts w:ascii="Arial" w:eastAsia="Arial" w:hAnsi="Arial" w:cs="Arial"/>
          <w:sz w:val="24"/>
          <w:szCs w:val="24"/>
        </w:rPr>
        <w:t>London: David Fulton Publishers Ltd.</w:t>
      </w:r>
    </w:p>
    <w:p w14:paraId="164FAD56" w14:textId="7AA65B1D" w:rsidR="48BB928C" w:rsidRDefault="48BB928C" w:rsidP="48BB928C">
      <w:pPr>
        <w:spacing w:line="240" w:lineRule="auto"/>
        <w:rPr>
          <w:rFonts w:ascii="Arial" w:eastAsia="Arial" w:hAnsi="Arial" w:cs="Arial"/>
          <w:i/>
          <w:iCs/>
          <w:sz w:val="24"/>
          <w:szCs w:val="24"/>
        </w:rPr>
      </w:pPr>
      <w:r w:rsidRPr="48BB928C">
        <w:rPr>
          <w:rFonts w:ascii="Arial" w:eastAsia="Arial" w:hAnsi="Arial" w:cs="Arial"/>
          <w:sz w:val="24"/>
          <w:szCs w:val="24"/>
        </w:rPr>
        <w:t xml:space="preserve">Ruddock, J. Flutter, J. (2004) </w:t>
      </w:r>
      <w:r w:rsidRPr="48BB928C">
        <w:rPr>
          <w:rFonts w:ascii="Arial" w:eastAsia="Arial" w:hAnsi="Arial" w:cs="Arial"/>
          <w:i/>
          <w:iCs/>
          <w:sz w:val="24"/>
          <w:szCs w:val="24"/>
        </w:rPr>
        <w:t>How to Improve your School</w:t>
      </w:r>
      <w:r w:rsidRPr="48BB928C">
        <w:rPr>
          <w:rFonts w:ascii="Arial" w:eastAsia="Arial" w:hAnsi="Arial" w:cs="Arial"/>
          <w:sz w:val="24"/>
          <w:szCs w:val="24"/>
        </w:rPr>
        <w:t>, London: Continuum</w:t>
      </w:r>
    </w:p>
    <w:p w14:paraId="68D2C5E9" w14:textId="4EAEE3AC" w:rsidR="4E720FA3" w:rsidRPr="00762CD5" w:rsidRDefault="5FF468D4" w:rsidP="0125CE14">
      <w:pPr>
        <w:spacing w:line="240" w:lineRule="auto"/>
        <w:rPr>
          <w:rFonts w:ascii="Arial" w:eastAsia="Arial" w:hAnsi="Arial" w:cs="Arial"/>
          <w:sz w:val="24"/>
          <w:szCs w:val="24"/>
        </w:rPr>
      </w:pPr>
      <w:r w:rsidRPr="5FF468D4">
        <w:rPr>
          <w:rFonts w:ascii="Arial" w:eastAsia="Arial" w:hAnsi="Arial" w:cs="Arial"/>
          <w:sz w:val="24"/>
          <w:szCs w:val="24"/>
        </w:rPr>
        <w:t xml:space="preserve">Welsh Assembly Government (2017) “My Local School” available at </w:t>
      </w:r>
      <w:hyperlink r:id="rId17">
        <w:r w:rsidRPr="5FF468D4">
          <w:rPr>
            <w:rStyle w:val="Hyperlink"/>
            <w:rFonts w:ascii="Arial" w:eastAsia="Arial" w:hAnsi="Arial" w:cs="Arial"/>
            <w:sz w:val="24"/>
            <w:szCs w:val="24"/>
          </w:rPr>
          <w:t>http://mylocalschool.wales.gov.uk/School/6724078?lang=en</w:t>
        </w:r>
      </w:hyperlink>
      <w:r w:rsidRPr="5FF468D4">
        <w:rPr>
          <w:rFonts w:ascii="Arial" w:eastAsia="Arial" w:hAnsi="Arial" w:cs="Arial"/>
          <w:sz w:val="24"/>
          <w:szCs w:val="24"/>
        </w:rPr>
        <w:t xml:space="preserve"> (accessed on 13 January 2019)</w:t>
      </w:r>
    </w:p>
    <w:p w14:paraId="59CF4A06" w14:textId="4B87583C" w:rsidR="51A6DECD" w:rsidRPr="00762CD5" w:rsidRDefault="51A6DECD" w:rsidP="0125CE14">
      <w:pPr>
        <w:spacing w:line="240" w:lineRule="auto"/>
        <w:rPr>
          <w:rFonts w:ascii="Arial" w:eastAsia="Arial" w:hAnsi="Arial" w:cs="Arial"/>
          <w:sz w:val="24"/>
          <w:szCs w:val="24"/>
        </w:rPr>
      </w:pPr>
    </w:p>
    <w:p w14:paraId="7E03C633" w14:textId="4F029502" w:rsidR="48BB928C" w:rsidRDefault="0E9C85FA" w:rsidP="0E9C85FA">
      <w:pPr>
        <w:spacing w:line="240" w:lineRule="auto"/>
        <w:rPr>
          <w:rFonts w:ascii="Arial" w:eastAsia="Arial" w:hAnsi="Arial" w:cs="Arial"/>
          <w:sz w:val="24"/>
          <w:szCs w:val="24"/>
        </w:rPr>
      </w:pPr>
      <w:r w:rsidRPr="0E9C85FA">
        <w:rPr>
          <w:rFonts w:ascii="Arial" w:eastAsia="Arial" w:hAnsi="Arial" w:cs="Arial"/>
          <w:sz w:val="24"/>
          <w:szCs w:val="24"/>
        </w:rPr>
        <w:t xml:space="preserve"> </w:t>
      </w:r>
    </w:p>
    <w:p w14:paraId="0F683C57" w14:textId="62FE6B5D" w:rsidR="48BB928C" w:rsidRDefault="48BB928C" w:rsidP="48BB928C">
      <w:pPr>
        <w:spacing w:line="480" w:lineRule="auto"/>
        <w:rPr>
          <w:rFonts w:ascii="Arial" w:eastAsia="Arial" w:hAnsi="Arial" w:cs="Arial"/>
          <w:color w:val="333333"/>
          <w:sz w:val="24"/>
          <w:szCs w:val="24"/>
        </w:rPr>
      </w:pPr>
    </w:p>
    <w:sectPr w:rsidR="48BB928C" w:rsidSect="001B29DB">
      <w:headerReference w:type="default" r:id="rId18"/>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8268E5" w14:textId="77777777" w:rsidR="00632318" w:rsidRDefault="00632318">
      <w:pPr>
        <w:spacing w:after="0" w:line="240" w:lineRule="auto"/>
      </w:pPr>
      <w:r>
        <w:separator/>
      </w:r>
    </w:p>
  </w:endnote>
  <w:endnote w:type="continuationSeparator" w:id="0">
    <w:p w14:paraId="4A9B1F17" w14:textId="77777777" w:rsidR="00632318" w:rsidRDefault="006323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931131"/>
      <w:docPartObj>
        <w:docPartGallery w:val="Page Numbers (Bottom of Page)"/>
        <w:docPartUnique/>
      </w:docPartObj>
    </w:sdtPr>
    <w:sdtEndPr>
      <w:rPr>
        <w:noProof/>
      </w:rPr>
    </w:sdtEndPr>
    <w:sdtContent>
      <w:p w14:paraId="47C71580" w14:textId="35C916C8" w:rsidR="00386518" w:rsidRDefault="00386518">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48005919" w14:textId="615030DF" w:rsidR="7EDAFE43" w:rsidRDefault="7EDAFE43" w:rsidP="7EDAFE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DB357F" w14:textId="77777777" w:rsidR="00632318" w:rsidRDefault="00632318">
      <w:pPr>
        <w:spacing w:after="0" w:line="240" w:lineRule="auto"/>
      </w:pPr>
      <w:r>
        <w:separator/>
      </w:r>
    </w:p>
  </w:footnote>
  <w:footnote w:type="continuationSeparator" w:id="0">
    <w:p w14:paraId="5E9057D4" w14:textId="77777777" w:rsidR="00632318" w:rsidRDefault="006323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7EDAFE43" w14:paraId="02546281" w14:textId="77777777" w:rsidTr="7EDAFE43">
      <w:tc>
        <w:tcPr>
          <w:tcW w:w="3009" w:type="dxa"/>
        </w:tcPr>
        <w:p w14:paraId="1249656D" w14:textId="256107D1" w:rsidR="7EDAFE43" w:rsidRDefault="7EDAFE43" w:rsidP="7EDAFE43">
          <w:pPr>
            <w:pStyle w:val="Header"/>
            <w:ind w:left="-115"/>
          </w:pPr>
        </w:p>
      </w:tc>
      <w:tc>
        <w:tcPr>
          <w:tcW w:w="3009" w:type="dxa"/>
        </w:tcPr>
        <w:p w14:paraId="088D6232" w14:textId="056395E9" w:rsidR="7EDAFE43" w:rsidRDefault="7EDAFE43" w:rsidP="7EDAFE43">
          <w:pPr>
            <w:pStyle w:val="Header"/>
            <w:jc w:val="center"/>
          </w:pPr>
        </w:p>
      </w:tc>
      <w:tc>
        <w:tcPr>
          <w:tcW w:w="3009" w:type="dxa"/>
        </w:tcPr>
        <w:p w14:paraId="1A6E197D" w14:textId="53E3DE3C" w:rsidR="7EDAFE43" w:rsidRDefault="7EDAFE43" w:rsidP="7EDAFE43">
          <w:pPr>
            <w:pStyle w:val="Header"/>
            <w:ind w:right="-115"/>
            <w:jc w:val="right"/>
          </w:pPr>
        </w:p>
      </w:tc>
    </w:tr>
  </w:tbl>
  <w:p w14:paraId="3C45A029" w14:textId="07DC25A9" w:rsidR="7EDAFE43" w:rsidRDefault="7EDAFE43" w:rsidP="7EDAFE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740142"/>
    <w:multiLevelType w:val="hybridMultilevel"/>
    <w:tmpl w:val="CF5A5A5E"/>
    <w:lvl w:ilvl="0" w:tplc="64E65614">
      <w:start w:val="1"/>
      <w:numFmt w:val="bullet"/>
      <w:lvlText w:val=""/>
      <w:lvlJc w:val="left"/>
      <w:pPr>
        <w:ind w:left="720" w:hanging="360"/>
      </w:pPr>
      <w:rPr>
        <w:rFonts w:ascii="Symbol" w:hAnsi="Symbol" w:hint="default"/>
      </w:rPr>
    </w:lvl>
    <w:lvl w:ilvl="1" w:tplc="D2348E0A">
      <w:start w:val="1"/>
      <w:numFmt w:val="bullet"/>
      <w:lvlText w:val="o"/>
      <w:lvlJc w:val="left"/>
      <w:pPr>
        <w:ind w:left="1440" w:hanging="360"/>
      </w:pPr>
      <w:rPr>
        <w:rFonts w:ascii="Courier New" w:hAnsi="Courier New" w:hint="default"/>
      </w:rPr>
    </w:lvl>
    <w:lvl w:ilvl="2" w:tplc="B504DD78">
      <w:start w:val="1"/>
      <w:numFmt w:val="bullet"/>
      <w:lvlText w:val=""/>
      <w:lvlJc w:val="left"/>
      <w:pPr>
        <w:ind w:left="2160" w:hanging="360"/>
      </w:pPr>
      <w:rPr>
        <w:rFonts w:ascii="Wingdings" w:hAnsi="Wingdings" w:hint="default"/>
      </w:rPr>
    </w:lvl>
    <w:lvl w:ilvl="3" w:tplc="DA2E9CAA">
      <w:start w:val="1"/>
      <w:numFmt w:val="bullet"/>
      <w:lvlText w:val=""/>
      <w:lvlJc w:val="left"/>
      <w:pPr>
        <w:ind w:left="2880" w:hanging="360"/>
      </w:pPr>
      <w:rPr>
        <w:rFonts w:ascii="Symbol" w:hAnsi="Symbol" w:hint="default"/>
      </w:rPr>
    </w:lvl>
    <w:lvl w:ilvl="4" w:tplc="C1AED396">
      <w:start w:val="1"/>
      <w:numFmt w:val="bullet"/>
      <w:lvlText w:val="o"/>
      <w:lvlJc w:val="left"/>
      <w:pPr>
        <w:ind w:left="3600" w:hanging="360"/>
      </w:pPr>
      <w:rPr>
        <w:rFonts w:ascii="Courier New" w:hAnsi="Courier New" w:hint="default"/>
      </w:rPr>
    </w:lvl>
    <w:lvl w:ilvl="5" w:tplc="B812392A">
      <w:start w:val="1"/>
      <w:numFmt w:val="bullet"/>
      <w:lvlText w:val=""/>
      <w:lvlJc w:val="left"/>
      <w:pPr>
        <w:ind w:left="4320" w:hanging="360"/>
      </w:pPr>
      <w:rPr>
        <w:rFonts w:ascii="Wingdings" w:hAnsi="Wingdings" w:hint="default"/>
      </w:rPr>
    </w:lvl>
    <w:lvl w:ilvl="6" w:tplc="50180394">
      <w:start w:val="1"/>
      <w:numFmt w:val="bullet"/>
      <w:lvlText w:val=""/>
      <w:lvlJc w:val="left"/>
      <w:pPr>
        <w:ind w:left="5040" w:hanging="360"/>
      </w:pPr>
      <w:rPr>
        <w:rFonts w:ascii="Symbol" w:hAnsi="Symbol" w:hint="default"/>
      </w:rPr>
    </w:lvl>
    <w:lvl w:ilvl="7" w:tplc="BCA23838">
      <w:start w:val="1"/>
      <w:numFmt w:val="bullet"/>
      <w:lvlText w:val="o"/>
      <w:lvlJc w:val="left"/>
      <w:pPr>
        <w:ind w:left="5760" w:hanging="360"/>
      </w:pPr>
      <w:rPr>
        <w:rFonts w:ascii="Courier New" w:hAnsi="Courier New" w:hint="default"/>
      </w:rPr>
    </w:lvl>
    <w:lvl w:ilvl="8" w:tplc="39E4306A">
      <w:start w:val="1"/>
      <w:numFmt w:val="bullet"/>
      <w:lvlText w:val=""/>
      <w:lvlJc w:val="left"/>
      <w:pPr>
        <w:ind w:left="6480" w:hanging="360"/>
      </w:pPr>
      <w:rPr>
        <w:rFonts w:ascii="Wingdings" w:hAnsi="Wingdings" w:hint="default"/>
      </w:rPr>
    </w:lvl>
  </w:abstractNum>
  <w:abstractNum w:abstractNumId="1" w15:restartNumberingAfterBreak="0">
    <w:nsid w:val="4EE568C6"/>
    <w:multiLevelType w:val="hybridMultilevel"/>
    <w:tmpl w:val="9EACB8DA"/>
    <w:lvl w:ilvl="0" w:tplc="37D42BE8">
      <w:start w:val="1"/>
      <w:numFmt w:val="lowerLetter"/>
      <w:lvlText w:val="%1."/>
      <w:lvlJc w:val="left"/>
      <w:pPr>
        <w:ind w:left="720" w:hanging="360"/>
      </w:pPr>
    </w:lvl>
    <w:lvl w:ilvl="1" w:tplc="CDC0C7DA">
      <w:start w:val="1"/>
      <w:numFmt w:val="lowerLetter"/>
      <w:lvlText w:val="%2."/>
      <w:lvlJc w:val="left"/>
      <w:pPr>
        <w:ind w:left="1440" w:hanging="360"/>
      </w:pPr>
    </w:lvl>
    <w:lvl w:ilvl="2" w:tplc="AACE0A2A">
      <w:start w:val="1"/>
      <w:numFmt w:val="lowerRoman"/>
      <w:lvlText w:val="%3."/>
      <w:lvlJc w:val="right"/>
      <w:pPr>
        <w:ind w:left="2160" w:hanging="180"/>
      </w:pPr>
    </w:lvl>
    <w:lvl w:ilvl="3" w:tplc="4372FBDC">
      <w:start w:val="1"/>
      <w:numFmt w:val="decimal"/>
      <w:lvlText w:val="%4."/>
      <w:lvlJc w:val="left"/>
      <w:pPr>
        <w:ind w:left="2880" w:hanging="360"/>
      </w:pPr>
    </w:lvl>
    <w:lvl w:ilvl="4" w:tplc="DEAE6930">
      <w:start w:val="1"/>
      <w:numFmt w:val="lowerLetter"/>
      <w:lvlText w:val="%5."/>
      <w:lvlJc w:val="left"/>
      <w:pPr>
        <w:ind w:left="3600" w:hanging="360"/>
      </w:pPr>
    </w:lvl>
    <w:lvl w:ilvl="5" w:tplc="C652AA36">
      <w:start w:val="1"/>
      <w:numFmt w:val="lowerRoman"/>
      <w:lvlText w:val="%6."/>
      <w:lvlJc w:val="right"/>
      <w:pPr>
        <w:ind w:left="4320" w:hanging="180"/>
      </w:pPr>
    </w:lvl>
    <w:lvl w:ilvl="6" w:tplc="73063736">
      <w:start w:val="1"/>
      <w:numFmt w:val="decimal"/>
      <w:lvlText w:val="%7."/>
      <w:lvlJc w:val="left"/>
      <w:pPr>
        <w:ind w:left="5040" w:hanging="360"/>
      </w:pPr>
    </w:lvl>
    <w:lvl w:ilvl="7" w:tplc="89CCBF8C">
      <w:start w:val="1"/>
      <w:numFmt w:val="lowerLetter"/>
      <w:lvlText w:val="%8."/>
      <w:lvlJc w:val="left"/>
      <w:pPr>
        <w:ind w:left="5760" w:hanging="360"/>
      </w:pPr>
    </w:lvl>
    <w:lvl w:ilvl="8" w:tplc="DC08A3EC">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526A6A"/>
    <w:rsid w:val="00045026"/>
    <w:rsid w:val="000E3E8D"/>
    <w:rsid w:val="000F292B"/>
    <w:rsid w:val="00107AA3"/>
    <w:rsid w:val="00153341"/>
    <w:rsid w:val="001B29DB"/>
    <w:rsid w:val="00255F0A"/>
    <w:rsid w:val="002A5502"/>
    <w:rsid w:val="00386518"/>
    <w:rsid w:val="004942DE"/>
    <w:rsid w:val="0061334C"/>
    <w:rsid w:val="00632318"/>
    <w:rsid w:val="00681AA1"/>
    <w:rsid w:val="0068247A"/>
    <w:rsid w:val="006E7602"/>
    <w:rsid w:val="00762CD5"/>
    <w:rsid w:val="008C270B"/>
    <w:rsid w:val="009109F6"/>
    <w:rsid w:val="009A563E"/>
    <w:rsid w:val="00A40020"/>
    <w:rsid w:val="00A824B0"/>
    <w:rsid w:val="00BB7A73"/>
    <w:rsid w:val="00BE3171"/>
    <w:rsid w:val="00C07FDD"/>
    <w:rsid w:val="00C57395"/>
    <w:rsid w:val="00CE23A3"/>
    <w:rsid w:val="00CF4A19"/>
    <w:rsid w:val="00DE6A6D"/>
    <w:rsid w:val="00E16086"/>
    <w:rsid w:val="00E679A8"/>
    <w:rsid w:val="00EA0D3E"/>
    <w:rsid w:val="00F41D6D"/>
    <w:rsid w:val="00F75113"/>
    <w:rsid w:val="0125CE14"/>
    <w:rsid w:val="01FD04DC"/>
    <w:rsid w:val="0E9C85FA"/>
    <w:rsid w:val="0FB8F646"/>
    <w:rsid w:val="13BB28C8"/>
    <w:rsid w:val="18E0AF22"/>
    <w:rsid w:val="19950236"/>
    <w:rsid w:val="19E9AD5B"/>
    <w:rsid w:val="24D887E6"/>
    <w:rsid w:val="2AA458C9"/>
    <w:rsid w:val="377E889A"/>
    <w:rsid w:val="396E79B1"/>
    <w:rsid w:val="48BB928C"/>
    <w:rsid w:val="4E720FA3"/>
    <w:rsid w:val="5160955A"/>
    <w:rsid w:val="51A6DECD"/>
    <w:rsid w:val="52680C2C"/>
    <w:rsid w:val="52DF33BF"/>
    <w:rsid w:val="59C981C8"/>
    <w:rsid w:val="5D1FA627"/>
    <w:rsid w:val="5FF468D4"/>
    <w:rsid w:val="6B21A366"/>
    <w:rsid w:val="6BC3ED56"/>
    <w:rsid w:val="6D5EB470"/>
    <w:rsid w:val="6E1B11C4"/>
    <w:rsid w:val="72659DC7"/>
    <w:rsid w:val="79526A6A"/>
    <w:rsid w:val="7B7C0812"/>
    <w:rsid w:val="7EDAFE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26A6A"/>
  <w15:chartTrackingRefBased/>
  <w15:docId w15:val="{CB10435C-FF7F-4AB5-94E2-C4E09E97D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153341"/>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4250/1/raising-standards-29-06-11-eng.pdf" TargetMode="External"/><Relationship Id="rId13" Type="http://schemas.openxmlformats.org/officeDocument/2006/relationships/hyperlink" Target="https://dera.ioe.ac.uk/7498/1/Gender_Gap_Report_March_2008.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educationendowmentfoundation.org.uk/public/files/Annual_Reports/EEF_Attainment_Gap_Report_2018_-_print.pdf" TargetMode="External"/><Relationship Id="rId17" Type="http://schemas.openxmlformats.org/officeDocument/2006/relationships/hyperlink" Target="http://mylocalschool.wales.gov.uk/School/6724078?lang=en" TargetMode="External"/><Relationship Id="rId2" Type="http://schemas.openxmlformats.org/officeDocument/2006/relationships/styles" Target="styles.xml"/><Relationship Id="rId16" Type="http://schemas.openxmlformats.org/officeDocument/2006/relationships/hyperlink" Target="http://www.parliament.scot/ResearchBriefingsAndFactsheets/S5/SB_16-68_Closing_The_Attainment_Gap_What_Can_Schools_Do.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ra.ioe.ac.uk/24680/1/151021-a-curriculum-for-wales-a-curriculum-for-life-en_Redacted.pdf"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329746/what-makes-great-pedagogy-nine-claims-from-research.pdf" TargetMode="External"/><Relationship Id="rId10" Type="http://schemas.openxmlformats.org/officeDocument/2006/relationships/hyperlink" Target="https://search-proquest-com.ezproxy.uwtsd.ac.uk/docview/220473684/fulltextPDF/388DD86150B04305PQ/1?accountid=130472"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psychologicalscience.org/news/releases/learning-styles-debunked-there-is-no-evidence-supporting-auditory-and-visual-learning-psychologists-say.html" TargetMode="External"/><Relationship Id="rId14" Type="http://schemas.openxmlformats.org/officeDocument/2006/relationships/hyperlink" Target="https://www-tandfonline-com.ezproxy.uwtsd.ac.uk/doi/pdf/10.1080/136324398694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5376</Words>
  <Characters>30647</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Jones (1804445)</dc:creator>
  <cp:keywords/>
  <dc:description/>
  <cp:lastModifiedBy>nicola jones</cp:lastModifiedBy>
  <cp:revision>2</cp:revision>
  <dcterms:created xsi:type="dcterms:W3CDTF">2019-01-25T16:43:00Z</dcterms:created>
  <dcterms:modified xsi:type="dcterms:W3CDTF">2019-01-25T16:43:00Z</dcterms:modified>
</cp:coreProperties>
</file>