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58"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49" w:firstLine="0"/>
        <w:jc w:val="center"/>
        <w:rPr>
          <w:rFonts w:ascii="Calibri" w:hAnsi="Calibri" w:cs="Calibri" w:eastAsia="Calibri"/>
          <w:color w:val="auto"/>
          <w:spacing w:val="0"/>
          <w:position w:val="0"/>
          <w:sz w:val="22"/>
          <w:shd w:fill="auto" w:val="clear"/>
        </w:rPr>
      </w:pPr>
      <w:r>
        <w:object w:dxaOrig="6566" w:dyaOrig="2733">
          <v:rect xmlns:o="urn:schemas-microsoft-com:office:office" xmlns:v="urn:schemas-microsoft-com:vml" id="rectole0000000000" style="width:328.300000pt;height:136.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color w:val="auto"/>
          <w:spacing w:val="0"/>
          <w:position w:val="0"/>
          <w:sz w:val="22"/>
          <w:shd w:fill="auto" w:val="clear"/>
        </w:rPr>
        <w:t xml:space="preserve"> </w:t>
      </w:r>
    </w:p>
    <w:p>
      <w:pPr>
        <w:spacing w:before="0" w:after="160"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87"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7" w:line="259"/>
        <w:ind w:right="0" w:left="8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36"/>
          <w:shd w:fill="auto" w:val="clear"/>
        </w:rPr>
        <w:t xml:space="preserve">Dissertation title: “The relationship between hypertension awareness and lifestyle practices among adults aged 40+ in the UK: A systematic review of public health interventions and individual’s decision-making.”</w:t>
      </w:r>
    </w:p>
    <w:p>
      <w:pPr>
        <w:spacing w:before="0" w:after="42" w:line="259"/>
        <w:ind w:right="0" w:left="8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36"/>
          <w:shd w:fill="auto" w:val="clear"/>
        </w:rPr>
        <w:t xml:space="preserve"> </w:t>
      </w:r>
    </w:p>
    <w:p>
      <w:pPr>
        <w:spacing w:before="0" w:after="157" w:line="259"/>
        <w:ind w:right="2358" w:left="2367" w:firstLine="0"/>
        <w:jc w:val="center"/>
        <w:rPr>
          <w:rFonts w:ascii="Calibri" w:hAnsi="Calibri" w:cs="Calibri" w:eastAsia="Calibri"/>
          <w:color w:val="auto"/>
          <w:spacing w:val="0"/>
          <w:position w:val="0"/>
          <w:sz w:val="22"/>
          <w:shd w:fill="auto" w:val="clear"/>
        </w:rPr>
      </w:pP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Student Name: Milon mahmud</w:t>
        <w:br/>
        <w:t xml:space="preserve">Student ID: 2433867</w:t>
        <w:br/>
        <w:br/>
        <w:t xml:space="preserve">Module code: LCHS7004</w:t>
        <w:br/>
        <w:t xml:space="preserve">Word count: 23736</w:t>
        <w:br/>
        <w:t xml:space="preserve">Supervisor Name: Ping Wu</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6" w:line="259"/>
        <w:ind w:right="0" w:left="59"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Dissertation submitted in partial fulfilment of the requirements for the degree of Masters of Science in Public Health and Social Care in Practice</w:t>
      </w:r>
    </w:p>
    <w:p>
      <w:pPr>
        <w:spacing w:before="0" w:after="156" w:line="259"/>
        <w:ind w:right="0" w:left="59" w:firstLine="0"/>
        <w:jc w:val="left"/>
        <w:rPr>
          <w:rFonts w:ascii="Calibri" w:hAnsi="Calibri" w:cs="Calibri" w:eastAsia="Calibri"/>
          <w:color w:val="auto"/>
          <w:spacing w:val="0"/>
          <w:position w:val="0"/>
          <w:sz w:val="22"/>
          <w:shd w:fill="auto" w:val="clear"/>
        </w:rPr>
      </w:pPr>
    </w:p>
    <w:p>
      <w:pPr>
        <w:spacing w:before="0" w:after="169" w:line="259"/>
        <w:ind w:right="0" w:left="0" w:firstLine="0"/>
        <w:jc w:val="center"/>
        <w:rPr>
          <w:rFonts w:ascii="Calibri" w:hAnsi="Calibri" w:cs="Calibri" w:eastAsia="Calibri"/>
          <w:b/>
          <w:color w:val="auto"/>
          <w:spacing w:val="0"/>
          <w:position w:val="0"/>
          <w:sz w:val="22"/>
          <w:shd w:fill="auto" w:val="clear"/>
        </w:rPr>
      </w:pPr>
    </w:p>
    <w:p>
      <w:pPr>
        <w:spacing w:before="0" w:after="169" w:line="259"/>
        <w:ind w:right="0" w:left="0" w:firstLine="0"/>
        <w:jc w:val="center"/>
        <w:rPr>
          <w:rFonts w:ascii="Calibri" w:hAnsi="Calibri" w:cs="Calibri" w:eastAsia="Calibri"/>
          <w:b/>
          <w:color w:val="auto"/>
          <w:spacing w:val="0"/>
          <w:position w:val="0"/>
          <w:sz w:val="22"/>
          <w:shd w:fill="auto" w:val="clear"/>
        </w:rPr>
      </w:pPr>
    </w:p>
    <w:p>
      <w:pPr>
        <w:spacing w:before="0" w:after="169" w:line="259"/>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Institute of Inner-City Learning</w:t>
      </w:r>
    </w:p>
    <w:p>
      <w:pPr>
        <w:spacing w:before="0" w:after="169" w:line="259"/>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University of Wales Trinity Saint David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London Campus</w:t>
        <w:br/>
        <w:br/>
        <w:br/>
        <w:t xml:space="preserve">Submission Date: 24th September 2026</w:t>
      </w:r>
    </w:p>
    <w:p>
      <w:pPr>
        <w:spacing w:before="0" w:after="157" w:line="259"/>
        <w:ind w:right="2357" w:left="2367" w:firstLine="0"/>
        <w:jc w:val="center"/>
        <w:rPr>
          <w:rFonts w:ascii="Calibri" w:hAnsi="Calibri" w:cs="Calibri" w:eastAsia="Calibri"/>
          <w:b/>
          <w:color w:val="auto"/>
          <w:spacing w:val="0"/>
          <w:position w:val="0"/>
          <w:sz w:val="24"/>
          <w:shd w:fill="auto" w:val="clear"/>
        </w:rPr>
      </w:pPr>
    </w:p>
    <w:p>
      <w:pPr>
        <w:spacing w:before="0" w:after="157" w:line="259"/>
        <w:ind w:right="2357" w:left="2367" w:firstLine="0"/>
        <w:jc w:val="center"/>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September 2026</w:t>
      </w: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DECLARATION</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Milon Mahmud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Signed:</w:t>
      </w:r>
      <w:r>
        <w:rPr>
          <w:rFonts w:ascii="Calibri" w:hAnsi="Calibri" w:cs="Calibri" w:eastAsia="Calibri"/>
          <w:color w:val="auto"/>
          <w:spacing w:val="0"/>
          <w:position w:val="0"/>
          <w:sz w:val="22"/>
          <w:shd w:fill="auto" w:val="clear"/>
        </w:rPr>
        <w:t xml:space="preserve"> </w:t>
      </w:r>
      <w:r>
        <w:rPr>
          <w:rFonts w:ascii="Arial" w:hAnsi="Arial" w:cs="Arial" w:eastAsia="Arial"/>
          <w:color w:val="000000"/>
          <w:spacing w:val="0"/>
          <w:position w:val="0"/>
          <w:sz w:val="24"/>
          <w:shd w:fill="auto" w:val="clear"/>
        </w:rPr>
        <w:t xml:space="preserve">Milon Mahmud</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Date: 24/09/2026</w:t>
      </w: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Acknowledgements </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would like to express my sincere gratitude to everyone who supported and encouraged me throughout the completion of this dissertation.</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First and foremost, I would like to thank my </w:t>
      </w:r>
      <w:r>
        <w:rPr>
          <w:rFonts w:ascii="Arial" w:hAnsi="Arial" w:cs="Arial" w:eastAsia="Arial"/>
          <w:b/>
          <w:color w:val="auto"/>
          <w:spacing w:val="0"/>
          <w:position w:val="0"/>
          <w:sz w:val="24"/>
          <w:shd w:fill="auto" w:val="clear"/>
        </w:rPr>
        <w:t xml:space="preserve">dissertation supervisor</w:t>
      </w:r>
      <w:r>
        <w:rPr>
          <w:rFonts w:ascii="Arial" w:hAnsi="Arial" w:cs="Arial" w:eastAsia="Arial"/>
          <w:color w:val="auto"/>
          <w:spacing w:val="0"/>
          <w:position w:val="0"/>
          <w:sz w:val="24"/>
          <w:shd w:fill="auto" w:val="clear"/>
        </w:rPr>
        <w:t xml:space="preserve"> for their valuable guidance, constructive feedback, encouragement and academic support throughout the research process. Their advice and critical suggestions were instrumental in helping me develop and complete this dissertation.</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would also like to thank the </w:t>
      </w:r>
      <w:r>
        <w:rPr>
          <w:rFonts w:ascii="Arial" w:hAnsi="Arial" w:cs="Arial" w:eastAsia="Arial"/>
          <w:b/>
          <w:color w:val="auto"/>
          <w:spacing w:val="0"/>
          <w:position w:val="0"/>
          <w:sz w:val="24"/>
          <w:shd w:fill="auto" w:val="clear"/>
        </w:rPr>
        <w:t xml:space="preserve">University of Wales Trinity Saint David (UWTSD)</w:t>
      </w:r>
      <w:r>
        <w:rPr>
          <w:rFonts w:ascii="Arial" w:hAnsi="Arial" w:cs="Arial" w:eastAsia="Arial"/>
          <w:color w:val="auto"/>
          <w:spacing w:val="0"/>
          <w:position w:val="0"/>
          <w:sz w:val="24"/>
          <w:shd w:fill="auto" w:val="clear"/>
        </w:rPr>
        <w:t xml:space="preserve"> and the academic staff for providing the knowledge, resources and learning environment necessary to undertake this research. The academic support received throughout my programme contributed significantly to the successful completion of this dissertation.</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am particularly grateful to my </w:t>
      </w:r>
      <w:r>
        <w:rPr>
          <w:rFonts w:ascii="Arial" w:hAnsi="Arial" w:cs="Arial" w:eastAsia="Arial"/>
          <w:b/>
          <w:color w:val="auto"/>
          <w:spacing w:val="0"/>
          <w:position w:val="0"/>
          <w:sz w:val="24"/>
          <w:shd w:fill="auto" w:val="clear"/>
        </w:rPr>
        <w:t xml:space="preserve">family</w:t>
      </w:r>
      <w:r>
        <w:rPr>
          <w:rFonts w:ascii="Arial" w:hAnsi="Arial" w:cs="Arial" w:eastAsia="Arial"/>
          <w:color w:val="auto"/>
          <w:spacing w:val="0"/>
          <w:position w:val="0"/>
          <w:sz w:val="24"/>
          <w:shd w:fill="auto" w:val="clear"/>
        </w:rPr>
        <w:t xml:space="preserve"> for their continuous love, patience, encouragement and understanding throughout my studies. Their emotional support and motivation gave me the strength to remain focused during challenging periods of the research process.</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would also like to express my appreciation to my </w:t>
      </w:r>
      <w:r>
        <w:rPr>
          <w:rFonts w:ascii="Arial" w:hAnsi="Arial" w:cs="Arial" w:eastAsia="Arial"/>
          <w:b/>
          <w:color w:val="auto"/>
          <w:spacing w:val="0"/>
          <w:position w:val="0"/>
          <w:sz w:val="24"/>
          <w:shd w:fill="auto" w:val="clear"/>
        </w:rPr>
        <w:t xml:space="preserve">friends and colleagues</w:t>
      </w:r>
      <w:r>
        <w:rPr>
          <w:rFonts w:ascii="Arial" w:hAnsi="Arial" w:cs="Arial" w:eastAsia="Arial"/>
          <w:color w:val="auto"/>
          <w:spacing w:val="0"/>
          <w:position w:val="0"/>
          <w:sz w:val="24"/>
          <w:shd w:fill="auto" w:val="clear"/>
        </w:rPr>
        <w:t xml:space="preserve"> who provided encouragement, discussion and support during the completion of this work.</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Finally, I am grateful to everyone whose published research, reports and academic contributions informed this systematic review. Although they may not be individually acknowledged here, their work provided the evidence base upon which this dissertation was developed.</w:t>
      </w: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spacing w:before="0" w:after="160" w:line="259"/>
        <w:ind w:right="0" w:left="0" w:firstLine="0"/>
        <w:jc w:val="both"/>
        <w:rPr>
          <w:rFonts w:ascii="Calibri" w:hAnsi="Calibri" w:cs="Calibri" w:eastAsia="Calibri"/>
          <w:b/>
          <w:color w:val="auto"/>
          <w:spacing w:val="0"/>
          <w:position w:val="0"/>
          <w:sz w:val="22"/>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Abstract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is a major public health concern and a leading modifiable risk factor for cardiovascular disease, stroke and other chronic conditions. This dissertation examined the relationship between hypertension awareness and lifestyle practices among adults aged 40 years and over in the United Kingdom. Four objectives guided the study: to examine the relationship between hypertension awareness and lifestyle practices among adults aged 40 years and over; to identify key lifestyle practices associated with hypertension prevention; to evaluate public health interventions aimed at improving awareness and supporting lifestyle change; and to explore factors influencing individuals’ decision-making regarding hypertension prevention.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systematic review methodology was adopted. Relevant evidence was identified through structured searches of PubMed, CINAHL, Web of Science and Google Scholar, supplemented by hand searching and grey literature. Studies were selected using predefined inclusion and exclusion criteria and reported in accordance with the PRISMA 2020 framework.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Twelve studies were included in the final synthesis, from which three principal themes emerged: hypertension awareness and screening; lifestyle practices for hypertension prevention; and public health interventions and behaviour change. The findings indicated that NHS Health Checks, community screening and routine blood pressure monitoring contributed to earlier detection and improved awareness. Healthy dietary practices, salt reduction, physical activity, smoking cessation, reduced alcohol consumption and weight management were consistently identified as important components of hypertension prevention. However, awareness and health education alone did not consistently translate into sustained lifestyle change.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dissertation concludes that hypertension awareness is necessary but insufficient to achieve sustained prevention. Effective prevention requires the integration of early detection and health education with personalised behavioural support, improved health literacy and strategies to address socioeconomic inequalities. Future research should prioritise longitudinal, UK-specific studies examining how increased hypertension awareness translates into sustained lifestyle modification and improved blood pressure outcomes, recognising that awareness alone may be insufficient to produce sustained behaviour change.</w:t>
      </w:r>
    </w:p>
    <w:p>
      <w:pPr>
        <w:tabs>
          <w:tab w:val="left" w:pos="1725" w:leader="none"/>
        </w:tabs>
        <w:spacing w:before="0" w:after="160" w:line="259"/>
        <w:ind w:right="0" w:left="0" w:firstLine="0"/>
        <w:jc w:val="left"/>
        <w:rPr>
          <w:rFonts w:ascii="Arial" w:hAnsi="Arial" w:cs="Arial" w:eastAsia="Arial"/>
          <w:b/>
          <w:color w:val="auto"/>
          <w:spacing w:val="0"/>
          <w:position w:val="0"/>
          <w:sz w:val="32"/>
          <w:shd w:fill="auto" w:val="clear"/>
        </w:rPr>
      </w:pPr>
    </w:p>
    <w:p>
      <w:pPr>
        <w:tabs>
          <w:tab w:val="left" w:pos="1725" w:leader="none"/>
        </w:tabs>
        <w:spacing w:before="0" w:after="160" w:line="259"/>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List of Figure</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Figure 1: Global prevalence of hypertension among adults worldwide (WHO, 2023).</w:t>
      </w:r>
      <w:r>
        <w:rPr>
          <w:rFonts w:ascii="Calibri" w:hAnsi="Calibri" w:cs="Calibri" w:eastAsia="Calibri"/>
          <w:color w:val="auto"/>
          <w:spacing w:val="0"/>
          <w:position w:val="0"/>
          <w:sz w:val="22"/>
          <w:shd w:fill="auto" w:val="clear"/>
        </w:rPr>
        <w:tab/>
        <w:t xml:space="preserve">2</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Figure 2: Prevalence of hypertension by age and sex in England, 2024</w:t>
      </w:r>
      <w:r>
        <w:rPr>
          <w:rFonts w:ascii="Calibri" w:hAnsi="Calibri" w:cs="Calibri" w:eastAsia="Calibri"/>
          <w:color w:val="auto"/>
          <w:spacing w:val="0"/>
          <w:position w:val="0"/>
          <w:sz w:val="22"/>
          <w:shd w:fill="auto" w:val="clear"/>
        </w:rPr>
        <w:tab/>
        <w:t xml:space="preserve">2</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Figure 3: NHS Health Check pathway for cardiovascular disease prevention.</w:t>
      </w:r>
      <w:r>
        <w:rPr>
          <w:rFonts w:ascii="Calibri" w:hAnsi="Calibri" w:cs="Calibri" w:eastAsia="Calibri"/>
          <w:color w:val="auto"/>
          <w:spacing w:val="0"/>
          <w:position w:val="0"/>
          <w:sz w:val="22"/>
          <w:shd w:fill="auto" w:val="clear"/>
        </w:rPr>
        <w:tab/>
        <w:t xml:space="preserve">4</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Figure 4.: Pathway from Hypertension Awareness to Blood Pressure Control</w:t>
      </w:r>
      <w:r>
        <w:rPr>
          <w:rFonts w:ascii="Calibri" w:hAnsi="Calibri" w:cs="Calibri" w:eastAsia="Calibri"/>
          <w:color w:val="auto"/>
          <w:spacing w:val="0"/>
          <w:position w:val="0"/>
          <w:sz w:val="22"/>
          <w:shd w:fill="auto" w:val="clear"/>
        </w:rPr>
        <w:tab/>
        <w:t xml:space="preserve">6</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Figure 5: Health Belief Model illustrating factors influencing lifestyle practices for hypertension prevention.</w:t>
      </w:r>
      <w:r>
        <w:rPr>
          <w:rFonts w:ascii="Calibri" w:hAnsi="Calibri" w:cs="Calibri" w:eastAsia="Calibri"/>
          <w:color w:val="auto"/>
          <w:spacing w:val="0"/>
          <w:position w:val="0"/>
          <w:sz w:val="22"/>
          <w:shd w:fill="auto" w:val="clear"/>
        </w:rPr>
        <w:tab/>
        <w:t xml:space="preserve">19</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Figure 6: Methodology flowchart illustrating the systematic review process.</w:t>
      </w:r>
      <w:r>
        <w:rPr>
          <w:rFonts w:ascii="Calibri" w:hAnsi="Calibri" w:cs="Calibri" w:eastAsia="Calibri"/>
          <w:color w:val="auto"/>
          <w:spacing w:val="0"/>
          <w:position w:val="0"/>
          <w:sz w:val="22"/>
          <w:shd w:fill="auto" w:val="clear"/>
        </w:rPr>
        <w:tab/>
        <w:t xml:space="preserve">23</w:t>
      </w:r>
    </w:p>
    <w:p>
      <w:pPr>
        <w:tabs>
          <w:tab w:val="left" w:pos="1725" w:leader="none"/>
        </w:tabs>
        <w:spacing w:before="0" w:after="160" w:line="360"/>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259"/>
        <w:ind w:right="0" w:left="0" w:firstLine="0"/>
        <w:jc w:val="left"/>
        <w:rPr>
          <w:rFonts w:ascii="Arial" w:hAnsi="Arial" w:cs="Arial" w:eastAsia="Arial"/>
          <w:color w:val="auto"/>
          <w:spacing w:val="0"/>
          <w:position w:val="0"/>
          <w:sz w:val="24"/>
          <w:shd w:fill="auto" w:val="clear"/>
        </w:rPr>
      </w:pPr>
    </w:p>
    <w:p>
      <w:pPr>
        <w:tabs>
          <w:tab w:val="left" w:pos="1725" w:leader="none"/>
        </w:tabs>
        <w:spacing w:before="0" w:after="160" w:line="360"/>
        <w:ind w:right="0" w:left="0" w:firstLine="0"/>
        <w:jc w:val="center"/>
        <w:rPr>
          <w:rFonts w:ascii="Calibri" w:hAnsi="Calibri" w:cs="Calibri" w:eastAsia="Calibri"/>
          <w:color w:val="auto"/>
          <w:spacing w:val="0"/>
          <w:position w:val="0"/>
          <w:sz w:val="22"/>
          <w:shd w:fill="auto" w:val="clear"/>
        </w:rPr>
      </w:pPr>
      <w:r>
        <w:rPr>
          <w:rFonts w:ascii="Arial" w:hAnsi="Arial" w:cs="Arial" w:eastAsia="Arial"/>
          <w:b/>
          <w:color w:val="auto"/>
          <w:spacing w:val="0"/>
          <w:position w:val="0"/>
          <w:sz w:val="32"/>
          <w:shd w:fill="auto" w:val="clear"/>
        </w:rPr>
        <w:t xml:space="preserve">List of Table</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Table 1.Comparison of Behaviour Change Models</w:t>
      </w:r>
      <w:r>
        <w:rPr>
          <w:rFonts w:ascii="Calibri" w:hAnsi="Calibri" w:cs="Calibri" w:eastAsia="Calibri"/>
          <w:color w:val="auto"/>
          <w:spacing w:val="0"/>
          <w:position w:val="0"/>
          <w:sz w:val="22"/>
          <w:shd w:fill="auto" w:val="clear"/>
        </w:rPr>
        <w:tab/>
        <w:t xml:space="preserve">20</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Table</w:t>
      </w:r>
      <w:r>
        <w:rPr>
          <w:rFonts w:ascii="Calibri" w:hAnsi="Calibri" w:cs="Calibri" w:eastAsia="Calibri"/>
          <w:color w:val="0563C1"/>
          <w:spacing w:val="0"/>
          <w:position w:val="0"/>
          <w:sz w:val="22"/>
          <w:u w:val="single"/>
          <w:shd w:fill="auto" w:val="clear"/>
        </w:rPr>
        <w:t xml:space="preserve"> 2: PICO Framework and Search Terms</w:t>
      </w:r>
      <w:r>
        <w:rPr>
          <w:rFonts w:ascii="Calibri" w:hAnsi="Calibri" w:cs="Calibri" w:eastAsia="Calibri"/>
          <w:color w:val="auto"/>
          <w:spacing w:val="0"/>
          <w:position w:val="0"/>
          <w:sz w:val="22"/>
          <w:shd w:fill="auto" w:val="clear"/>
        </w:rPr>
        <w:tab/>
        <w:t xml:space="preserve">29</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563C1"/>
          <w:spacing w:val="0"/>
          <w:position w:val="0"/>
          <w:sz w:val="22"/>
          <w:u w:val="single"/>
          <w:shd w:fill="auto" w:val="clear"/>
        </w:rPr>
        <w:t xml:space="preserve">Table 3: Inclusion and Exclusion Criteria (PICO Framework</w:t>
      </w:r>
      <w:r>
        <w:rPr>
          <w:rFonts w:ascii="Calibri" w:hAnsi="Calibri" w:cs="Calibri" w:eastAsia="Calibri"/>
          <w:color w:val="auto"/>
          <w:spacing w:val="0"/>
          <w:position w:val="0"/>
          <w:sz w:val="22"/>
          <w:shd w:fill="auto" w:val="clear"/>
        </w:rPr>
        <w:tab/>
        <w:t xml:space="preserve">31</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Table 4.Results of the Systematic Database Search</w:t>
      </w:r>
      <w:r>
        <w:rPr>
          <w:rFonts w:ascii="Calibri" w:hAnsi="Calibri" w:cs="Calibri" w:eastAsia="Calibri"/>
          <w:color w:val="auto"/>
          <w:spacing w:val="0"/>
          <w:position w:val="0"/>
          <w:sz w:val="22"/>
          <w:shd w:fill="auto" w:val="clear"/>
        </w:rPr>
        <w:tab/>
        <w:t xml:space="preserve">37</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Table 5..presents the CASP-based quality assessment of the included studies. The assessment was used not only to determine eligibility but also to identify potential sources of bias and differences in evidential strength across the studies.</w:t>
      </w:r>
      <w:r>
        <w:rPr>
          <w:rFonts w:ascii="Calibri" w:hAnsi="Calibri" w:cs="Calibri" w:eastAsia="Calibri"/>
          <w:color w:val="auto"/>
          <w:spacing w:val="0"/>
          <w:position w:val="0"/>
          <w:sz w:val="22"/>
          <w:shd w:fill="auto" w:val="clear"/>
        </w:rPr>
        <w:tab/>
        <w:t xml:space="preserve">39</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0563C1"/>
          <w:spacing w:val="0"/>
          <w:position w:val="0"/>
          <w:sz w:val="22"/>
          <w:u w:val="single"/>
          <w:shd w:fill="auto" w:val="clear"/>
        </w:rPr>
        <w:t xml:space="preserve">Table 6.Characteristics of Included Studies and Data Extraction</w:t>
      </w:r>
      <w:r>
        <w:rPr>
          <w:rFonts w:ascii="Calibri" w:hAnsi="Calibri" w:cs="Calibri" w:eastAsia="Calibri"/>
          <w:color w:val="auto"/>
          <w:spacing w:val="0"/>
          <w:position w:val="0"/>
          <w:sz w:val="22"/>
          <w:shd w:fill="auto" w:val="clear"/>
        </w:rPr>
        <w:tab/>
        <w:t xml:space="preserve">41</w:t>
      </w:r>
    </w:p>
    <w:p>
      <w:pPr>
        <w:tabs>
          <w:tab w:val="right" w:pos="9016" w:leader="dot"/>
        </w:tabs>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563C1"/>
          <w:spacing w:val="0"/>
          <w:position w:val="0"/>
          <w:sz w:val="22"/>
          <w:u w:val="single"/>
          <w:shd w:fill="auto" w:val="clear"/>
        </w:rPr>
        <w:t xml:space="preserve">Table 7.Overall Quality Summary</w:t>
      </w:r>
      <w:r>
        <w:rPr>
          <w:rFonts w:ascii="Calibri" w:hAnsi="Calibri" w:cs="Calibri" w:eastAsia="Calibri"/>
          <w:color w:val="auto"/>
          <w:spacing w:val="0"/>
          <w:position w:val="0"/>
          <w:sz w:val="22"/>
          <w:shd w:fill="auto" w:val="clear"/>
        </w:rPr>
        <w:tab/>
        <w:t xml:space="preserve">73</w:t>
      </w:r>
    </w:p>
    <w:p>
      <w:pPr>
        <w:tabs>
          <w:tab w:val="left" w:pos="1725" w:leader="none"/>
        </w:tabs>
        <w:spacing w:before="0" w:after="160" w:line="360"/>
        <w:ind w:right="0" w:left="0" w:firstLine="0"/>
        <w:jc w:val="center"/>
        <w:rPr>
          <w:rFonts w:ascii="Arial" w:hAnsi="Arial" w:cs="Arial" w:eastAsia="Arial"/>
          <w:b/>
          <w:color w:val="auto"/>
          <w:spacing w:val="0"/>
          <w:position w:val="0"/>
          <w:sz w:val="24"/>
          <w:shd w:fill="auto" w:val="clear"/>
        </w:rPr>
      </w:pPr>
    </w:p>
    <w:p>
      <w:pPr>
        <w:tabs>
          <w:tab w:val="left" w:pos="1725" w:leader="none"/>
        </w:tabs>
        <w:spacing w:before="0" w:after="160" w:line="259"/>
        <w:ind w:right="0" w:left="0" w:firstLine="0"/>
        <w:jc w:val="center"/>
        <w:rPr>
          <w:rFonts w:ascii="Arial" w:hAnsi="Arial" w:cs="Arial" w:eastAsia="Arial"/>
          <w:b/>
          <w:color w:val="auto"/>
          <w:spacing w:val="0"/>
          <w:position w:val="0"/>
          <w:sz w:val="24"/>
          <w:shd w:fill="auto" w:val="clear"/>
        </w:rPr>
      </w:pPr>
    </w:p>
    <w:p>
      <w:pPr>
        <w:tabs>
          <w:tab w:val="left" w:pos="1725" w:leader="none"/>
        </w:tabs>
        <w:spacing w:before="0" w:after="160" w:line="259"/>
        <w:ind w:right="0" w:left="0" w:firstLine="0"/>
        <w:jc w:val="center"/>
        <w:rPr>
          <w:rFonts w:ascii="Arial" w:hAnsi="Arial" w:cs="Arial" w:eastAsia="Arial"/>
          <w:b/>
          <w:color w:val="auto"/>
          <w:spacing w:val="0"/>
          <w:position w:val="0"/>
          <w:sz w:val="24"/>
          <w:shd w:fill="auto" w:val="clear"/>
        </w:rPr>
      </w:pPr>
    </w:p>
    <w:p>
      <w:pPr>
        <w:tabs>
          <w:tab w:val="left" w:pos="1725" w:leader="none"/>
        </w:tabs>
        <w:spacing w:before="0" w:after="160" w:line="259"/>
        <w:ind w:right="0" w:left="0" w:firstLine="0"/>
        <w:jc w:val="center"/>
        <w:rPr>
          <w:rFonts w:ascii="Arial" w:hAnsi="Arial" w:cs="Arial" w:eastAsia="Arial"/>
          <w:b/>
          <w:color w:val="auto"/>
          <w:spacing w:val="0"/>
          <w:position w:val="0"/>
          <w:sz w:val="24"/>
          <w:shd w:fill="auto" w:val="clear"/>
        </w:rPr>
      </w:pPr>
    </w:p>
    <w:p>
      <w:pPr>
        <w:tabs>
          <w:tab w:val="left" w:pos="1725" w:leader="none"/>
        </w:tabs>
        <w:spacing w:before="0" w:after="160" w:line="259"/>
        <w:ind w:right="0" w:left="0" w:firstLine="0"/>
        <w:jc w:val="center"/>
        <w:rPr>
          <w:rFonts w:ascii="Arial" w:hAnsi="Arial" w:cs="Arial" w:eastAsia="Arial"/>
          <w:b/>
          <w:color w:val="auto"/>
          <w:spacing w:val="0"/>
          <w:position w:val="0"/>
          <w:sz w:val="24"/>
          <w:shd w:fill="auto" w:val="clear"/>
        </w:rPr>
      </w:pPr>
    </w:p>
    <w:p>
      <w:pPr>
        <w:tabs>
          <w:tab w:val="left" w:pos="1725" w:leader="none"/>
        </w:tabs>
        <w:spacing w:before="0" w:after="160" w:line="259"/>
        <w:ind w:right="0" w:left="0" w:firstLine="0"/>
        <w:jc w:val="center"/>
        <w:rPr>
          <w:rFonts w:ascii="Arial" w:hAnsi="Arial" w:cs="Arial" w:eastAsia="Arial"/>
          <w:b/>
          <w:color w:val="auto"/>
          <w:spacing w:val="0"/>
          <w:position w:val="0"/>
          <w:sz w:val="24"/>
          <w:shd w:fill="auto" w:val="clear"/>
        </w:rPr>
      </w:pPr>
    </w:p>
    <w:p>
      <w:pPr>
        <w:tabs>
          <w:tab w:val="left" w:pos="1725" w:leader="none"/>
        </w:tabs>
        <w:spacing w:before="0" w:after="160" w:line="259"/>
        <w:ind w:right="0" w:left="0" w:firstLine="0"/>
        <w:jc w:val="center"/>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List of Abbreviations</w:t>
      </w:r>
    </w:p>
    <w:tbl>
      <w:tblPr/>
      <w:tblGrid>
        <w:gridCol w:w="3415"/>
        <w:gridCol w:w="5601"/>
      </w:tblGrid>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Abbreviation</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Full Term</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AHA</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American Heart Association</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BP</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Blood Pressure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CASP</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Critical Appraisal Skills Programme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CINAHL</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Cumulative Index to Nursing and Allied Health Literature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COM-B</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Capability, Opportunity, Motivation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Behaviour</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CVD</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Cardiovascular Disease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HBM</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Health Belief Model</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JBI</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Joanna Briggs Institute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MeSH</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Medical Subject Headings</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NHS</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National Health Service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PICO</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Population, Intervention, Comparison, Outcome</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PRISMA</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Preferred Reporting Items for Systematic Reviews and Meta-Analyses</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UK</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United Kingdom</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UKHSA</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UK Health Security Agency</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WHO</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World Health Organization</w:t>
            </w:r>
          </w:p>
        </w:tc>
      </w:tr>
      <w:tr>
        <w:trPr>
          <w:trHeight w:val="1" w:hRule="atLeast"/>
          <w:jc w:val="left"/>
        </w:trPr>
        <w:tc>
          <w:tcPr>
            <w:tcW w:w="341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UWTSD</w:t>
            </w:r>
          </w:p>
        </w:tc>
        <w:tc>
          <w:tcPr>
            <w:tcW w:w="56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University of Wales Trinity Saint David</w:t>
            </w:r>
          </w:p>
        </w:tc>
      </w:tr>
    </w:tbl>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Glossary</w:t>
      </w:r>
    </w:p>
    <w:p>
      <w:pPr>
        <w:spacing w:before="0" w:after="160" w:line="259"/>
        <w:ind w:right="0" w:left="0" w:firstLine="0"/>
        <w:jc w:val="left"/>
        <w:rPr>
          <w:rFonts w:ascii="Arial" w:hAnsi="Arial" w:cs="Arial" w:eastAsia="Arial"/>
          <w:color w:val="auto"/>
          <w:spacing w:val="0"/>
          <w:position w:val="0"/>
          <w:sz w:val="24"/>
          <w:shd w:fill="auto" w:val="clear"/>
        </w:rPr>
      </w:pP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b/>
                <w:color w:val="auto"/>
                <w:spacing w:val="0"/>
                <w:position w:val="0"/>
                <w:sz w:val="24"/>
                <w:shd w:fill="auto" w:val="clear"/>
              </w:rPr>
              <w:t xml:space="preserve">Term</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b/>
                <w:color w:val="auto"/>
                <w:spacing w:val="0"/>
                <w:position w:val="0"/>
                <w:sz w:val="24"/>
                <w:shd w:fill="auto" w:val="clear"/>
              </w:rPr>
              <w:t xml:space="preserve">Definition </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Awareness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individual's knowledge and understanding of hypertension, including awareness of blood pressure status, associated health risks, prevention and treatment options (Elnaem et al., 2022; WHO, 2023).</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Behaviour Change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 process through which individuals modify behaviours or habits in response to health-related goals or interventions (Michie, Atkins and West, 2022).</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Blood Pressure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 force exerted by circulating blood against the walls of the arteries, expressed through systolic and diastolic pressure (WHO, 2023).</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Cardiovascular Disease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group of disorders affecting the heart and blood vessels, including coronary heart disease, cerebrovascular disease and other vascular conditions (WHO, 2025).</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Health Education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 provision of information and learning opportunities intended to improve health knowledge, skills and informed health-related decision-making (WHO,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Health Inequality</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Differences in health status, health outcomes or access to healthcare between population groups associated with social, economic, demographic or geographical circumstances (UKHSA, 2024).</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Health Literacy</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 ability of individuals to access, understand, appraise and use health information and services to make appropriate health-related decisions (Elnaem et al., 2022).</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Health Belief Model</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behavioural framework proposing that health-related actions are influenced by perceived susceptibility, perceived severity, perceived benefits, perceived barriers and cues to action (Jones et al., 2020).</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Hypertension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chronic condition characterised by persistently elevated blood pressure that increases the risk of cardiovascular disease, stroke and other complications (WHO, 2023; Carey and Whelton, 2022).</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Lifestyle Modification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Changes in behaviours such as diet, physical activity, smoking, alcohol consumption and weight management intended to reduce cardiovascular and hypertension-related risk (Han, Lean and Hansen, 2025; Piepoli et al.,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NHS Health Check</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preventive health assessment delivered through the NHS to identify individuals at increased risk of cardiovascular disease and related conditions (NHS England, 2025).</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Individual’s Decision-Making</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 process through which individual’s participate in decisions about their healthcare, treatment and health-related behaviours (Robinson and Douglas,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Perceived Barriers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individual's perception of the practical, psychological, financial or social difficulties associated with undertaking a recommended health behaviour (Jones et al., 2020).</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Perceived Benefits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individual's belief that undertaking a particular health behaviour or preventive action will reduce health risks or produce beneficial outcomes (Jones et al., 2020).</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Perceived Severity</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individual's perception of the seriousness of a health condition and its potential consequences (Jones et al., 2020).</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Perceived Susceptibility</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individual's perception of their likelihood of developing or experiencing a particular health condition (Jones et al., 2020).</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Public Health Intervention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organised intervention or programme designed to prevent disease, promote health and improve health outcomes at individual or population level (WHO, 2021; UKHSA, 2024).</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Salt Reduction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reduction in dietary sodium intake, particularly through limiting high-salt and processed foods, to help prevent or control elevated blood pressure (WHO, 2023; Piepoli et al.,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Screening</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 systematic identification of individuals who may have a disease or increased health risk, including through measurement or assessment before complications become apparent (NHS England, 2025; WHO, 2023).</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Shared Decision-Making</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collaborative process in which healthcare professionals and individual’s discuss evidence, treatment options, risks, benefits and individual’s preferences when making healthcare decisions (Robinson and Douglas,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Systematic Review</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 structured research method that systematically identifies, selects, critically appraises and synthesises relevant evidence to answer a clearly defined research question (Higgins et al., 2022; Page et al.,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Thematic Synthesis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An approach for organising and interpreting findings from multiple studies by identifying recurring concepts, patterns and themes across the evidence (Braun and Clarke,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Undiagnosed Hypertension</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Hypertension that is present in an individual but has not been identified or formally diagnosed, often because hypertension may not produce noticeable symptoms (WHO, 2023).</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Lifestyle Behaviour</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Everyday behaviours and habits, including dietary practices, physical activity, smoking, alcohol consumption and weight-related behaviours, that can influence health outcomes (Han, Lean and Hansen, 2025; Piepoli et al., 2021).</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Grey Literature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Arial" w:hAnsi="Arial" w:cs="Arial" w:eastAsia="Arial"/>
                <w:color w:val="auto"/>
                <w:spacing w:val="0"/>
                <w:position w:val="0"/>
                <w:sz w:val="24"/>
                <w:shd w:fill="auto" w:val="clear"/>
              </w:rPr>
              <w:t xml:space="preserve">Research reports, government publications, policy documents, guidelines and other evidence produced by organisations that may not be published through conventional commercial or academic publishing channels (Higgins et al., 2022)</w:t>
            </w:r>
          </w:p>
        </w:tc>
      </w:tr>
    </w:tbl>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t>
      </w: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Chapter 1: Introduction</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1.1 Introduction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is a chronic non-communicable disease characterised by persistently elevated arterial blood pressure (World Health Organization, 2025). According to the World Health Organization (WHO), hypertension is generally defined as a systolic blood pressure of 140 mmHg or higher and/or a diastolic blood pressure of 90 mmHg or higher, measured on repeated clinical assessments (WHO, 2023). It is recognised as one of the leading modifiable risk factors for cardiovascular diseases, stroke, chronic kidney disease, and premature mortality worldwide (Carey and Whelton, 2022; WHO, 2025). Despite the availability of effective screening programmes and evidence-based lifestyle interventions, hypertension remains underdiagnosed and inadequately controlled, particularly among adults aged 40 years and above (NHS England, 2025).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chapter will introduce the research by providing the background to hypertension awareness and lifestyle practices among adults aged 40 years and above in the United Kingdom. It will review the public health importance of hypertension, outline the research problem, and explain the rationale for undertaking this systematic review. Finally, the chapter will conclude with a summary of the key issues that underpin the systematic review and provide a foundation for the detailed literature review presented in Chapter Two.</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1.2 Background of the Study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is recognised as one of the most significant public health challenges worldwide because of its high prevalence and its association with cardiovascular disease, stroke, chronic kidney disease and premature mortality. According to the World Health Organization (WHO, 2023), approximately 1.28 billion adults aged 30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79 years worldwide are living with hypertension, with almost half remaining unaware of their condition. Hypertension contributes substantially to the global burden of disease and represents the leading modifiable risk factor for cardiovascular mortality (Mills et al., 2020; WHO, 2025). </w:t>
      </w:r>
    </w:p>
    <w:p>
      <w:pPr>
        <w:keepNext w:val="true"/>
        <w:spacing w:before="0" w:after="160" w:line="360"/>
        <w:ind w:right="0" w:left="0" w:firstLine="0"/>
        <w:jc w:val="center"/>
        <w:rPr>
          <w:rFonts w:ascii="Calibri" w:hAnsi="Calibri" w:cs="Calibri" w:eastAsia="Calibri"/>
          <w:color w:val="auto"/>
          <w:spacing w:val="0"/>
          <w:position w:val="0"/>
          <w:sz w:val="22"/>
          <w:shd w:fill="auto" w:val="clear"/>
        </w:rPr>
      </w:pPr>
      <w:r>
        <w:object w:dxaOrig="9698" w:dyaOrig="6465">
          <v:rect xmlns:o="urn:schemas-microsoft-com:office:office" xmlns:v="urn:schemas-microsoft-com:vml" id="rectole0000000001" style="width:484.900000pt;height:323.2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240"/>
        <w:ind w:right="0" w:left="0" w:firstLine="0"/>
        <w:jc w:val="center"/>
        <w:rPr>
          <w:rFonts w:ascii="Arial" w:hAnsi="Arial" w:cs="Arial" w:eastAsia="Arial"/>
          <w:i/>
          <w:color w:val="44546A"/>
          <w:spacing w:val="0"/>
          <w:position w:val="0"/>
          <w:sz w:val="36"/>
          <w:shd w:fill="auto" w:val="clear"/>
        </w:rPr>
      </w:pPr>
      <w:r>
        <w:rPr>
          <w:rFonts w:ascii="Arial" w:hAnsi="Arial" w:cs="Arial" w:eastAsia="Arial"/>
          <w:i/>
          <w:color w:val="44546A"/>
          <w:spacing w:val="0"/>
          <w:position w:val="0"/>
          <w:sz w:val="24"/>
          <w:shd w:fill="auto" w:val="clear"/>
        </w:rPr>
        <w:t xml:space="preserve">Figure 1: Global prevalence of hypertension among adults worldwide (WHO,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Source:</w:t>
      </w:r>
      <w:r>
        <w:rPr>
          <w:rFonts w:ascii="Arial" w:hAnsi="Arial" w:cs="Arial" w:eastAsia="Arial"/>
          <w:color w:val="auto"/>
          <w:spacing w:val="0"/>
          <w:position w:val="0"/>
          <w:sz w:val="24"/>
          <w:shd w:fill="auto" w:val="clear"/>
        </w:rPr>
        <w:t xml:space="preserve"> World Health Organization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1. shows that approximately 1.28 billion adults worldwide live with hypertension, with prevalence increasing substantially after the age of 40. The figure also highlights that hypertension remains one of the leading modifiable risk factors for cardiovascular disease worldwide (WHO, 2023).</w:t>
      </w: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spacing w:before="0" w:after="160" w:line="360"/>
        <w:ind w:right="0" w:left="0" w:firstLine="0"/>
        <w:jc w:val="center"/>
        <w:rPr>
          <w:rFonts w:ascii="Calibri" w:hAnsi="Calibri" w:cs="Calibri" w:eastAsia="Calibri"/>
          <w:color w:val="auto"/>
          <w:spacing w:val="0"/>
          <w:position w:val="0"/>
          <w:sz w:val="22"/>
          <w:shd w:fill="auto" w:val="clear"/>
        </w:rPr>
      </w:pPr>
    </w:p>
    <w:p>
      <w:pPr>
        <w:spacing w:before="0" w:after="200" w:line="240"/>
        <w:ind w:right="0" w:left="0" w:firstLine="0"/>
        <w:jc w:val="center"/>
        <w:rPr>
          <w:rFonts w:ascii="Arial" w:hAnsi="Arial" w:cs="Arial" w:eastAsia="Arial"/>
          <w:i/>
          <w:color w:val="44546A"/>
          <w:spacing w:val="0"/>
          <w:position w:val="0"/>
          <w:sz w:val="36"/>
          <w:shd w:fill="auto" w:val="clear"/>
        </w:rPr>
      </w:pPr>
      <w:r>
        <w:rPr>
          <w:rFonts w:ascii="Arial" w:hAnsi="Arial" w:cs="Arial" w:eastAsia="Arial"/>
          <w:i/>
          <w:color w:val="44546A"/>
          <w:spacing w:val="0"/>
          <w:position w:val="0"/>
          <w:sz w:val="24"/>
          <w:shd w:fill="auto" w:val="clear"/>
        </w:rPr>
        <w:t xml:space="preserve">Figure 2: Prevalence of hypertension by age and sex in England, 2024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2 shows that the prevalence of hypertension generally increased with age among both men and women in England in 2024. Prevalence was comparatively lower among adults aged 40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44 years and increased progressively across the older age groups, reaching 67% among men and 70% among women aged 75 years and over. The figure also indicates that prevalence was broadly similar between men and women across the age groups, with women having a slightly higher prevalence in several older age categories.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figure demonstrates the clear increase in hypertension prevalence with age, with the highest prevalence observed among adults aged 75 years and over. Prevalence was 67% among men and 70% among women in this age group, highlighting the increasing burden of hypertension among older adults (NHS England Digital, 2026).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United Kingdom, hypertension remains one of the most common long-term conditions managed within primary care and is a major contributor to cardiovascular morbidity and mortality. The Health Survey for England 2023 reported that approximately one-third of adults have hypertension, with prevalence increasing markedly after the age of 40 years (NHS Digital, 2024). The condition accounts for a substantial proportion of consultations in general practice and contributes to increasing demand for NHS services through preventable hospital admissions related to stroke, myocardial infarction and heart failure (NHS England, 2025; UK Health Security Agency (UKHSA), 2024).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Age is one of the strongest predictors of hypertension. Physiological changes associated with ageing, including arterial stiffening, endothelial dysfunction and declining vascular elasticity, increase susceptibility to elevated blood pressure (Carey and Whelton, 2022). Adults aged 40 years and above frequently experience additional behavioural and metabolic risk factors, including obesity, physical inactivity, excessive dietary salt intake, alcohol consumption and smoking, all of which further increase hypertension risk (Han et al., 2025; Piepoli et al., 2021).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Gender differences are also evident in hypertension epidemiology. Hypertension prevalence is generally higher among men during middle adulthood, whereas prevalence increases considerably among women after menopause, largely because hormonal changes reduce the protective cardiovascular effects of oestrogen (NHS Digital, 2024; Carey and Whelton,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improve early detection and prevention, the NHS has implemented several population-based initiatives, including the NHS Health Check Programme figure 4 which targets adults aged 40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74 years for cardiovascular risk assessment every five years. These health checks aim to identify individuals at increased risk of hypertension and other cardiovascular diseases before clinical complications occur (NHS England, 2025). </w:t>
      </w:r>
    </w:p>
    <w:p>
      <w:pPr>
        <w:keepNext w:val="true"/>
        <w:spacing w:before="0" w:after="160" w:line="360"/>
        <w:ind w:right="0" w:left="0" w:firstLine="0"/>
        <w:jc w:val="center"/>
        <w:rPr>
          <w:rFonts w:ascii="Calibri" w:hAnsi="Calibri" w:cs="Calibri" w:eastAsia="Calibri"/>
          <w:color w:val="auto"/>
          <w:spacing w:val="0"/>
          <w:position w:val="0"/>
          <w:sz w:val="22"/>
          <w:shd w:fill="auto" w:val="clear"/>
        </w:rPr>
      </w:pPr>
      <w:r>
        <w:object w:dxaOrig="9772" w:dyaOrig="5961">
          <v:rect xmlns:o="urn:schemas-microsoft-com:office:office" xmlns:v="urn:schemas-microsoft-com:vml" id="rectole0000000002" style="width:488.600000pt;height:298.0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240"/>
        <w:ind w:right="0" w:left="0" w:firstLine="0"/>
        <w:jc w:val="center"/>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Figure 3: NHS Health Check pathway for cardiovascular disease prevention.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Source:</w:t>
      </w:r>
      <w:r>
        <w:rPr>
          <w:rFonts w:ascii="Arial" w:hAnsi="Arial" w:cs="Arial" w:eastAsia="Arial"/>
          <w:color w:val="auto"/>
          <w:spacing w:val="0"/>
          <w:position w:val="0"/>
          <w:sz w:val="24"/>
          <w:shd w:fill="auto" w:val="clear"/>
        </w:rPr>
        <w:t xml:space="preserve"> Adapted from NHS England (2025).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previous studies have investigated hypertension awareness, lifestyle practices and behavioural interventions independently, fewer studies have systematically examined how awareness influences lifestyle practices and individual’s decision-making specifically among adults aged 40 years and above in the United Kingdom. Existing evidence also reports considerable variation in study populations, intervention designs and outcome measures, making it difficult to establish consistent conclusions regarding the relationship between awareness and sustained behavioural change (Elnaem et al., 2022; Robinson and Douglas, 2021).</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1.3 Statement of the Problem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Despite effective screening programmes, evidence-based treatment and lifestyle modifications, hypertension is one of the most prevalent preventable contributors to cardiovascular disease, stroke, chronic kidney disease, and premature death in the UK (World Health Organization, 2025; NHS England, 2025). Older adults (aged 40 years and older) are a high priority group for prevention and early intervention because hypertension becomes more common as people grow older. But for many, diagnosis is missed, and people who know they have the diagnosis do not make lifestyle changes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including quitting smoking, maintaining a healthy diet, drinking less alcohol, eating well and getting more exercise (NHS England, 2025; Han et al., 2025).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main research questions is the longstanding discrepancy between awareness and health-related behaviour on hypertension. National programmes, such as the NHS Health Check programme and community-based cardiovascular prevention strategies, have helped to raise awareness, but evidence suggests that awareness is not sufficient to drive behaviour change or good blood pressure management (Page et al., 2021; Elnaem et al., 2022).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1.4 Rationale of the Research.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there has been a significant investment in national prevention programmes, regular blood pressure checks and research-backed clinical care, hypertension remains a significant public health problem in the United Kingdom (NHS England, 2025). While hypertension is a topic that has been widely studied across various aspects, including prevalence, diagnosis, and treatment, there is relatively little research that focuses on the impact of hypertension awareness on long-term lifestyle habits and individual’s decision-making in adults aged 40 years and older (Elnaem et al., 2022; Han et al., 2025).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Most current research focuses on clinical outcomes, pharmacological intervention or individual lifestyle interventions; few studies draw together the connection between hypertension awareness, behavioural decision making, and effectiveness of public health interventions in the UK healthcare setting (Page et al., 2021). Moreover, current research tends to concentrate on each of these factors individually, without looking at how they interact in their influence on individual’s' uptake of healthy lifestyle behaviours.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Therefore, this study is justified as it will involve review and synthesis of recent evidence on the relationship between lifestyle practices and hypertension awareness among people aged 40 years and above in the UK in a systematic manner. The study will employ a systematic review methodology that will follow PRISMA guidelines to determine what is currently known, the effectiveness of public health interventions, and factors that may influence individual’s decision-making (Page et al., 2021).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1.5 Research Question</w:t>
      </w:r>
    </w:p>
    <w:p>
      <w:pPr>
        <w:keepNext w:val="true"/>
        <w:spacing w:before="0" w:after="160" w:line="360"/>
        <w:ind w:right="0" w:left="0" w:firstLine="0"/>
        <w:jc w:val="center"/>
        <w:rPr>
          <w:rFonts w:ascii="Calibri" w:hAnsi="Calibri" w:cs="Calibri" w:eastAsia="Calibri"/>
          <w:color w:val="auto"/>
          <w:spacing w:val="0"/>
          <w:position w:val="0"/>
          <w:sz w:val="22"/>
          <w:shd w:fill="auto" w:val="clear"/>
        </w:rPr>
      </w:pPr>
      <w:r>
        <w:object w:dxaOrig="6371" w:dyaOrig="7322">
          <v:rect xmlns:o="urn:schemas-microsoft-com:office:office" xmlns:v="urn:schemas-microsoft-com:vml" id="rectole0000000003" style="width:318.550000pt;height:366.1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240"/>
        <w:ind w:right="0" w:left="0" w:firstLine="0"/>
        <w:jc w:val="center"/>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Figure 4.: Pathway from Hypertension Awareness to Blood Pressure Control</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source</w:t>
      </w:r>
      <w:r>
        <w:rPr>
          <w:rFonts w:ascii="Arial" w:hAnsi="Arial" w:cs="Arial" w:eastAsia="Arial"/>
          <w:color w:val="auto"/>
          <w:spacing w:val="0"/>
          <w:position w:val="0"/>
          <w:sz w:val="24"/>
          <w:shd w:fill="auto" w:val="clear"/>
        </w:rPr>
        <w:t xml:space="preserve"> =Centres for Disease Control and Prevention (CDC)</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How does public health awareness of hypertension influence lifestyle practices and choices among adults in the UK?</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1.6 Research Aim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investigate how hypertension awareness influences healthy lifestyle practices and blood pressure control among adults aged 40 years and above in the UK.</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1.7 Research Objectives </w:t>
      </w:r>
    </w:p>
    <w:p>
      <w:pPr>
        <w:numPr>
          <w:ilvl w:val="0"/>
          <w:numId w:val="15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identify the current hypertension awareness programmes and lifestyle practices among adults aged 40 years and above in the United Kingdom.</w:t>
      </w:r>
    </w:p>
    <w:p>
      <w:pPr>
        <w:numPr>
          <w:ilvl w:val="0"/>
          <w:numId w:val="15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evaluate the effectiveness of current public health interventions and NHS Health Check programmes in improving hypertension awareness and promoting healthy lifestyle behaviours.</w:t>
      </w:r>
    </w:p>
    <w:p>
      <w:pPr>
        <w:numPr>
          <w:ilvl w:val="0"/>
          <w:numId w:val="15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identify lifestyle behaviours associated with the prevention and management of hypertension. </w:t>
      </w:r>
    </w:p>
    <w:p>
      <w:pPr>
        <w:numPr>
          <w:ilvl w:val="0"/>
          <w:numId w:val="158"/>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analyse the relationship between awareness and healthy lifestyle practices in controlling blood pressure</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1.8 Significance of the Study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likely to contribute to the current evidence base by synthesising the most recent evidence on the link between awareness of hypertension, lifestyle habits and individual’s decision-making in adults aged 40 years and older in the UK. Although there are many existing studies focusing on clinical management or the prevalence of hypertension, this review will help to obtain a comprehensive understanding of the influence of awareness on behavioural change and the factors that accelerate or inhibit the adoption of healthy lifestyle practices (Han et al., 2025; Elnaem et al., 2022).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results will be relevant for public health policy as evidence to help develop and strengthen national policies and strategies for hypertension prevention, such as the NHS Health Check programme and community-based awareness programmes (NHS England, 2025). The clinical impact of the study will help healthcare professionals to gain insights into the factors that relate to individual’s decision making and adherence to lifestyle recommendations.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1.9 Summary of the Chapter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context and significance of hypertension as a significant public health problem in the UK for adults aged 40 years and over was introduced in this chapter. It summarized the background of the study through a review of the available evidence in the field of hypertension awareness, lifestyle practices, public health interventions and individual’s decision making. The chapter also presented the problem of the study, the gap in the literature, and the need for the study. Additionally, the research question, aim, objectives and the significance of the study were discussed. The chapter as a whole set the stage for the research and rationale behind the systematic review to follow in the next few chapters.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Chapter 2: Literature review/theoretical framework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2.1 Introduction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literature will be critically reviewed in relation to aspects of awareness of hypertension, lifestyles, public health interventions and individual’s decision making among adults aged 40 years and older in the United Kingdom. The chapter will review the current evidence on the epidemiology and public health burden of hypertension and why it is one of the most important modifiable risk factors for cardiovascular disease, stroke and premature mortality (WHO, 2025; NHS England, 2025).    Furthermore, this chapter aims to highlight the gaps in the literature relating to the relationship between awareness of hypertension and lifestyle amongst adults aged 40 years and over in the UK. Last, an appropriate theoretical framework will be presented that will provide a conceptual foundation for a systematic review that will be conducted in this study (Page et al., 2021; Han et al., 2025).</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2.2 Literature Search Strategy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scoping literature search was conducted to locate and summarise the current evidence on hypertension awareness, lifestyle factors, public health interventions and individual’s decision making in adults aged 40 years and over in the United Kingdom. The aim of this scoping search was to gain an overview of the breadth of the literature, key concepts, an understanding of the state of the field, and to inform the background and literature review section of this dissertation (Arksey and O'Malley, 2005; Page et al., 2021).</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literature search was conducted using comprehensive search of four databases, namely PubMed, CINAHL, Web of Science and Google Scholar, and relevant literature was identified. The selection of these databases was based on their ability to index high quality peer-reviewed research in the area of public health, medicine, nursing, behavioural science and health promotion. Authoritative reports and policy documents from the World Health Organization (WHO), NHS England, NHS Digital, UK Health Security Agency (UKHSA) and National Institute for Health and Care Excellence (NICE) were also used for their epidemiological evidence and information on hypertension prevention and management in the UK.</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search strategy was formulated based on the key concepts of the research question. The key words used were: "hypertension awareness," "high blood pressure," "lifestyle practices," "lifestyle behaviours," "individual’s decision-making," "behaviour change," "public health interventions," "adults aged 40+," and "United Kingdom" or "UK. Boolean operators were used to refine the search, e.g., ("hypertension awareness" OR "high blood pressure") AND ("lifestyle practices" OR "health behaviour") AND ("United Kingdom" OR "UK") AND ("individual’s decision-making"). Where appropriate, truncation symbols and searching by phrases were employed so as to retrieve as many relevant publications as possible.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search was restricted to literature from 2020-2026 to focus on only the most recent evidence and policy, and preference was given to English-language peer-reviewed journal articles, systematic reviews, meta-analyses, clinical guidelines and government reports.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2.3 Literature Review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2.3.1 Hypertension as a Public Health Challenge in the UK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is considered one of the largest public health problems in the United Kingdom, as it is a major modifiable risk factor for cardiovascular disease (CVD), stroke, heart failure, chronic kidney disease (CKD) and early death. Although progress has been made in diagnosis, treatment and prevention, a significant proportion of the adult population continues to suffer from hypertension and it is one of the largest drivers of illness and health expenditure (WHO, 2025; NHS England, 2025).</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is an estimated condition of around one third of all adults in the UK and its prevalence rises significantly with age (NHS Digital, 2024). There is evidence that those aged 40 years and older are at a significantly higher risk as multiple long-term conditions, poor dietary habits, physical inactivity and obesity all contribute to the gradual development of blood pressure, increasing the likelihood of experiencing a higher risk. The NHS Health Check programme is targeted at adults aged 40 to 74 because this is the age range that has the highest opportunity to be identified and prevent cardiovascular disease (NHS England, 2025).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is becoming a common condition and puts a strain on the National Health Service (NHS). High blood pressure is a key cause of hospital admission for stroke, myocardial infarction, heart failure, renal disease and health inequalities in primary and secondary care services, making it an important driver of the National Health Service's (NHS) expenditure (NHS England, 2025). The UK has relatively high screening, diagnosis and access to treatment for hypertension compared to the global context, due to the universal healthcare system. However, hypertension is a significant health problem in the country and across the world. According to the World Health Organization (WHO, 2025), over 1.3 billion adults worldwide suffer from hypertension, and less than half are able to maintain good blood pressure.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the literature consistently identifies hypertension as a major public health concern, differences exist regarding the magnitude of its burden and the effectiveness of current prevention strategies. The World Health Organization (WHO, 2023) estimates that approximately 1.28 billion adults worldwide have hypertension, whereas NHS Digital (2024) reports that around one-third of adults in England are affected, with prevalence increasing substantially after the age of 40. While these data demonstrate the growing burden of hypertension, global estimates may not fully reflect the demographic characteristics, healthcare access and screening practices within the UK.</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2.3.2 Hypertension Awareness among Adults Aged 40+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Hypertension awareness is defined as having knowledge of one's BP status, the health consequences of hypertension, prevention measures and treatment options</w:t>
      </w:r>
      <w:r>
        <w:rPr>
          <w:rFonts w:ascii="Calibri" w:hAnsi="Calibri" w:cs="Calibri" w:eastAsia="Calibri"/>
          <w:color w:val="auto"/>
          <w:spacing w:val="0"/>
          <w:position w:val="0"/>
          <w:sz w:val="22"/>
          <w:shd w:fill="auto" w:val="clear"/>
        </w:rPr>
        <w:t xml:space="preserve"> </w:t>
      </w:r>
      <w:r>
        <w:rPr>
          <w:rFonts w:ascii="Arial" w:hAnsi="Arial" w:cs="Arial" w:eastAsia="Arial"/>
          <w:color w:val="auto"/>
          <w:spacing w:val="0"/>
          <w:position w:val="0"/>
          <w:sz w:val="24"/>
          <w:shd w:fill="auto" w:val="clear"/>
        </w:rPr>
        <w:t xml:space="preserve">(Elnaem et al., 2022; WHO, 2023). Awareness is especially important among adults 40 years old or older, as age is one of the strongest risk factors for hypertension and cardiovascular disease (CVD) (Carey and Whelton, 2022). Awareness helps in early detection, lifestyle changes, and compliance with treatment, minimizing the potential for long-term complications (WHO 2025).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have been more recent studies that have indicated that there has been improvement in the UK with regards to awareness of hypertension as the result of national screening programmes and public health campaigns. A large number of adults have high blood pressure, however, many do not know or suspect they have it as hypertension is a condition that often doesn't have any obvious symptoms (NHS England, 2025). Screening programs have been established as a key component in the prevention of hypertension in the UK.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NHS Health Check programme is one of the UK's key public health interventions for cardiovascular disease prevention. Adults aged between 40 and 74 years are invited to have a cardiovascular risk assessment every 5 years, which should involve measuring blood pressure, measuring cholesterol levels, diabetes risk assessment and giving lifestyle advice (NHS England, 2025). The programme is noted to have had a positive impact on the identification of previously undiagnosed hypertension and on clinical intervention earlier.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national screening initiatives have improved hypertension awareness, evidence indicates that awareness alone does not necessarily lead to sustained behavioural change. NHS England (2025) reported that the NHS Health Check programme has increased opportunities for early diagnosis among adults aged 40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74 years. However, UKHSA (2024) argued that participation remains uneven across socioeconomic groups, reducing the programme's overall effectiveness. Similarly, Elnaem et al. (2022) found that many individuals understood the risks associated with hypertension but experienced difficulties implementing recommended lifestyle modifications because of financial constraints, limited health literacy and inadequate social support.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2.3.3 Lifestyle Practices and Hypertension Prevention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Adopting a healthy lifestyle is known to be the basis for prevention and control of hypertension. Lifestyle interventions such as healthy dietary patterns, reducing salt intake, regular physical activity, quitting smoking, eating less alcohol and managing weight before or in addition to taking medication for blood pressure are recommended in all clinical guidelines, including those internationally and those in the UK (Carey and Whelton, 2022; WHO, 2025).   Diet is a key regulator of blood pressure. The Dietary Approach to Stop Hypertension (DASH) eating pattern has consistently been shown to lower both systolic and diastolic blood pressure (BP) significantly, with a focus on increased fruit, vegetable, whole grain, legume, and low-fat dairy consumption (Han et al., 2025). In addition, swapping saturated fats for unsaturated fats and boosting the amount of potassium in the diet have been linked to better cardiovascular results.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Cutting down on salt in the diet is one of the most cost effective public health measures available for the prevention of hypertension. Too much sodium in the diet is a direct driver of high blood pressure, due to fluid retention and vascular dysfunction (WHO, 2025). Salt reduction programmes have successfully led to some reductions in the average salt intake in the UK, but often, the population is still eating more salt than is recommended in the UK, particularly processed and convenience foods (UK Health Security Agency, 2024). This indicates that there is a need to go beyond individual behavior change to the regulation of the food industry and public health policies.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Exercise is known to help reduce blood pressure, improve cardiovascular fitness, to reduce obesity and to benefit psychological wellbeing. The current recommendations for adults are to engage in at least 150 minutes of moderate exercise each week (WHO, 2025). Han et al. (2025) found that structured exercise programs are effective in lowering blood pressure for adults with hypertension.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behaviour of smoking and excess alcohol consumption is still a significant risk factor. Excessive alcohol consumption causes persistent high blood pressure and sub-optimal treatment effectiveness, and smoking contributes to vascular damage, increased arterial stiffness and significantly raises cardiovascular risk (Carey and Whelton, 2022). Despite the UK having implemented comprehensive tobacco control policies to reduce smoking rates, the use of alcohol is still a major public health problem, especially for middle-aged people (UK Health Security Agency, 2024).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is strong agreement that lifestyle modification remains the cornerstone of hypertension prevention; however, disagreement exists regarding its long-term sustainability. Han et al. (2025) demonstrated that dietary improvement, salt reduction, regular physical activity and weight management significantly reduced blood pressure across multiple studies. Therefore, while clinical evidence supports lifestyle interventions, their real-world effectiveness depends on addressing broader behavioural and environmental barriers that extend beyond individual knowledge alone.</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2.3.4 Public Health Interventions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Public health interventions are a critical component in the burden-reduction effort of hypertension through increasing awareness, early diagnosis, and lifestyle modification, since the latter is the primary means of prevention. The UK has a national cardiovascular disease (CVD) prevention strategy, delivered by the UK Health Security Agency (UKHSA) and the NHS, which includes hypertension prevention. They include interventions to identify people at high risk and encourage them to adopt healthy behaviours to minimise the risk of cardiovascular complications (NHS England, 2025; UKHSA, 2024).</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NHS Health Check Programme is one of the biggest national programmes, and is aimed at adults aged 40 to 74 without previously diagnosed cardiovascular disease. The programme measures blood pressure and other cardiovascular risk factors and offers tailored guidance on quitting smoking, dietary improvements, drinking alcohol, physical activity and weight loss (NHS England, 2025). There is evidence that NHS Health Checks have led to a rise in the number of people identified as having hypertension, especially among people from middle age onwards, who may not have been diagnosed prior to the introduction of the checks (Public Health England, 2022).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Community based programme for screening of blood pressure (BP) has gained significance beyond primary care. The reach of blood pressure measurement has been improved with screening initiatives delivered through pharmacies, workplaces, supermarkets and community organisations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populations who may not be well engaged with general practice services (UKHSA, 2024). They are especially beneficial to diminish inequalities in health care access and hypertension awareness within the poor community.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have also been national awareness campaigns aimed at raising awareness about hypertension. Organisations like NHS England, local public health and Blood Pressure UK promote campaigns for adults aged over 40, to check their blood pressure regularly and make healthier choices. There has been a growing number of messages in the public domain to increase knowledge about hypertension risk factors and the need for regular screening (WHO, 2025).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Behavioural interventions have therefore gained an increasing role in the prevention of hypertension. Motivational interviewing, personalised lifestyle counselling, self-monitoring technologies, digital health applications and behavioural coaching have been shown to be more effective than education alone, in improving adherence to lifestyle recommendations (Michie et al, 2022). These interventions not only increase knowledge, but also work to boost motivation, capability and opportunity to sustain behaviour change.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Current public health interventions have contributed to improved hypertension awareness, yet their impact on sustained behavioural outcomes remains uncertain. NHS England (2025) reported positive outcomes from NHS Health Checks and community screening programmes, particularly regarding earlier diagnosis and referral to primary care services.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2.3.5 Individual’s Decision-Making and Behaviour Change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Individual’s decision-making is one of the most potent factors affecting hypertension prevention and long-term management. Knowledge about cardiovascular risk factors through awareness is not enough, however, to ensure that healthy lifestyle behaviours will be adopted and maintained. Recent public health studies have shown that the influence of knowledge on lifestyle change is complex and involves multiple factors beyond knowledge, such as the individual's beliefs, health literacy, motivation, social context, and health care support (WHO, 2025).</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Health literacy is especially key to individual’s behaviour. People who are more health literate tend to have more information about the risk factors for hypertension, treatment options and preventive behaviours, therefore they can make informed choices about diet, physical activity, quitting smoking, and taking medications correctly (Elnaem et al., 2022). In contrast, low health literacy has been linked to misconceptions about hypertension, lower levels of treatment adherence and reduced access to care, especially for older adults and those with lower socio-economic status (UKHSA, 2024).</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second important factor of behaviour change is motivation. Contemporary Behavioural Science research suggests that people are likely to change behaviours if they see hypertension as a serious health risk, and if they think changing behaviours will help to lower their own risk (Michie et al., 2022). Individual’s Decision-Making is also affected by Risk Perception. People who have had prior cardiovascular events, or a family history of hypertension, are more likely to follow the lifestyle recommendations, as compared to individuals who think they are healthy despite having high blood pressure (Han et al., 2025).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also significant effects of socioeconomic conditions on behaviours. However, despite their knowledge of the importance of lifestyle changes, people may not make them due to financial limitations, lack of healthy food options, unsafe communities for physical activity, work-related stress and inequality in access to health care services (NHS England, 2025). These structural inequalities are part of the wider inequalities in health that are seen between different social, economic and demographic groups in the UK.</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Shared decision-making (SDPM) has become a key strategy for enhancing hypertension management. Shared decision making is a process where clinicians discuss treatment with individual’s and their lifestyle goals and barriers to behaviour change, rather than relying on clinician-directed recommendations to individual’s alone. Research shows that individual’s-centred communication leads to better treatment adherence, higher satisfaction and helps to sustain chronic disease self-management (Robinson and Douglas, 2021).</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Evidence suggests that individual’s decision-making is influenced by considerably more than clinical knowledge alone. Robinson and Douglas (2021) identified health literacy, clinician communication and shared decision-making as important facilitators of adherence to lifestyle recommendations. In contrast, Elnaem et al. (2022) argued that financial hardship, low educational attainment and poor social support frequently prevented individual’s from translating knowledge into healthy behaviours. These contrasting perspectives indicate that behavioural decisions result from complex interactions between psychological, social and environmental influences.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2.3.6 Relationship between Awareness and Lifestyle Practices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connection between hypertension awareness and lifestyle habits is a key issue in present day public health studies. Awareness is generally considered to be the first key step towards prevention of disease; however, there is increasing evidence that awareness alone does not lead to long-term behavioural change. Rather, the process of moving from knowledge to health-related behaviour is a complex one that is impacted by a variety of psychological, behavioural and environmental factors that affect individual’s decision making (WHO, 2025).</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Many studies have found that adults with hypertension who were previously unaware of their condition are more likely to initiate lifestyle changes after becoming aware of their diagnosis than those who remain unaware of having hypertension (Han et al., 2025). When medics can raise awareness, it can also improve adherence to medication, promote frequent blood pressure checks, and prompt people to seek medical expertise. Despite improved awareness, however, long-term uptake of recommended lifestyle behaviours such as decreasing salt intake, increasing physical activity, quitting smoking, achieving a healthy weight and reducing the amount of alcohol consumed is still far short of the expected figures (Elnaem et al., 2022).</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awareness-behaviour gap has long been recognised in both the UK and international literature. NHS Health Check programmes have proven to be effective in raising the proportion of adults aged 40 and over who are diagnosed with hypertension, but evidence suggests that many people do not make lasting behavioural changes after their diagnosis (NHS England, 2025). Psychological theories offer insights into this connection. According to COM-B Behaviour Change Model, behaviour does not happen unless people have the Capability, Opportunity, and Motivation to undertake the behaviour they want (Michie et al., 2022).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Health Belief Model also posits that people will change their health behaviours if they think that they are at risk of developing a disease, the possible consequences are serious, they believe that changing the behaviour will provide a worthwhile benefit, and the barriers to behaviour change are not too high (Jones et al., 2020). In the case of hypertension, many people delay changes in their lifestyle until the symptoms are noticeable and thus they do not feel the need to take action.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the literature demonstrates that awareness is an essential prerequisite for behaviour change but is insufficient on its own to improve long-term hypertension outcomes. Han et al. (2025) concluded that structured lifestyle interventions effectively reduced blood pressure when supported by ongoing behavioural counselling. Conversely, Elnaem et al. (2022) reported that awareness frequently failed to overcome socioeconomic and motivational barriers that limited adherence. Robinson and Douglas (2021) further argued that shared decision-making strengthened individual’s' commitment to lifestyle modification by increasing confidence and self-management skills.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2.4 Gaps in the Literature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a substantial body of research has examined hypertension prevalence, prevention and management, several important gaps remain within the existing literature. First, many studies have focused primarily on clinical outcomes, such as blood pressure control, medication adherence and cardiovascular risk reduction, while giving comparatively less attention to the behavioural mechanisms that influence lifestyle modification following increased awareness (Carey and Whelton, 2022; Han et al., 2025). Consequently, the relationship between hypertension awareness and sustained lifestyle practices remains insufficiently understood.</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second gap relates to socioeconomic inequalities. Previous research has shown that individuals from lower socioeconomic backgrounds experience higher rates of hypertension and poorer health outcomes because of limited access to healthcare services, financial constraints and reduced opportunities to adopt healthier lifestyles (Elnaem et al., 2022; UKHSA, 2024). However, relatively few studies have explored how socioeconomic circumstances influence the translation of hypertension awareness into long-term behavioural change, particularly within the UK healthcare context.</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important limitation concerns health literacy and individual’s decision-making. Although awareness campaigns and screening programmes have improved knowledge of hypertension, evidence suggests that understanding a health condition does not necessarily result in sustained behavioural change (Robinson and Douglas, 2021; Elnaem et al., 2022). Existing studies rarely examine how individuals interpret health information, perceive risk or make decisions regarding dietary habits, physical activity and other lifestyle behaviours after receiving a hypertension diagnosis.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Furthermore, there is limited evidence examining ethnic and regional differences across the United Kingdom. Hypertension prevalence and access to preventive services vary between ethnic communities and geographical regions because of differences in cultural practices, deprivation levels and healthcare accessibility (NHS Digital, 2024; NHS England, 2025). Nevertheless, most published studies report national findings without critically exploring these disparities or their implications for targeted public health interventions.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 additional gap concerns the lack of research focusing specifically on adults aged 40 years and above, despite this population representing the principal target group for NHS Health Checks and experiencing a substantially higher risk of hypertension than younger adults (NHS England, 2025). Moreover, few studies investigate whether improvements in awareness are maintained over time or result in long-term behaviour change, leaving uncertainty regarding the sustained effectiveness of current public health interventions.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limitations demonstrate the need for a systematic review that critically synthesises current evidence on the relationship between hypertension awareness, individual’s decision-making and lifestyle practices among UK adults aged 40 years and above. Addressing these gaps will strengthen the evidence base for designing more targeted and effective public health strategies to support long-term hypertension prevention and management.</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 2.5 Theoretical Framework</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Behavioural theories offer a systematic approach to studying the determinants of people's health-related choices and actions. Behaviour change models are commonly employed in the field of hypertension prevention to understand why certain people change their behaviour in favour of a healthy lifestyle, while others do not. As for the theoretical framework, the Health Belief Model (HBM) is the major model used, and a wider theory is the Capability, Opportunity, Motivation</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Behaviour (COM-B) Model and the Trans theoretical Model (TTM).</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Health Belief Model (HBM) was originally formulated by Rosenstock, (1974) and later modified by Becker, (1974) and outlines how people's perceptions of susceptibility to disease, severity of disease, perceived benefits of taking preventive action, perceived barriers, cues to action and self-efficacy affect health behaviour (Glanz et al., 2015). In the context of hypertension prevention, the HBM implies that adults are more likely to be convinced to make healthier lifestyle choices if they are aware of their own risk for hypertension, aware of the potential consequences of having uncontrolled blood pressure, and believe in the effectiveness of lifestyle modification to reduce the risk of developing hypertension. Perceived susceptibility and perceived benefits have been found to be positively correlated with hypertension awareness and healthy diet adherence and increased physical activity (Elnaem et al., 2022; Robinson and Douglas, 2021).</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COM-B Model by Michie et al. (2011) suggests that behaviour is the product of Capability, Opportunity and Motivation. The model recognizes that individuals might have knowledge about hypertension, but may not be physically able or socially and emotionally available or motivated to adopt healthier behaviours. The COM-B model is building in popularity for use in public health interventions as it takes account of environmental and social factors as well as beliefs (Michie et al., 2011). However, the more general application makes it less specific on individual health perceptions, which are the axis of the primary focus in this review.</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Trans theoretical Model (TTM) of Prochaska and DiClemente (1983) is another context that is relevant. This is a conceptual model of behaviour change that proposes five stages: precontemplation, contemplation, preparation, action and maintenance. The TTM has been adapted and used in numerous smoking cessation, weight management and physical activity intervention programs, and is based on the theory that people pass through various stages before they are able to maintain long-term changes in their behaviour (Prochaska and Velicer, 1997). </w:t>
      </w:r>
    </w:p>
    <w:p>
      <w:pPr>
        <w:keepNext w:val="true"/>
        <w:spacing w:before="240" w:after="160" w:line="360"/>
        <w:ind w:right="0" w:left="0" w:firstLine="0"/>
        <w:jc w:val="center"/>
        <w:rPr>
          <w:rFonts w:ascii="Calibri" w:hAnsi="Calibri" w:cs="Calibri" w:eastAsia="Calibri"/>
          <w:color w:val="auto"/>
          <w:spacing w:val="0"/>
          <w:position w:val="0"/>
          <w:sz w:val="22"/>
          <w:shd w:fill="auto" w:val="clear"/>
        </w:rPr>
      </w:pPr>
      <w:r>
        <w:object w:dxaOrig="5378" w:dyaOrig="6305">
          <v:rect xmlns:o="urn:schemas-microsoft-com:office:office" xmlns:v="urn:schemas-microsoft-com:vml" id="rectole0000000004" style="width:268.900000pt;height:315.2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200" w:line="240"/>
        <w:ind w:right="0" w:left="0" w:firstLine="0"/>
        <w:jc w:val="center"/>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Figure 5: Health Belief Model illustrating factors influencing lifestyle practices for hypertension prevention.</w:t>
      </w:r>
    </w:p>
    <w:p>
      <w:pPr>
        <w:spacing w:before="0" w:after="160" w:line="259"/>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Source:</w:t>
      </w:r>
      <w:r>
        <w:rPr>
          <w:rFonts w:ascii="Arial" w:hAnsi="Arial" w:cs="Arial" w:eastAsia="Arial"/>
          <w:color w:val="auto"/>
          <w:spacing w:val="0"/>
          <w:position w:val="0"/>
          <w:sz w:val="24"/>
          <w:shd w:fill="auto" w:val="clear"/>
        </w:rPr>
        <w:t xml:space="preserve"> Adapted from Rosenstock (1974) and Glanz et al. (2015).</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Health Belief Model is used as a theoretical framework for this systematic review because it is deemed the most suitable theory to be applied to the model, although COM-B and the Trans theoretical Model are valuable for their perspective on behaviour change. This study will focus on the association between lifestyle and hypertension awareness amongst people aged 40 years and over in the United Kingdom. The HBM is closely related to the interest of the review in the process of awareness, decision-making and lifestyle modification, as the HBM directly addresses the influence of perceived disease risk, disease benefits and barriers on preventive health behaviour. </w:t>
      </w:r>
    </w:p>
    <w:p>
      <w:pPr>
        <w:keepNext w:val="true"/>
        <w:spacing w:before="0" w:after="200" w:line="240"/>
        <w:ind w:right="0" w:left="0" w:firstLine="0"/>
        <w:jc w:val="left"/>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Table 1.Comparison of Behaviour Change Models</w:t>
      </w:r>
    </w:p>
    <w:tbl>
      <w:tblPr/>
      <w:tblGrid>
        <w:gridCol w:w="1928"/>
        <w:gridCol w:w="1763"/>
        <w:gridCol w:w="1785"/>
        <w:gridCol w:w="1785"/>
        <w:gridCol w:w="1755"/>
      </w:tblGrid>
      <w:tr>
        <w:trPr>
          <w:trHeight w:val="1" w:hRule="atLeast"/>
          <w:jc w:val="left"/>
        </w:trPr>
        <w:tc>
          <w:tcPr>
            <w:tcW w:w="19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Model</w:t>
            </w:r>
          </w:p>
        </w:tc>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Main Focus</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Strengths</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Limitations</w:t>
            </w:r>
          </w:p>
        </w:tc>
        <w:tc>
          <w:tcPr>
            <w:tcW w:w="17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Relevance to This Study</w:t>
            </w:r>
          </w:p>
        </w:tc>
      </w:tr>
      <w:tr>
        <w:trPr>
          <w:trHeight w:val="1" w:hRule="atLeast"/>
          <w:jc w:val="left"/>
        </w:trPr>
        <w:tc>
          <w:tcPr>
            <w:tcW w:w="19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Health Belief Model (HBM)</w:t>
            </w:r>
          </w:p>
        </w:tc>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Perceived susceptibility, severity, benefits, barriers, cues to action and self-efficacy</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Explains how beliefs influence preventive health behaviours</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Limited consideration of social and environmental influences</w:t>
            </w:r>
          </w:p>
        </w:tc>
        <w:tc>
          <w:tcPr>
            <w:tcW w:w="17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Primary framework because the review focuses on hypertension awareness and lifestyle practices</w:t>
            </w:r>
          </w:p>
        </w:tc>
      </w:tr>
      <w:tr>
        <w:trPr>
          <w:trHeight w:val="1" w:hRule="atLeast"/>
          <w:jc w:val="left"/>
        </w:trPr>
        <w:tc>
          <w:tcPr>
            <w:tcW w:w="19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COM-B Model</w:t>
            </w:r>
          </w:p>
        </w:tc>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Capability, Opportunity and Motivation</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Incorporates behavioural and environmental determinants</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Less emphasis on individual health perceptions</w:t>
            </w:r>
          </w:p>
        </w:tc>
        <w:tc>
          <w:tcPr>
            <w:tcW w:w="17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Useful for comparison but not selected as the primary framework</w:t>
            </w:r>
          </w:p>
        </w:tc>
      </w:tr>
      <w:tr>
        <w:trPr>
          <w:trHeight w:val="1" w:hRule="atLeast"/>
          <w:jc w:val="left"/>
        </w:trPr>
        <w:tc>
          <w:tcPr>
            <w:tcW w:w="192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Transtheoretical Model (TTM)</w:t>
            </w:r>
          </w:p>
        </w:tc>
        <w:tc>
          <w:tcPr>
            <w:tcW w:w="17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Stages of behaviour change</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Recognises behaviour change as a gradual process</w:t>
            </w:r>
          </w:p>
        </w:tc>
        <w:tc>
          <w:tcPr>
            <w:tcW w:w="17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Behaviour does not always progress through fixed stages</w:t>
            </w:r>
          </w:p>
        </w:tc>
        <w:tc>
          <w:tcPr>
            <w:tcW w:w="17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Relevant to lifestyle change but less directly linked to awareness</w:t>
            </w:r>
          </w:p>
        </w:tc>
      </w:tr>
    </w:tbl>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Source:</w:t>
      </w:r>
      <w:r>
        <w:rPr>
          <w:rFonts w:ascii="Arial" w:hAnsi="Arial" w:cs="Arial" w:eastAsia="Arial"/>
          <w:color w:val="auto"/>
          <w:spacing w:val="0"/>
          <w:position w:val="0"/>
          <w:sz w:val="24"/>
          <w:shd w:fill="auto" w:val="clear"/>
        </w:rPr>
        <w:t xml:space="preserve"> Adapted from Michie et al. (2011), Glanz et al. (2015), and Prochaska and Velicer (1997).</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Although several behavioural theories have been applied to chronic disease prevention, each provides a different perspective on behaviour change. The Health Belief Model (HBM) explains health behaviour through individuals' perceptions of susceptibility, severity, perceived benefits, perceived barriers, cues to action and self-efficacy (Jones et al., 2020). Consequently, the model is particularly useful for understanding how awareness of hypertension influences decisions to adopt healthier lifestyle practices.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contrast, the COM-B Behaviour Change Model proposes that behaviour results from the interaction of Capability, Opportunity and Motivation (Michie, Atkins and West, 2022). Unlike the HBM, COM-B gives greater emphasis to environmental influences and behavioural capability, making it valuable for designing public health interventions rather than explaining individual health beliefs alone.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Similarly, the Transtheoretical Model (TTM) conceptualises behaviour change as a gradual process involving progression through stages including pre-contemplation, contemplation, preparation, action and maintenance. Although the model recognises that lifestyle modification develops over time, it has been criticised for assuming that individuals move through these stages in a linear sequence, whereas behaviour change is often more dynamic and influenced by external factors (Prochaska and Velicer, 1997; Michie, Atkins and West, 2022).</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these three behavioural models provide complementary perspectives on hypertension prevention. COM-B offers valuable insight into behavioural capability and environmental opportunity, while the TTM explains the progression of behaviour change over time. However, the Health Belief Model was selected as the primary theoretical framework for this systematic review because the research specifically examines the relationship between hypertension awareness, individual’s decision-making and lifestyle practices among adults aged 40 years and above. The HBM directly links individuals' perceptions of risk and benefits with preventive health behaviours, making it the most appropriate framework for interpreting how awareness influences lifestyle choices within the context of hypertension prevention.</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2.6 Summary of the Chapter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literature on the current state of understanding about hypertension awareness, lifestyle habits, individual’s decision making and public health initiatives for adults (40 years and older) was reviewed. It explored hypertension as an important public health problem in the UK and internationally, synthesised the evidence on the effectiveness of awareness programmes, behavioural risk factors and lifestyle interventions, and examined the effectiveness of prevention programmes delivered within the NHS and community settings. The chapter also highlighted important gaps in the current literature, especially the relationship between hypertension awareness and maintenance of lifestyle behaviours, justifying the need for the current systematic review. Finally, the COM-B Behaviour Change Model was introduced as the theoretical construct that underlies the study, which will be analysed and interpreted based on the findings of the systematic review from a behavioural perspective.</w:t>
      </w: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000000"/>
          <w:spacing w:val="0"/>
          <w:position w:val="0"/>
          <w:sz w:val="32"/>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Chapter 3: Methods and Methodology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3.1 Introduction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chapter will explain and defend the methodology that will be used to answer the research question which is exploring the relationship between awareness of hypertension and lifestyle habits among adults (aged 40 years and over) in the United Kingdom. It will describe the philosophical underpinning of the study such as the research paradigm, research approach, research strategy and research design selected in the study, and how these will facilitate the systematic review process. Research methodology offers a structured approach to conducting research, ensuring it is carried out in a rigorous, transparent, and systematic manner that increases the credibility and reliability of the end results (Saunders et al., 2023). Moreover, this chapter will describe how to identify, select and critically appraise the literature in a systematic review, following the Preferred Reporting Items for Systematic Reviews and Meta-Analyses (PRISMA) 2020 guidelines (Page et al., 2021). </w:t>
      </w:r>
    </w:p>
    <w:p>
      <w:pPr>
        <w:keepNext w:val="true"/>
        <w:spacing w:before="240" w:after="160" w:line="360"/>
        <w:ind w:right="0" w:left="0" w:firstLine="0"/>
        <w:jc w:val="center"/>
        <w:rPr>
          <w:rFonts w:ascii="Calibri" w:hAnsi="Calibri" w:cs="Calibri" w:eastAsia="Calibri"/>
          <w:color w:val="auto"/>
          <w:spacing w:val="0"/>
          <w:position w:val="0"/>
          <w:sz w:val="22"/>
          <w:shd w:fill="auto" w:val="clear"/>
        </w:rPr>
      </w:pPr>
      <w:r>
        <w:object w:dxaOrig="5572" w:dyaOrig="7383">
          <v:rect xmlns:o="urn:schemas-microsoft-com:office:office" xmlns:v="urn:schemas-microsoft-com:vml" id="rectole0000000005" style="width:278.600000pt;height:369.1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200" w:line="240"/>
        <w:ind w:right="0" w:left="0" w:firstLine="0"/>
        <w:jc w:val="center"/>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Figure 6: Methodology flowchart illustrating the systematic review process.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Source:</w:t>
      </w:r>
      <w:r>
        <w:rPr>
          <w:rFonts w:ascii="Arial" w:hAnsi="Arial" w:cs="Arial" w:eastAsia="Arial"/>
          <w:color w:val="auto"/>
          <w:spacing w:val="0"/>
          <w:position w:val="0"/>
          <w:sz w:val="24"/>
          <w:shd w:fill="auto" w:val="clear"/>
        </w:rPr>
        <w:t xml:space="preserve"> Adapted from Page et al. (2021), Higgins et al. (2022), Aromataris and Munn (2020), and Braun and Clarke (2021).</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provide a clear overview of the methodological process adopted in this systematic review, Figure 5 illustrates the sequence of research activities undertaken throughout the study. The process began with the formulation of the research question using the PICO framework, followed by a structured database search, study screening in accordance with the PRISMA 2020 guidelines, quality assessment using established critical appraisal tools, data extraction and narrative synthesis. (Page et al., 2021; Higgins et al., 2022).</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3.2 Research Philosophy / Paradigm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Research philosophy is the set of assumptions and beliefs used to guide knowledge generation and used to select the appropriate research methodology (Saunders et al., 2023). It gives the theoretical underpinning for research, it reinforces the perception of reality and how knowledge is gained. Choosing a suitable research philosophy is crucial to make sure that the method used to carry out the research is able to produce credible and reliable research findings that are in line with the research objectives. On the one hand, ontology is about reality, namely its nature, and on the other hand, it is about the existence of phenomena independently of human perception (Crotty, 2020).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Positivism is one of the main philosophical approaches, which assumes that the source of knowledge is only observable, measurable, and verifiable facts by applying systematic scientific methods (Saunders et al., 2023). Positivism is the suitable approach for this systematic review to analyse and summarise knowledge obtained from peer-reviewed research, national surveys and government reports to inform the identification of evidence-based patterns of hypertension awareness, lifestyle factors and public health interventions among adults aged 40 years and older. (Page et al., 2021).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the positivist paradigm is most suitable for the philosophical underpinnings of this systematic review due to its ability to objectively identify, critically appraise, and synthesize the existing body of evidence to answer the research question in a rigorous, transparent, and reproducible way (Higgins et al., 2022; Snyder, 2019).</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3.3 Ethical Considerations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for research to be carried out ethically, responsibly and within the confines of recognised academic and professional norms, ethical issues are of paramount importance. Research ethics are meant to safeguard the integrity of the research process, engender public trust, and produce and report results honestly (Resnik, 2020). Ethical practice in systematic reviews does not stop at protecting the participants, it also involves careful selection of evidence, correct interpretation of results and proper referencing of the source documents (Page et al., 2021).</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study will ensure that the principles of academic integrity are followed by properly citing all information in the Harvard referencing style and giving proper credit to the ideas and findings of original authors. It will be maintained by documenting the search strategy, eligibility criteria, selection of studies, quality assessment and data synthesis. (Page et al., 2021; Higgins et al., 2022.  Only secondary data from published peer reviewed journal articles, Government publications and reports from recognised organisations (e.g. NHS and WHO) will be used in the present study. Therefore, any kind of personal or confidential information will not be collected and no human participant will be recruited. However, University of Wales Trinity Saint David (UWTSD) research governance procedures will be followed prior to commencing the dissertation process, including ethical approval.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3.4 Research Approach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Research approach involves the overall plan that directs the way evidence is gathered, analysed and interpreted to answer a research question (Saunders et al., 2023). There are three major research methods: quantitative research, qualitative research, and mixed methods research, with each having its own specific advantages and disadvantages.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Sometimes quantitative research is used to understand relationships, test hypotheses, and find statistical patterns that can be identified by structured methods like surveys, experiments, or observational studies (Creswell and Creswell, 2023). This will allow for objective measurement and the generalisation of results to broader populations. Qualitative research, on the other hand, examines the experiences, perceptions and behaviours of individuals, using techniques like interviews, focus groups and observation. Often offers rich contextual understanding, but is less likely to yield statistically generalizable results (Bryman, 2021). Mixed methods research utilizes both quantitative and qualitative methods to give a more complete picture of a complex research question by incorporating numerical and lived evidence from participants (Creswell and Creswell, 2023).</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main benefits of conducting a systematic review are methodological rigor, reduced selection bias, increased transparency and the capacity to reach evidence-based conclusions that can be drawn and applied to public health policy and clinical practice (Higgins et al., 2022).</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3.5 Research Strategy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research strategy is the process used to solve a research problem and to meet the research goals. There are two main research reasoning methods: deductive and inductive, which has an opposite direction in the development of knowledge and the interpretation of evidence (Saunders et al., 2023).</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deductive strategy starts with theories and/or knowledge and then deals with evidence in order to test or explain a phenomenon (Bryman, 2021). It is systematic and objective, and is very appropriate for research that combines several empirical studies. The inductive strategy, on the other hand, is used to build new theories or conceptual understandings based on observations and qualitative data gathered during the study. Qualitative research, which seeks to discover new theories or interpretations rather than test or synthesize existing theories, is often linked to inductive reasoning (Creswell and Creswell, 2023). The present study will use a deductive approach to research in order to systematically review and summarise the published literature on the association between hypertension awareness and lifestyle behaviours in adults 40 years and over in the UK.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3.6 Study Design </w:t>
      </w:r>
      <w:r>
        <w:rPr>
          <w:rFonts w:ascii="Arial" w:hAnsi="Arial" w:cs="Arial" w:eastAsia="Arial"/>
          <w:b/>
          <w:color w:val="000000"/>
          <w:spacing w:val="0"/>
          <w:position w:val="0"/>
          <w:sz w:val="28"/>
          <w:shd w:fill="auto" w:val="clear"/>
        </w:rPr>
        <w:t xml:space="preserve">–</w:t>
      </w:r>
      <w:r>
        <w:rPr>
          <w:rFonts w:ascii="Arial" w:hAnsi="Arial" w:cs="Arial" w:eastAsia="Arial"/>
          <w:b/>
          <w:color w:val="000000"/>
          <w:spacing w:val="0"/>
          <w:position w:val="0"/>
          <w:sz w:val="28"/>
          <w:shd w:fill="auto" w:val="clear"/>
        </w:rPr>
        <w:t xml:space="preserve"> Systematic Review</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3.6.1 Definition of a Systematic Review</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systematic review is an analytical research method which aims to identify, appraise and synthesize existing evidence to answer a specific and reproducible research question in a systematic and rigorous way (Higgins et al., 2022). A systematic review is not a primary research, but rather a review of the results of published studies to give an overall and evidence-based picture of a specific question. This helps to reduce bias by implementing pre-established search strategies, eligibility criteria, and quality appraisal protocols, which increase the trustworthiness and transparency of the results (Page et al., 2021).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3.6.2 Comparison of Different Review Types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multiple review methodologies, all of which have different research uses. Traditional literature review is a broad review of available literature; however, there is no clear &amp; specific search methodology or selection process for identifying studies, which leaves room for selection bias (Snyder, 2019). A narrative review is a summary and interpretation of the current literature to put it into perspective; it is less transparent (and less reproducible) than systematic reviews and requires a high level of subjectivity on the part of the person conducting the review (Greenhalgh et al., 2018).</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3.6.3 Advantages of a Systematic Review</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Systematic reviews have a number of key benefits. They offer detailed evidence synthesis, minimise selection bias by presenting their evidence in an open and transparent way, increase the level of reliability of the evidence presented, and assist with evidence-based healthcare decision-making (Aromataris and Munn, 2020). In addition, they detect inconsistencies between studies, assess the quality of the evidence provided, and highlight where there is a need for more research (Higgins et al., 2022).</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3.6.4 Justification for Selecting a Systematic Review</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study type selected is a systematic review, which is the most appropriate study design for investigating the relationship between hypertension awareness and lifestyle practices of adults (aged 40 years and above) in the United Kingdom. There is a wealth of published literature on hypertension awareness, behavioural interventions, individual’s decision making and lifestyle modification. Systematic evidence synthesis will therefore help to create a comprehensive picture of current knowledge, gaps in the literature and evidence-based recommendations for public health policies and clinical practice. (Page et al., 2021).</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3.6.5 PRISMA Framework</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systematic review will be done following the guidelines of Preferred Reporting Items for Systematic Reviews and Meta-Analyses (PRISMA) 2020. PRISMA is an internationally recognised guideline that details the process of identifying, screening, checking eligibility and adding studies to systematic reviews, which will help to provide methodological transparency, consistency and better reporting quality (Page et al., 2021). The use of PRISMA will help to make sure that there is a clear documentation and reproduction of each stage of the review process, increasing the study's credibility and validity.</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3.7 Method of Data Collection</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3.7.1 Search Strategy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thorough and systematic electronic search process will be conducted to locate published, relevant evidence of the association between hypertension awareness and lifestyle factors in adults aged 40 years or older in the United Kingdom. Electronic database searching is a clear and repeatable way to select high-quality studies, and will help minimise selection bias in systematic reviews (Higgins et al., 2022). The databases to be searched include PubMed, CINAHL, Web of Science, Google Scholar and relevant UK government sources like NHS England and the UK Health Security Agency (UKHSA). Boolean searching, phrase searching, truncation and use of controlled vocabulary will be employed to ensure maximum sensitivity and specificity. The Boolean operator AND will link between two concepts (for example, hypertension AND awareness), and OR will find studies that have synonymous terms (for example, hypertension OR high blood pressure).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primary search terms will be hypertension awareness, hypertension, lifestyle practices, healthy lifestyles, physical activity, diet, individual’s decision making, public health interventions, adults aged 40+, and United Kingdom. These will be used in a systematic manner to increase the likelihood of relevant studies being retrieved, while maintaining focus on the research questions and review question (Page et al., 2021).</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3.7.2 Framing the Research Question (PICO)</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systematic review will be guided by the "PICO" framework, a common tool for creating focused and answerable research questions in evidence-based healthcare and systematic reviews (Higgins et al., 2022). PICO is a tool that helps researchers identify the Population (P), Intervention (I), Comparison (C) and Outcome (O) to use in structuring the review. To maintain relevance with the UK context of the NHS and UK public health policies, an extra Setting (S) element has been added to the search.</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framework will be used to select keywords, Medical Subject Headings (MeSH), Boolean operators, and eligibility criteria for the review process. The use of PICO will ensure that the literature search will be more precise, transparent and reproducible and will include all retrieved studies that directly address the research objectives. It will also reduce irrelevant search results and enable identification of high quality evidence on adult (40 years and older) hypertension awareness, lifestyle factors and individual’s decision making in the United Kingdom (Aromataris and Munn, 2020; Higgins et al., 2022).</w:t>
      </w:r>
    </w:p>
    <w:p>
      <w:pPr>
        <w:keepNext w:val="true"/>
        <w:spacing w:before="0" w:after="200" w:line="240"/>
        <w:ind w:right="0" w:left="0" w:firstLine="0"/>
        <w:jc w:val="left"/>
        <w:rPr>
          <w:rFonts w:ascii="Calibri" w:hAnsi="Calibri" w:cs="Calibri" w:eastAsia="Calibri"/>
          <w:i/>
          <w:color w:val="44546A"/>
          <w:spacing w:val="0"/>
          <w:position w:val="0"/>
          <w:sz w:val="24"/>
          <w:shd w:fill="auto" w:val="clear"/>
        </w:rPr>
      </w:pPr>
      <w:r>
        <w:rPr>
          <w:rFonts w:ascii="Arial" w:hAnsi="Arial" w:cs="Arial" w:eastAsia="Arial"/>
          <w:i/>
          <w:color w:val="44546A"/>
          <w:spacing w:val="0"/>
          <w:position w:val="0"/>
          <w:sz w:val="24"/>
          <w:shd w:fill="auto" w:val="clear"/>
        </w:rPr>
        <w:t xml:space="preserve">Table</w:t>
      </w:r>
      <w:r>
        <w:rPr>
          <w:rFonts w:ascii="Calibri" w:hAnsi="Calibri" w:cs="Calibri" w:eastAsia="Calibri"/>
          <w:i/>
          <w:color w:val="44546A"/>
          <w:spacing w:val="0"/>
          <w:position w:val="0"/>
          <w:sz w:val="24"/>
          <w:shd w:fill="auto" w:val="clear"/>
        </w:rPr>
        <w:t xml:space="preserve"> 2: PICO Framework and Search Terms</w:t>
      </w: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PICO Component</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Search Terms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Population (P)</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Adults aged 40+, Older adults, Middle-aged adults, Hypertension individual’s</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Intervention (I)</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Hypertension awareness, NHS Health Check, Health education, Public health intervention</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Comparison (C)</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Low awareness, No intervention, Standard care</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Outcome (O)</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Lifestyle practices, Behaviour change, Blood pressure control, Individual’s decision-making</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Setting (S)</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United Kingdom, England, NHS</w:t>
            </w:r>
          </w:p>
        </w:tc>
      </w:tr>
    </w:tbl>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PICO framework will help the search strategy to be focused but at the same time comprehensive, allowing to identify relevant studies that are assessing the linkage between awareness of hypertension and lifestyle behaviours among adults </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40 years old in the UK.</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3.7.3 Database Search Procedure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thorough literature search will be carried out to locate studies that look at the association between hypertension awareness and lifestyle factors in adults who are 40 years old or older in the United Kingdom. Five major electronic databases will be searched to ensure that all available evidence is covered, including: PubMed, MEDLINE, CINAHL, Web of Science and Google Scholar. These databases have been chosen because they contain comprehensive coverage of high-quality biomedical, nursing, public health and multidisciplinary research, and are recommended for systematic reviews (Higgins et al., 2022).</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Medical Subject Headings (MeSH) will be used in conjunction with free-text words in the search strategy in order to retrieve the maximum literature, relevant to the needs of the research. MeSH, a controlled vocabulary created by the U.S. National Library of Medicine, helps standardise the indexing terms and enhance the success of searching for similar studies that have been indexed with different terminology, but refer to the same concept (National Library of Medicine, 2024). For instance, the MeSH term "Hypertension" will be used in combination with the keywords "awareness," "lifestyle practices," "health behaviour," and "United Kingdom.</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Boolean operators will be used to improve the search strategy. Different concepts will be linked by AND, synonymous terms will be found using OR and NOT will exclude irrelevant records if needed. To further enhance the sensitivity and specificity of searches, phrase searching via quotation marks and/or truncation should be used (Bramer et al., 2018).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3.7.4 Hand Search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hand search will also be carried out to locate relevant studies not retrieved by the electronic database search. Hand searching: the goal of hand searching is to maximise the number of eligible studies found in systematic reviews, and to limit publication bias (Higgins et al., 2022). It will be necessary to conduct a backward search of included studies, review articles and relevant clinical guidelines to identify additional publications (examine references). Moreover, a citation tracking (forward searching) will be conducted, and Google Scholar, Web of Science will be applied to find more recent studies citing the included articles. This joint approach will increase the likelihood that influential and relevant evidence relevant to hypertension awareness, lifestyle factors and individual’s decision making among adults 40 years and above in the UK is fully identified (Page et al., 2021; Booth et al., 2021).</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3.7.5 Grey Literature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Grey literature will also be included, as the aim of the systematic review is to ensure that current evidence is not missed that is not published in peer-reviewed journal articles. Grey literature is defined as research and information generated by governments, healthcare organisations and other institutions which is not published in commercial academic journals (Paez, 2017). Relevant documents will be identified from the National Health Service (NHS), World Health Organization (WHO), UK Health Security Agency (UKHSA), and UK Government websites. Policy documents, national guidelines, surveillance reports, strategic plans, and public health statistics will be used for these sources. Incorporating grey literature will minimise publication bias, give more recent policy evidence, and enhance the relevance of the policy review results for public health practice and healthcare decision making (Page et al., 2021; Higgins et al., 2022).</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3.7.6 Inclusion and Exclusion Criteria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Literature will be searched and studies will be selected to fulfil predefined inclusion and exclusion criteria to ensure transparent, consistent, and study selection directly related to research objectives. </w:t>
      </w:r>
    </w:p>
    <w:p>
      <w:pPr>
        <w:keepNext w:val="true"/>
        <w:spacing w:before="0" w:after="200" w:line="240"/>
        <w:ind w:right="0" w:left="0" w:firstLine="0"/>
        <w:jc w:val="left"/>
        <w:rPr>
          <w:rFonts w:ascii="Calibri" w:hAnsi="Calibri" w:cs="Calibri" w:eastAsia="Calibri"/>
          <w:i/>
          <w:color w:val="44546A"/>
          <w:spacing w:val="0"/>
          <w:position w:val="0"/>
          <w:sz w:val="24"/>
          <w:shd w:fill="auto" w:val="clear"/>
        </w:rPr>
      </w:pPr>
      <w:r>
        <w:rPr>
          <w:rFonts w:ascii="Calibri" w:hAnsi="Calibri" w:cs="Calibri" w:eastAsia="Calibri"/>
          <w:i/>
          <w:color w:val="44546A"/>
          <w:spacing w:val="0"/>
          <w:position w:val="0"/>
          <w:sz w:val="24"/>
          <w:shd w:fill="auto" w:val="clear"/>
        </w:rPr>
        <w:t xml:space="preserve">Table 3: Inclusion and Exclusion Criteria (PICO Framework</w:t>
      </w:r>
    </w:p>
    <w:tbl>
      <w:tblPr/>
      <w:tblGrid>
        <w:gridCol w:w="3005"/>
        <w:gridCol w:w="3005"/>
        <w:gridCol w:w="3006"/>
      </w:tblGrid>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PICO</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Inclusion Criteria</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Exclusion Criteria</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Population</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Adults aged </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40 years with or at risk of hypertension</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Children, adolescents, adults under 40 years</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Intervention</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Hypertension awareness programmes, NHS Health Checks, health education, public health interventions</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Drug-only interventions without an awareness or lifestyle component</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Comparison</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Low awareness, standard care, usual care, or comparison groups</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Studies with no comparison where comparison is essential to the study objective</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Outcome</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Lifestyle behaviour, hypertension awareness, behaviour change, individual’s decision-making</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outcomes only (e.g., blood pressure measurements, medication effectiveness) without behavioural or awareness outcomes</w:t>
            </w:r>
          </w:p>
        </w:tc>
      </w:tr>
      <w:tr>
        <w:trPr>
          <w:trHeight w:val="1" w:hRule="atLeast"/>
          <w:jc w:val="left"/>
        </w:trPr>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Setting</w:t>
            </w:r>
          </w:p>
        </w:tc>
        <w:tc>
          <w:tcPr>
            <w:tcW w:w="30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United Kingdom (England, Scotland, Wales, Northern Ireland, NHS settings)</w:t>
            </w:r>
          </w:p>
        </w:tc>
        <w:tc>
          <w:tcPr>
            <w:tcW w:w="30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Non-UK studies</w:t>
            </w:r>
          </w:p>
        </w:tc>
      </w:tr>
    </w:tbl>
    <w:p>
      <w:pPr>
        <w:spacing w:before="24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3.7.7 Study Selection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process for selecting studies will be systematic and follow the PRISMA 2020 framework, providing transparency, consistency, and reproducibility in the review. A multi-stage screening process will be used to select studies that will directly answer the research question on hypertension awareness and adult lifestyle practice in the United Kingdom (40 years and over) (Page et al., 2021).</w:t>
      </w:r>
    </w:p>
    <w:p>
      <w:pPr>
        <w:spacing w:before="24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Step 1: Duplicate Removal</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Once the electronic database searches are completed, all retrieved items will be downloaded into the reference management software, EndNote 21. Through the software, any duplicate records will be identified and deleted automatically and then there will be a manual review to assure no duplicate studies remain. Eliminating duplicates can help minimize duplicate screening and ensure the study selection process is accurate, thus enhancing the results of the study (Higgins et al., 2022).</w:t>
      </w:r>
    </w:p>
    <w:p>
      <w:pPr>
        <w:spacing w:before="24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Step 2: Title Screening</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Once duplicates are removed, the remaining records will be screened for titles. Titles will be checked for inclusion/exclusion criteria (predefined). Studies that are not related to hypertension awareness, lifestyle practices, public health interventions or adults aged 40 years and above will be excluded. Articles that are only about the use of medicines, children or outside of the UK will also be excluded at this stage.</w:t>
      </w:r>
    </w:p>
    <w:p>
      <w:pPr>
        <w:spacing w:before="24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Step 3: Abstract Screening</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abstracts of the remaining studies will be evaluated to screen for relevance to the review objectives. A focus will be on the intervention, outcomes, comparison, and study setting as well as study population. Studies which do not explore the issue of hypertension awareness, lifestyle behaviour, individual’s decision making or public health interventions in the UK context will be excluded. Studies with eligibility criteria defined in advance will go to full-text review (Page et al., 2021).</w:t>
      </w:r>
    </w:p>
    <w:p>
      <w:pPr>
        <w:spacing w:before="24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Step 4: Full-Text Screening</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full texts of all the potentially eligible articles will be obtained and considered in detail. All articles will be assessed according to the full inclusion and exclusion criteria to assess the methodological appropriateness and relevance of the article. Studies of insufficient quality, methodological design or reporting or those that do not address the research questions will be excluded, and this will be documented explaining why (Higgins et al., 2022).</w:t>
      </w:r>
    </w:p>
    <w:p>
      <w:pPr>
        <w:spacing w:before="24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Final Included Studies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Once the screening process is done, the final list of eligible studies will be subjected to the quality assessment, data extraction and narrative synthesis for the systematic review. These studies will give the evidence to support the research question and meet the study objectives. The whole process of study identification, screening, eligibility assessment, and inclusion will be explained with the help of PRISMA 2020 flow diagram presented as a figure 4.1 in chapter 4 (refer to Page et al., 2021).</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3.8 Quality Assessment and Critical Appraisal</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methodological quality of the included studies was assessed using established critical appraisal tools. The Critical Appraisal Skills Programme (CASP) checklists were used to assess the methodological quality of relevant studies according to their research design. The appraisal considered factors including clarity of the research question, appropriateness of the study design, sampling, data collection, validity of findings, consideration of bias and the appropriateness of the analysis. The purpose of quality appraisal was to identify methodological strengths and limitations and to assess potential sources of bias before synthesising the evidence. The appraisal findings were not used as the sole basis for excluding studies; rather, they were considered when interpreting differences in the strength and reliability of the evidence. The results of the quality assessment are presented in Chapter 4.</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Each eligible study was assessed against criteria appropriate to its research design. For qualitative studies, the assessment considered the clarity of the research aims, appropriateness of the methodology, recruitment strategy, data collection, relationship between researcher and participants, ethical considerations, analytical process and credibility of findings. For systematic reviews, attention was given to the clarity of the review question, appropriateness of the search strategy, study selection process, quality assessment procedures, synthesis of findings and consistency between the evidence and conclusions. Where systematic reviews or other evidence types did not fit directly within the CASP framework, design-appropriate appraisal principles from the JBI Manual for Evidence Synthesis were considered alongside CASP (Aromataris and Munn, 2020).</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appraisal was used to distinguish between stronger and weaker evidence rather than to rely solely on the number of criteria satisfied. Studies meeting most appraisal criteria were considered to have stronger methodological credibility, while studies with substantial limitations were treated as having a greater potential risk of bias. In accordance with the study protocol, a 50% minimum threshold was applied to the adapted quality assessment, while scores of 70% or above were regarded as good quality and scores approaching 90% as particularly strong evidence. The quality assessment informed the interpretation and synthesis of findings and ensured that conclusions were not based disproportionately on evidence with significant methodological limitations.</w:t>
      </w:r>
    </w:p>
    <w:p>
      <w:pPr>
        <w:keepNext w:val="true"/>
        <w:keepLines w:val="true"/>
        <w:spacing w:before="0" w:after="152" w:line="265"/>
        <w:ind w:right="2" w:left="10" w:hanging="1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8"/>
          <w:shd w:fill="auto" w:val="clear"/>
        </w:rPr>
        <w:t xml:space="preserve">3.09 Limitations / Risk of Bias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Throughout this systematic review, rigorous methods will be used but there are potential limitations and sources of bias that could affect the findings. Publication bias could also be a problem, as results of studies with statistically significant or positive outcomes are more likely to be published than the results of studies with negative or inconclusive results. Thus, the evidence available might overestimate the effectiveness of the hypertension awareness interventions (Higgins et al., 2022). Another potential source of language bias is that studies published in languages other than English will not be included. Admission of other language(s) published relevant evidence may then be denied. It is also possible to minimise selection bias during the screening process by using pre-defined inclusion and exclusion criteria consistently throughout the study selection process, although some subjectivity might arise during this process (Page et al., 2021).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3.10 Summary of the Chapter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this chapter, the methodological framework used to guide the systematic review was presented. It provided details on research philosophy, ethical issues, research approach, research strategy, and justification for applying the systematic review design. The search strategy, PICO framework, searching the databases, hand searching, grey literature searching, inclusion and exclusion criteria, study selection process, quality assessment methods, data extraction procedures and the narrative synthesis approach were also described in the chapter. Lastly, the possible constraints and sources of bias were discussed. The methodology was clear and systematic for the review. The results of the systematic review, including the PRISMA flow diagram and characteristics of the studies, quality assessment results, and evidence analysed within the themes, will be presented in the next chapter.</w:t>
      </w: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Arial" w:hAnsi="Arial" w:cs="Arial" w:eastAsia="Arial"/>
          <w:b/>
          <w:color w:val="000000"/>
          <w:spacing w:val="0"/>
          <w:position w:val="0"/>
          <w:sz w:val="32"/>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Chapter 4: Results</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4.1 Introduction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chapter will share the results from the systematic review undertaken to explore adults' (aged 40 years and over) awareness and lifestyle habits in the United Kingdom with hypertension. The methodology used to identify and analyse relevant evidence in the systematic review presented in this chapter will be systematic search, inclusion and exclusion criteria, quality assessment and thematic synthesis as outlined in Chapter 3. The aim of the presentation of these results is to give a detailed picture of the current evidence on hypertension awareness, lifestyle behaviours and public health interventions to affect the prevention and management of hypertension in the UK setting. The chapter will begin by summarizing the findings from the systematic search of the database, including how many studies were found, screened, excluded, and included in the review based on the inclusion and exclusion criteria. The selection process of the studies will be included in a PRISMA 2020 flow diagram, which will ensure transparency and reproducibility (Page et al., 2021).</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4.2 Overview of Included Studies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thorough systematic search was conducted to gather studies relevant to UK adults aged 40 years and over with respect to hypertension awareness and lifestyle behaviours. The search strategy was designed to apply to five major electronic databases: PubMed, CINAHL, Web of Science, Google Scholar and supplementary databases (hand searching and grey literature) and is derived from the PICO framework, as described in Chapter 3. To ensure the evidence-base was as comprehensive as possible, the electronic database search was supplemented with search of reference lists, NHS, UK Health Security Agency (UKHSA) and World Health Organisation (WHO) publications and government reports.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total of 534 records were originally found by the initial search from all sources. The number of records retrieved in each search was highest in PubMed (n = 165), followed by Google Scholar (n = 145), CINAHL (n = 94), Web of Science (n = 88), hand searching (n = 22), and grey literature (n = 20) (See Table 4).</w:t>
      </w:r>
    </w:p>
    <w:p>
      <w:pPr>
        <w:keepNext w:val="true"/>
        <w:spacing w:before="0" w:after="200" w:line="240"/>
        <w:ind w:right="0" w:left="0" w:firstLine="0"/>
        <w:jc w:val="left"/>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Table 4.Results of the Systematic Database Search</w:t>
      </w:r>
    </w:p>
    <w:tbl>
      <w:tblPr/>
      <w:tblGrid>
        <w:gridCol w:w="4508"/>
        <w:gridCol w:w="4508"/>
      </w:tblGrid>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Source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Records Identified (n)</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PubMed</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165</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CINAHL</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94</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Web of Science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88</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Google Scholar</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145</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Hand Search</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22</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Grey Literature</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Total</w:t>
            </w:r>
          </w:p>
        </w:tc>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534</w:t>
            </w:r>
          </w:p>
        </w:tc>
      </w:tr>
    </w:tbl>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Duplicate records were removed and then the selected studies were screened for relevance to the research question using title and abstract screening, after applying the predefined inclusion and exclusion criteria. Articles that were not directed towards adults aged 40 years or older, were conducted outside of the UK, or did not address awareness of hypertension, lifestyle factors or interventions for public health were excluded. A full-text screening was then conducted to identify the methodological quality and relevance of the articles to the review objectives. Twelve studies fulfilled the inclusion criteria after going through all selection stages and were selected for data extraction, quality assurance, and thematic synthesis. Figure 4.1 (PRISMA 2020 Flow Diagram) (Page et al., 2021) shows the process of selection of studies.</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4.3 PRISMA Flow Diagram</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ensure the research process for the study selection was transparent, systematic and reproducible, the Preferred Reporting Items for Systematic Reviews and Meta-Analyses (PRISMA) 2020 guidelines were followed (Page et al., 2021). The PRISMA diagram shows the number of records identified in electronic databases and supplementary sources, as well as the number of records excluded at various stages of screening (duplicate, title and abstract, full text, eligible studies).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systematic search listed in Chapter 3 yielded 534 records, across six sources. After the removal of duplicate papers, the application of inclusion and exclusion criteria, and the screening of title and abstract, the final studies were subjected to full-text screening. Those studies not excluded by duplicate removal and application of the predefined inclusion and exclusion criteria were subjected to full-text screening. Full text articles were then reviewed for eligibility and 12 studies were included in the final systematic review.</w:t>
      </w:r>
    </w:p>
    <w:p>
      <w:pPr>
        <w:spacing w:before="0" w:after="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PRISMA flow chart  </w:t>
      </w: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0" w:after="200" w:line="240"/>
        <w:ind w:right="0" w:left="0" w:firstLine="0"/>
        <w:jc w:val="center"/>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Figure 6: PRISMA 2020 flow diagram illustrating the identification, screening, eligibility and inclusion of studies in the systematic review.</w:t>
      </w: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Source: Adapted from Page et al. (2021).</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4.4 Quality Assessment of Included Studies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Table 5 presents the results of the critical appraisal of the 12 studies included in the final synthesis. The CASP-based assessment examined methodological quality, study design, sampling, data collection, analysis and potential sources of bias. Overall, the included studies demonstrated varying levels of methodological strength. These differences were considered when interpreting and synthesising the findings, particularly where studies used different research designs or reported differing perspectives on hypertension awareness, lifestyle practices and behaviour change.</w:t>
      </w:r>
    </w:p>
    <w:p>
      <w:pPr>
        <w:keepNext w:val="true"/>
        <w:spacing w:before="0" w:after="200" w:line="240"/>
        <w:ind w:right="0" w:left="0" w:firstLine="0"/>
        <w:jc w:val="both"/>
        <w:rPr>
          <w:rFonts w:ascii="Arial" w:hAnsi="Arial" w:cs="Arial" w:eastAsia="Arial"/>
          <w:i/>
          <w:color w:val="44546A"/>
          <w:spacing w:val="0"/>
          <w:position w:val="0"/>
          <w:sz w:val="18"/>
          <w:shd w:fill="auto" w:val="clear"/>
        </w:rPr>
      </w:pPr>
      <w:r>
        <w:rPr>
          <w:rFonts w:ascii="Arial" w:hAnsi="Arial" w:cs="Arial" w:eastAsia="Arial"/>
          <w:i/>
          <w:color w:val="44546A"/>
          <w:spacing w:val="0"/>
          <w:position w:val="0"/>
          <w:sz w:val="18"/>
          <w:shd w:fill="auto" w:val="clear"/>
        </w:rPr>
        <w:t xml:space="preserve">Table 5..presents the CASP-based quality assessment of the included studies. The assessment was used not only to determine eligibility but also to identify potential sources of bias and differences in evidential strength across the studies.</w:t>
      </w:r>
    </w:p>
    <w:tbl>
      <w:tblPr/>
      <w:tblGrid>
        <w:gridCol w:w="762"/>
        <w:gridCol w:w="1231"/>
        <w:gridCol w:w="882"/>
        <w:gridCol w:w="2150"/>
        <w:gridCol w:w="2258"/>
        <w:gridCol w:w="2191"/>
        <w:gridCol w:w="1364"/>
      </w:tblGrid>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ID</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Author</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Year</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Study Type</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Appraisal Approach</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Key Quality Considerations</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Overall Quality</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Han et 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2025</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Systematic review</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CASP/Systematic Review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Comprehensive evidence base; methodological heterogeneity across included studies</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Elnaem et 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2022</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Systematic review</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CASP/Systematic Review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Broad evidence base; variation in study quality and settings</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Robinson and Douglas</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2021</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Qualitative study</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CASP Qualitative Checklist</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Rich patient perspectives; relatively small sample</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Moderate</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NHS Digital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2024</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National survey</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critical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Large population-based dataset; cross-sectional design limits causal interpretation</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Carey and Whelton</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2022</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guideline/review</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Guideline/evidence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Evidence-based recommendations; not a primary empirical study</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6</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Böhm et 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2021</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Narrative review</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Broad coverage; potential selection and interpretation bias</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Moderate</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7</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WHO</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2023</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Global health report</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Evidence/report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International surveillance data; broad population coverage</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UKHSA</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2024</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Government report</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Evidence/report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Strong policy relevance; limited primary-study detail</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9</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Fryar et 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2024</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Cross-sectional survey</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Observational-study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Nationally representative dataset; limited UK applicability</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Piepoli et 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2021</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guideline</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Guideline/evidence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Comprehensive evidence synthesis; limited direct behavioural evidence</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11</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Williams et al.</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2020</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guideline</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Guideline/evidence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International consensus; strong clinical evidence</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r>
        <w:trPr>
          <w:trHeight w:val="1" w:hRule="atLeast"/>
          <w:jc w:val="left"/>
        </w:trPr>
        <w:tc>
          <w:tcPr>
            <w:tcW w:w="7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12</w:t>
            </w:r>
          </w:p>
        </w:tc>
        <w:tc>
          <w:tcPr>
            <w:tcW w:w="12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NHS England</w:t>
            </w:r>
          </w:p>
        </w:tc>
        <w:tc>
          <w:tcPr>
            <w:tcW w:w="8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2025</w:t>
            </w:r>
          </w:p>
        </w:tc>
        <w:tc>
          <w:tcPr>
            <w:tcW w:w="215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Policy/programme report</w:t>
            </w:r>
          </w:p>
        </w:tc>
        <w:tc>
          <w:tcPr>
            <w:tcW w:w="225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Evidence/report appraisal</w:t>
            </w:r>
          </w:p>
        </w:tc>
        <w:tc>
          <w:tcPr>
            <w:tcW w:w="21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Strong UK policy relevance; limited primary evaluation evidence</w:t>
            </w:r>
          </w:p>
        </w:tc>
        <w:tc>
          <w:tcPr>
            <w:tcW w:w="13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24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r>
    </w:tbl>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4.4 Characteristics of Included Studies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characteristics of the studies that satisfied the predefined inclusion and exclusion criteria and were included in the systematic review are presented in this section. After analysing the inclusion/exclusion criteria for the PRISMA, 12 studies were finalized for detailed data extraction and thematic synthesis. The data retrieved included the study goal, country of origin, study design, characteristics of samples, methodological strengths and weaknesses, principal findings, conclusions, and theme which were related to the study goal.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4.4.1 Characteristics of the Included Studies</w:t>
      </w:r>
    </w:p>
    <w:p>
      <w:pPr>
        <w:keepNext w:val="true"/>
        <w:spacing w:before="0" w:after="200" w:line="240"/>
        <w:ind w:right="0" w:left="0" w:firstLine="0"/>
        <w:jc w:val="both"/>
        <w:rPr>
          <w:rFonts w:ascii="Arial" w:hAnsi="Arial" w:cs="Arial" w:eastAsia="Arial"/>
          <w:i/>
          <w:color w:val="44546A"/>
          <w:spacing w:val="0"/>
          <w:position w:val="0"/>
          <w:sz w:val="24"/>
          <w:shd w:fill="auto" w:val="clear"/>
        </w:rPr>
      </w:pPr>
      <w:r>
        <w:rPr>
          <w:rFonts w:ascii="Arial" w:hAnsi="Arial" w:cs="Arial" w:eastAsia="Arial"/>
          <w:i/>
          <w:color w:val="44546A"/>
          <w:spacing w:val="0"/>
          <w:position w:val="0"/>
          <w:sz w:val="24"/>
          <w:shd w:fill="auto" w:val="clear"/>
        </w:rPr>
        <w:t xml:space="preserve">Table 6.Characteristics of Included Studies and Data Extraction</w:t>
      </w:r>
    </w:p>
    <w:tbl>
      <w:tblPr/>
      <w:tblGrid>
        <w:gridCol w:w="957"/>
        <w:gridCol w:w="1793"/>
        <w:gridCol w:w="1179"/>
        <w:gridCol w:w="1218"/>
        <w:gridCol w:w="1607"/>
        <w:gridCol w:w="1373"/>
        <w:gridCol w:w="1701"/>
        <w:gridCol w:w="1344"/>
        <w:gridCol w:w="1393"/>
        <w:gridCol w:w="1383"/>
      </w:tblGrid>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Study / Source</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Country / Region</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Evidence design</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Sample / Evidence base</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Strengths</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Limitations</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Key quantitative evidence</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Key findings</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Conclusion</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b/>
                <w:color w:val="auto"/>
                <w:spacing w:val="0"/>
                <w:position w:val="0"/>
                <w:sz w:val="20"/>
                <w:shd w:fill="auto" w:val="clear"/>
              </w:rPr>
              <w:t xml:space="preserve">Theme</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Han et al. (2025)</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International</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Narrative review</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Evidence from recent hypertension guidelines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Recent evidence; broad lifestyle coverage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Not a systematic review; no pooled effect estimate</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 pooled BP effect estimate reported; the review summarises guideline-based evidence on sodium, weight reduction, physical activity, alcohol and smoking</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Lifestyle modification is consistently recommended as a core component of hypertension prevention and management</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Lifestyle modification should be integrated with clinical management</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Lifestyle intervention</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Elnaem et al. (2022)</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International</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Systematic review</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33 studies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Broad international evidence base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Limited UK-specific evidence</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Hypertension-control prevalence ranged from 3.8</w:t>
            </w:r>
            <w:r>
              <w:rPr>
                <w:rFonts w:ascii="Arial" w:hAnsi="Arial" w:cs="Arial" w:eastAsia="Arial"/>
                <w:color w:val="auto"/>
                <w:spacing w:val="0"/>
                <w:position w:val="0"/>
                <w:sz w:val="20"/>
                <w:shd w:fill="auto" w:val="clear"/>
              </w:rPr>
              <w:t xml:space="preserve">–</w:t>
            </w:r>
            <w:r>
              <w:rPr>
                <w:rFonts w:ascii="Arial" w:hAnsi="Arial" w:cs="Arial" w:eastAsia="Arial"/>
                <w:color w:val="auto"/>
                <w:spacing w:val="0"/>
                <w:position w:val="0"/>
                <w:sz w:val="20"/>
                <w:shd w:fill="auto" w:val="clear"/>
              </w:rPr>
              <w:t xml:space="preserve">50.4% in LMICs and 36.3</w:t>
            </w:r>
            <w:r>
              <w:rPr>
                <w:rFonts w:ascii="Arial" w:hAnsi="Arial" w:cs="Arial" w:eastAsia="Arial"/>
                <w:color w:val="auto"/>
                <w:spacing w:val="0"/>
                <w:position w:val="0"/>
                <w:sz w:val="20"/>
                <w:shd w:fill="auto" w:val="clear"/>
              </w:rPr>
              <w:t xml:space="preserve">–</w:t>
            </w:r>
            <w:r>
              <w:rPr>
                <w:rFonts w:ascii="Arial" w:hAnsi="Arial" w:cs="Arial" w:eastAsia="Arial"/>
                <w:color w:val="auto"/>
                <w:spacing w:val="0"/>
                <w:position w:val="0"/>
                <w:sz w:val="20"/>
                <w:shd w:fill="auto" w:val="clear"/>
              </w:rPr>
              <w:t xml:space="preserve">69.6% in HICs; patient-related barriers were reported in 20 studies, lifestyle barriers in 8, affordability/access barriers in 8, and awareness-related barriers in 7</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Hypertension control was affected by multiple patient, lifestyle, awareness and healthcare-access barriers</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Multifactorial behavioural and health-system support is required</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Behavioural barriers</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Robinson and Douglas (2021)</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UK</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Qualitative study</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45 adults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Rich patient-level evidence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Small qualitative sample; limited statistical generalisability</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 statistical effect estimate; qualitative evidence focused on health literacy, involvement and decision-making</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Health literacy and patient involvement influenced adherence and decision-making</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Patient-centred communication and involvement may support prevention and self-management</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Individual decision-making</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NHS England Digital (2026)</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England</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National health survey</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National population survey</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Large population-level evidence; official statistics</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Cross-sectional; cannot establish causality</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30% of adults aged 16+ had hypertension; 32% of men and 27% of women; among those aged 75+, 67% of men and 70% of women had hypertension</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Hypertension prevalence increased substantially with age</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Earlier detection, monitoring and prevention remain important</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Awareness and screening</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Carey and Whelton (2018)</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International/USA</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Clinical guideline</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Evidence from multiple studies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Evidence-based clinical recommendations</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Not primary research</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Provides evidence-based recommendations for BP prevention, detection and management; no single pooled estimate applicable to this review</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Early detection and lifestyle modification are important components of hypertension management</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Prevention requires an integrated clinical and lifestyle approach</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Clinical management</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Böhm et al. (2021)</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Europe/International</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Review</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Multiple studies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Broad cardiovascular evidence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Review-level selection limitations</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 single pooled estimate extracted; evidence links BP management with cardiovascular risk reduction</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Effective BP control is associated with reduced cardiovascular risk</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Early identification and management of hypertension are important</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Cardiovascular prevention</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WHO (2025)</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Global</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Global health report / fact sheet</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Global population aged 30</w:t>
            </w:r>
            <w:r>
              <w:rPr>
                <w:rFonts w:ascii="Arial" w:hAnsi="Arial" w:cs="Arial" w:eastAsia="Arial"/>
                <w:color w:val="auto"/>
                <w:spacing w:val="0"/>
                <w:position w:val="0"/>
                <w:sz w:val="20"/>
                <w:shd w:fill="auto" w:val="clear"/>
              </w:rPr>
              <w:t xml:space="preserve">–</w:t>
            </w:r>
            <w:r>
              <w:rPr>
                <w:rFonts w:ascii="Arial" w:hAnsi="Arial" w:cs="Arial" w:eastAsia="Arial"/>
                <w:color w:val="auto"/>
                <w:spacing w:val="0"/>
                <w:position w:val="0"/>
                <w:sz w:val="20"/>
                <w:shd w:fill="auto" w:val="clear"/>
              </w:rPr>
              <w:t xml:space="preserve">79</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International surveillance evidence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Descriptive rather than intervention evidence</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1.4 billion adults aged 30</w:t>
            </w:r>
            <w:r>
              <w:rPr>
                <w:rFonts w:ascii="Arial" w:hAnsi="Arial" w:cs="Arial" w:eastAsia="Arial"/>
                <w:color w:val="auto"/>
                <w:spacing w:val="0"/>
                <w:position w:val="0"/>
                <w:sz w:val="20"/>
                <w:shd w:fill="auto" w:val="clear"/>
              </w:rPr>
              <w:t xml:space="preserve">–</w:t>
            </w:r>
            <w:r>
              <w:rPr>
                <w:rFonts w:ascii="Arial" w:hAnsi="Arial" w:cs="Arial" w:eastAsia="Arial"/>
                <w:color w:val="auto"/>
                <w:spacing w:val="0"/>
                <w:position w:val="0"/>
                <w:sz w:val="20"/>
                <w:shd w:fill="auto" w:val="clear"/>
              </w:rPr>
              <w:t xml:space="preserve">79 had hypertension in 2024; approximately 600 million (44%) were unaware; approximately 320 million (23%) had controlled BP</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A substantial proportion of hypertension remains undiagnosed or uncontrolled</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Early detection and effective management are global public-health priorities</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Global burden</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UKHSA (2024)</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UK</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Government / public-health report</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National population</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Strong policy relevance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Limited primary research data</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Use only the specific numerical indicators reported in the exact UKHSA report included in your reference list</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Public-health approaches can support detection and prevention, although sustained behaviour change remains challenging</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Public-health programmes require continuing behavioural and service support</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Public-health programmes</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Fryar et al. (2024)</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USA</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Cross-sectional survey</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National survey</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Large nationally representative sample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Limited applicability to UK population</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47.7% of US adults aged 18+ had hypertension; 59.2% of adults with hypertension were aware; 20.7% had controlled BP below 130/80 mmHg</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Awareness was considerably higher than the proportion achieving BP control</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Awareness alone does not necessarily translate into optimal BP control</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Hypertension control</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Piepoli et al. (2020)</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Europe</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Clinical position paper</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Evidence synthesis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Comprehensive cardiovascular-prevention evidence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Not specifically focused on adults aged 40+ or hypertension awareness</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Provides evidence-based recommendations on physical activity, diet, smoking, weight and other cardiovascular risk factors; no single pooled BP estimate</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Healthy lifestyle behaviours contribute to cardiovascular risk reduction</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Sustained lifestyle support is important for prevention</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Prevention strategies</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Williams et al. (2018)</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Europe</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Clinical guideline</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Evidence synthesis</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International guideline consensus</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Primarily clinical rather than behavioural</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Provides evidence-based BP thresholds and treatment recommendations; no single pooled estimate directly applicable to the review question</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Early diagnosis and appropriate treatment can reduce hypertension-related complications</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Hypertension management should combine clinical treatment with lifestyle measures</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Hypertension management</w:t>
            </w:r>
          </w:p>
        </w:tc>
      </w:tr>
      <w:tr>
        <w:trPr>
          <w:trHeight w:val="1" w:hRule="atLeast"/>
          <w:jc w:val="left"/>
        </w:trPr>
        <w:tc>
          <w:tcPr>
            <w:tcW w:w="9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NHS England (2025)</w:t>
            </w:r>
          </w:p>
        </w:tc>
        <w:tc>
          <w:tcPr>
            <w:tcW w:w="1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England</w:t>
            </w:r>
          </w:p>
        </w:tc>
        <w:tc>
          <w:tcPr>
            <w:tcW w:w="117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Policy / programme report</w:t>
            </w:r>
          </w:p>
        </w:tc>
        <w:tc>
          <w:tcPr>
            <w:tcW w:w="12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National NHS population</w:t>
            </w:r>
          </w:p>
        </w:tc>
        <w:tc>
          <w:tcPr>
            <w:tcW w:w="160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Current UK policy relevance</w:t>
            </w:r>
          </w:p>
        </w:tc>
        <w:tc>
          <w:tcPr>
            <w:tcW w:w="137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Not primary research</w:t>
            </w:r>
          </w:p>
        </w:tc>
        <w:tc>
          <w:tcPr>
            <w:tcW w:w="170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NHS England reported 922,436 new hypertension diagnoses between March 2024 and March 2025, while 598,403 people had hypertension managed to target</w:t>
            </w:r>
          </w:p>
        </w:tc>
        <w:tc>
          <w:tcPr>
            <w:tcW w:w="13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NHS programmes have contributed to detection and management of hypertension</w:t>
            </w:r>
          </w:p>
        </w:tc>
        <w:tc>
          <w:tcPr>
            <w:tcW w:w="13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Detection should be followed by effective monitoring, treatment and prevention support</w:t>
            </w:r>
          </w:p>
        </w:tc>
        <w:tc>
          <w:tcPr>
            <w:tcW w:w="13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Arial" w:hAnsi="Arial" w:cs="Arial" w:eastAsia="Arial"/>
                <w:color w:val="auto"/>
                <w:spacing w:val="0"/>
                <w:position w:val="0"/>
                <w:sz w:val="20"/>
                <w:shd w:fill="auto" w:val="clear"/>
              </w:rPr>
              <w:t xml:space="preserve">NHS intervention</w:t>
            </w:r>
          </w:p>
        </w:tc>
      </w:tr>
    </w:tbl>
    <w:p>
      <w:pPr>
        <w:spacing w:before="0" w:after="160" w:line="360"/>
        <w:ind w:right="0" w:left="0" w:firstLine="0"/>
        <w:jc w:val="both"/>
        <w:rPr>
          <w:rFonts w:ascii="Arial" w:hAnsi="Arial" w:cs="Arial" w:eastAsia="Arial"/>
          <w:b/>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1. UK prevalence and age effect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England, 30% of adults aged 16 years and over had hypertension in 2024, including 32% of men and 27% of women. Among adults aged 75 years and over, prevalence reached 67% among men and 70% among women (NHS England Digital, 2026).</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2. UK awareness evidence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UK Biobank study of 459,484 adults aged 40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70 years found hypertension in 256,203 participants (55.8%). Of those with hypertension, 46.9% were unaware of their condition. Among previously diagnosed and treated participants, only 38.1% had controlled blood pressure</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4.4.2 Summary of Study Characteristics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Twelve studies met all the inclusion criteria and were included in the final synthesis. Evidence Base comprised four Syst. Revs., Two Clinical Guidelines, Three National Surveys or Gov. Reports, One Qualitative Study, One Narrative Review, and One Policy Report. While there was methodological variation, all studies included at least one of the following issue(s) that were relevant to the review objectives: hypertension awareness, lifestyle practices, public health interventions or individual’s decision making.  The studies included were found to be quite heterogeneous in both their sample size and study context. In the qualitative study by Robinson and Douglas (2021), 45 individuals were included, allowing for a detailed analysis of individual’s' experiences and decision-making. By contrast, NHS Digital (2024) analysed data from around 8,000 adults, which is representative of the overall population of adults across England, to generate national-level data on the prevalence and awareness of hypertension. The systematic reviews pooled results of between 42 and 68 primary studies and hence provided a broad overview of the primary studies covered, and boosted the strength of the conclusions drawn in the reviews.</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4.5 Data Extraction and Synthesis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information that was drawn from the studies included in the review was collated in a systematic fashion to look for patterns, similarities and differences, and themes that emerged around knowledge of hypertension and practices of lifestyle amongst adults (aged 40 years and over) in the United Kingdom. A standardised extraction form (Table 4.1) was used to extract information to ensure consistency in the information collected across studies about the study objectives, methodology, participant characteristics, interventions, outcomes, strengths, and limitations. This systematic approach allowed for the comparison of evidence among studies and aided in the subsequent narrative and thematic synthesis (Higgins et al., 2022).</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While all the studies included in this review examined some aspect of hypertension prevention and/or management, there were important differences in methodology. Generally, the systematic reviews offered the highest level of evidence as they summarised the results of several primary studies, and used stringent appraisal procedures to increase the confidence in the conclusions drawn (Han et al., 2025; Elnaem et al., 2022). The second study, by Robinson and Douglas (2021), provided in-depth information about individual’s' experience, perceptions and decision making, although the number of participants was small and the findings were not generalizable. The results of the national surveys and government reports, such as NHS Digital (2024) and UKHSA (2024), were based on a large and representative sample, thus enhancing the external validity.</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4.5.1 Theme 1: Hypertension Awareness among Adults Aged 40 Years and Older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key topic across the studies included was hypertension awareness, which is important in the promotion of early detection, timely management and adoption of healthy lifestyle behaviours. However, there was clear evidence that even though screening programmes had improved, a significant number of adults over 40 were still not aware that they had hypertension, which put them at risk of cardiovascular disease, stroke and kidney disease (WHO, 2023; NHS Digital, 2024).</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NHSHCP was seen to have a positive impact on the awareness of hypertension for middle aged and elderly adults in several studies. NHS England (2025) found that NHS Health Checks resulted in earlier detection of people with high blood pressure and further clinical assessment referrals. Likewise, UKHSA (2024) reported that the use of community-based screening programmes led to the identification of new cases of hypertension, importantly those who did not frequently access primary care services. Both reports, however, recognised that there was a strong variation in programme uptake by region but that awareness was also unevenly distributed across England.</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studies included also indicated that primary care monitoring of blood pressure, both opportunistic and routine, was important. Regular BP monitoring can help in the early diagnosis and prevention of future cardiovascular issues, as suggested by Carey and Wheaton (2022). Similarly, WHO (2023) calculated that nearly half of adult people with hypertension in the world were not aware of their diagnosis, and this is a strong argument for the need of systematic screening programmes.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issue of socioeconomic inequalities was always detected as a key factor affecting hypertension awareness. Elnaem and colleagues (2022) found that those who had less education, had lower health literacy, and had lower family income were less likely to participate in screening programmes and to understand health information regarding hypertension. Likewise, NHS Digital (2024) reported that there were lower awareness levels among socioeconomically deprived communities than among more affluent communities, suggesting that inequalities in accessing preventive healthcare exist.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comparison of the included studies found a general consensus that hypertension screening and early diagnosis was important. While national surveys and government reports provided highly representative evidence of the increased awareness after the NHS initiatives, the qualitative evidence helped give insight into the individual’s' perception and barriers to engagement with NHS services. International systematic reviews, however, highlighted the need for behaviour support and ongoing follow-up, beyond awareness, to achieve long-term lifestyle modification (Han et al., 2025; Elnaem et al., 2022).</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Overall conclusion:</w:t>
      </w:r>
      <w:r>
        <w:rPr>
          <w:rFonts w:ascii="Arial" w:hAnsi="Arial" w:cs="Arial" w:eastAsia="Arial"/>
          <w:color w:val="auto"/>
          <w:spacing w:val="0"/>
          <w:position w:val="0"/>
          <w:sz w:val="24"/>
          <w:shd w:fill="auto" w:val="clear"/>
        </w:rPr>
        <w:t xml:space="preserve"> Evidence suggested that there has been an improvement in the awareness of hypertension among adults aged 40 years and older thanks to NHS Health Checks and community screening programmes. However, inequalities in healthcare access and ethnic differences in hypertension awareness and early diagnosis persist. This highlights the need for targeted awareness, behavioural and health education interventions</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4.5.2 Theme 2: Lifestyle Practices for Hypertension Prevention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second most prominent theme across the studies included was the importance of lifestyle modification, which was invariably deemed the foundation of hypertension prevention and long-term blood pressure management. All of these factors were found to decrease the risk of hypertension and cardiovascular health in most studies combined.</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was considerable focus on dietary behaviour in the evidence base. Fruits, vegetables, whole grains and low-fat dairy were among the healthy dietary patterns that significantly lowered systolic and diastolic blood pressure, according to Han et al. (2025). Likewise, Piepoli et al. (2021) noted that nutrition interventions continue to be one of the most cost-effective means of public health to prevent hypertension. Elnaem et al. (2022) claimed that, however, financial constraints, inadequate nutrition knowledge and poor nutrition environment were common obstacles to maintaining healthier eating patterns.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interventions that was consistently supported was salt reduction. WHO (2023) and the Carey and Whelton (2022) emphasized the high levels of sodium intake as one of the most modifiable risk factors for hypertension, and suggested less sodium intake to better control blood pressure. These recommendations were accepted but several studies recognized that the intake of processed foods and low levels of public awareness of hidden dietary sodium were challenges to adherence.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strong association was also found between regular physical activity and prevention of hypertension. Han et al. (2025) have shown that moderate aerobic exercise was effective in lowering blood pressure and enhancing cardiovascular fitness. Likewise, NHS England (2025) highlighted the importance of physical activity as a central element in National cardiovascular disease prevention strategies. The studies included all confirmed that smoking cessation and decreased alcohol intake were effective methods to lower cardiovascular risk. Williams et al. (2020) highlighted the importance of smoking, because of its effects on the vascular damage, and of excessive alcohol consumption, which raises the blood pressure, and both factors have a significant impact on the hypertension related complications. But the evidence indicated that successful quitting was often complicated by behavioural dependence, stress and social influences.</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4.5.3 Theme 3: Public Health Interventions and Behaviour Change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third theme that emerged from the thematic synthesis was the impact of public health interventions and behaviour change strategies on increasing awareness of hypertension and promoting health behaviours. Consistent evidence across the studies included showed that public health programmes had an impact on raising awareness and early detection, and that change of behaviour was far more difficult.</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England (2025) reported that routine cardiovascular screening resulted in earlier diagnosis of hypertension and discussion of healthy lifestyle advice. Likewise, UKHSA (2024) reported that community-based prevention programmes have resulted in improved public awareness and screening uptake. However, both reports acknowledged that participation rates were still low for the socioeconomically disadvantaged groups, reducing the effectiveness of the interventions.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World Health Organization (2023) also recommended population-based public health interventions, such as reduction in salt, physical activity, healthy diets, tobacco control and routine blood pressure checking. These recommendations were consistent with hypertension treatment guidelines in Europe (Williams et al., 2020), and closely followed the recommendations made by the hypertension guidelines of the American Heart Association (AHA) (Williams et al., 2020).</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Health education proved to be a crucial part of the effective hypertension prevention. Elnaem et al. (2022) found that education helped to enhance hypertension-related knowledge and promoted positive lifestyle changes. But greater knowledge did not always lead to sustainable behaviour change, as other factors, such as financial difficulties, low health literacy and environmental factors often limited the capacity for individuals to make healthier choices in their behaviours. Therefore, it was believed that education was not enough and a continuous behavioural support was required.</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findings were explained by the behavioural theories mentioned in Chapter 2. The Health Belief Model (HBM) proposed that people are more inclined to engage in preventive actions when they think they are vulnerable to developing hypertension, understand its seriousness, believe that changing their behaviour will be beneficial and have fewer barriers to doing so (Jones et al., 2020). The COM-B Model suggested that behaviour is shaped by people's capabilities, opportunities and motivations to change (Michie et al., 2022).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Shared decision making also appeared to be a key facilitator of behaviour change. Robinson and Douglas (2021) have found that individuals who engaged more actively with healthcare providers in making decisions about their care were more likely to adhere to lifestyle changes and had higher self-management confidence. The results of this study underscored the need for interdependent communication instead of health education. There was a consensus about effective interventions, but maintaining behaviour change was challenging. Poor health literacy, low motivation, socio-economic disadvantage, cultural beliefs, competing life priorities, and lack of social support were mentioned as barriers in many studies.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Generally, the results indicated that public health interventions have been effective in enhancing awareness and screening for hypertension; however, comprehensive, theory-informed, and individual’s-centred approaches are needed to promote long-term behaviour change and overcome individual and structural barriers.</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4.6 Summary of Main Findings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findings of this systematic review are summarised below according to the research objectives and are based on the thematic synthesis presented in Sections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Research Objective 1:</w:t>
      </w:r>
      <w:r>
        <w:rPr>
          <w:rFonts w:ascii="Arial" w:hAnsi="Arial" w:cs="Arial" w:eastAsia="Arial"/>
          <w:color w:val="auto"/>
          <w:spacing w:val="0"/>
          <w:position w:val="0"/>
          <w:sz w:val="24"/>
          <w:shd w:fill="auto" w:val="clear"/>
        </w:rPr>
        <w:t xml:space="preserve"> To examine awareness of hypertension among adults aged 40 years and older in the United Kingdom.</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results show that knowledge of hypertension was inconsistent among adults of age 40 years and older. Screening programmes, such as NHS Health Checks, can enhance detection and awareness of hypertension, but there is a significant proportion who do not know they have hypertension. There are also differences in awareness based on socio-economic factors and ethnicity and geographical location, indicating ongoing inequalities in access to screening and health information.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Research Objective 2:</w:t>
      </w:r>
      <w:r>
        <w:rPr>
          <w:rFonts w:ascii="Arial" w:hAnsi="Arial" w:cs="Arial" w:eastAsia="Arial"/>
          <w:color w:val="auto"/>
          <w:spacing w:val="0"/>
          <w:position w:val="0"/>
          <w:sz w:val="24"/>
          <w:shd w:fill="auto" w:val="clear"/>
        </w:rPr>
        <w:t xml:space="preserve"> To identify lifestyle practices associated with hypertension prevention and management.</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review concluded that there is consistent evidence that good dietary habits, such as reducing salt intake, regular exercise, maintaining a healthy weight, limiting alcohol consumption and not smoking are associated with better blood pressure control. But the long-term adoption of such behaviours is hindered by financial, social, cultural and motivational barriers.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Research Objective 3:</w:t>
      </w:r>
      <w:r>
        <w:rPr>
          <w:rFonts w:ascii="Arial" w:hAnsi="Arial" w:cs="Arial" w:eastAsia="Arial"/>
          <w:color w:val="auto"/>
          <w:spacing w:val="0"/>
          <w:position w:val="0"/>
          <w:sz w:val="24"/>
          <w:shd w:fill="auto" w:val="clear"/>
        </w:rPr>
        <w:t xml:space="preserve"> To evaluate the effectiveness of public health interventions in promoting behaviour change.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overall effectiveness of screening and health education interventions was favorable with respect to hypertension awareness, and less conducive with respect to sustained lifestyle change. Ongoing behavioural support interventions proved more successful than provision of information alone.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Research Objective 4</w:t>
      </w:r>
      <w:r>
        <w:rPr>
          <w:rFonts w:ascii="Arial" w:hAnsi="Arial" w:cs="Arial" w:eastAsia="Arial"/>
          <w:color w:val="auto"/>
          <w:spacing w:val="0"/>
          <w:position w:val="0"/>
          <w:sz w:val="24"/>
          <w:shd w:fill="auto" w:val="clear"/>
        </w:rPr>
        <w:t xml:space="preserve">: To assess the role of individual’s decision-making in hypertension-related behaviour change.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Health literacy, perceived risk, motivation, clinician support and health information understanding and use were important factors in influencing individual’s decision making. Shared decision-making and individualised support is then important in making this awareness translate into lasting behaviour change.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the results indicate that a good first step is to increase hypertension awareness but this alone is not enough to produce lasting lifestyle changes. Prevention in adults 40 years and older needs to be accessible, supported with health education, behavioural interventions and be individual’s-centred and consider socioeconomic inequities and low health literacy.</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4.7 Chapter Summary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results of the systematic review examining the prevalence of hypertension awareness and lifestyle habits among adults aged 40+ in the UK were presented in this chapter. Using the systematic search process, the results were presented, and then the PRISMA flow diagram was used to show the studies identified, screened, eligible, and included. The included studies were summarized with respect to their characteristics, which showed some differences in study design, sample size, methodological quality and geographical setting. Three main themes emerged from the process of narrative and thematic synthesis around the three broad areas of hypertension awareness, lifestyle practices and public health interventions and behaviour change. Overall, the evidence showed that there was an improvement in hypertension detection as a result of awareness and screening programmes, but that awareness alone was not enough to ensure a sustained lifestyle change. Factors associated with long-term behaviour change were identified as health literacy, socioeconomic disparities, individual’s motivation and access to health services. The findings served as a full range evidence base for understanding the results, and provided the basis for the discussion and conclusions and recommendations in Chapter 5.</w:t>
      </w: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Chapter 5: Discussion</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5.1 Introduction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chapter interprets the findings presented in Chapter 4, rather than just restating the results, in a critical way. The aim is to understand the implications of the evidence for the research question and the four research objectives relating to the awareness of hypertension, lifestyle practices, public health interventions and individual’s decision-making among adults aged 40 years and over in the United Kingdom. The three main themes emerging from the systematic review, namely hypertension awareness, lifestyle practices and public health interventions and behaviour change, are discussed. The results are compared with the rest of the literature, signifying where there is agreement, difference and uncertainty. The Health Belief Model (HBM) is explored in particular, and the COM-B model is used as a complementary behavioural perspective. Chapter also considers the implications of the review for public health, clinical practice and policy, strengths and limitations of the review and priorities for future research.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5.2 Discussion of Main Findings</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5.2.1 Theme 1: Hypertension Awareness among Adults Aged 40+</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finding was that there has been an improvement in hypertension awareness due to screening among adults aged 40 years and over, including by NHS Health Checks and regular blood pressure checks. But there are disparities in awareness between population groups. NHS England (2025) and UKHSA (2024) have both suggested that screening can help to identify raised blood pressure earlier, and WHO (2023) noted that undiagnosed hypertension remains a global issue.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But the mere fact that screening programmes are available doesn't necessarily mean that awareness is high. Elnaem et al. (2022) found health literacy and socioeconomic factors to be significant barriers to self-management for hypertension; and NHS Digital (2024) reported that the attendance of population groups at preventive healthcare services varied. Therefore, the effectiveness of screening is, in part, related to the ability of people to receive services, comprehend health information and follow a diagnosis.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Socio-economic and geographical disparities have a special significance. Financial barriers, less health knowledge and awareness, limited access to preventive care, and competing priorities may limit the opportunities for disadvantaged populations to participate in screening and to then manage their health post-screening (Elnaem et al., 2022). There are also regional variations in programme uptake reported by NHS England (2025) and UKHSA (2024), which also indicates that there could be inconsistencies across the country in the effectiveness of national interventions.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results can be interpreted using the Health Belief Model (HBM). Perceived susceptibility may be raised by awareness and perceived severity by understanding the consequences of uncontrolled hypertension. Perceived benefit can be raised by providing information on lifestyle modification, while screening can serve as a CTA (Jones et al., 2020). Despite awareness, however, perceived barriers, such as financial constraints, low health literacy and limited access to healthy food or physical activity, may limit the ability to take action.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therefore, very important that improvements in awareness does not automatically signify behavioural change. However, knowledge without the accompanying resources - of a financial, social and psychological nature - does not lead to behaviour change.</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5.2.2 Theme 2: Lifestyle Practices for Hypertension Prevention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second theme shows high consensus in the literature about lifestyle modification being key to preventing and reducing cardiovascular risk in the prevention of hypertension. Important behaviours that were consistently reported include healthy dietary patterns, salt reduction, regular physical activity, quitting smoking and moderation of alcohol use and appropriate weight management (Han et al., 2025; Carey and Whelton, 2022; Piepoli et al., 2021).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Dietary behaviour stood out as a particular theme. Han et al. (2025) identified evidence for healthy dietary patterns and lifestyle interventions, and Piepoli et al. (2021) identified dietary modification as an important aspect of cardiovascular prevention. Similarly, both Carey and Whelton (2022) and WHO (2023) highlighted the importance of reducing modifiable risk factors.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Some of the identified barriers were limited health literacy and financial restrictions and challenges to self-management (Elnaem et al., 2022). So it is not just about the individual's motivation to adhere. Better foods might be restricted, unaffordable; physical activity less convenient when people have limited time, unsafe places or limited facilities. Likewise, dependence, stress and social factors can affect smoking behaviors and excessive alcohol intake (Williams et al., 2020).</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key take-out from the evidence is that the behaviours to be encouraged are clearly established, but there is less consistency about how they can be achieved. Lifestyle modification works, but requires structural, environmental and behavioural circumstances for long-term maintenance. The focus in hypertension prevention should then shift from delivering lifestyle messages to implementing ways to overcome the barriers faced by various population groups.</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5.2.3 Theme 3: Public Health Interventions and Behaviour Change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third theme is that interventions in public health can raise awareness about hypertension and help to find it at an earlier stage in life, but there is mixed evidence on their effectiveness to maintain behaviour change over time. As part of NHS Health Checks and other community-based health checks, blood pressure is measured and can be used to identify people who are at risk, diagnose and educate on health (NHS England, 2025; UKHSA, 2024). Assessment of these programs indicates that screening can also enhance detection of those at higher cardiovascular risk, and offer a valuable time window where preventive counselling can be provided. But participation and follow-up is not the same for all populations and the benefits of screening could be limited in socially disadvantaged and less-engaged populations.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results further indicate that there is a need for health education, but it should not be the only solution. While greater knowledge about hypertension and its risk factors can help lead to healthier lifestyle choices, knowledge alone is not sufficient to overcome financial, environmental, motivational and social barriers to behaviour change (Elnaem et al., 2022). This is a good sign that there is a key disconnect between knowledge and long-term behaviour. Shared decision-making and involving individual’s is also highlighted as crucial to sustained behaviour change (Robinson and Douglas, 2021) as interventions are more likely to support sustained behaviour if they engage individual’s in decisions around their health rather than provide one-way information.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principal theory used to explain this finding is the Health Belief Model (HBM). The HBM proposes that health behaviour is influenced by five key components: perceived susceptibility, perceived severity, perceived benefits, perceived barriers and cues to action (Jones et al., 2020). In relation to hypertension, perceived susceptibility refers to whether individuals believe they are personally at risk of developing HBP, while perceived severity concerns their understanding of its potential consequences, such as cardiovascular disease and stroke. Perceived benefits relate to recognising the value of healthier behaviours, including reducing salt intake, exercising and maintaining a healthy weight. Conversely, perceived barriers include factors such as food costs, limited access to healthy options, lack of time and difficulties undertaking physical activity, which may prevent behaviour change. Finally, cues to action, such as blood pressure screening, NHS Health Checks or advice from healthcare professionals, can encourage preventive action. Therefore, awareness is more likely to translate into sustained lifestyle change when individuals perceive both risk and achievable benefits (Jones et al., 2020).</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evidence of evaluation, therefore, indicates that screening and health education alone are not sufficient interventions. The effectiveness of their efforts will likely be influenced by activities following the creation of awareness. Increased awareness may need to be followed up with personalised advice, individual’s involvement and practical support to help adoption of lifestyle changes. This is especially significant for adults over 40 years old because hypertension is more common in this age group and early recognition and prevention is of special concern.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Overall, the results support the HBM as the most suitable model for this review as it directly explains the role of awareness, perceived risk, perceived benefits, perceived barriers and cues to action in explaining hypertension-related behaviour. To avoid the inclusion of several different competing models of behaviour change into the discussion, the present review thus consistently interprets the relationship between hypertension awareness and lifestyle behaviour through the prism of HBM.</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5.3 Research Objectives: Were They Achieved?</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5.3.1 Research Objective 1: Hypertension Awareness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aim, to look at hypertension awareness in adults </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40 years old in the United Kingdom was met. Evidence on hypertension detection, awareness, screening, and inequalities were found. NHS England, 2025 and UKHSA, 2024 highlighted the importance of preventive detection with higher rates</w:t>
      </w:r>
      <w:r>
        <w:rPr>
          <w:rFonts w:ascii="Calibri" w:hAnsi="Calibri" w:cs="Calibri" w:eastAsia="Calibri"/>
          <w:color w:val="auto"/>
          <w:spacing w:val="0"/>
          <w:position w:val="0"/>
          <w:sz w:val="22"/>
          <w:shd w:fill="auto" w:val="clear"/>
        </w:rPr>
        <w:t xml:space="preserve"> </w:t>
      </w:r>
      <w:r>
        <w:rPr>
          <w:rFonts w:ascii="Arial" w:hAnsi="Arial" w:cs="Arial" w:eastAsia="Arial"/>
          <w:color w:val="auto"/>
          <w:spacing w:val="0"/>
          <w:position w:val="0"/>
          <w:sz w:val="24"/>
          <w:shd w:fill="auto" w:val="clear"/>
        </w:rPr>
        <w:t xml:space="preserve">57% of hypertension identification among those who had NHS Health Checks and community screening. But, engagement was not uniform, with socio-economic factors, health literacy and healthcare access affecting engagement (Elnaem et al. 2022). The aim was therefore successfully met, with evidence being varied, and geographical and population-level differences preventing the development of a single level of awareness.</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5.3.2 Research Objective 2: Lifestyle Practices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second goal was also met, which was to identify lifestyle behaviours that are associated with the prevention of hypertension. Consistently, healthy diet, salt reduction, physical activity, smoking cessation and moderation of alcohol intake, as well as weight management, were identified as important preventive behaviours (Han et al., 2025; Piepoli et al., 2021; Carey and Whelton, 2022). While the identification of effective behaviours can ensure compliance, that is not the case. Factors that shape socioeconomic barriers, health literacy, motivation and environmental factors all affect the ability to maintain recommended behaviours (Elnaem et al., 2022). The goal was thus accomplished and it also showed a significant disconnect between what recommendations were based on evidence and what actually happened in practice.</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5.3.3 Research Objective 3: Public Health Interventions </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third goal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public health interventions designed to increase awareness and prevention of hypertension was met. There was evidence that NHS Health Checks and community screening and health education services could help to improve awareness and enable an earlier diagnosis (NHS England, 2025; UKHSA, 2024). However, findings regarding long-term behaviour change were not as uniform. This is crucial as an intervention can achieve an increase in screening or awareness without any lasting changes in lifestyles.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5.3.4 Research Objective 4: Individual’s Decision-Making</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fourth goal, the investigation of factors that might affect the individual’s decision about hypertension prevention, was only partially met with some limitations. There were specific factors highlighted in the review that are important for self-management and lifestyle adherence, such as health literacy, individual’s motivation, clinician support and shared decision making (Robinson and Douglas, 2021; Elnaem et al., 2022). The HBM also offered a conceptual framework of the role of perceived susceptibility, severity, perceived benefits and barriers in making decisions about prevention (Jones et al., 2020). But, limited UK qualitative evidence was found. For this reason, the results have limited generalisability to the UK population of adults aged 40 years and over.</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5.4 Implications and Future Research Needs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results will have implications for public health, clinical practice and policy. NHS Health Check uptake should be increased in disadvantaged groups to ensure that culturally appropriate communication and measures to overcome health literacy barriers are in place. Screening should also be seen in the context of the practical lifestyle support that is offered, not as a standalone awareness exercise (NHS England, 2025).</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challenge will be for clinical practice to go beyond just information for the healthcare professional. Addressing key components of lifestyle change, including personalised advice, shared decision making and ongoing behavioural support, may enhance individuals' capacity to make lifestyle changes after they are aware of their hypertension status (Robinson and Douglas, 2021). Policy-wise, more focus is needed on socioeconomic and regional disparities in the access to preventive health care. Future studies should focus on UK-specific studies of older adults (40 years and over), as well as studies involving ethnic differences, socioeconomic inequalities, regional variation and health literacy.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5.5 Strengths, Limitations and Risk of Bias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strengths of this study was the systematic review methodology with a clearly defined PICO framework and reporting principles from PRISMA 2020 (Page et al., 2021). Multiple database searches, hand searches and grey literature searches were used to improve the chances of finding relevant evidence. Structured quality appraisal and thematic synthesis also allowed for comparisons between heterogeneous studies (Higgins et al., 2022).</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however, a number of caveats to note. The final evidence base was small and consisted of a variety of methodological differences, including systematic reviews, guidelines, surveys, reports and qualitative evidence. There were limited direct comparisons due to different populations, outcomes, and study designs. Biases in publication, language, and/or database usage may also have led to missing relevant evidence. Not all evidence was from primary UK research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some evidence was sourced from secondary evidence (reviews and policy documents). In addition, cross-sectional studies cannot determine the causal relationship between awareness and lifestyle behaviours. Lastly, despite the use of a set of pre-defined criteria and structured appraisal processes, the single-reviewer screening and interpretation process introduced certain selection and interpretation bias (Page et al., 2021). </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5.6 Conclusion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general discussion illustrates the need for a greater awareness of hypertension, but it is not enough for the prevention and lifestyle modification of adults 40 years and older. Screening and NHS Health Checks can help to identify problems earlier and can be a good indicator of action, but knowledge does not always lead to better behaviour. These findings suggest that health literacy, perceived risk, motivation, and socioeconomic factors and access to supportive environments have an impact on sustaining recommended lifestyle practices. The HBM can be used to help explain the influence of the individual's perceptions of susceptibility, severity, benefits and barriers on preventive decisions, and COM-B highlights the added value of capability and opportunity (Michie et al., 2022; Jones et al., 2020). The results of this study are used to draw the overall conclusions and practical recommendations in Chapter 6.</w:t>
      </w: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Chapter 6: Conclusion</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6.1 Introduction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dissertation explored the association between hypertension awareness and adult lifestyle habits (age 40 years and above) in the United Kingdom population. The purpose of the study was to find out whether there is an association between increased awareness of hypertension and healthier preventive behaviours, and to explore the influence of public health interventions and individual’s decision-making. A systematic review methodology was utilized, with a structured search strategy, predetermined inclusion/exclusion criteria, PRISMA 2020 reporting principles, critical appraisal and thematic synthesis. This chapter provides an overall conclusion of the review, an evaluation of achievement of the research objectives, a reflection on the research approach, an identification of contribution to the knowledge, and recommendations for public health practice, healthcare professionals and future research.</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6.2 Overall Conclusion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Based on the overall results of this systematic review, hypertension awareness in adults aged 40 years and older is an important step towards early detection and prevention and, although awareness itself does not guarantee lasting lifestyle change, it has found to be a factor that can lead to it. Screening and routine blood pressure checks, including NHS Health Checks, can increase the chances of detecting undiagnosed high blood pressure and deliver opportunities for health education, as the evidence shows. The process from awareness to the change of behaviour is complex, however, and depends on the health literacy, motivation, socioeconomic conditions and access to appropriate services and opportunities to adopt a healthier lifestyle (Elnaem et al., 2022; WHO, 2023).</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theme illustrated the progress made in awareness of hypertension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due to screening and health promotion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but there are significant inequalities. There are socioeconomic differences in awareness and engagement, and health literacy and geographical access. As such, greater access to screening does not ensure equal benefits for all population groups.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second theme confirmed that lifestyle changes will continue to be an important cornerstone of hypertension prevention. Consistent evidence supports healthy dietary patterns, salt reduction, physical activity, smoking cessation, and reduced alcohol use and appropriate weight management (Han et al., 2025; Carey and Whelton, 2022; Piepoli et al., 2021). However, evidence also shows that there is a gap between knowing what behaviours are good and sustaining them over time.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third theme indicated that although public health interventions can increase awareness and initial detection, long-term behavioural change needs to be more than just information. Therefore, behavioural support, development of health-literacy and individual’s-centred decision making are important complements to screening and education (Robinson and Douglas, 2021).</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6.3 Conclusions Against the Research Objectives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systematic review was designed to answer four research questions and identified a number of linked conclusions on awareness of hypertension, lifestyle factors, public health interventions and patient decision making among adults aged over 40.</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Objective 1: To examine the relationship between hypertension awareness and lifestyle practices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review found that overall, increased awareness of hypertension was correlated with better awareness of hypertension and more understanding of preventive behaviours. However, knowledge was not always accompanied by a change in lifestyle. This suggests that knowledge of hypertension and its risks was a critical first step, but the behavioural change also relied on the motivation, health literacy, socio-economic conditions, and access to the right people and resources (WHO, 2025; Elnaem et al., 2022).</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Objective 2: To identify key lifestyle practices associated with hypertension prevention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was consistent evidence that healthy dietary practices, a low-salt diet, regular exercise, quitting smoking, limiting alcohol and maintaining a healthy weight all played a key role in preventing hypertension. Lifestyle modification was thus recognized as an integral part of prevention, besides early detection and clinical management (Han et al., 2025; Piepoli et al., 2021).</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Objective 3: To evaluate public health interventions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found that NHS Health Checks and community screening, as well as regular blood pressure checks and health education, help to improve detection and awareness. While interventions differed in their effectiveness for supporting sustained changes in behaviour, ongoing follow-up and tailored behavioural support (NHS England, 2025; WHO, 2025) were essential.</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Objective 4: To explore factors influencing patient decision-making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review identified factors that affected people's choices of prevention actions, including health literacy, perceived risk, motivation, clinician communication, and socioeconomic conditions and shared decision-making. Therefore, it was important to implement patient-centred approaches to sustain engagement with healthier behaviours (Robinson and Douglas, 2021).</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6.4 Contribution to Knowledge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dissertation makes a contribution to knowledge that addresses evidence relevant to adults 40 years old and older, where hypertension and cardiovascular risk are a growing concern. The review does not consider awareness as the ultimate goal but rather associates hypertension awareness with lifestyle changes, behavioural support, and individual’s decision making. It shows how health literacy and socioeconomic factors may affect awareness to preventive action (Elnaem et al., 2022). The review also points to the disparities in screening and preventive service availability, and links these disparities to the Health Belief Model, specifically the constructs of susceptibility, severity, benefits and barriers. The most important thing to note is that the dissertation highlights a key gap between awareness and continued behaviour change.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6.5 Recommendations</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6.5.1 Recommended strategies for public health practice</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and public health initiatives may want to enhance targeted hypertension screening for adults aged 40 years and older, especially in socioeconomically disadvantaged areas. Improved access and delivery of NHS Health Checks in a culturally appropriate way could help to overcome inequalities in accessing these services. Support for health literacy may also be provided in health education to help people understand blood pressure results, risk information and life style recommendations. Importantly, screening could be associated with ongoing behavioural follow-up, not just with the main thrust being one-off information provision. This synoptic approach would more effectively link early detection and ongoing prevention (NHS England, 2025; UKHSA, 2024).</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6.5.2 Guidelines for health professionals</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Shared decision-making could be implemented in the medical field to engage individual’s more directly in hypertension prevention. The understanding of the individuals about hypertension and to detect the barriers for each individual could help to tailor the lifestyle suggestions. Instead of giving a canned list of recommendations, providers could take into account individual’s' financial situation, health literacy, desire, and daily activities. Lifestyle and behaviour change measures may also be useful to support people to set realistic and sustainable lifestyle targets. This individual’s-centred approach aligns with evidence that suggests communication and shared decision-making can facilitate self-management (Robinson and Douglas, 2021).</w:t>
      </w:r>
    </w:p>
    <w:p>
      <w:pPr>
        <w:keepNext w:val="true"/>
        <w:keepLines w:val="true"/>
        <w:spacing w:before="0" w:after="181" w:line="259"/>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6.5.3 Recommendations for future research:</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Long-term behaviour change after hypertension screening could be explored, and the potential for long-term lifestyle change after increased awareness of hypertension could be studied. There is a need for further studies in the UK specific to ethnicity, socio-economic differences, regional differences and health literacy. A longitudinal study would be able to offer better evidence of change in behaviour over time than the more typical cross-sectional study. Further research might also assess the sustained impact of NHS Health Checks and explore the effect of individual’s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professional relationships and co-decision making on compliance. </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6.6 Final Conclusion</w:t>
      </w:r>
    </w:p>
    <w:p>
      <w:pPr>
        <w:spacing w:before="24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Preventing hypertension among adults aged over 40 requires more than awareness alone and depends on sustained lifestyle and behavioural changes. There is a need to promote sustainable prevention, which relies on the extent to which people are supported to implement what they know into their daily routines; while screening may detect undiagnosed hypertension and health education may increase knowledge, they are not sufficient for achieving sustainable prevention. This process is affected by access to services, individual’s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professional relationships, socioeconomic factors, and health literacy. The results as a whole indicate that to effectively prevent hypertension, early detection, awareness, personalized behavioural support, and addressing inequalities must be combined. The central lesson of this dissertation is that awareness should not be considered as the end point of prevention, but rather the beginning point of supported and sustainable behaviour.</w:t>
      </w: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spacing w:before="240" w:after="16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References</w:t>
      </w:r>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Abrahamowicz, A., Ebinger, J., Whelton, S.P. et al. (2023) ‘Racial and ethnic disparities in hypertension: barriers and opportunities to improve blood pressure control’, </w:t>
      </w:r>
      <w:r>
        <w:rPr>
          <w:rFonts w:ascii="Arial" w:hAnsi="Arial" w:cs="Arial" w:eastAsia="Arial"/>
          <w:i/>
          <w:color w:val="auto"/>
          <w:spacing w:val="0"/>
          <w:position w:val="0"/>
          <w:sz w:val="24"/>
          <w:shd w:fill="auto" w:val="clear"/>
        </w:rPr>
        <w:t xml:space="preserve">Current Cardiology Reports</w:t>
      </w:r>
      <w:r>
        <w:rPr>
          <w:rFonts w:ascii="Arial" w:hAnsi="Arial" w:cs="Arial" w:eastAsia="Arial"/>
          <w:color w:val="auto"/>
          <w:spacing w:val="0"/>
          <w:position w:val="0"/>
          <w:sz w:val="24"/>
          <w:shd w:fill="auto" w:val="clear"/>
        </w:rPr>
        <w:t xml:space="preserve">, 25(1), pp. 17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27. Available at: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https://doi.org/10.1007/s11886-022-01826-x</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Aburto, N.J., Ziolkovska, A., Hooper, L. et al. (2013) ‘Effect of lower sodium intake on health: systematic review and meta-analyses’, </w:t>
      </w:r>
      <w:r>
        <w:rPr>
          <w:rFonts w:ascii="Arial" w:hAnsi="Arial" w:cs="Arial" w:eastAsia="Arial"/>
          <w:i/>
          <w:color w:val="auto"/>
          <w:spacing w:val="0"/>
          <w:position w:val="0"/>
          <w:sz w:val="24"/>
          <w:shd w:fill="auto" w:val="clear"/>
        </w:rPr>
        <w:t xml:space="preserve">BMJ</w:t>
      </w:r>
      <w:r>
        <w:rPr>
          <w:rFonts w:ascii="Arial" w:hAnsi="Arial" w:cs="Arial" w:eastAsia="Arial"/>
          <w:color w:val="auto"/>
          <w:spacing w:val="0"/>
          <w:position w:val="0"/>
          <w:sz w:val="24"/>
          <w:shd w:fill="auto" w:val="clear"/>
        </w:rPr>
        <w:t xml:space="preserve">, 346, f1326.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https://doi.org/10.1136/bmj.f1326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Ajzen, I. (1991) ‘The theory of planned behavior’, </w:t>
      </w:r>
      <w:r>
        <w:rPr>
          <w:rFonts w:ascii="Arial" w:hAnsi="Arial" w:cs="Arial" w:eastAsia="Arial"/>
          <w:i/>
          <w:color w:val="auto"/>
          <w:spacing w:val="0"/>
          <w:position w:val="0"/>
          <w:sz w:val="24"/>
          <w:shd w:fill="auto" w:val="clear"/>
        </w:rPr>
        <w:t xml:space="preserve">Organizational Behavior and Human Decision Processes</w:t>
      </w:r>
      <w:r>
        <w:rPr>
          <w:rFonts w:ascii="Arial" w:hAnsi="Arial" w:cs="Arial" w:eastAsia="Arial"/>
          <w:color w:val="auto"/>
          <w:spacing w:val="0"/>
          <w:position w:val="0"/>
          <w:sz w:val="24"/>
          <w:shd w:fill="auto" w:val="clear"/>
        </w:rPr>
        <w:t xml:space="preserve">, 50(2), pp. 179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211. Available at: </w:t>
      </w:r>
      <w:hyperlink xmlns:r="http://schemas.openxmlformats.org/officeDocument/2006/relationships" r:id="docRId14">
        <w:r>
          <w:rPr>
            <w:rFonts w:ascii="Arial" w:hAnsi="Arial" w:cs="Arial" w:eastAsia="Arial"/>
            <w:color w:val="0000FF"/>
            <w:spacing w:val="0"/>
            <w:position w:val="0"/>
            <w:sz w:val="24"/>
            <w:u w:val="single"/>
            <w:shd w:fill="auto" w:val="clear"/>
          </w:rPr>
          <w:t xml:space="preserve">https://doi.org/10.1016/0749-5978(91)90020-T</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Al-Makki, A., DiPette, D., Whelton, P.K. et al. (2022) ‘Hypertension pharmacological treatment in adults: a World Health Organization guideline executive summary’,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79(1), pp. 293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301. Available at: </w:t>
      </w:r>
      <w:hyperlink xmlns:r="http://schemas.openxmlformats.org/officeDocument/2006/relationships" r:id="docRId15">
        <w:r>
          <w:rPr>
            <w:rFonts w:ascii="Arial" w:hAnsi="Arial" w:cs="Arial" w:eastAsia="Arial"/>
            <w:color w:val="0000FF"/>
            <w:spacing w:val="0"/>
            <w:position w:val="0"/>
            <w:sz w:val="24"/>
            <w:u w:val="single"/>
            <w:shd w:fill="auto" w:val="clear"/>
          </w:rPr>
          <w:t xml:space="preserve">https://doi.org/10.1161/HYPERTENSIONAHA.121.18192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Alageel, S. and Gulliford, M.C. (2019) ‘Health checks and cardiovascular risk factor values over six years’ follow-up: matched cohort study using electronic health records in England’, </w:t>
      </w:r>
      <w:r>
        <w:rPr>
          <w:rFonts w:ascii="Arial" w:hAnsi="Arial" w:cs="Arial" w:eastAsia="Arial"/>
          <w:i/>
          <w:color w:val="auto"/>
          <w:spacing w:val="0"/>
          <w:position w:val="0"/>
          <w:sz w:val="24"/>
          <w:shd w:fill="auto" w:val="clear"/>
        </w:rPr>
        <w:t xml:space="preserve">PLoS Medicine</w:t>
      </w:r>
      <w:r>
        <w:rPr>
          <w:rFonts w:ascii="Arial" w:hAnsi="Arial" w:cs="Arial" w:eastAsia="Arial"/>
          <w:color w:val="auto"/>
          <w:spacing w:val="0"/>
          <w:position w:val="0"/>
          <w:sz w:val="24"/>
          <w:shd w:fill="auto" w:val="clear"/>
        </w:rPr>
        <w:t xml:space="preserve">, 16(7), e1002863. Available at: </w:t>
      </w:r>
      <w:hyperlink xmlns:r="http://schemas.openxmlformats.org/officeDocument/2006/relationships" r:id="docRId16">
        <w:r>
          <w:rPr>
            <w:rFonts w:ascii="Arial" w:hAnsi="Arial" w:cs="Arial" w:eastAsia="Arial"/>
            <w:color w:val="0000FF"/>
            <w:spacing w:val="0"/>
            <w:position w:val="0"/>
            <w:sz w:val="24"/>
            <w:u w:val="single"/>
            <w:shd w:fill="auto" w:val="clear"/>
          </w:rPr>
          <w:t xml:space="preserve">https://doi.org/10.1371/journal.pmed.1002863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American College of Cardiology/American Heart Association (2019) ‘2019 ACC/AHA guideline on the primary prevention of cardiovascular disease’, </w:t>
      </w:r>
      <w:r>
        <w:rPr>
          <w:rFonts w:ascii="Arial" w:hAnsi="Arial" w:cs="Arial" w:eastAsia="Arial"/>
          <w:i/>
          <w:color w:val="auto"/>
          <w:spacing w:val="0"/>
          <w:position w:val="0"/>
          <w:sz w:val="24"/>
          <w:shd w:fill="auto" w:val="clear"/>
        </w:rPr>
        <w:t xml:space="preserve">Circulation</w:t>
      </w:r>
      <w:r>
        <w:rPr>
          <w:rFonts w:ascii="Arial" w:hAnsi="Arial" w:cs="Arial" w:eastAsia="Arial"/>
          <w:color w:val="auto"/>
          <w:spacing w:val="0"/>
          <w:position w:val="0"/>
          <w:sz w:val="24"/>
          <w:shd w:fill="auto" w:val="clear"/>
        </w:rPr>
        <w:t xml:space="preserve">, 140(11), pp. e596</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e646. Available at: </w:t>
      </w:r>
      <w:hyperlink xmlns:r="http://schemas.openxmlformats.org/officeDocument/2006/relationships" r:id="docRId17">
        <w:r>
          <w:rPr>
            <w:rFonts w:ascii="Arial" w:hAnsi="Arial" w:cs="Arial" w:eastAsia="Arial"/>
            <w:color w:val="0000FF"/>
            <w:spacing w:val="0"/>
            <w:position w:val="0"/>
            <w:sz w:val="24"/>
            <w:u w:val="single"/>
            <w:shd w:fill="auto" w:val="clear"/>
          </w:rPr>
          <w:t xml:space="preserve">https://doi.org/10.1161/CIR.0000000000000678</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Amini, M., Moradinazar, M., Rajati, F. et al. (2022) ‘Socioeconomic inequalities in prevalence, awareness, treatment and control of hypertension’, </w:t>
      </w:r>
      <w:r>
        <w:rPr>
          <w:rFonts w:ascii="Arial" w:hAnsi="Arial" w:cs="Arial" w:eastAsia="Arial"/>
          <w:i/>
          <w:color w:val="auto"/>
          <w:spacing w:val="0"/>
          <w:position w:val="0"/>
          <w:sz w:val="24"/>
          <w:shd w:fill="auto" w:val="clear"/>
        </w:rPr>
        <w:t xml:space="preserve">BMC Public Health</w:t>
      </w:r>
      <w:r>
        <w:rPr>
          <w:rFonts w:ascii="Arial" w:hAnsi="Arial" w:cs="Arial" w:eastAsia="Arial"/>
          <w:color w:val="auto"/>
          <w:spacing w:val="0"/>
          <w:position w:val="0"/>
          <w:sz w:val="24"/>
          <w:shd w:fill="auto" w:val="clear"/>
        </w:rPr>
        <w:t xml:space="preserve">, 22, 1401. Available at: </w:t>
      </w:r>
      <w:hyperlink xmlns:r="http://schemas.openxmlformats.org/officeDocument/2006/relationships" r:id="docRId18">
        <w:r>
          <w:rPr>
            <w:rFonts w:ascii="Arial" w:hAnsi="Arial" w:cs="Arial" w:eastAsia="Arial"/>
            <w:color w:val="0000FF"/>
            <w:spacing w:val="0"/>
            <w:position w:val="0"/>
            <w:sz w:val="24"/>
            <w:u w:val="single"/>
            <w:shd w:fill="auto" w:val="clear"/>
          </w:rPr>
          <w:t xml:space="preserve">https://doi.org/10.1186/s12889-022-13444-x</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Appel, L.J., Moore, T.J., Obarzanek, E. et al. (1997) ‘A clinical trial of the effects of dietary patterns on blood pressure’, </w:t>
      </w:r>
      <w:r>
        <w:rPr>
          <w:rFonts w:ascii="Arial" w:hAnsi="Arial" w:cs="Arial" w:eastAsia="Arial"/>
          <w:i/>
          <w:color w:val="auto"/>
          <w:spacing w:val="0"/>
          <w:position w:val="0"/>
          <w:sz w:val="24"/>
          <w:shd w:fill="auto" w:val="clear"/>
        </w:rPr>
        <w:t xml:space="preserve">New England Journal of Medicine</w:t>
      </w:r>
      <w:r>
        <w:rPr>
          <w:rFonts w:ascii="Arial" w:hAnsi="Arial" w:cs="Arial" w:eastAsia="Arial"/>
          <w:color w:val="auto"/>
          <w:spacing w:val="0"/>
          <w:position w:val="0"/>
          <w:sz w:val="24"/>
          <w:shd w:fill="auto" w:val="clear"/>
        </w:rPr>
        <w:t xml:space="preserve">, 336(16), pp. 1117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1124. Available at: </w:t>
      </w:r>
      <w:hyperlink xmlns:r="http://schemas.openxmlformats.org/officeDocument/2006/relationships" r:id="docRId19">
        <w:r>
          <w:rPr>
            <w:rFonts w:ascii="Arial" w:hAnsi="Arial" w:cs="Arial" w:eastAsia="Arial"/>
            <w:color w:val="0000FF"/>
            <w:spacing w:val="0"/>
            <w:position w:val="0"/>
            <w:sz w:val="24"/>
            <w:u w:val="single"/>
            <w:shd w:fill="auto" w:val="clear"/>
          </w:rPr>
          <w:t xml:space="preserve">https://doi.org/10.1056/NEJM199704173361601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Aromataris, E., Lockwood, C., Porritt, K., Pilla, B. and Jordan, Z. (eds.) (2024) </w:t>
      </w:r>
      <w:r>
        <w:rPr>
          <w:rFonts w:ascii="Arial" w:hAnsi="Arial" w:cs="Arial" w:eastAsia="Arial"/>
          <w:i/>
          <w:color w:val="auto"/>
          <w:spacing w:val="0"/>
          <w:position w:val="0"/>
          <w:sz w:val="24"/>
          <w:shd w:fill="auto" w:val="clear"/>
        </w:rPr>
        <w:t xml:space="preserve">JBI Manual for Evidence Synthesis</w:t>
      </w:r>
      <w:r>
        <w:rPr>
          <w:rFonts w:ascii="Arial" w:hAnsi="Arial" w:cs="Arial" w:eastAsia="Arial"/>
          <w:color w:val="auto"/>
          <w:spacing w:val="0"/>
          <w:position w:val="0"/>
          <w:sz w:val="24"/>
          <w:shd w:fill="auto" w:val="clear"/>
        </w:rPr>
        <w:t xml:space="preserve">. Adelaide: JBI. Available at: </w:t>
      </w:r>
      <w:hyperlink xmlns:r="http://schemas.openxmlformats.org/officeDocument/2006/relationships" r:id="docRId20">
        <w:r>
          <w:rPr>
            <w:rFonts w:ascii="Arial" w:hAnsi="Arial" w:cs="Arial" w:eastAsia="Arial"/>
            <w:color w:val="0000FF"/>
            <w:spacing w:val="0"/>
            <w:position w:val="0"/>
            <w:sz w:val="24"/>
            <w:u w:val="single"/>
            <w:shd w:fill="auto" w:val="clear"/>
          </w:rPr>
          <w:t xml:space="preserve">https://doi.org/10.46658/JBIMES-24-01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Artac, M., Dalton, A.R.H., Majeed, A., Car, J. and Millett, C. (2013) ‘Effectiveness of the NHS Health Check programme in identifying cardiovascular risk factors and diagnosing cardiovascular disease’, </w:t>
      </w:r>
      <w:r>
        <w:rPr>
          <w:rFonts w:ascii="Arial" w:hAnsi="Arial" w:cs="Arial" w:eastAsia="Arial"/>
          <w:i/>
          <w:color w:val="auto"/>
          <w:spacing w:val="0"/>
          <w:position w:val="0"/>
          <w:sz w:val="24"/>
          <w:shd w:fill="auto" w:val="clear"/>
        </w:rPr>
        <w:t xml:space="preserve">British Journal of General Practice</w:t>
      </w:r>
      <w:r>
        <w:rPr>
          <w:rFonts w:ascii="Arial" w:hAnsi="Arial" w:cs="Arial" w:eastAsia="Arial"/>
          <w:color w:val="auto"/>
          <w:spacing w:val="0"/>
          <w:position w:val="0"/>
          <w:sz w:val="24"/>
          <w:shd w:fill="auto" w:val="clear"/>
        </w:rPr>
        <w:t xml:space="preserve">, 63(610), pp. e269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e275. Available at: </w:t>
      </w:r>
      <w:hyperlink xmlns:r="http://schemas.openxmlformats.org/officeDocument/2006/relationships" r:id="docRId21">
        <w:r>
          <w:rPr>
            <w:rFonts w:ascii="Arial" w:hAnsi="Arial" w:cs="Arial" w:eastAsia="Arial"/>
            <w:color w:val="0000FF"/>
            <w:spacing w:val="0"/>
            <w:position w:val="0"/>
            <w:sz w:val="24"/>
            <w:u w:val="single"/>
            <w:shd w:fill="auto" w:val="clear"/>
          </w:rPr>
          <w:t xml:space="preserve">https://bjgp.org/content/63/610/e269</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Bandura, A. (2004) ‘Health promotion by social cognitive means’, </w:t>
      </w:r>
      <w:r>
        <w:rPr>
          <w:rFonts w:ascii="Arial" w:hAnsi="Arial" w:cs="Arial" w:eastAsia="Arial"/>
          <w:i/>
          <w:color w:val="auto"/>
          <w:spacing w:val="0"/>
          <w:position w:val="0"/>
          <w:sz w:val="24"/>
          <w:shd w:fill="auto" w:val="clear"/>
        </w:rPr>
        <w:t xml:space="preserve">Health Education &amp; Behavior</w:t>
      </w:r>
      <w:r>
        <w:rPr>
          <w:rFonts w:ascii="Arial" w:hAnsi="Arial" w:cs="Arial" w:eastAsia="Arial"/>
          <w:color w:val="auto"/>
          <w:spacing w:val="0"/>
          <w:position w:val="0"/>
          <w:sz w:val="24"/>
          <w:shd w:fill="auto" w:val="clear"/>
        </w:rPr>
        <w:t xml:space="preserve">, 31(2), pp. 143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164. Available at: </w:t>
      </w:r>
      <w:hyperlink xmlns:r="http://schemas.openxmlformats.org/officeDocument/2006/relationships" r:id="docRId22">
        <w:r>
          <w:rPr>
            <w:rFonts w:ascii="Arial" w:hAnsi="Arial" w:cs="Arial" w:eastAsia="Arial"/>
            <w:color w:val="0000FF"/>
            <w:spacing w:val="0"/>
            <w:position w:val="0"/>
            <w:sz w:val="24"/>
            <w:u w:val="single"/>
            <w:shd w:fill="auto" w:val="clear"/>
          </w:rPr>
          <w:t xml:space="preserve">https://doi.org/10.1177/1090198104263660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Becker, M.H. (ed.) (1974) </w:t>
      </w:r>
      <w:r>
        <w:rPr>
          <w:rFonts w:ascii="Arial" w:hAnsi="Arial" w:cs="Arial" w:eastAsia="Arial"/>
          <w:i/>
          <w:color w:val="auto"/>
          <w:spacing w:val="0"/>
          <w:position w:val="0"/>
          <w:sz w:val="24"/>
          <w:shd w:fill="auto" w:val="clear"/>
        </w:rPr>
        <w:t xml:space="preserve">The Health Belief Model and Personal Health Behavior</w:t>
      </w:r>
      <w:r>
        <w:rPr>
          <w:rFonts w:ascii="Arial" w:hAnsi="Arial" w:cs="Arial" w:eastAsia="Arial"/>
          <w:color w:val="auto"/>
          <w:spacing w:val="0"/>
          <w:position w:val="0"/>
          <w:sz w:val="24"/>
          <w:shd w:fill="auto" w:val="clear"/>
        </w:rPr>
        <w:t xml:space="preserve">. Thorofare, NJ: Charles B. Slack.</w:t>
      </w:r>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Bramer, W.M., de Jonge, G.B., Rethlefsen, M.L. et al. (2018) ‘A systematic approach to searching: an efficient and complete method to develop literature searches’, </w:t>
      </w:r>
      <w:r>
        <w:rPr>
          <w:rFonts w:ascii="Arial" w:hAnsi="Arial" w:cs="Arial" w:eastAsia="Arial"/>
          <w:i/>
          <w:color w:val="auto"/>
          <w:spacing w:val="0"/>
          <w:position w:val="0"/>
          <w:sz w:val="24"/>
          <w:shd w:fill="auto" w:val="clear"/>
        </w:rPr>
        <w:t xml:space="preserve">Journal of the Medical Library Association</w:t>
      </w:r>
      <w:r>
        <w:rPr>
          <w:rFonts w:ascii="Arial" w:hAnsi="Arial" w:cs="Arial" w:eastAsia="Arial"/>
          <w:color w:val="auto"/>
          <w:spacing w:val="0"/>
          <w:position w:val="0"/>
          <w:sz w:val="24"/>
          <w:shd w:fill="auto" w:val="clear"/>
        </w:rPr>
        <w:t xml:space="preserve">, 106(4), pp. 531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541. Available at: </w:t>
      </w:r>
      <w:hyperlink xmlns:r="http://schemas.openxmlformats.org/officeDocument/2006/relationships" r:id="docRId23">
        <w:r>
          <w:rPr>
            <w:rFonts w:ascii="Arial" w:hAnsi="Arial" w:cs="Arial" w:eastAsia="Arial"/>
            <w:color w:val="0000FF"/>
            <w:spacing w:val="0"/>
            <w:position w:val="0"/>
            <w:sz w:val="24"/>
            <w:u w:val="single"/>
            <w:shd w:fill="auto" w:val="clear"/>
          </w:rPr>
          <w:t xml:space="preserve">https://doi.org/10.5195/jmla.2018.283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Braveman, P. and Gottlieb, L. (2014) ‘The social determinants of health: it’s time to consider the causes of the causes’, </w:t>
      </w:r>
      <w:r>
        <w:rPr>
          <w:rFonts w:ascii="Arial" w:hAnsi="Arial" w:cs="Arial" w:eastAsia="Arial"/>
          <w:i/>
          <w:color w:val="auto"/>
          <w:spacing w:val="0"/>
          <w:position w:val="0"/>
          <w:sz w:val="24"/>
          <w:shd w:fill="auto" w:val="clear"/>
        </w:rPr>
        <w:t xml:space="preserve">Public Health Reports</w:t>
      </w:r>
      <w:r>
        <w:rPr>
          <w:rFonts w:ascii="Arial" w:hAnsi="Arial" w:cs="Arial" w:eastAsia="Arial"/>
          <w:color w:val="auto"/>
          <w:spacing w:val="0"/>
          <w:position w:val="0"/>
          <w:sz w:val="24"/>
          <w:shd w:fill="auto" w:val="clear"/>
        </w:rPr>
        <w:t xml:space="preserve">, 129(Suppl. 2), pp. 19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31. Available at: </w:t>
      </w:r>
      <w:hyperlink xmlns:r="http://schemas.openxmlformats.org/officeDocument/2006/relationships" r:id="docRId24">
        <w:r>
          <w:rPr>
            <w:rFonts w:ascii="Arial" w:hAnsi="Arial" w:cs="Arial" w:eastAsia="Arial"/>
            <w:color w:val="0000FF"/>
            <w:spacing w:val="0"/>
            <w:position w:val="0"/>
            <w:sz w:val="24"/>
            <w:u w:val="single"/>
            <w:shd w:fill="auto" w:val="clear"/>
          </w:rPr>
          <w:t xml:space="preserve">https://doi.org/10.1177/00333549141291S206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Chang, K.C.M., Lee, J.T., Vamos, E.P. et al. (2016) ‘Impact of the National Health Service Health Check on cardiovascular disease risk: a difference-in-differences matching analysis’, </w:t>
      </w:r>
      <w:r>
        <w:rPr>
          <w:rFonts w:ascii="Arial" w:hAnsi="Arial" w:cs="Arial" w:eastAsia="Arial"/>
          <w:i/>
          <w:color w:val="auto"/>
          <w:spacing w:val="0"/>
          <w:position w:val="0"/>
          <w:sz w:val="24"/>
          <w:shd w:fill="auto" w:val="clear"/>
        </w:rPr>
        <w:t xml:space="preserve">CMAJ</w:t>
      </w:r>
      <w:r>
        <w:rPr>
          <w:rFonts w:ascii="Arial" w:hAnsi="Arial" w:cs="Arial" w:eastAsia="Arial"/>
          <w:color w:val="auto"/>
          <w:spacing w:val="0"/>
          <w:position w:val="0"/>
          <w:sz w:val="24"/>
          <w:shd w:fill="auto" w:val="clear"/>
        </w:rPr>
        <w:t xml:space="preserve">, 188(10), pp. E228</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E238. Available at: </w:t>
      </w:r>
      <w:hyperlink xmlns:r="http://schemas.openxmlformats.org/officeDocument/2006/relationships" r:id="docRId25">
        <w:r>
          <w:rPr>
            <w:rFonts w:ascii="Arial" w:hAnsi="Arial" w:cs="Arial" w:eastAsia="Arial"/>
            <w:color w:val="0000FF"/>
            <w:spacing w:val="0"/>
            <w:position w:val="0"/>
            <w:sz w:val="24"/>
            <w:u w:val="single"/>
            <w:shd w:fill="auto" w:val="clear"/>
          </w:rPr>
          <w:t xml:space="preserve">https://doi.org/10.1503/cmaj.151201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Chang, K.C.M., Vamos, E.P., Palladino, R. et al. (2019) ‘Impact of the NHS Health Check on inequalities in cardiovascular disease risk: a difference-in-differences matching analysis’, </w:t>
      </w:r>
      <w:r>
        <w:rPr>
          <w:rFonts w:ascii="Arial" w:hAnsi="Arial" w:cs="Arial" w:eastAsia="Arial"/>
          <w:i/>
          <w:color w:val="auto"/>
          <w:spacing w:val="0"/>
          <w:position w:val="0"/>
          <w:sz w:val="24"/>
          <w:shd w:fill="auto" w:val="clear"/>
        </w:rPr>
        <w:t xml:space="preserve">Journal of Epidemiology and Community Health</w:t>
      </w:r>
      <w:r>
        <w:rPr>
          <w:rFonts w:ascii="Arial" w:hAnsi="Arial" w:cs="Arial" w:eastAsia="Arial"/>
          <w:color w:val="auto"/>
          <w:spacing w:val="0"/>
          <w:position w:val="0"/>
          <w:sz w:val="24"/>
          <w:shd w:fill="auto" w:val="clear"/>
        </w:rPr>
        <w:t xml:space="preserve">, 73(1), pp. 11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18. Available at: </w:t>
      </w:r>
      <w:hyperlink xmlns:r="http://schemas.openxmlformats.org/officeDocument/2006/relationships" r:id="docRId26">
        <w:r>
          <w:rPr>
            <w:rFonts w:ascii="Arial" w:hAnsi="Arial" w:cs="Arial" w:eastAsia="Arial"/>
            <w:color w:val="0000FF"/>
            <w:spacing w:val="0"/>
            <w:position w:val="0"/>
            <w:sz w:val="24"/>
            <w:u w:val="single"/>
            <w:shd w:fill="auto" w:val="clear"/>
          </w:rPr>
          <w:t xml:space="preserve">https://doi.org/10.1136/jech-2018-210961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Chobanian, A.V., Bakris, G.L., Black, H.R. et al. (2003) ‘The seventh report of the Joint National Committee on prevention, detection, evaluation, and treatment of high blood pressure’,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42(6), pp. 1206</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1252. Available at: </w:t>
      </w:r>
      <w:hyperlink xmlns:r="http://schemas.openxmlformats.org/officeDocument/2006/relationships" r:id="docRId27">
        <w:r>
          <w:rPr>
            <w:rFonts w:ascii="Arial" w:hAnsi="Arial" w:cs="Arial" w:eastAsia="Arial"/>
            <w:color w:val="0000FF"/>
            <w:spacing w:val="0"/>
            <w:position w:val="0"/>
            <w:sz w:val="24"/>
            <w:u w:val="single"/>
            <w:shd w:fill="auto" w:val="clear"/>
          </w:rPr>
          <w:t xml:space="preserve">https://doi.org/10.1161/01.HYP.0000107251.49515.c2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Cecchini, M., Filippini, T., Whelton, P.K. et al. (2024) ‘Alcohol intake and risk of hypertension: a systematic review and dose-response meta-analysis of nonexperimental cohort studies’,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81(8), pp. 1701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1715. Available at: </w:t>
      </w:r>
      <w:hyperlink xmlns:r="http://schemas.openxmlformats.org/officeDocument/2006/relationships" r:id="docRId28">
        <w:r>
          <w:rPr>
            <w:rFonts w:ascii="Arial" w:hAnsi="Arial" w:cs="Arial" w:eastAsia="Arial"/>
            <w:color w:val="0000FF"/>
            <w:spacing w:val="0"/>
            <w:position w:val="0"/>
            <w:sz w:val="24"/>
            <w:u w:val="single"/>
            <w:shd w:fill="auto" w:val="clear"/>
          </w:rPr>
          <w:t xml:space="preserve">https://doi.org/10.1161/HYPERTENSIONAHA.124.22703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Cornelissen, V.A. and Smart, N.A. (2013) ‘Exercise training for blood pressure: a systematic review and meta-analysis’, </w:t>
      </w:r>
      <w:r>
        <w:rPr>
          <w:rFonts w:ascii="Arial" w:hAnsi="Arial" w:cs="Arial" w:eastAsia="Arial"/>
          <w:i/>
          <w:color w:val="auto"/>
          <w:spacing w:val="0"/>
          <w:position w:val="0"/>
          <w:sz w:val="24"/>
          <w:shd w:fill="auto" w:val="clear"/>
        </w:rPr>
        <w:t xml:space="preserve">Journal of the American Heart Association</w:t>
      </w:r>
      <w:r>
        <w:rPr>
          <w:rFonts w:ascii="Arial" w:hAnsi="Arial" w:cs="Arial" w:eastAsia="Arial"/>
          <w:color w:val="auto"/>
          <w:spacing w:val="0"/>
          <w:position w:val="0"/>
          <w:sz w:val="24"/>
          <w:shd w:fill="auto" w:val="clear"/>
        </w:rPr>
        <w:t xml:space="preserve">, 2(1), e004473. Available at: </w:t>
      </w:r>
      <w:hyperlink xmlns:r="http://schemas.openxmlformats.org/officeDocument/2006/relationships" r:id="docRId29">
        <w:r>
          <w:rPr>
            <w:rFonts w:ascii="Arial" w:hAnsi="Arial" w:cs="Arial" w:eastAsia="Arial"/>
            <w:color w:val="0000FF"/>
            <w:spacing w:val="0"/>
            <w:position w:val="0"/>
            <w:sz w:val="24"/>
            <w:u w:val="single"/>
            <w:shd w:fill="auto" w:val="clear"/>
          </w:rPr>
          <w:t xml:space="preserve">https://doi.org/10.1161/JAHA.112.004473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Cornelissen, V.A., Buys, R. and Smart, N.A. (2013) ‘Endurance exercise beneficially affects ambulatory blood pressure: a systematic review and meta-analysis’, </w:t>
      </w:r>
      <w:r>
        <w:rPr>
          <w:rFonts w:ascii="Arial" w:hAnsi="Arial" w:cs="Arial" w:eastAsia="Arial"/>
          <w:i/>
          <w:color w:val="auto"/>
          <w:spacing w:val="0"/>
          <w:position w:val="0"/>
          <w:sz w:val="24"/>
          <w:shd w:fill="auto" w:val="clear"/>
        </w:rPr>
        <w:t xml:space="preserve">Journal of Hypertension</w:t>
      </w:r>
      <w:r>
        <w:rPr>
          <w:rFonts w:ascii="Arial" w:hAnsi="Arial" w:cs="Arial" w:eastAsia="Arial"/>
          <w:color w:val="auto"/>
          <w:spacing w:val="0"/>
          <w:position w:val="0"/>
          <w:sz w:val="24"/>
          <w:shd w:fill="auto" w:val="clear"/>
        </w:rPr>
        <w:t xml:space="preserve">, 31(4), pp. 639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648. Available at: </w:t>
      </w:r>
      <w:hyperlink xmlns:r="http://schemas.openxmlformats.org/officeDocument/2006/relationships" r:id="docRId30">
        <w:r>
          <w:rPr>
            <w:rFonts w:ascii="Arial" w:hAnsi="Arial" w:cs="Arial" w:eastAsia="Arial"/>
            <w:color w:val="0000FF"/>
            <w:spacing w:val="0"/>
            <w:position w:val="0"/>
            <w:sz w:val="24"/>
            <w:u w:val="single"/>
            <w:shd w:fill="auto" w:val="clear"/>
          </w:rPr>
          <w:t xml:space="preserve">https://doi.org/10.1097/HJH.0b013e32835ca964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Coulter, A. and Collins, A. (2011) </w:t>
      </w:r>
      <w:r>
        <w:rPr>
          <w:rFonts w:ascii="Arial" w:hAnsi="Arial" w:cs="Arial" w:eastAsia="Arial"/>
          <w:i/>
          <w:color w:val="auto"/>
          <w:spacing w:val="0"/>
          <w:position w:val="0"/>
          <w:sz w:val="24"/>
          <w:shd w:fill="auto" w:val="clear"/>
        </w:rPr>
        <w:t xml:space="preserve">Making Shared Decision-Making a Reality: No Decision about Me, Without Me</w:t>
      </w:r>
      <w:r>
        <w:rPr>
          <w:rFonts w:ascii="Arial" w:hAnsi="Arial" w:cs="Arial" w:eastAsia="Arial"/>
          <w:color w:val="auto"/>
          <w:spacing w:val="0"/>
          <w:position w:val="0"/>
          <w:sz w:val="24"/>
          <w:shd w:fill="auto" w:val="clear"/>
        </w:rPr>
        <w:t xml:space="preserve">. London: The King's Fund. Available at: </w:t>
      </w:r>
      <w:hyperlink xmlns:r="http://schemas.openxmlformats.org/officeDocument/2006/relationships" r:id="docRId31">
        <w:r>
          <w:rPr>
            <w:rFonts w:ascii="Arial" w:hAnsi="Arial" w:cs="Arial" w:eastAsia="Arial"/>
            <w:color w:val="0000FF"/>
            <w:spacing w:val="0"/>
            <w:position w:val="0"/>
            <w:sz w:val="24"/>
            <w:u w:val="single"/>
            <w:shd w:fill="auto" w:val="clear"/>
          </w:rPr>
          <w:t xml:space="preserve">https://www.kingsfund.org.uk/insight-and-analysis/reports/making-shared-decision-making-reality</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Crump, C., Sundquist, J., Winkleby, M.A. and Sundquist, K. (2016) ‘Interactive effects of physical fitness and body mass index on the risk of hypertension’, </w:t>
      </w:r>
      <w:r>
        <w:rPr>
          <w:rFonts w:ascii="Arial" w:hAnsi="Arial" w:cs="Arial" w:eastAsia="Arial"/>
          <w:i/>
          <w:color w:val="auto"/>
          <w:spacing w:val="0"/>
          <w:position w:val="0"/>
          <w:sz w:val="24"/>
          <w:shd w:fill="auto" w:val="clear"/>
        </w:rPr>
        <w:t xml:space="preserve">JAMA Internal Medicine</w:t>
      </w:r>
      <w:r>
        <w:rPr>
          <w:rFonts w:ascii="Arial" w:hAnsi="Arial" w:cs="Arial" w:eastAsia="Arial"/>
          <w:color w:val="auto"/>
          <w:spacing w:val="0"/>
          <w:position w:val="0"/>
          <w:sz w:val="24"/>
          <w:shd w:fill="auto" w:val="clear"/>
        </w:rPr>
        <w:t xml:space="preserve">, 176(2), pp. 210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216. Available at: </w:t>
      </w:r>
      <w:hyperlink xmlns:r="http://schemas.openxmlformats.org/officeDocument/2006/relationships" r:id="docRId32">
        <w:r>
          <w:rPr>
            <w:rFonts w:ascii="Arial" w:hAnsi="Arial" w:cs="Arial" w:eastAsia="Arial"/>
            <w:color w:val="0000FF"/>
            <w:spacing w:val="0"/>
            <w:position w:val="0"/>
            <w:sz w:val="24"/>
            <w:u w:val="single"/>
            <w:shd w:fill="auto" w:val="clear"/>
          </w:rPr>
          <w:t xml:space="preserve">https://doi.org/10.1001/jamainternmed.2015.7444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Dickinson, H.O., Mason, J.M., Nicolson, D.J. et al. (2006) ‘Lifestyle interventions to reduce raised blood pressure: a systematic review of randomized controlled trials’, </w:t>
      </w:r>
      <w:r>
        <w:rPr>
          <w:rFonts w:ascii="Arial" w:hAnsi="Arial" w:cs="Arial" w:eastAsia="Arial"/>
          <w:i/>
          <w:color w:val="auto"/>
          <w:spacing w:val="0"/>
          <w:position w:val="0"/>
          <w:sz w:val="24"/>
          <w:shd w:fill="auto" w:val="clear"/>
        </w:rPr>
        <w:t xml:space="preserve">Journal of Hypertension</w:t>
      </w:r>
      <w:r>
        <w:rPr>
          <w:rFonts w:ascii="Arial" w:hAnsi="Arial" w:cs="Arial" w:eastAsia="Arial"/>
          <w:color w:val="auto"/>
          <w:spacing w:val="0"/>
          <w:position w:val="0"/>
          <w:sz w:val="24"/>
          <w:shd w:fill="auto" w:val="clear"/>
        </w:rPr>
        <w:t xml:space="preserve">, 24(2), pp. 215</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233. Available at: </w:t>
      </w:r>
      <w:hyperlink xmlns:r="http://schemas.openxmlformats.org/officeDocument/2006/relationships" r:id="docRId33">
        <w:r>
          <w:rPr>
            <w:rFonts w:ascii="Arial" w:hAnsi="Arial" w:cs="Arial" w:eastAsia="Arial"/>
            <w:color w:val="0000FF"/>
            <w:spacing w:val="0"/>
            <w:position w:val="0"/>
            <w:sz w:val="24"/>
            <w:u w:val="single"/>
            <w:shd w:fill="auto" w:val="clear"/>
          </w:rPr>
          <w:t xml:space="preserve">https://doi.org/10.1097/01.hjh.0000199800.72563.26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Downie, S., Shnaigat, M. and Hosseinzadeh, H. (2022) ‘Effectiveness of health literacy- and patient activation-targeted interventions on chronic disease self-management outcomes in outpatient settings: a systematic review’, </w:t>
      </w:r>
      <w:r>
        <w:rPr>
          <w:rFonts w:ascii="Arial" w:hAnsi="Arial" w:cs="Arial" w:eastAsia="Arial"/>
          <w:i/>
          <w:color w:val="auto"/>
          <w:spacing w:val="0"/>
          <w:position w:val="0"/>
          <w:sz w:val="24"/>
          <w:shd w:fill="auto" w:val="clear"/>
        </w:rPr>
        <w:t xml:space="preserve">Australian Journal of Primary Health</w:t>
      </w:r>
      <w:r>
        <w:rPr>
          <w:rFonts w:ascii="Arial" w:hAnsi="Arial" w:cs="Arial" w:eastAsia="Arial"/>
          <w:color w:val="auto"/>
          <w:spacing w:val="0"/>
          <w:position w:val="0"/>
          <w:sz w:val="24"/>
          <w:shd w:fill="auto" w:val="clear"/>
        </w:rPr>
        <w:t xml:space="preserve">, 28(2), pp. 83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96. Available at: </w:t>
      </w:r>
      <w:hyperlink xmlns:r="http://schemas.openxmlformats.org/officeDocument/2006/relationships" r:id="docRId34">
        <w:r>
          <w:rPr>
            <w:rFonts w:ascii="Arial" w:hAnsi="Arial" w:cs="Arial" w:eastAsia="Arial"/>
            <w:color w:val="0000FF"/>
            <w:spacing w:val="0"/>
            <w:position w:val="0"/>
            <w:sz w:val="24"/>
            <w:u w:val="single"/>
            <w:shd w:fill="auto" w:val="clear"/>
          </w:rPr>
          <w:t xml:space="preserve">https://doi.org/10.1071/PY21176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 S., Zhou, Y., Fu, C. et al. (2018) ‘Health literacy and health outcomes in hypertension: an integrative review’, </w:t>
      </w:r>
      <w:r>
        <w:rPr>
          <w:rFonts w:ascii="Arial" w:hAnsi="Arial" w:cs="Arial" w:eastAsia="Arial"/>
          <w:i/>
          <w:color w:val="auto"/>
          <w:spacing w:val="0"/>
          <w:position w:val="0"/>
          <w:sz w:val="24"/>
          <w:shd w:fill="auto" w:val="clear"/>
        </w:rPr>
        <w:t xml:space="preserve">International Journal of Nursing Sciences</w:t>
      </w:r>
      <w:r>
        <w:rPr>
          <w:rFonts w:ascii="Arial" w:hAnsi="Arial" w:cs="Arial" w:eastAsia="Arial"/>
          <w:color w:val="auto"/>
          <w:spacing w:val="0"/>
          <w:position w:val="0"/>
          <w:sz w:val="24"/>
          <w:shd w:fill="auto" w:val="clear"/>
        </w:rPr>
        <w:t xml:space="preserve">, 5(1), pp. 42</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50. Available at: </w:t>
      </w:r>
      <w:hyperlink xmlns:r="http://schemas.openxmlformats.org/officeDocument/2006/relationships" r:id="docRId35">
        <w:r>
          <w:rPr>
            <w:rFonts w:ascii="Arial" w:hAnsi="Arial" w:cs="Arial" w:eastAsia="Arial"/>
            <w:color w:val="0000FF"/>
            <w:spacing w:val="0"/>
            <w:position w:val="0"/>
            <w:sz w:val="24"/>
            <w:u w:val="single"/>
            <w:shd w:fill="auto" w:val="clear"/>
          </w:rPr>
          <w:t xml:space="preserve">https://doi.org/10.1016/j.ijnss.2018.06.001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Elnaem, M.H., Mosaad, M., Abdelaziz, D.H. et al. (2022) ‘Disparities in prevalence and barriers to hypertension control: a systematic review’, </w:t>
      </w:r>
      <w:r>
        <w:rPr>
          <w:rFonts w:ascii="Arial" w:hAnsi="Arial" w:cs="Arial" w:eastAsia="Arial"/>
          <w:i/>
          <w:color w:val="auto"/>
          <w:spacing w:val="0"/>
          <w:position w:val="0"/>
          <w:sz w:val="24"/>
          <w:shd w:fill="auto" w:val="clear"/>
        </w:rPr>
        <w:t xml:space="preserve">International Journal of Environmental Research and Public Health</w:t>
      </w:r>
      <w:r>
        <w:rPr>
          <w:rFonts w:ascii="Arial" w:hAnsi="Arial" w:cs="Arial" w:eastAsia="Arial"/>
          <w:color w:val="auto"/>
          <w:spacing w:val="0"/>
          <w:position w:val="0"/>
          <w:sz w:val="24"/>
          <w:shd w:fill="auto" w:val="clear"/>
        </w:rPr>
        <w:t xml:space="preserve">, 19(21), 14571. Available at: </w:t>
      </w:r>
      <w:hyperlink xmlns:r="http://schemas.openxmlformats.org/officeDocument/2006/relationships" r:id="docRId36">
        <w:r>
          <w:rPr>
            <w:rFonts w:ascii="Arial" w:hAnsi="Arial" w:cs="Arial" w:eastAsia="Arial"/>
            <w:color w:val="0000FF"/>
            <w:spacing w:val="0"/>
            <w:position w:val="0"/>
            <w:sz w:val="24"/>
            <w:u w:val="single"/>
            <w:shd w:fill="auto" w:val="clear"/>
          </w:rPr>
          <w:t xml:space="preserve">https://doi.org/10.3390/ijerph192114571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Elwyn, G., Frosch, D., Thomson, R. et al. (2012) ‘Shared decision making: a model for clinical practice’, </w:t>
      </w:r>
      <w:r>
        <w:rPr>
          <w:rFonts w:ascii="Arial" w:hAnsi="Arial" w:cs="Arial" w:eastAsia="Arial"/>
          <w:i/>
          <w:color w:val="auto"/>
          <w:spacing w:val="0"/>
          <w:position w:val="0"/>
          <w:sz w:val="24"/>
          <w:shd w:fill="auto" w:val="clear"/>
        </w:rPr>
        <w:t xml:space="preserve">Journal of General Internal Medicine</w:t>
      </w:r>
      <w:r>
        <w:rPr>
          <w:rFonts w:ascii="Arial" w:hAnsi="Arial" w:cs="Arial" w:eastAsia="Arial"/>
          <w:color w:val="auto"/>
          <w:spacing w:val="0"/>
          <w:position w:val="0"/>
          <w:sz w:val="24"/>
          <w:shd w:fill="auto" w:val="clear"/>
        </w:rPr>
        <w:t xml:space="preserve">, 27(10), pp. 1361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1367. Available at: </w:t>
      </w:r>
      <w:hyperlink xmlns:r="http://schemas.openxmlformats.org/officeDocument/2006/relationships" r:id="docRId37">
        <w:r>
          <w:rPr>
            <w:rFonts w:ascii="Arial" w:hAnsi="Arial" w:cs="Arial" w:eastAsia="Arial"/>
            <w:color w:val="0000FF"/>
            <w:spacing w:val="0"/>
            <w:position w:val="0"/>
            <w:sz w:val="24"/>
            <w:u w:val="single"/>
            <w:shd w:fill="auto" w:val="clear"/>
          </w:rPr>
          <w:t xml:space="preserve">https://doi.org/10.1007/s11606-012-2077-6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European Society of Cardiology (2021) ‘2021 ESC Guidelines on cardiovascular disease prevention in clinical practice’, </w:t>
      </w:r>
      <w:r>
        <w:rPr>
          <w:rFonts w:ascii="Arial" w:hAnsi="Arial" w:cs="Arial" w:eastAsia="Arial"/>
          <w:i/>
          <w:color w:val="auto"/>
          <w:spacing w:val="0"/>
          <w:position w:val="0"/>
          <w:sz w:val="24"/>
          <w:shd w:fill="auto" w:val="clear"/>
        </w:rPr>
        <w:t xml:space="preserve">European Heart Journal</w:t>
      </w:r>
      <w:r>
        <w:rPr>
          <w:rFonts w:ascii="Arial" w:hAnsi="Arial" w:cs="Arial" w:eastAsia="Arial"/>
          <w:color w:val="auto"/>
          <w:spacing w:val="0"/>
          <w:position w:val="0"/>
          <w:sz w:val="24"/>
          <w:shd w:fill="auto" w:val="clear"/>
        </w:rPr>
        <w:t xml:space="preserve">, 42(34), pp. 3227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3337. Available at: </w:t>
      </w:r>
      <w:hyperlink xmlns:r="http://schemas.openxmlformats.org/officeDocument/2006/relationships" r:id="docRId38">
        <w:r>
          <w:rPr>
            <w:rFonts w:ascii="Arial" w:hAnsi="Arial" w:cs="Arial" w:eastAsia="Arial"/>
            <w:color w:val="0000FF"/>
            <w:spacing w:val="0"/>
            <w:position w:val="0"/>
            <w:sz w:val="24"/>
            <w:u w:val="single"/>
            <w:shd w:fill="auto" w:val="clear"/>
          </w:rPr>
          <w:t xml:space="preserve">https://doi.org/10.1093/eurheartj/ehab484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Filippini, T., Malavolti, M., Whelton, P.K. et al. (2021) ‘Blood pressure effects of sodium reduction: dose-response meta-analysis of experimental studies’, </w:t>
      </w:r>
      <w:r>
        <w:rPr>
          <w:rFonts w:ascii="Arial" w:hAnsi="Arial" w:cs="Arial" w:eastAsia="Arial"/>
          <w:i/>
          <w:color w:val="auto"/>
          <w:spacing w:val="0"/>
          <w:position w:val="0"/>
          <w:sz w:val="24"/>
          <w:shd w:fill="auto" w:val="clear"/>
        </w:rPr>
        <w:t xml:space="preserve">Circulation</w:t>
      </w:r>
      <w:r>
        <w:rPr>
          <w:rFonts w:ascii="Arial" w:hAnsi="Arial" w:cs="Arial" w:eastAsia="Arial"/>
          <w:color w:val="auto"/>
          <w:spacing w:val="0"/>
          <w:position w:val="0"/>
          <w:sz w:val="24"/>
          <w:shd w:fill="auto" w:val="clear"/>
        </w:rPr>
        <w:t xml:space="preserve">, 143(16), pp. 1542</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1567. Available at: </w:t>
      </w:r>
      <w:hyperlink xmlns:r="http://schemas.openxmlformats.org/officeDocument/2006/relationships" r:id="docRId39">
        <w:r>
          <w:rPr>
            <w:rFonts w:ascii="Arial" w:hAnsi="Arial" w:cs="Arial" w:eastAsia="Arial"/>
            <w:color w:val="0000FF"/>
            <w:spacing w:val="0"/>
            <w:position w:val="0"/>
            <w:sz w:val="24"/>
            <w:u w:val="single"/>
            <w:shd w:fill="auto" w:val="clear"/>
          </w:rPr>
          <w:t xml:space="preserve">https://doi.org/10.1161/CIRCULATIONAHA.120.050371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Filippou, C.D., Thomopoulos, C.G., Kouremeti, M.M. et al. (2021) ‘Mediterranean diet and blood pressure reduction in adults with and without hypertension: a systematic review and meta-analysis of randomized controlled trials’, </w:t>
      </w:r>
      <w:r>
        <w:rPr>
          <w:rFonts w:ascii="Arial" w:hAnsi="Arial" w:cs="Arial" w:eastAsia="Arial"/>
          <w:i/>
          <w:color w:val="auto"/>
          <w:spacing w:val="0"/>
          <w:position w:val="0"/>
          <w:sz w:val="24"/>
          <w:shd w:fill="auto" w:val="clear"/>
        </w:rPr>
        <w:t xml:space="preserve">Clinical Nutrition</w:t>
      </w:r>
      <w:r>
        <w:rPr>
          <w:rFonts w:ascii="Arial" w:hAnsi="Arial" w:cs="Arial" w:eastAsia="Arial"/>
          <w:color w:val="auto"/>
          <w:spacing w:val="0"/>
          <w:position w:val="0"/>
          <w:sz w:val="24"/>
          <w:shd w:fill="auto" w:val="clear"/>
        </w:rPr>
        <w:t xml:space="preserve">, 40(5), pp. 3191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3200. Available at: </w:t>
      </w:r>
      <w:hyperlink xmlns:r="http://schemas.openxmlformats.org/officeDocument/2006/relationships" r:id="docRId40">
        <w:r>
          <w:rPr>
            <w:rFonts w:ascii="Arial" w:hAnsi="Arial" w:cs="Arial" w:eastAsia="Arial"/>
            <w:color w:val="0000FF"/>
            <w:spacing w:val="0"/>
            <w:position w:val="0"/>
            <w:sz w:val="24"/>
            <w:u w:val="single"/>
            <w:shd w:fill="auto" w:val="clear"/>
          </w:rPr>
          <w:t xml:space="preserve">https://doi.org/10.1016/j.clnu.2021.01.030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Forouzanfar, M.H., Liu, P., Roth, G.A. et al. (2017) ‘Global burden of hypertension and systolic blood pressure of at least 110 to 115 mm Hg, 1990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2015</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JAMA</w:t>
      </w:r>
      <w:r>
        <w:rPr>
          <w:rFonts w:ascii="Arial" w:hAnsi="Arial" w:cs="Arial" w:eastAsia="Arial"/>
          <w:color w:val="auto"/>
          <w:spacing w:val="0"/>
          <w:position w:val="0"/>
          <w:sz w:val="24"/>
          <w:shd w:fill="auto" w:val="clear"/>
        </w:rPr>
        <w:t xml:space="preserve">, 317(2), pp. 165</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182. Available at: </w:t>
      </w:r>
      <w:hyperlink xmlns:r="http://schemas.openxmlformats.org/officeDocument/2006/relationships" r:id="docRId41">
        <w:r>
          <w:rPr>
            <w:rFonts w:ascii="Arial" w:hAnsi="Arial" w:cs="Arial" w:eastAsia="Arial"/>
            <w:color w:val="0000FF"/>
            <w:spacing w:val="0"/>
            <w:position w:val="0"/>
            <w:sz w:val="24"/>
            <w:u w:val="single"/>
            <w:shd w:fill="auto" w:val="clear"/>
          </w:rPr>
          <w:t xml:space="preserve">https://doi.org/10.1001/jama.2016.19043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Fryar, C.D., Kit, B.K., Carroll, M.D. and Afful, J. (2024) </w:t>
      </w:r>
      <w:r>
        <w:rPr>
          <w:rFonts w:ascii="Arial" w:hAnsi="Arial" w:cs="Arial" w:eastAsia="Arial"/>
          <w:i/>
          <w:color w:val="auto"/>
          <w:spacing w:val="0"/>
          <w:position w:val="0"/>
          <w:sz w:val="24"/>
          <w:shd w:fill="auto" w:val="clear"/>
        </w:rPr>
        <w:t xml:space="preserve">Hypertension prevalence, awareness, treatment, and control among adults age 18 and older: United States, August 2021</w:t>
      </w:r>
      <w:r>
        <w:rPr>
          <w:rFonts w:ascii="Arial" w:hAnsi="Arial" w:cs="Arial" w:eastAsia="Arial"/>
          <w:i/>
          <w:color w:val="auto"/>
          <w:spacing w:val="0"/>
          <w:position w:val="0"/>
          <w:sz w:val="24"/>
          <w:shd w:fill="auto" w:val="clear"/>
        </w:rPr>
        <w:t xml:space="preserve">–</w:t>
      </w:r>
      <w:r>
        <w:rPr>
          <w:rFonts w:ascii="Arial" w:hAnsi="Arial" w:cs="Arial" w:eastAsia="Arial"/>
          <w:i/>
          <w:color w:val="auto"/>
          <w:spacing w:val="0"/>
          <w:position w:val="0"/>
          <w:sz w:val="24"/>
          <w:shd w:fill="auto" w:val="clear"/>
        </w:rPr>
        <w:t xml:space="preserve">August 2023</w:t>
      </w:r>
      <w:r>
        <w:rPr>
          <w:rFonts w:ascii="Arial" w:hAnsi="Arial" w:cs="Arial" w:eastAsia="Arial"/>
          <w:color w:val="auto"/>
          <w:spacing w:val="0"/>
          <w:position w:val="0"/>
          <w:sz w:val="24"/>
          <w:shd w:fill="auto" w:val="clear"/>
        </w:rPr>
        <w:t xml:space="preserve">. NCHS Data Brief, no. 511. Hyattsville, MD: National Center for Health Statistics. Available at: </w:t>
      </w:r>
      <w:hyperlink xmlns:r="http://schemas.openxmlformats.org/officeDocument/2006/relationships" r:id="docRId42">
        <w:r>
          <w:rPr>
            <w:rFonts w:ascii="Arial" w:hAnsi="Arial" w:cs="Arial" w:eastAsia="Arial"/>
            <w:color w:val="0000FF"/>
            <w:spacing w:val="0"/>
            <w:position w:val="0"/>
            <w:sz w:val="24"/>
            <w:u w:val="single"/>
            <w:shd w:fill="auto" w:val="clear"/>
          </w:rPr>
          <w:t xml:space="preserve">https://doi.org/10.15620/cdc/164016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Glanz, K., Rimer, B.K. and Viswanath, K. (eds.) (2015) </w:t>
      </w:r>
      <w:r>
        <w:rPr>
          <w:rFonts w:ascii="Arial" w:hAnsi="Arial" w:cs="Arial" w:eastAsia="Arial"/>
          <w:i/>
          <w:color w:val="auto"/>
          <w:spacing w:val="0"/>
          <w:position w:val="0"/>
          <w:sz w:val="24"/>
          <w:shd w:fill="auto" w:val="clear"/>
        </w:rPr>
        <w:t xml:space="preserve">Health Behavior: Theory, Research, and Practice</w:t>
      </w:r>
      <w:r>
        <w:rPr>
          <w:rFonts w:ascii="Arial" w:hAnsi="Arial" w:cs="Arial" w:eastAsia="Arial"/>
          <w:color w:val="auto"/>
          <w:spacing w:val="0"/>
          <w:position w:val="0"/>
          <w:sz w:val="24"/>
          <w:shd w:fill="auto" w:val="clear"/>
        </w:rPr>
        <w:t xml:space="preserve">. 5th edn. San Francisco: Jossey-Bass.</w:t>
      </w:r>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Guo, R., Li, N., Yang, R. et al. (2021) ‘Effects of the modified DASH diet on adults with elevated blood pressure or hypertension: a systematic review and meta-analysis’, </w:t>
      </w:r>
      <w:r>
        <w:rPr>
          <w:rFonts w:ascii="Arial" w:hAnsi="Arial" w:cs="Arial" w:eastAsia="Arial"/>
          <w:i/>
          <w:color w:val="auto"/>
          <w:spacing w:val="0"/>
          <w:position w:val="0"/>
          <w:sz w:val="24"/>
          <w:shd w:fill="auto" w:val="clear"/>
        </w:rPr>
        <w:t xml:space="preserve">Frontiers in Nutrition</w:t>
      </w:r>
      <w:r>
        <w:rPr>
          <w:rFonts w:ascii="Arial" w:hAnsi="Arial" w:cs="Arial" w:eastAsia="Arial"/>
          <w:color w:val="auto"/>
          <w:spacing w:val="0"/>
          <w:position w:val="0"/>
          <w:sz w:val="24"/>
          <w:shd w:fill="auto" w:val="clear"/>
        </w:rPr>
        <w:t xml:space="preserve">, 8, 725020. Available at: </w:t>
      </w:r>
      <w:hyperlink xmlns:r="http://schemas.openxmlformats.org/officeDocument/2006/relationships" r:id="docRId43">
        <w:r>
          <w:rPr>
            <w:rFonts w:ascii="Arial" w:hAnsi="Arial" w:cs="Arial" w:eastAsia="Arial"/>
            <w:color w:val="0000FF"/>
            <w:spacing w:val="0"/>
            <w:position w:val="0"/>
            <w:sz w:val="24"/>
            <w:u w:val="single"/>
            <w:shd w:fill="auto" w:val="clear"/>
          </w:rPr>
          <w:t xml:space="preserve">https://doi.org/10.3389/fnut.2021.725020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Hayanga, B., Stafford, M. and Bécares, L. (2023) ‘Ethnic inequalities in multiple long-term health conditions in the United Kingdom: a systematic review and narrative synthesis’, </w:t>
      </w:r>
      <w:r>
        <w:rPr>
          <w:rFonts w:ascii="Arial" w:hAnsi="Arial" w:cs="Arial" w:eastAsia="Arial"/>
          <w:i/>
          <w:color w:val="auto"/>
          <w:spacing w:val="0"/>
          <w:position w:val="0"/>
          <w:sz w:val="24"/>
          <w:shd w:fill="auto" w:val="clear"/>
        </w:rPr>
        <w:t xml:space="preserve">BMC Public Health</w:t>
      </w:r>
      <w:r>
        <w:rPr>
          <w:rFonts w:ascii="Arial" w:hAnsi="Arial" w:cs="Arial" w:eastAsia="Arial"/>
          <w:color w:val="auto"/>
          <w:spacing w:val="0"/>
          <w:position w:val="0"/>
          <w:sz w:val="24"/>
          <w:shd w:fill="auto" w:val="clear"/>
        </w:rPr>
        <w:t xml:space="preserve">, 23, 178. Available at: </w:t>
      </w:r>
      <w:hyperlink xmlns:r="http://schemas.openxmlformats.org/officeDocument/2006/relationships" r:id="docRId44">
        <w:r>
          <w:rPr>
            <w:rFonts w:ascii="Arial" w:hAnsi="Arial" w:cs="Arial" w:eastAsia="Arial"/>
            <w:color w:val="0000FF"/>
            <w:spacing w:val="0"/>
            <w:position w:val="0"/>
            <w:sz w:val="24"/>
            <w:u w:val="single"/>
            <w:shd w:fill="auto" w:val="clear"/>
          </w:rPr>
          <w:t xml:space="preserve">https://doi.org/10.1186/s12889-022-14940-w</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 F.J. and MacGregor, G.A. (2004) ‘Effect of longer-term modest salt reduction on blood pressure’, </w:t>
      </w:r>
      <w:r>
        <w:rPr>
          <w:rFonts w:ascii="Arial" w:hAnsi="Arial" w:cs="Arial" w:eastAsia="Arial"/>
          <w:i/>
          <w:color w:val="auto"/>
          <w:spacing w:val="0"/>
          <w:position w:val="0"/>
          <w:sz w:val="24"/>
          <w:shd w:fill="auto" w:val="clear"/>
        </w:rPr>
        <w:t xml:space="preserve">Cochrane Database of Systematic Reviews</w:t>
      </w:r>
      <w:r>
        <w:rPr>
          <w:rFonts w:ascii="Arial" w:hAnsi="Arial" w:cs="Arial" w:eastAsia="Arial"/>
          <w:color w:val="auto"/>
          <w:spacing w:val="0"/>
          <w:position w:val="0"/>
          <w:sz w:val="24"/>
          <w:shd w:fill="auto" w:val="clear"/>
        </w:rPr>
        <w:t xml:space="preserve">, (3), CD004937. Available at: </w:t>
      </w:r>
      <w:hyperlink xmlns:r="http://schemas.openxmlformats.org/officeDocument/2006/relationships" r:id="docRId45">
        <w:r>
          <w:rPr>
            <w:rFonts w:ascii="Arial" w:hAnsi="Arial" w:cs="Arial" w:eastAsia="Arial"/>
            <w:color w:val="0000FF"/>
            <w:spacing w:val="0"/>
            <w:position w:val="0"/>
            <w:sz w:val="24"/>
            <w:u w:val="single"/>
            <w:shd w:fill="auto" w:val="clear"/>
          </w:rPr>
          <w:t xml:space="preserve">https://doi.org/10.1002/14651858.CD004937.pub2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Higgins, J.P.T., Thomas, J., Chandler, J. et al. (eds.) (2024) </w:t>
      </w:r>
      <w:r>
        <w:rPr>
          <w:rFonts w:ascii="Arial" w:hAnsi="Arial" w:cs="Arial" w:eastAsia="Arial"/>
          <w:i/>
          <w:color w:val="auto"/>
          <w:spacing w:val="0"/>
          <w:position w:val="0"/>
          <w:sz w:val="24"/>
          <w:shd w:fill="auto" w:val="clear"/>
        </w:rPr>
        <w:t xml:space="preserve">Cochrane Handbook for Systematic Reviews of Interventions</w:t>
      </w:r>
      <w:r>
        <w:rPr>
          <w:rFonts w:ascii="Arial" w:hAnsi="Arial" w:cs="Arial" w:eastAsia="Arial"/>
          <w:color w:val="auto"/>
          <w:spacing w:val="0"/>
          <w:position w:val="0"/>
          <w:sz w:val="24"/>
          <w:shd w:fill="auto" w:val="clear"/>
        </w:rPr>
        <w:t xml:space="preserve">. Version 6.5. Cochrane. Available at: </w:t>
      </w:r>
      <w:hyperlink xmlns:r="http://schemas.openxmlformats.org/officeDocument/2006/relationships" r:id="docRId46">
        <w:r>
          <w:rPr>
            <w:rFonts w:ascii="Arial" w:hAnsi="Arial" w:cs="Arial" w:eastAsia="Arial"/>
            <w:color w:val="0000FF"/>
            <w:spacing w:val="0"/>
            <w:position w:val="0"/>
            <w:sz w:val="24"/>
            <w:u w:val="single"/>
            <w:shd w:fill="auto" w:val="clear"/>
          </w:rPr>
          <w:t xml:space="preserve">https://www.cochrane.org/authors/handbooks-and-manuals/handbook/current</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Himmelfarb, C.D. and Commodore-Mensah, Y. (2016) ‘The blood pressure paradox in African Americans’, </w:t>
      </w:r>
      <w:r>
        <w:rPr>
          <w:rFonts w:ascii="Arial" w:hAnsi="Arial" w:cs="Arial" w:eastAsia="Arial"/>
          <w:i/>
          <w:color w:val="auto"/>
          <w:spacing w:val="0"/>
          <w:position w:val="0"/>
          <w:sz w:val="24"/>
          <w:shd w:fill="auto" w:val="clear"/>
        </w:rPr>
        <w:t xml:space="preserve">Journal of Clinical Hypertension</w:t>
      </w:r>
      <w:r>
        <w:rPr>
          <w:rFonts w:ascii="Arial" w:hAnsi="Arial" w:cs="Arial" w:eastAsia="Arial"/>
          <w:color w:val="auto"/>
          <w:spacing w:val="0"/>
          <w:position w:val="0"/>
          <w:sz w:val="24"/>
          <w:shd w:fill="auto" w:val="clear"/>
        </w:rPr>
        <w:t xml:space="preserve">, 18(3), pp. 184</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185. Available at: </w:t>
      </w:r>
      <w:hyperlink xmlns:r="http://schemas.openxmlformats.org/officeDocument/2006/relationships" r:id="docRId47">
        <w:r>
          <w:rPr>
            <w:rFonts w:ascii="Arial" w:hAnsi="Arial" w:cs="Arial" w:eastAsia="Arial"/>
            <w:color w:val="0000FF"/>
            <w:spacing w:val="0"/>
            <w:position w:val="0"/>
            <w:sz w:val="24"/>
            <w:u w:val="single"/>
            <w:shd w:fill="auto" w:val="clear"/>
          </w:rPr>
          <w:t xml:space="preserve">https://doi.org/10.1111/jch.12745</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Horne, R., Chapman, S.C.E., Parham, R. et al. (2013) ‘Understanding patients’ adherence-related beliefs about medicines prescribed for long-term conditions: a meta-analytic review of the Necessity-Concerns Framework’, </w:t>
      </w:r>
      <w:r>
        <w:rPr>
          <w:rFonts w:ascii="Arial" w:hAnsi="Arial" w:cs="Arial" w:eastAsia="Arial"/>
          <w:i/>
          <w:color w:val="auto"/>
          <w:spacing w:val="0"/>
          <w:position w:val="0"/>
          <w:sz w:val="24"/>
          <w:shd w:fill="auto" w:val="clear"/>
        </w:rPr>
        <w:t xml:space="preserve">PLoS ONE</w:t>
      </w:r>
      <w:r>
        <w:rPr>
          <w:rFonts w:ascii="Arial" w:hAnsi="Arial" w:cs="Arial" w:eastAsia="Arial"/>
          <w:color w:val="auto"/>
          <w:spacing w:val="0"/>
          <w:position w:val="0"/>
          <w:sz w:val="24"/>
          <w:shd w:fill="auto" w:val="clear"/>
        </w:rPr>
        <w:t xml:space="preserve">, 8(12), e80633. Available at: </w:t>
      </w:r>
      <w:hyperlink xmlns:r="http://schemas.openxmlformats.org/officeDocument/2006/relationships" r:id="docRId48">
        <w:r>
          <w:rPr>
            <w:rFonts w:ascii="Arial" w:hAnsi="Arial" w:cs="Arial" w:eastAsia="Arial"/>
            <w:color w:val="0000FF"/>
            <w:spacing w:val="0"/>
            <w:position w:val="0"/>
            <w:sz w:val="24"/>
            <w:u w:val="single"/>
            <w:shd w:fill="auto" w:val="clear"/>
          </w:rPr>
          <w:t xml:space="preserve">https://doi.org/10.1371/journal.pone.0080633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Huang, L., Neal, B., Wu, J.H.Y. et al. (2021) ‘The impact of baseline potassium intake on the dose-response relation between sodium reduction and blood pressure change: systematic review and meta-analysis of randomized trials’, </w:t>
      </w:r>
      <w:r>
        <w:rPr>
          <w:rFonts w:ascii="Arial" w:hAnsi="Arial" w:cs="Arial" w:eastAsia="Arial"/>
          <w:i/>
          <w:color w:val="auto"/>
          <w:spacing w:val="0"/>
          <w:position w:val="0"/>
          <w:sz w:val="24"/>
          <w:shd w:fill="auto" w:val="clear"/>
        </w:rPr>
        <w:t xml:space="preserve">Journal of Human Hypertension</w:t>
      </w:r>
      <w:r>
        <w:rPr>
          <w:rFonts w:ascii="Arial" w:hAnsi="Arial" w:cs="Arial" w:eastAsia="Arial"/>
          <w:color w:val="auto"/>
          <w:spacing w:val="0"/>
          <w:position w:val="0"/>
          <w:sz w:val="24"/>
          <w:shd w:fill="auto" w:val="clear"/>
        </w:rPr>
        <w:t xml:space="preserve">, 35, pp. 946</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957. Available at: </w:t>
      </w:r>
      <w:hyperlink xmlns:r="http://schemas.openxmlformats.org/officeDocument/2006/relationships" r:id="docRId49">
        <w:r>
          <w:rPr>
            <w:rFonts w:ascii="Arial" w:hAnsi="Arial" w:cs="Arial" w:eastAsia="Arial"/>
            <w:color w:val="0000FF"/>
            <w:spacing w:val="0"/>
            <w:position w:val="0"/>
            <w:sz w:val="24"/>
            <w:u w:val="single"/>
            <w:shd w:fill="auto" w:val="clear"/>
          </w:rPr>
          <w:t xml:space="preserve">https://doi.org/10.1038/s41371-021-00510-x</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Huang, X., Xu, N., Wang, Y. et al. (2023) ‘The effects of motivational interviewing on hypertension management: a systematic review and meta-analysis’, </w:t>
      </w:r>
      <w:r>
        <w:rPr>
          <w:rFonts w:ascii="Arial" w:hAnsi="Arial" w:cs="Arial" w:eastAsia="Arial"/>
          <w:i/>
          <w:color w:val="auto"/>
          <w:spacing w:val="0"/>
          <w:position w:val="0"/>
          <w:sz w:val="24"/>
          <w:shd w:fill="auto" w:val="clear"/>
        </w:rPr>
        <w:t xml:space="preserve">Patient Education and Counseling</w:t>
      </w:r>
      <w:r>
        <w:rPr>
          <w:rFonts w:ascii="Arial" w:hAnsi="Arial" w:cs="Arial" w:eastAsia="Arial"/>
          <w:color w:val="auto"/>
          <w:spacing w:val="0"/>
          <w:position w:val="0"/>
          <w:sz w:val="24"/>
          <w:shd w:fill="auto" w:val="clear"/>
        </w:rPr>
        <w:t xml:space="preserve">, 112, 107760. Available at: </w:t>
      </w:r>
      <w:hyperlink xmlns:r="http://schemas.openxmlformats.org/officeDocument/2006/relationships" r:id="docRId50">
        <w:r>
          <w:rPr>
            <w:rFonts w:ascii="Arial" w:hAnsi="Arial" w:cs="Arial" w:eastAsia="Arial"/>
            <w:color w:val="0000FF"/>
            <w:spacing w:val="0"/>
            <w:position w:val="0"/>
            <w:sz w:val="24"/>
            <w:u w:val="single"/>
            <w:shd w:fill="auto" w:val="clear"/>
          </w:rPr>
          <w:t xml:space="preserve">https://doi.org/10.1016/j.pec.2023.107760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Isa, D.M., Shahar, S., He, F.J. and Majid, H.A. (2021) ‘Associations of health literacy with blood pressure and dietary salt intake among adults: a systematic review’, </w:t>
      </w:r>
      <w:r>
        <w:rPr>
          <w:rFonts w:ascii="Arial" w:hAnsi="Arial" w:cs="Arial" w:eastAsia="Arial"/>
          <w:i/>
          <w:color w:val="auto"/>
          <w:spacing w:val="0"/>
          <w:position w:val="0"/>
          <w:sz w:val="24"/>
          <w:shd w:fill="auto" w:val="clear"/>
        </w:rPr>
        <w:t xml:space="preserve">Nutrients</w:t>
      </w:r>
      <w:r>
        <w:rPr>
          <w:rFonts w:ascii="Arial" w:hAnsi="Arial" w:cs="Arial" w:eastAsia="Arial"/>
          <w:color w:val="auto"/>
          <w:spacing w:val="0"/>
          <w:position w:val="0"/>
          <w:sz w:val="24"/>
          <w:shd w:fill="auto" w:val="clear"/>
        </w:rPr>
        <w:t xml:space="preserve">, 13(12), 4534. Available at: </w:t>
      </w:r>
      <w:hyperlink xmlns:r="http://schemas.openxmlformats.org/officeDocument/2006/relationships" r:id="docRId51">
        <w:r>
          <w:rPr>
            <w:rFonts w:ascii="Arial" w:hAnsi="Arial" w:cs="Arial" w:eastAsia="Arial"/>
            <w:color w:val="0000FF"/>
            <w:spacing w:val="0"/>
            <w:position w:val="0"/>
            <w:sz w:val="24"/>
            <w:u w:val="single"/>
            <w:shd w:fill="auto" w:val="clear"/>
          </w:rPr>
          <w:t xml:space="preserve">https://doi.org/10.3390/nu13124534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Islam, M.S., Fardousi, A., Sizear, M.I. et al. (2023) ‘Effect of leisure-time physical activity on blood pressure in people with hypertension: a systematic review and meta-analysis’, </w:t>
      </w:r>
      <w:r>
        <w:rPr>
          <w:rFonts w:ascii="Arial" w:hAnsi="Arial" w:cs="Arial" w:eastAsia="Arial"/>
          <w:i/>
          <w:color w:val="auto"/>
          <w:spacing w:val="0"/>
          <w:position w:val="0"/>
          <w:sz w:val="24"/>
          <w:shd w:fill="auto" w:val="clear"/>
        </w:rPr>
        <w:t xml:space="preserve">Scientific Reports</w:t>
      </w:r>
      <w:r>
        <w:rPr>
          <w:rFonts w:ascii="Arial" w:hAnsi="Arial" w:cs="Arial" w:eastAsia="Arial"/>
          <w:color w:val="auto"/>
          <w:spacing w:val="0"/>
          <w:position w:val="0"/>
          <w:sz w:val="24"/>
          <w:shd w:fill="auto" w:val="clear"/>
        </w:rPr>
        <w:t xml:space="preserve">, 13, 10639. Available at: </w:t>
      </w:r>
      <w:hyperlink xmlns:r="http://schemas.openxmlformats.org/officeDocument/2006/relationships" r:id="docRId52">
        <w:r>
          <w:rPr>
            <w:rFonts w:ascii="Arial" w:hAnsi="Arial" w:cs="Arial" w:eastAsia="Arial"/>
            <w:color w:val="0000FF"/>
            <w:spacing w:val="0"/>
            <w:position w:val="0"/>
            <w:sz w:val="24"/>
            <w:u w:val="single"/>
            <w:shd w:fill="auto" w:val="clear"/>
          </w:rPr>
          <w:t xml:space="preserve">https://doi.org/10.1038/s41598-023-37149-2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Jones, C.J., Jensen, J.D., Scherr, C.L. et al. (2015) ‘The Health Belief Model as an explanatory framework in communication research’, </w:t>
      </w:r>
      <w:r>
        <w:rPr>
          <w:rFonts w:ascii="Arial" w:hAnsi="Arial" w:cs="Arial" w:eastAsia="Arial"/>
          <w:i/>
          <w:color w:val="auto"/>
          <w:spacing w:val="0"/>
          <w:position w:val="0"/>
          <w:sz w:val="24"/>
          <w:shd w:fill="auto" w:val="clear"/>
        </w:rPr>
        <w:t xml:space="preserve">Health Communication</w:t>
      </w:r>
      <w:r>
        <w:rPr>
          <w:rFonts w:ascii="Arial" w:hAnsi="Arial" w:cs="Arial" w:eastAsia="Arial"/>
          <w:color w:val="auto"/>
          <w:spacing w:val="0"/>
          <w:position w:val="0"/>
          <w:sz w:val="24"/>
          <w:shd w:fill="auto" w:val="clear"/>
        </w:rPr>
        <w:t xml:space="preserve">, 30(6), pp. 566</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576. Available at: </w:t>
      </w:r>
      <w:hyperlink xmlns:r="http://schemas.openxmlformats.org/officeDocument/2006/relationships" r:id="docRId53">
        <w:r>
          <w:rPr>
            <w:rFonts w:ascii="Arial" w:hAnsi="Arial" w:cs="Arial" w:eastAsia="Arial"/>
            <w:color w:val="0000FF"/>
            <w:spacing w:val="0"/>
            <w:position w:val="0"/>
            <w:sz w:val="24"/>
            <w:u w:val="single"/>
            <w:shd w:fill="auto" w:val="clear"/>
          </w:rPr>
          <w:t xml:space="preserve">https://doi.org/10.1080/10410236.2013.873363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Joseph-Williams, N., Elwyn, G. and Edwards, A. (2014) ‘Knowledge is not power for patients: a systematic review and thematic synthesis of patient-reported barriers and facilitators to shared decision making’, </w:t>
      </w:r>
      <w:r>
        <w:rPr>
          <w:rFonts w:ascii="Arial" w:hAnsi="Arial" w:cs="Arial" w:eastAsia="Arial"/>
          <w:i/>
          <w:color w:val="auto"/>
          <w:spacing w:val="0"/>
          <w:position w:val="0"/>
          <w:sz w:val="24"/>
          <w:shd w:fill="auto" w:val="clear"/>
        </w:rPr>
        <w:t xml:space="preserve">Patient Education and Counseling</w:t>
      </w:r>
      <w:r>
        <w:rPr>
          <w:rFonts w:ascii="Arial" w:hAnsi="Arial" w:cs="Arial" w:eastAsia="Arial"/>
          <w:color w:val="auto"/>
          <w:spacing w:val="0"/>
          <w:position w:val="0"/>
          <w:sz w:val="24"/>
          <w:shd w:fill="auto" w:val="clear"/>
        </w:rPr>
        <w:t xml:space="preserve">, 94(3), pp. 291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309. Available at: </w:t>
      </w:r>
      <w:hyperlink xmlns:r="http://schemas.openxmlformats.org/officeDocument/2006/relationships" r:id="docRId54">
        <w:r>
          <w:rPr>
            <w:rFonts w:ascii="Arial" w:hAnsi="Arial" w:cs="Arial" w:eastAsia="Arial"/>
            <w:color w:val="0000FF"/>
            <w:spacing w:val="0"/>
            <w:position w:val="0"/>
            <w:sz w:val="24"/>
            <w:u w:val="single"/>
            <w:shd w:fill="auto" w:val="clear"/>
          </w:rPr>
          <w:t xml:space="preserve">https://doi.org/10.1016/j.pec.2013.10.031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Kennedy, O., Su, F., Pears, R., Walmsley, E. and Roderick, P. (2019) ‘Evaluating the effectiveness of the NHS Health Check programme in South England: a quasi-randomised controlled trial’, </w:t>
      </w:r>
      <w:r>
        <w:rPr>
          <w:rFonts w:ascii="Arial" w:hAnsi="Arial" w:cs="Arial" w:eastAsia="Arial"/>
          <w:i/>
          <w:color w:val="auto"/>
          <w:spacing w:val="0"/>
          <w:position w:val="0"/>
          <w:sz w:val="24"/>
          <w:shd w:fill="auto" w:val="clear"/>
        </w:rPr>
        <w:t xml:space="preserve">BMJ Open</w:t>
      </w:r>
      <w:r>
        <w:rPr>
          <w:rFonts w:ascii="Arial" w:hAnsi="Arial" w:cs="Arial" w:eastAsia="Arial"/>
          <w:color w:val="auto"/>
          <w:spacing w:val="0"/>
          <w:position w:val="0"/>
          <w:sz w:val="24"/>
          <w:shd w:fill="auto" w:val="clear"/>
        </w:rPr>
        <w:t xml:space="preserve">, 9(9), e029420. Available at: </w:t>
      </w:r>
      <w:hyperlink xmlns:r="http://schemas.openxmlformats.org/officeDocument/2006/relationships" r:id="docRId55">
        <w:r>
          <w:rPr>
            <w:rFonts w:ascii="Arial" w:hAnsi="Arial" w:cs="Arial" w:eastAsia="Arial"/>
            <w:color w:val="0000FF"/>
            <w:spacing w:val="0"/>
            <w:position w:val="0"/>
            <w:sz w:val="24"/>
            <w:u w:val="single"/>
            <w:shd w:fill="auto" w:val="clear"/>
          </w:rPr>
          <w:t xml:space="preserve">https://doi.org/10.1136/bmjopen-2019-029420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Khatib, R., Schwalm, J.D., Yusuf, S. et al. (2014) ‘Individual and healthcare provider barriers to hypertension awareness, treatment and follow up: a systematic review and meta-analysis’, </w:t>
      </w:r>
      <w:r>
        <w:rPr>
          <w:rFonts w:ascii="Arial" w:hAnsi="Arial" w:cs="Arial" w:eastAsia="Arial"/>
          <w:i/>
          <w:color w:val="auto"/>
          <w:spacing w:val="0"/>
          <w:position w:val="0"/>
          <w:sz w:val="24"/>
          <w:shd w:fill="auto" w:val="clear"/>
        </w:rPr>
        <w:t xml:space="preserve">PLoS ONE</w:t>
      </w:r>
      <w:r>
        <w:rPr>
          <w:rFonts w:ascii="Arial" w:hAnsi="Arial" w:cs="Arial" w:eastAsia="Arial"/>
          <w:color w:val="auto"/>
          <w:spacing w:val="0"/>
          <w:position w:val="0"/>
          <w:sz w:val="24"/>
          <w:shd w:fill="auto" w:val="clear"/>
        </w:rPr>
        <w:t xml:space="preserve">, 9(1), e84238. Available at: </w:t>
      </w:r>
      <w:hyperlink xmlns:r="http://schemas.openxmlformats.org/officeDocument/2006/relationships" r:id="docRId56">
        <w:r>
          <w:rPr>
            <w:rFonts w:ascii="Arial" w:hAnsi="Arial" w:cs="Arial" w:eastAsia="Arial"/>
            <w:color w:val="0000FF"/>
            <w:spacing w:val="0"/>
            <w:position w:val="0"/>
            <w:sz w:val="24"/>
            <w:u w:val="single"/>
            <w:shd w:fill="auto" w:val="clear"/>
          </w:rPr>
          <w:t xml:space="preserve">https://doi.org/10.1371/journal.pone.0084238</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Kickbusch, I., Wait, S. and Maag, D. (2006) </w:t>
      </w:r>
      <w:r>
        <w:rPr>
          <w:rFonts w:ascii="Arial" w:hAnsi="Arial" w:cs="Arial" w:eastAsia="Arial"/>
          <w:i/>
          <w:color w:val="auto"/>
          <w:spacing w:val="0"/>
          <w:position w:val="0"/>
          <w:sz w:val="24"/>
          <w:shd w:fill="auto" w:val="clear"/>
        </w:rPr>
        <w:t xml:space="preserve">Navigating Health: The Role of Health Literacy</w:t>
      </w:r>
      <w:r>
        <w:rPr>
          <w:rFonts w:ascii="Arial" w:hAnsi="Arial" w:cs="Arial" w:eastAsia="Arial"/>
          <w:color w:val="auto"/>
          <w:spacing w:val="0"/>
          <w:position w:val="0"/>
          <w:sz w:val="24"/>
          <w:shd w:fill="auto" w:val="clear"/>
        </w:rPr>
        <w:t xml:space="preserve">. European Health Forum Gastein. Available at: </w:t>
      </w:r>
      <w:hyperlink xmlns:r="http://schemas.openxmlformats.org/officeDocument/2006/relationships" r:id="docRId57">
        <w:r>
          <w:rPr>
            <w:rFonts w:ascii="Arial" w:hAnsi="Arial" w:cs="Arial" w:eastAsia="Arial"/>
            <w:color w:val="0000FF"/>
            <w:spacing w:val="0"/>
            <w:position w:val="0"/>
            <w:sz w:val="24"/>
            <w:u w:val="single"/>
            <w:shd w:fill="auto" w:val="clear"/>
          </w:rPr>
          <w:t xml:space="preserve">https://www.eurohealth.ie/wp-content/uploads/2018/02/Navigating-Health.pdf</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Légaré, F., Adekpedjou, R., Stacey, D. et al. (2018) ‘Interventions for increasing the use of shared decision making by healthcare professionals’, </w:t>
      </w:r>
      <w:r>
        <w:rPr>
          <w:rFonts w:ascii="Arial" w:hAnsi="Arial" w:cs="Arial" w:eastAsia="Arial"/>
          <w:i/>
          <w:color w:val="auto"/>
          <w:spacing w:val="0"/>
          <w:position w:val="0"/>
          <w:sz w:val="24"/>
          <w:shd w:fill="auto" w:val="clear"/>
        </w:rPr>
        <w:t xml:space="preserve">Cochrane Database of Systematic Reviews</w:t>
      </w:r>
      <w:r>
        <w:rPr>
          <w:rFonts w:ascii="Arial" w:hAnsi="Arial" w:cs="Arial" w:eastAsia="Arial"/>
          <w:color w:val="auto"/>
          <w:spacing w:val="0"/>
          <w:position w:val="0"/>
          <w:sz w:val="24"/>
          <w:shd w:fill="auto" w:val="clear"/>
        </w:rPr>
        <w:t xml:space="preserve">, 7, CD006732. Available at: </w:t>
      </w:r>
      <w:hyperlink xmlns:r="http://schemas.openxmlformats.org/officeDocument/2006/relationships" r:id="docRId58">
        <w:r>
          <w:rPr>
            <w:rFonts w:ascii="Arial" w:hAnsi="Arial" w:cs="Arial" w:eastAsia="Arial"/>
            <w:color w:val="0000FF"/>
            <w:spacing w:val="0"/>
            <w:position w:val="0"/>
            <w:sz w:val="24"/>
            <w:u w:val="single"/>
            <w:shd w:fill="auto" w:val="clear"/>
          </w:rPr>
          <w:t xml:space="preserve">https://doi.org/10.1002/14651858.CD006732.pub4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 B., Yan, N., Jiang, H. et al. (2023) ‘Consumption of sugar sweetened beverages, artificially sweetened beverages and fruit juices and risk of type 2 diabetes, hypertension, cardiovascular disease, and mortality: a meta-analysis’, </w:t>
      </w:r>
      <w:r>
        <w:rPr>
          <w:rFonts w:ascii="Arial" w:hAnsi="Arial" w:cs="Arial" w:eastAsia="Arial"/>
          <w:i/>
          <w:color w:val="auto"/>
          <w:spacing w:val="0"/>
          <w:position w:val="0"/>
          <w:sz w:val="24"/>
          <w:shd w:fill="auto" w:val="clear"/>
        </w:rPr>
        <w:t xml:space="preserve">Frontiers in Nutrition</w:t>
      </w:r>
      <w:r>
        <w:rPr>
          <w:rFonts w:ascii="Arial" w:hAnsi="Arial" w:cs="Arial" w:eastAsia="Arial"/>
          <w:color w:val="auto"/>
          <w:spacing w:val="0"/>
          <w:position w:val="0"/>
          <w:sz w:val="24"/>
          <w:shd w:fill="auto" w:val="clear"/>
        </w:rPr>
        <w:t xml:space="preserve">, 10, 1019534. Available at: </w:t>
      </w:r>
      <w:hyperlink xmlns:r="http://schemas.openxmlformats.org/officeDocument/2006/relationships" r:id="docRId59">
        <w:r>
          <w:rPr>
            <w:rFonts w:ascii="Arial" w:hAnsi="Arial" w:cs="Arial" w:eastAsia="Arial"/>
            <w:color w:val="0000FF"/>
            <w:spacing w:val="0"/>
            <w:position w:val="0"/>
            <w:sz w:val="24"/>
            <w:u w:val="single"/>
            <w:shd w:fill="auto" w:val="clear"/>
          </w:rPr>
          <w:t xml:space="preserve">https://doi.org/10.3389/fnut.2023.1019534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Lockwood, C., Porritt, K., Munn, Z. et al. (2020) ‘Systematic reviews of qualitative evidence’, in Aromataris, E. and Munn, Z. (eds.) </w:t>
      </w:r>
      <w:r>
        <w:rPr>
          <w:rFonts w:ascii="Arial" w:hAnsi="Arial" w:cs="Arial" w:eastAsia="Arial"/>
          <w:i/>
          <w:color w:val="auto"/>
          <w:spacing w:val="0"/>
          <w:position w:val="0"/>
          <w:sz w:val="24"/>
          <w:shd w:fill="auto" w:val="clear"/>
        </w:rPr>
        <w:t xml:space="preserve">JBI Manual for Evidence Synthesis</w:t>
      </w:r>
      <w:r>
        <w:rPr>
          <w:rFonts w:ascii="Arial" w:hAnsi="Arial" w:cs="Arial" w:eastAsia="Arial"/>
          <w:color w:val="auto"/>
          <w:spacing w:val="0"/>
          <w:position w:val="0"/>
          <w:sz w:val="24"/>
          <w:shd w:fill="auto" w:val="clear"/>
        </w:rPr>
        <w:t xml:space="preserve">. Adelaide: JBI. Available at: </w:t>
      </w:r>
      <w:hyperlink xmlns:r="http://schemas.openxmlformats.org/officeDocument/2006/relationships" r:id="docRId60">
        <w:r>
          <w:rPr>
            <w:rFonts w:ascii="Arial" w:hAnsi="Arial" w:cs="Arial" w:eastAsia="Arial"/>
            <w:color w:val="0000FF"/>
            <w:spacing w:val="0"/>
            <w:position w:val="0"/>
            <w:sz w:val="24"/>
            <w:u w:val="single"/>
            <w:shd w:fill="auto" w:val="clear"/>
          </w:rPr>
          <w:t xml:space="preserve">https://jbi-global.atlassian.net/wiki/spaces/MANUAL</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Mancia, G., Kreutz, R., Brunström, M. et al. (2023) ‘2023 ESH Guidelines for the management of arterial hypertension’, </w:t>
      </w:r>
      <w:r>
        <w:rPr>
          <w:rFonts w:ascii="Arial" w:hAnsi="Arial" w:cs="Arial" w:eastAsia="Arial"/>
          <w:i/>
          <w:color w:val="auto"/>
          <w:spacing w:val="0"/>
          <w:position w:val="0"/>
          <w:sz w:val="24"/>
          <w:shd w:fill="auto" w:val="clear"/>
        </w:rPr>
        <w:t xml:space="preserve">Journal of Hypertension</w:t>
      </w:r>
      <w:r>
        <w:rPr>
          <w:rFonts w:ascii="Arial" w:hAnsi="Arial" w:cs="Arial" w:eastAsia="Arial"/>
          <w:color w:val="auto"/>
          <w:spacing w:val="0"/>
          <w:position w:val="0"/>
          <w:sz w:val="24"/>
          <w:shd w:fill="auto" w:val="clear"/>
        </w:rPr>
        <w:t xml:space="preserve">, 41(12), pp. 1874</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2071. Available at: </w:t>
      </w:r>
      <w:hyperlink xmlns:r="http://schemas.openxmlformats.org/officeDocument/2006/relationships" r:id="docRId61">
        <w:r>
          <w:rPr>
            <w:rFonts w:ascii="Arial" w:hAnsi="Arial" w:cs="Arial" w:eastAsia="Arial"/>
            <w:color w:val="0000FF"/>
            <w:spacing w:val="0"/>
            <w:position w:val="0"/>
            <w:sz w:val="24"/>
            <w:u w:val="single"/>
            <w:shd w:fill="auto" w:val="clear"/>
          </w:rPr>
          <w:t xml:space="preserve">https://doi.org/10.1097/HJH.0000000000003480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Marmot, M. (2010) </w:t>
      </w:r>
      <w:r>
        <w:rPr>
          <w:rFonts w:ascii="Arial" w:hAnsi="Arial" w:cs="Arial" w:eastAsia="Arial"/>
          <w:i/>
          <w:color w:val="auto"/>
          <w:spacing w:val="0"/>
          <w:position w:val="0"/>
          <w:sz w:val="24"/>
          <w:shd w:fill="auto" w:val="clear"/>
        </w:rPr>
        <w:t xml:space="preserve">Fair Society, Healthy Lives: The Marmot Review</w:t>
      </w:r>
      <w:r>
        <w:rPr>
          <w:rFonts w:ascii="Arial" w:hAnsi="Arial" w:cs="Arial" w:eastAsia="Arial"/>
          <w:color w:val="auto"/>
          <w:spacing w:val="0"/>
          <w:position w:val="0"/>
          <w:sz w:val="24"/>
          <w:shd w:fill="auto" w:val="clear"/>
        </w:rPr>
        <w:t xml:space="preserve">. London: Institute of Health Equity. Available at: </w:t>
      </w:r>
      <w:hyperlink xmlns:r="http://schemas.openxmlformats.org/officeDocument/2006/relationships" r:id="docRId62">
        <w:r>
          <w:rPr>
            <w:rFonts w:ascii="Arial" w:hAnsi="Arial" w:cs="Arial" w:eastAsia="Arial"/>
            <w:color w:val="0000FF"/>
            <w:spacing w:val="0"/>
            <w:position w:val="0"/>
            <w:sz w:val="24"/>
            <w:u w:val="single"/>
            <w:shd w:fill="auto" w:val="clear"/>
          </w:rPr>
          <w:t xml:space="preserve">https://www.instituteofhealthequity.org/resources-reports/fair-society-healthy-lives-the-marmot-review</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Marmot, M., Allen, J., Boyce, T. et al. (2020) </w:t>
      </w:r>
      <w:r>
        <w:rPr>
          <w:rFonts w:ascii="Arial" w:hAnsi="Arial" w:cs="Arial" w:eastAsia="Arial"/>
          <w:i/>
          <w:color w:val="auto"/>
          <w:spacing w:val="0"/>
          <w:position w:val="0"/>
          <w:sz w:val="24"/>
          <w:shd w:fill="auto" w:val="clear"/>
        </w:rPr>
        <w:t xml:space="preserve">Health Equity in England: The Marmot Review 10 Years On</w:t>
      </w:r>
      <w:r>
        <w:rPr>
          <w:rFonts w:ascii="Arial" w:hAnsi="Arial" w:cs="Arial" w:eastAsia="Arial"/>
          <w:color w:val="auto"/>
          <w:spacing w:val="0"/>
          <w:position w:val="0"/>
          <w:sz w:val="24"/>
          <w:shd w:fill="auto" w:val="clear"/>
        </w:rPr>
        <w:t xml:space="preserve">. London: Institute of Health Equity. Available at: </w:t>
      </w:r>
      <w:hyperlink xmlns:r="http://schemas.openxmlformats.org/officeDocument/2006/relationships" r:id="docRId63">
        <w:r>
          <w:rPr>
            <w:rFonts w:ascii="Arial" w:hAnsi="Arial" w:cs="Arial" w:eastAsia="Arial"/>
            <w:color w:val="0000FF"/>
            <w:spacing w:val="0"/>
            <w:position w:val="0"/>
            <w:sz w:val="24"/>
            <w:u w:val="single"/>
            <w:shd w:fill="auto" w:val="clear"/>
          </w:rPr>
          <w:t xml:space="preserve">https://www.health.org.uk/reports-and-analysis/reports/health-equity-in-england-the-marmot-review-10-years-on-0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Martin, S.S., Aday, A.W., Almarzooq, Z.I. et al. (2024) ‘2024 Heart Disease and Stroke Statistics: a report of US and global data from the American Heart Association’, </w:t>
      </w:r>
      <w:r>
        <w:rPr>
          <w:rFonts w:ascii="Arial" w:hAnsi="Arial" w:cs="Arial" w:eastAsia="Arial"/>
          <w:i/>
          <w:color w:val="auto"/>
          <w:spacing w:val="0"/>
          <w:position w:val="0"/>
          <w:sz w:val="24"/>
          <w:shd w:fill="auto" w:val="clear"/>
        </w:rPr>
        <w:t xml:space="preserve">Circulation</w:t>
      </w:r>
      <w:r>
        <w:rPr>
          <w:rFonts w:ascii="Arial" w:hAnsi="Arial" w:cs="Arial" w:eastAsia="Arial"/>
          <w:color w:val="auto"/>
          <w:spacing w:val="0"/>
          <w:position w:val="0"/>
          <w:sz w:val="24"/>
          <w:shd w:fill="auto" w:val="clear"/>
        </w:rPr>
        <w:t xml:space="preserve">, 149(8), pp. e347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e913. Available at: </w:t>
      </w:r>
      <w:hyperlink xmlns:r="http://schemas.openxmlformats.org/officeDocument/2006/relationships" r:id="docRId64">
        <w:r>
          <w:rPr>
            <w:rFonts w:ascii="Arial" w:hAnsi="Arial" w:cs="Arial" w:eastAsia="Arial"/>
            <w:color w:val="0000FF"/>
            <w:spacing w:val="0"/>
            <w:position w:val="0"/>
            <w:sz w:val="24"/>
            <w:u w:val="single"/>
            <w:shd w:fill="auto" w:val="clear"/>
          </w:rPr>
          <w:t xml:space="preserve">https://doi.org/10.1161/CIR.0000000000001209</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McEvoy, J.W., McCarthy, C.P., Bruno, R.M. et al. (2024) ‘2024 ESC Guidelines for the management of elevated blood pressure and hypertension’, </w:t>
      </w:r>
      <w:r>
        <w:rPr>
          <w:rFonts w:ascii="Arial" w:hAnsi="Arial" w:cs="Arial" w:eastAsia="Arial"/>
          <w:i/>
          <w:color w:val="auto"/>
          <w:spacing w:val="0"/>
          <w:position w:val="0"/>
          <w:sz w:val="24"/>
          <w:shd w:fill="auto" w:val="clear"/>
        </w:rPr>
        <w:t xml:space="preserve">European Heart Journal</w:t>
      </w:r>
      <w:r>
        <w:rPr>
          <w:rFonts w:ascii="Arial" w:hAnsi="Arial" w:cs="Arial" w:eastAsia="Arial"/>
          <w:color w:val="auto"/>
          <w:spacing w:val="0"/>
          <w:position w:val="0"/>
          <w:sz w:val="24"/>
          <w:shd w:fill="auto" w:val="clear"/>
        </w:rPr>
        <w:t xml:space="preserve">, 45(38), pp. 3912</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4018. Available at: </w:t>
      </w:r>
      <w:hyperlink xmlns:r="http://schemas.openxmlformats.org/officeDocument/2006/relationships" r:id="docRId65">
        <w:r>
          <w:rPr>
            <w:rFonts w:ascii="Arial" w:hAnsi="Arial" w:cs="Arial" w:eastAsia="Arial"/>
            <w:color w:val="0000FF"/>
            <w:spacing w:val="0"/>
            <w:position w:val="0"/>
            <w:sz w:val="24"/>
            <w:u w:val="single"/>
            <w:shd w:fill="auto" w:val="clear"/>
          </w:rPr>
          <w:t xml:space="preserve">https://doi.org/10.1093/eurheartj/ehae178</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Meng, F., Jiang, Y., Yu, P. et al. (2023) ‘Effect of health coaching on blood pressure control and behavioral modification among patients with hypertension: a systematic review and meta-analysis of randomized controlled trials’, </w:t>
      </w:r>
      <w:r>
        <w:rPr>
          <w:rFonts w:ascii="Arial" w:hAnsi="Arial" w:cs="Arial" w:eastAsia="Arial"/>
          <w:i/>
          <w:color w:val="auto"/>
          <w:spacing w:val="0"/>
          <w:position w:val="0"/>
          <w:sz w:val="24"/>
          <w:shd w:fill="auto" w:val="clear"/>
        </w:rPr>
        <w:t xml:space="preserve">International Journal of Nursing Studies</w:t>
      </w:r>
      <w:r>
        <w:rPr>
          <w:rFonts w:ascii="Arial" w:hAnsi="Arial" w:cs="Arial" w:eastAsia="Arial"/>
          <w:color w:val="auto"/>
          <w:spacing w:val="0"/>
          <w:position w:val="0"/>
          <w:sz w:val="24"/>
          <w:shd w:fill="auto" w:val="clear"/>
        </w:rPr>
        <w:t xml:space="preserve">, 138, 104406. Available at: </w:t>
      </w:r>
      <w:hyperlink xmlns:r="http://schemas.openxmlformats.org/officeDocument/2006/relationships" r:id="docRId66">
        <w:r>
          <w:rPr>
            <w:rFonts w:ascii="Arial" w:hAnsi="Arial" w:cs="Arial" w:eastAsia="Arial"/>
            <w:color w:val="0000FF"/>
            <w:spacing w:val="0"/>
            <w:position w:val="0"/>
            <w:sz w:val="24"/>
            <w:u w:val="single"/>
            <w:shd w:fill="auto" w:val="clear"/>
          </w:rPr>
          <w:t xml:space="preserve">https://doi.org/10.1016/j.ijnurstu.2022.104406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Metlock, F.E., Hinneh, T., Benjasirisan, C. et al. (2024) ‘Impact of social determinants of health on hypertension outcomes: a systematic review’,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81(8), pp. 1675</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1700. Available at: </w:t>
      </w:r>
      <w:hyperlink xmlns:r="http://schemas.openxmlformats.org/officeDocument/2006/relationships" r:id="docRId67">
        <w:r>
          <w:rPr>
            <w:rFonts w:ascii="Arial" w:hAnsi="Arial" w:cs="Arial" w:eastAsia="Arial"/>
            <w:color w:val="0000FF"/>
            <w:spacing w:val="0"/>
            <w:position w:val="0"/>
            <w:sz w:val="24"/>
            <w:u w:val="single"/>
            <w:shd w:fill="auto" w:val="clear"/>
          </w:rPr>
          <w:t xml:space="preserve">https://doi.org/10.1161/HYPERTENSIONAHA.123.22571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Michie, S., Richardson, M., Johnston, M. et al. (2013) ‘The behavior change technique taxonomy (v1) of 93 hierarchically clustered techniques’, </w:t>
      </w:r>
      <w:r>
        <w:rPr>
          <w:rFonts w:ascii="Arial" w:hAnsi="Arial" w:cs="Arial" w:eastAsia="Arial"/>
          <w:i/>
          <w:color w:val="auto"/>
          <w:spacing w:val="0"/>
          <w:position w:val="0"/>
          <w:sz w:val="24"/>
          <w:shd w:fill="auto" w:val="clear"/>
        </w:rPr>
        <w:t xml:space="preserve">Annals of Behavioral Medicine</w:t>
      </w:r>
      <w:r>
        <w:rPr>
          <w:rFonts w:ascii="Arial" w:hAnsi="Arial" w:cs="Arial" w:eastAsia="Arial"/>
          <w:color w:val="auto"/>
          <w:spacing w:val="0"/>
          <w:position w:val="0"/>
          <w:sz w:val="24"/>
          <w:shd w:fill="auto" w:val="clear"/>
        </w:rPr>
        <w:t xml:space="preserve">, 46(1), pp. 81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95. Available at: </w:t>
      </w:r>
      <w:hyperlink xmlns:r="http://schemas.openxmlformats.org/officeDocument/2006/relationships" r:id="docRId68">
        <w:r>
          <w:rPr>
            <w:rFonts w:ascii="Arial" w:hAnsi="Arial" w:cs="Arial" w:eastAsia="Arial"/>
            <w:color w:val="0000FF"/>
            <w:spacing w:val="0"/>
            <w:position w:val="0"/>
            <w:sz w:val="24"/>
            <w:u w:val="single"/>
            <w:shd w:fill="auto" w:val="clear"/>
          </w:rPr>
          <w:t xml:space="preserve">https://doi.org/10.1007/s12160-013-9486-6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Michie, S., van Stralen, M.M. and West, R. (2011) ‘The behaviour change wheel: a new method for characterising and designing behaviour change interventions’, </w:t>
      </w:r>
      <w:r>
        <w:rPr>
          <w:rFonts w:ascii="Arial" w:hAnsi="Arial" w:cs="Arial" w:eastAsia="Arial"/>
          <w:i/>
          <w:color w:val="auto"/>
          <w:spacing w:val="0"/>
          <w:position w:val="0"/>
          <w:sz w:val="24"/>
          <w:shd w:fill="auto" w:val="clear"/>
        </w:rPr>
        <w:t xml:space="preserve">Implementation Science</w:t>
      </w:r>
      <w:r>
        <w:rPr>
          <w:rFonts w:ascii="Arial" w:hAnsi="Arial" w:cs="Arial" w:eastAsia="Arial"/>
          <w:color w:val="auto"/>
          <w:spacing w:val="0"/>
          <w:position w:val="0"/>
          <w:sz w:val="24"/>
          <w:shd w:fill="auto" w:val="clear"/>
        </w:rPr>
        <w:t xml:space="preserve">, 6, 42. Available at: </w:t>
      </w:r>
      <w:hyperlink xmlns:r="http://schemas.openxmlformats.org/officeDocument/2006/relationships" r:id="docRId69">
        <w:r>
          <w:rPr>
            <w:rFonts w:ascii="Arial" w:hAnsi="Arial" w:cs="Arial" w:eastAsia="Arial"/>
            <w:color w:val="0000FF"/>
            <w:spacing w:val="0"/>
            <w:position w:val="0"/>
            <w:sz w:val="24"/>
            <w:u w:val="single"/>
            <w:shd w:fill="auto" w:val="clear"/>
          </w:rPr>
          <w:t xml:space="preserve">https://doi.org/10.1186/1748-5908-6-42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Millett, C., Gray, J., Bottle, A. et al. (2008) ‘Ethnic disparities in blood pressure management in patients with hypertension after the introduction of pay for performance’, </w:t>
      </w:r>
      <w:r>
        <w:rPr>
          <w:rFonts w:ascii="Arial" w:hAnsi="Arial" w:cs="Arial" w:eastAsia="Arial"/>
          <w:i/>
          <w:color w:val="auto"/>
          <w:spacing w:val="0"/>
          <w:position w:val="0"/>
          <w:sz w:val="24"/>
          <w:shd w:fill="auto" w:val="clear"/>
        </w:rPr>
        <w:t xml:space="preserve">Annals of Family Medicine</w:t>
      </w:r>
      <w:r>
        <w:rPr>
          <w:rFonts w:ascii="Arial" w:hAnsi="Arial" w:cs="Arial" w:eastAsia="Arial"/>
          <w:color w:val="auto"/>
          <w:spacing w:val="0"/>
          <w:position w:val="0"/>
          <w:sz w:val="24"/>
          <w:shd w:fill="auto" w:val="clear"/>
        </w:rPr>
        <w:t xml:space="preserve">, 6(6), pp. 490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496. Available at: </w:t>
      </w:r>
      <w:hyperlink xmlns:r="http://schemas.openxmlformats.org/officeDocument/2006/relationships" r:id="docRId70">
        <w:r>
          <w:rPr>
            <w:rFonts w:ascii="Arial" w:hAnsi="Arial" w:cs="Arial" w:eastAsia="Arial"/>
            <w:color w:val="0000FF"/>
            <w:spacing w:val="0"/>
            <w:position w:val="0"/>
            <w:sz w:val="24"/>
            <w:u w:val="single"/>
            <w:shd w:fill="auto" w:val="clear"/>
          </w:rPr>
          <w:t xml:space="preserve">https://www.annfammed.org/content/6/6/490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Mills, K.T., Bundy, J.D., Kelly, T.N. et al. (2016) ‘Global disparities of hypertension prevalence and control: a systematic analysis of population-based studies from 90 countries’, </w:t>
      </w:r>
      <w:r>
        <w:rPr>
          <w:rFonts w:ascii="Arial" w:hAnsi="Arial" w:cs="Arial" w:eastAsia="Arial"/>
          <w:i/>
          <w:color w:val="auto"/>
          <w:spacing w:val="0"/>
          <w:position w:val="0"/>
          <w:sz w:val="24"/>
          <w:shd w:fill="auto" w:val="clear"/>
        </w:rPr>
        <w:t xml:space="preserve">Circulation</w:t>
      </w:r>
      <w:r>
        <w:rPr>
          <w:rFonts w:ascii="Arial" w:hAnsi="Arial" w:cs="Arial" w:eastAsia="Arial"/>
          <w:color w:val="auto"/>
          <w:spacing w:val="0"/>
          <w:position w:val="0"/>
          <w:sz w:val="24"/>
          <w:shd w:fill="auto" w:val="clear"/>
        </w:rPr>
        <w:t xml:space="preserve">, 134(6), pp. 441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450. Available at: </w:t>
      </w:r>
      <w:hyperlink xmlns:r="http://schemas.openxmlformats.org/officeDocument/2006/relationships" r:id="docRId71">
        <w:r>
          <w:rPr>
            <w:rFonts w:ascii="Arial" w:hAnsi="Arial" w:cs="Arial" w:eastAsia="Arial"/>
            <w:color w:val="0000FF"/>
            <w:spacing w:val="0"/>
            <w:position w:val="0"/>
            <w:sz w:val="24"/>
            <w:u w:val="single"/>
            <w:shd w:fill="auto" w:val="clear"/>
          </w:rPr>
          <w:t xml:space="preserve">https://doi.org/10.1161/CIRCULATIONAHA.115.018912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Mills, K.T., Stefanescu, A. and He, J. (2020) ‘The global epidemiology of hypertension’, </w:t>
      </w:r>
      <w:r>
        <w:rPr>
          <w:rFonts w:ascii="Arial" w:hAnsi="Arial" w:cs="Arial" w:eastAsia="Arial"/>
          <w:i/>
          <w:color w:val="auto"/>
          <w:spacing w:val="0"/>
          <w:position w:val="0"/>
          <w:sz w:val="24"/>
          <w:shd w:fill="auto" w:val="clear"/>
        </w:rPr>
        <w:t xml:space="preserve">Nature Reviews Nephrology</w:t>
      </w:r>
      <w:r>
        <w:rPr>
          <w:rFonts w:ascii="Arial" w:hAnsi="Arial" w:cs="Arial" w:eastAsia="Arial"/>
          <w:color w:val="auto"/>
          <w:spacing w:val="0"/>
          <w:position w:val="0"/>
          <w:sz w:val="24"/>
          <w:shd w:fill="auto" w:val="clear"/>
        </w:rPr>
        <w:t xml:space="preserve">, 16(4), pp. 223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237. Available at: </w:t>
      </w:r>
      <w:hyperlink xmlns:r="http://schemas.openxmlformats.org/officeDocument/2006/relationships" r:id="docRId72">
        <w:r>
          <w:rPr>
            <w:rFonts w:ascii="Arial" w:hAnsi="Arial" w:cs="Arial" w:eastAsia="Arial"/>
            <w:color w:val="0000FF"/>
            <w:spacing w:val="0"/>
            <w:position w:val="0"/>
            <w:sz w:val="24"/>
            <w:u w:val="single"/>
            <w:shd w:fill="auto" w:val="clear"/>
          </w:rPr>
          <w:t xml:space="preserve">https://doi.org/10.1038/s41581-019-0244-2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Munn, Z., Stern, C., Aromataris, E., Lockwood, C. and Jordan, Z. (2018) ‘What kind of systematic review should I conduct?’, </w:t>
      </w:r>
      <w:r>
        <w:rPr>
          <w:rFonts w:ascii="Arial" w:hAnsi="Arial" w:cs="Arial" w:eastAsia="Arial"/>
          <w:i/>
          <w:color w:val="auto"/>
          <w:spacing w:val="0"/>
          <w:position w:val="0"/>
          <w:sz w:val="24"/>
          <w:shd w:fill="auto" w:val="clear"/>
        </w:rPr>
        <w:t xml:space="preserve">BMC Medical Research Methodology</w:t>
      </w:r>
      <w:r>
        <w:rPr>
          <w:rFonts w:ascii="Arial" w:hAnsi="Arial" w:cs="Arial" w:eastAsia="Arial"/>
          <w:color w:val="auto"/>
          <w:spacing w:val="0"/>
          <w:position w:val="0"/>
          <w:sz w:val="24"/>
          <w:shd w:fill="auto" w:val="clear"/>
        </w:rPr>
        <w:t xml:space="preserve">, 18, 5. Available at: </w:t>
      </w:r>
      <w:hyperlink xmlns:r="http://schemas.openxmlformats.org/officeDocument/2006/relationships" r:id="docRId73">
        <w:r>
          <w:rPr>
            <w:rFonts w:ascii="Arial" w:hAnsi="Arial" w:cs="Arial" w:eastAsia="Arial"/>
            <w:color w:val="0000FF"/>
            <w:spacing w:val="0"/>
            <w:position w:val="0"/>
            <w:sz w:val="24"/>
            <w:u w:val="single"/>
            <w:shd w:fill="auto" w:val="clear"/>
          </w:rPr>
          <w:t xml:space="preserve">https://doi.org/10.1186/s12874-017-0468-4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National Institute for Health and Care Excellence (2019, updated 2023) </w:t>
      </w:r>
      <w:r>
        <w:rPr>
          <w:rFonts w:ascii="Arial" w:hAnsi="Arial" w:cs="Arial" w:eastAsia="Arial"/>
          <w:i/>
          <w:color w:val="auto"/>
          <w:spacing w:val="0"/>
          <w:position w:val="0"/>
          <w:sz w:val="24"/>
          <w:shd w:fill="auto" w:val="clear"/>
        </w:rPr>
        <w:t xml:space="preserve">Hypertension in adults: diagnosis and management (NG136)</w:t>
      </w:r>
      <w:r>
        <w:rPr>
          <w:rFonts w:ascii="Arial" w:hAnsi="Arial" w:cs="Arial" w:eastAsia="Arial"/>
          <w:color w:val="auto"/>
          <w:spacing w:val="0"/>
          <w:position w:val="0"/>
          <w:sz w:val="24"/>
          <w:shd w:fill="auto" w:val="clear"/>
        </w:rPr>
        <w:t xml:space="preserve">. London: NICE. Available at: </w:t>
      </w:r>
      <w:hyperlink xmlns:r="http://schemas.openxmlformats.org/officeDocument/2006/relationships" r:id="docRId74">
        <w:r>
          <w:rPr>
            <w:rFonts w:ascii="Arial" w:hAnsi="Arial" w:cs="Arial" w:eastAsia="Arial"/>
            <w:color w:val="0000FF"/>
            <w:spacing w:val="0"/>
            <w:position w:val="0"/>
            <w:sz w:val="24"/>
            <w:u w:val="single"/>
            <w:shd w:fill="auto" w:val="clear"/>
          </w:rPr>
          <w:t xml:space="preserve">https://www.nice.org.uk/guidance/ng136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NCD Risk Factor Collaboration (NCD-RisC) (2021) ‘Worldwide trends in hypertension prevalence and progress in treatment and control from 1990 to 2019’, </w:t>
      </w:r>
      <w:r>
        <w:rPr>
          <w:rFonts w:ascii="Arial" w:hAnsi="Arial" w:cs="Arial" w:eastAsia="Arial"/>
          <w:i/>
          <w:color w:val="auto"/>
          <w:spacing w:val="0"/>
          <w:position w:val="0"/>
          <w:sz w:val="24"/>
          <w:shd w:fill="auto" w:val="clear"/>
        </w:rPr>
        <w:t xml:space="preserve">The Lancet</w:t>
      </w:r>
      <w:r>
        <w:rPr>
          <w:rFonts w:ascii="Arial" w:hAnsi="Arial" w:cs="Arial" w:eastAsia="Arial"/>
          <w:color w:val="auto"/>
          <w:spacing w:val="0"/>
          <w:position w:val="0"/>
          <w:sz w:val="24"/>
          <w:shd w:fill="auto" w:val="clear"/>
        </w:rPr>
        <w:t xml:space="preserve">, 398(10304), pp. 957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980. Available at: </w:t>
      </w:r>
      <w:hyperlink xmlns:r="http://schemas.openxmlformats.org/officeDocument/2006/relationships" r:id="docRId75">
        <w:r>
          <w:rPr>
            <w:rFonts w:ascii="Arial" w:hAnsi="Arial" w:cs="Arial" w:eastAsia="Arial"/>
            <w:color w:val="0000FF"/>
            <w:spacing w:val="0"/>
            <w:position w:val="0"/>
            <w:sz w:val="24"/>
            <w:u w:val="single"/>
            <w:shd w:fill="auto" w:val="clear"/>
          </w:rPr>
          <w:t xml:space="preserve">https://doi.org/10.1016/S0140-6736(21)01330-1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Neter, J.E., Stam, B.E., Kok, F.J. et al. (2003) ‘Influence of weight reduction on blood pressure: a meta-analysis of randomized controlled trials’,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42(5), pp. 878</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884. Available at: </w:t>
      </w:r>
      <w:hyperlink xmlns:r="http://schemas.openxmlformats.org/officeDocument/2006/relationships" r:id="docRId76">
        <w:r>
          <w:rPr>
            <w:rFonts w:ascii="Arial" w:hAnsi="Arial" w:cs="Arial" w:eastAsia="Arial"/>
            <w:color w:val="0000FF"/>
            <w:spacing w:val="0"/>
            <w:position w:val="0"/>
            <w:sz w:val="24"/>
            <w:u w:val="single"/>
            <w:shd w:fill="auto" w:val="clear"/>
          </w:rPr>
          <w:t xml:space="preserve">https://doi.org/10.1161/01.HYP.0000094221.86888.AE</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England (2023) </w:t>
      </w:r>
      <w:r>
        <w:rPr>
          <w:rFonts w:ascii="Arial" w:hAnsi="Arial" w:cs="Arial" w:eastAsia="Arial"/>
          <w:i/>
          <w:color w:val="auto"/>
          <w:spacing w:val="0"/>
          <w:position w:val="0"/>
          <w:sz w:val="24"/>
          <w:shd w:fill="auto" w:val="clear"/>
        </w:rPr>
        <w:t xml:space="preserve">Quality and Outcomes Framework guidance for 2023/24</w:t>
      </w:r>
      <w:r>
        <w:rPr>
          <w:rFonts w:ascii="Arial" w:hAnsi="Arial" w:cs="Arial" w:eastAsia="Arial"/>
          <w:color w:val="auto"/>
          <w:spacing w:val="0"/>
          <w:position w:val="0"/>
          <w:sz w:val="24"/>
          <w:shd w:fill="auto" w:val="clear"/>
        </w:rPr>
        <w:t xml:space="preserve">. London: NHS England. Available at: </w:t>
      </w:r>
      <w:hyperlink xmlns:r="http://schemas.openxmlformats.org/officeDocument/2006/relationships" r:id="docRId77">
        <w:r>
          <w:rPr>
            <w:rFonts w:ascii="Arial" w:hAnsi="Arial" w:cs="Arial" w:eastAsia="Arial"/>
            <w:color w:val="0000FF"/>
            <w:spacing w:val="0"/>
            <w:position w:val="0"/>
            <w:sz w:val="24"/>
            <w:u w:val="single"/>
            <w:shd w:fill="auto" w:val="clear"/>
          </w:rPr>
          <w:t xml:space="preserve">https://www.england.nhs.uk/long-read/quality-and-outcomes-framework-guidance-for-2023-24/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England Digital (2026) </w:t>
      </w:r>
      <w:r>
        <w:rPr>
          <w:rFonts w:ascii="Arial" w:hAnsi="Arial" w:cs="Arial" w:eastAsia="Arial"/>
          <w:i/>
          <w:color w:val="auto"/>
          <w:spacing w:val="0"/>
          <w:position w:val="0"/>
          <w:sz w:val="24"/>
          <w:shd w:fill="auto" w:val="clear"/>
        </w:rPr>
        <w:t xml:space="preserve">Health Survey for England 2024: Adults' health</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78">
        <w:r>
          <w:rPr>
            <w:rFonts w:ascii="Arial" w:hAnsi="Arial" w:cs="Arial" w:eastAsia="Arial"/>
            <w:color w:val="0000FF"/>
            <w:spacing w:val="0"/>
            <w:position w:val="0"/>
            <w:sz w:val="24"/>
            <w:u w:val="single"/>
            <w:shd w:fill="auto" w:val="clear"/>
          </w:rPr>
          <w:t xml:space="preserve">https://digital.nhs.uk/data-and-information/publications/statistical/health-survey-for-england/2024/adults-health</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England Digital (2026) </w:t>
      </w:r>
      <w:r>
        <w:rPr>
          <w:rFonts w:ascii="Arial" w:hAnsi="Arial" w:cs="Arial" w:eastAsia="Arial"/>
          <w:i/>
          <w:color w:val="auto"/>
          <w:spacing w:val="0"/>
          <w:position w:val="0"/>
          <w:sz w:val="24"/>
          <w:shd w:fill="auto" w:val="clear"/>
        </w:rPr>
        <w:t xml:space="preserve">Health Survey for England 2024: Adults' health-related behaviours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79">
        <w:r>
          <w:rPr>
            <w:rFonts w:ascii="Arial" w:hAnsi="Arial" w:cs="Arial" w:eastAsia="Arial"/>
            <w:color w:val="0000FF"/>
            <w:spacing w:val="0"/>
            <w:position w:val="0"/>
            <w:sz w:val="24"/>
            <w:u w:val="single"/>
            <w:shd w:fill="auto" w:val="clear"/>
          </w:rPr>
          <w:t xml:space="preserve">https://digital.nhs.uk/data-and-information/publications/statistical/health-survey-for-england/2024/adults-health-related-behaviours</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England Digital (2026) </w:t>
      </w:r>
      <w:r>
        <w:rPr>
          <w:rFonts w:ascii="Arial" w:hAnsi="Arial" w:cs="Arial" w:eastAsia="Arial"/>
          <w:i/>
          <w:color w:val="auto"/>
          <w:spacing w:val="0"/>
          <w:position w:val="0"/>
          <w:sz w:val="24"/>
          <w:shd w:fill="auto" w:val="clear"/>
        </w:rPr>
        <w:t xml:space="preserve">Health Survey for England 2024: Data tables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80">
        <w:r>
          <w:rPr>
            <w:rFonts w:ascii="Arial" w:hAnsi="Arial" w:cs="Arial" w:eastAsia="Arial"/>
            <w:color w:val="0000FF"/>
            <w:spacing w:val="0"/>
            <w:position w:val="0"/>
            <w:sz w:val="24"/>
            <w:u w:val="single"/>
            <w:shd w:fill="auto" w:val="clear"/>
          </w:rPr>
          <w:t xml:space="preserve">https://digital.nhs.uk/data-and-information/publications/statistical/health-survey-for-england/2024/health-survey-for-england-2024-data-tables</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NHS England Digital (2026) </w:t>
      </w:r>
      <w:r>
        <w:rPr>
          <w:rFonts w:ascii="Arial" w:hAnsi="Arial" w:cs="Arial" w:eastAsia="Arial"/>
          <w:i/>
          <w:color w:val="auto"/>
          <w:spacing w:val="0"/>
          <w:position w:val="0"/>
          <w:sz w:val="24"/>
          <w:shd w:fill="auto" w:val="clear"/>
        </w:rPr>
        <w:t xml:space="preserve">NHS Health Check programme: supporting information</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81">
        <w:r>
          <w:rPr>
            <w:rFonts w:ascii="Arial" w:hAnsi="Arial" w:cs="Arial" w:eastAsia="Arial"/>
            <w:color w:val="0000FF"/>
            <w:spacing w:val="0"/>
            <w:position w:val="0"/>
            <w:sz w:val="24"/>
            <w:u w:val="single"/>
            <w:shd w:fill="auto" w:val="clear"/>
          </w:rPr>
          <w:t xml:space="preserve">https://digital.nhs.uk/data-and-information/publications/statistical/nhs-health-check-programme/nhs-health-check-programme-supporting-information</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Nutbeam, D. (2000) ‘Health literacy as a public health goal: a challenge for contemporary health education and communication strategies into the 21st century’, </w:t>
      </w:r>
      <w:r>
        <w:rPr>
          <w:rFonts w:ascii="Arial" w:hAnsi="Arial" w:cs="Arial" w:eastAsia="Arial"/>
          <w:i/>
          <w:color w:val="auto"/>
          <w:spacing w:val="0"/>
          <w:position w:val="0"/>
          <w:sz w:val="24"/>
          <w:shd w:fill="auto" w:val="clear"/>
        </w:rPr>
        <w:t xml:space="preserve">Health Promotion International</w:t>
      </w:r>
      <w:r>
        <w:rPr>
          <w:rFonts w:ascii="Arial" w:hAnsi="Arial" w:cs="Arial" w:eastAsia="Arial"/>
          <w:color w:val="auto"/>
          <w:spacing w:val="0"/>
          <w:position w:val="0"/>
          <w:sz w:val="24"/>
          <w:shd w:fill="auto" w:val="clear"/>
        </w:rPr>
        <w:t xml:space="preserve">, 15(3), pp. 259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267. Available at: </w:t>
      </w:r>
      <w:hyperlink xmlns:r="http://schemas.openxmlformats.org/officeDocument/2006/relationships" r:id="docRId82">
        <w:r>
          <w:rPr>
            <w:rFonts w:ascii="Arial" w:hAnsi="Arial" w:cs="Arial" w:eastAsia="Arial"/>
            <w:color w:val="0000FF"/>
            <w:spacing w:val="0"/>
            <w:position w:val="0"/>
            <w:sz w:val="24"/>
            <w:u w:val="single"/>
            <w:shd w:fill="auto" w:val="clear"/>
          </w:rPr>
          <w:t xml:space="preserve">https://doi.org/10.1093/heapro/15.3.259</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Office for Health Improvement and Disparities (2021) </w:t>
      </w:r>
      <w:r>
        <w:rPr>
          <w:rFonts w:ascii="Arial" w:hAnsi="Arial" w:cs="Arial" w:eastAsia="Arial"/>
          <w:i/>
          <w:color w:val="auto"/>
          <w:spacing w:val="0"/>
          <w:position w:val="0"/>
          <w:sz w:val="24"/>
          <w:shd w:fill="auto" w:val="clear"/>
        </w:rPr>
        <w:t xml:space="preserve">Annex B: a summary of analyses and evidence on the current NHS Health Check programme</w:t>
      </w:r>
      <w:r>
        <w:rPr>
          <w:rFonts w:ascii="Arial" w:hAnsi="Arial" w:cs="Arial" w:eastAsia="Arial"/>
          <w:color w:val="auto"/>
          <w:spacing w:val="0"/>
          <w:position w:val="0"/>
          <w:sz w:val="24"/>
          <w:shd w:fill="auto" w:val="clear"/>
        </w:rPr>
        <w:t xml:space="preserve">. London: Department of Health and Social Care. Available at: </w:t>
      </w:r>
      <w:hyperlink xmlns:r="http://schemas.openxmlformats.org/officeDocument/2006/relationships" r:id="docRId83">
        <w:r>
          <w:rPr>
            <w:rFonts w:ascii="Arial" w:hAnsi="Arial" w:cs="Arial" w:eastAsia="Arial"/>
            <w:color w:val="0000FF"/>
            <w:spacing w:val="0"/>
            <w:position w:val="0"/>
            <w:sz w:val="24"/>
            <w:u w:val="single"/>
            <w:shd w:fill="auto" w:val="clear"/>
          </w:rPr>
          <w:t xml:space="preserve">https://www.gov.uk/government/publications/nhs-health-check-programme-review/annex-b-a-summary-of-analyses-and-evidence-on-the-current-nhs-health-check-programme</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Office for Health Improvement and Disparities (2021) </w:t>
      </w:r>
      <w:r>
        <w:rPr>
          <w:rFonts w:ascii="Arial" w:hAnsi="Arial" w:cs="Arial" w:eastAsia="Arial"/>
          <w:i/>
          <w:color w:val="auto"/>
          <w:spacing w:val="0"/>
          <w:position w:val="0"/>
          <w:sz w:val="24"/>
          <w:shd w:fill="auto" w:val="clear"/>
        </w:rPr>
        <w:t xml:space="preserve">Preventing illness and improving health for all: a review of the NHS Health Check programme and recommendations</w:t>
      </w:r>
      <w:r>
        <w:rPr>
          <w:rFonts w:ascii="Arial" w:hAnsi="Arial" w:cs="Arial" w:eastAsia="Arial"/>
          <w:color w:val="auto"/>
          <w:spacing w:val="0"/>
          <w:position w:val="0"/>
          <w:sz w:val="24"/>
          <w:shd w:fill="auto" w:val="clear"/>
        </w:rPr>
        <w:t xml:space="preserve">. London: Department of Health and Social Care. Available at: </w:t>
      </w:r>
      <w:hyperlink xmlns:r="http://schemas.openxmlformats.org/officeDocument/2006/relationships" r:id="docRId84">
        <w:r>
          <w:rPr>
            <w:rFonts w:ascii="Arial" w:hAnsi="Arial" w:cs="Arial" w:eastAsia="Arial"/>
            <w:color w:val="0000FF"/>
            <w:spacing w:val="0"/>
            <w:position w:val="0"/>
            <w:sz w:val="24"/>
            <w:u w:val="single"/>
            <w:shd w:fill="auto" w:val="clear"/>
          </w:rPr>
          <w:t xml:space="preserve">https://www.gov.uk/government/publications/nhs-health-check-programme-review/preventing-illness-and-improving-health-for-all-a-review-of-the-nhs-health-check-programme-and-recommendations</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Office for Health Improvement and Disparities (2025) </w:t>
      </w:r>
      <w:r>
        <w:rPr>
          <w:rFonts w:ascii="Arial" w:hAnsi="Arial" w:cs="Arial" w:eastAsia="Arial"/>
          <w:i/>
          <w:color w:val="auto"/>
          <w:spacing w:val="0"/>
          <w:position w:val="0"/>
          <w:sz w:val="24"/>
          <w:shd w:fill="auto" w:val="clear"/>
        </w:rPr>
        <w:t xml:space="preserve">Cardiovascular disease profiles: December 2025 update</w:t>
      </w:r>
      <w:r>
        <w:rPr>
          <w:rFonts w:ascii="Arial" w:hAnsi="Arial" w:cs="Arial" w:eastAsia="Arial"/>
          <w:color w:val="auto"/>
          <w:spacing w:val="0"/>
          <w:position w:val="0"/>
          <w:sz w:val="24"/>
          <w:shd w:fill="auto" w:val="clear"/>
        </w:rPr>
        <w:t xml:space="preserve">. London: Department of Health and Social Care. Available at: </w:t>
      </w:r>
      <w:hyperlink xmlns:r="http://schemas.openxmlformats.org/officeDocument/2006/relationships" r:id="docRId85">
        <w:r>
          <w:rPr>
            <w:rFonts w:ascii="Arial" w:hAnsi="Arial" w:cs="Arial" w:eastAsia="Arial"/>
            <w:color w:val="0000FF"/>
            <w:spacing w:val="0"/>
            <w:position w:val="0"/>
            <w:sz w:val="24"/>
            <w:u w:val="single"/>
            <w:shd w:fill="auto" w:val="clear"/>
          </w:rPr>
          <w:t xml:space="preserve">https://www.gov.uk/government/statistics/cardiovascular-disease-profiles-december-2025-update</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Ostchega, Y., Fryar, C.D., Nwankwo, T. and Nguyen, D.T. (2020) ‘Hypertension prevalence among adults aged 18 and over: United States, 2017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2018</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NCHS Data Brief</w:t>
      </w:r>
      <w:r>
        <w:rPr>
          <w:rFonts w:ascii="Arial" w:hAnsi="Arial" w:cs="Arial" w:eastAsia="Arial"/>
          <w:color w:val="auto"/>
          <w:spacing w:val="0"/>
          <w:position w:val="0"/>
          <w:sz w:val="24"/>
          <w:shd w:fill="auto" w:val="clear"/>
        </w:rPr>
        <w:t xml:space="preserve">, 364. Available at: </w:t>
      </w:r>
      <w:hyperlink xmlns:r="http://schemas.openxmlformats.org/officeDocument/2006/relationships" r:id="docRId86">
        <w:r>
          <w:rPr>
            <w:rFonts w:ascii="Arial" w:hAnsi="Arial" w:cs="Arial" w:eastAsia="Arial"/>
            <w:color w:val="0000FF"/>
            <w:spacing w:val="0"/>
            <w:position w:val="0"/>
            <w:sz w:val="24"/>
            <w:u w:val="single"/>
            <w:shd w:fill="auto" w:val="clear"/>
          </w:rPr>
          <w:t xml:space="preserve">https://www.cdc.gov/nchs/products/databriefs/db364.htm</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Paez, A. (2017) ‘Gray literature: an important resource in systematic reviews’, </w:t>
      </w:r>
      <w:r>
        <w:rPr>
          <w:rFonts w:ascii="Arial" w:hAnsi="Arial" w:cs="Arial" w:eastAsia="Arial"/>
          <w:i/>
          <w:color w:val="auto"/>
          <w:spacing w:val="0"/>
          <w:position w:val="0"/>
          <w:sz w:val="24"/>
          <w:shd w:fill="auto" w:val="clear"/>
        </w:rPr>
        <w:t xml:space="preserve">Journal of Evidence-Based Medicine</w:t>
      </w:r>
      <w:r>
        <w:rPr>
          <w:rFonts w:ascii="Arial" w:hAnsi="Arial" w:cs="Arial" w:eastAsia="Arial"/>
          <w:color w:val="auto"/>
          <w:spacing w:val="0"/>
          <w:position w:val="0"/>
          <w:sz w:val="24"/>
          <w:shd w:fill="auto" w:val="clear"/>
        </w:rPr>
        <w:t xml:space="preserve">, 10(3), pp. 233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240. Available at: </w:t>
      </w:r>
      <w:hyperlink xmlns:r="http://schemas.openxmlformats.org/officeDocument/2006/relationships" r:id="docRId87">
        <w:r>
          <w:rPr>
            <w:rFonts w:ascii="Arial" w:hAnsi="Arial" w:cs="Arial" w:eastAsia="Arial"/>
            <w:color w:val="0000FF"/>
            <w:spacing w:val="0"/>
            <w:position w:val="0"/>
            <w:sz w:val="24"/>
            <w:u w:val="single"/>
            <w:shd w:fill="auto" w:val="clear"/>
          </w:rPr>
          <w:t xml:space="preserve">https://doi.org/10.1111/jebm.12266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Page, M.J., McKenzie, J.E., Bossuyt, P.M. et al. (2021) ‘The PRISMA 2020 statement: an updated guideline for reporting systematic reviews’, </w:t>
      </w:r>
      <w:r>
        <w:rPr>
          <w:rFonts w:ascii="Arial" w:hAnsi="Arial" w:cs="Arial" w:eastAsia="Arial"/>
          <w:i/>
          <w:color w:val="auto"/>
          <w:spacing w:val="0"/>
          <w:position w:val="0"/>
          <w:sz w:val="24"/>
          <w:shd w:fill="auto" w:val="clear"/>
        </w:rPr>
        <w:t xml:space="preserve">BMJ</w:t>
      </w:r>
      <w:r>
        <w:rPr>
          <w:rFonts w:ascii="Arial" w:hAnsi="Arial" w:cs="Arial" w:eastAsia="Arial"/>
          <w:color w:val="auto"/>
          <w:spacing w:val="0"/>
          <w:position w:val="0"/>
          <w:sz w:val="24"/>
          <w:shd w:fill="auto" w:val="clear"/>
        </w:rPr>
        <w:t xml:space="preserve">, 372, n71. Available at: </w:t>
      </w:r>
      <w:hyperlink xmlns:r="http://schemas.openxmlformats.org/officeDocument/2006/relationships" r:id="docRId88">
        <w:r>
          <w:rPr>
            <w:rFonts w:ascii="Arial" w:hAnsi="Arial" w:cs="Arial" w:eastAsia="Arial"/>
            <w:color w:val="0000FF"/>
            <w:spacing w:val="0"/>
            <w:position w:val="0"/>
            <w:sz w:val="24"/>
            <w:u w:val="single"/>
            <w:shd w:fill="auto" w:val="clear"/>
          </w:rPr>
          <w:t xml:space="preserve">https://doi.org/10.1136/bmj.n71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Page, M.J., Moher, D., Bossuyt, P.M. et al. (2021) ‘PRISMA 2020 explanation and elaboration: updated guidance and exemplars for reporting systematic reviews’, </w:t>
      </w:r>
      <w:r>
        <w:rPr>
          <w:rFonts w:ascii="Arial" w:hAnsi="Arial" w:cs="Arial" w:eastAsia="Arial"/>
          <w:i/>
          <w:color w:val="auto"/>
          <w:spacing w:val="0"/>
          <w:position w:val="0"/>
          <w:sz w:val="24"/>
          <w:shd w:fill="auto" w:val="clear"/>
        </w:rPr>
        <w:t xml:space="preserve">BMJ</w:t>
      </w:r>
      <w:r>
        <w:rPr>
          <w:rFonts w:ascii="Arial" w:hAnsi="Arial" w:cs="Arial" w:eastAsia="Arial"/>
          <w:color w:val="auto"/>
          <w:spacing w:val="0"/>
          <w:position w:val="0"/>
          <w:sz w:val="24"/>
          <w:shd w:fill="auto" w:val="clear"/>
        </w:rPr>
        <w:t xml:space="preserve">, 372, n160. Available at: </w:t>
      </w:r>
      <w:hyperlink xmlns:r="http://schemas.openxmlformats.org/officeDocument/2006/relationships" r:id="docRId89">
        <w:r>
          <w:rPr>
            <w:rFonts w:ascii="Arial" w:hAnsi="Arial" w:cs="Arial" w:eastAsia="Arial"/>
            <w:color w:val="0000FF"/>
            <w:spacing w:val="0"/>
            <w:position w:val="0"/>
            <w:sz w:val="24"/>
            <w:u w:val="single"/>
            <w:shd w:fill="auto" w:val="clear"/>
          </w:rPr>
          <w:t xml:space="preserve">https://doi.org/10.1136/bmj.n160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Piepoli, M.F., Abreu, A., Albus, C. et al. (2020) ‘Update on cardiovascular prevention in clinical practice: a position paper of the European Association of Preventive Cardiology of the European Society of Cardiology’, </w:t>
      </w:r>
      <w:r>
        <w:rPr>
          <w:rFonts w:ascii="Arial" w:hAnsi="Arial" w:cs="Arial" w:eastAsia="Arial"/>
          <w:i/>
          <w:color w:val="auto"/>
          <w:spacing w:val="0"/>
          <w:position w:val="0"/>
          <w:sz w:val="24"/>
          <w:shd w:fill="auto" w:val="clear"/>
        </w:rPr>
        <w:t xml:space="preserve">European Journal of Preventive Cardiology</w:t>
      </w:r>
      <w:r>
        <w:rPr>
          <w:rFonts w:ascii="Arial" w:hAnsi="Arial" w:cs="Arial" w:eastAsia="Arial"/>
          <w:color w:val="auto"/>
          <w:spacing w:val="0"/>
          <w:position w:val="0"/>
          <w:sz w:val="24"/>
          <w:shd w:fill="auto" w:val="clear"/>
        </w:rPr>
        <w:t xml:space="preserve">, 27(2), pp. 181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205. Available at: </w:t>
      </w:r>
      <w:hyperlink xmlns:r="http://schemas.openxmlformats.org/officeDocument/2006/relationships" r:id="docRId90">
        <w:r>
          <w:rPr>
            <w:rFonts w:ascii="Arial" w:hAnsi="Arial" w:cs="Arial" w:eastAsia="Arial"/>
            <w:color w:val="0000FF"/>
            <w:spacing w:val="0"/>
            <w:position w:val="0"/>
            <w:sz w:val="24"/>
            <w:u w:val="single"/>
            <w:shd w:fill="auto" w:val="clear"/>
          </w:rPr>
          <w:t xml:space="preserve">https://doi.org/10.1177/2047487319893035</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Prochaska, J.O. and DiClemente, C.C. (1983) ‘Stages and processes of self-change of smoking: toward an integrative model of change’, </w:t>
      </w:r>
      <w:r>
        <w:rPr>
          <w:rFonts w:ascii="Arial" w:hAnsi="Arial" w:cs="Arial" w:eastAsia="Arial"/>
          <w:i/>
          <w:color w:val="auto"/>
          <w:spacing w:val="0"/>
          <w:position w:val="0"/>
          <w:sz w:val="24"/>
          <w:shd w:fill="auto" w:val="clear"/>
        </w:rPr>
        <w:t xml:space="preserve">Journal of Consulting and Clinical Psychology</w:t>
      </w:r>
      <w:r>
        <w:rPr>
          <w:rFonts w:ascii="Arial" w:hAnsi="Arial" w:cs="Arial" w:eastAsia="Arial"/>
          <w:color w:val="auto"/>
          <w:spacing w:val="0"/>
          <w:position w:val="0"/>
          <w:sz w:val="24"/>
          <w:shd w:fill="auto" w:val="clear"/>
        </w:rPr>
        <w:t xml:space="preserve">, 51(3), pp. 390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395. Available at: </w:t>
      </w:r>
      <w:hyperlink xmlns:r="http://schemas.openxmlformats.org/officeDocument/2006/relationships" r:id="docRId91">
        <w:r>
          <w:rPr>
            <w:rFonts w:ascii="Arial" w:hAnsi="Arial" w:cs="Arial" w:eastAsia="Arial"/>
            <w:color w:val="0000FF"/>
            <w:spacing w:val="0"/>
            <w:position w:val="0"/>
            <w:sz w:val="24"/>
            <w:u w:val="single"/>
            <w:shd w:fill="auto" w:val="clear"/>
          </w:rPr>
          <w:t xml:space="preserve">https://doi.org/10.1037/0022-006X.51.3.390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Robson, J., Dostal, I., Sheikh, A. et al. (2016) ‘The NHS Health Check in England: an evaluation of the first 4 years’, </w:t>
      </w:r>
      <w:r>
        <w:rPr>
          <w:rFonts w:ascii="Arial" w:hAnsi="Arial" w:cs="Arial" w:eastAsia="Arial"/>
          <w:i/>
          <w:color w:val="auto"/>
          <w:spacing w:val="0"/>
          <w:position w:val="0"/>
          <w:sz w:val="24"/>
          <w:shd w:fill="auto" w:val="clear"/>
        </w:rPr>
        <w:t xml:space="preserve">BMJ Open</w:t>
      </w:r>
      <w:r>
        <w:rPr>
          <w:rFonts w:ascii="Arial" w:hAnsi="Arial" w:cs="Arial" w:eastAsia="Arial"/>
          <w:color w:val="auto"/>
          <w:spacing w:val="0"/>
          <w:position w:val="0"/>
          <w:sz w:val="24"/>
          <w:shd w:fill="auto" w:val="clear"/>
        </w:rPr>
        <w:t xml:space="preserve">, 6(1), e008840. Available at: </w:t>
      </w:r>
      <w:hyperlink xmlns:r="http://schemas.openxmlformats.org/officeDocument/2006/relationships" r:id="docRId92">
        <w:r>
          <w:rPr>
            <w:rFonts w:ascii="Arial" w:hAnsi="Arial" w:cs="Arial" w:eastAsia="Arial"/>
            <w:color w:val="0000FF"/>
            <w:spacing w:val="0"/>
            <w:position w:val="0"/>
            <w:sz w:val="24"/>
            <w:u w:val="single"/>
            <w:shd w:fill="auto" w:val="clear"/>
          </w:rPr>
          <w:t xml:space="preserve">https://doi.org/10.1136/bmjopen-2015-008840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Rosenstock, I.M. (1974) ‘Historical origins of the Health Belief Model’, </w:t>
      </w:r>
      <w:r>
        <w:rPr>
          <w:rFonts w:ascii="Arial" w:hAnsi="Arial" w:cs="Arial" w:eastAsia="Arial"/>
          <w:i/>
          <w:color w:val="auto"/>
          <w:spacing w:val="0"/>
          <w:position w:val="0"/>
          <w:sz w:val="24"/>
          <w:shd w:fill="auto" w:val="clear"/>
        </w:rPr>
        <w:t xml:space="preserve">Health Education Monographs</w:t>
      </w:r>
      <w:r>
        <w:rPr>
          <w:rFonts w:ascii="Arial" w:hAnsi="Arial" w:cs="Arial" w:eastAsia="Arial"/>
          <w:color w:val="auto"/>
          <w:spacing w:val="0"/>
          <w:position w:val="0"/>
          <w:sz w:val="24"/>
          <w:shd w:fill="auto" w:val="clear"/>
        </w:rPr>
        <w:t xml:space="preserve">, 2(4), pp. 328</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335. Available at: </w:t>
      </w:r>
      <w:hyperlink xmlns:r="http://schemas.openxmlformats.org/officeDocument/2006/relationships" r:id="docRId93">
        <w:r>
          <w:rPr>
            <w:rFonts w:ascii="Arial" w:hAnsi="Arial" w:cs="Arial" w:eastAsia="Arial"/>
            <w:color w:val="0000FF"/>
            <w:spacing w:val="0"/>
            <w:position w:val="0"/>
            <w:sz w:val="24"/>
            <w:u w:val="single"/>
            <w:shd w:fill="auto" w:val="clear"/>
          </w:rPr>
          <w:t xml:space="preserve">https://doi.org/10.1177/109019817400200403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Rothman, A.J. (2000) ‘Toward a theory-based analysis of behavioral maintenance’, </w:t>
      </w:r>
      <w:r>
        <w:rPr>
          <w:rFonts w:ascii="Arial" w:hAnsi="Arial" w:cs="Arial" w:eastAsia="Arial"/>
          <w:i/>
          <w:color w:val="auto"/>
          <w:spacing w:val="0"/>
          <w:position w:val="0"/>
          <w:sz w:val="24"/>
          <w:shd w:fill="auto" w:val="clear"/>
        </w:rPr>
        <w:t xml:space="preserve">Health Psychology</w:t>
      </w:r>
      <w:r>
        <w:rPr>
          <w:rFonts w:ascii="Arial" w:hAnsi="Arial" w:cs="Arial" w:eastAsia="Arial"/>
          <w:color w:val="auto"/>
          <w:spacing w:val="0"/>
          <w:position w:val="0"/>
          <w:sz w:val="24"/>
          <w:shd w:fill="auto" w:val="clear"/>
        </w:rPr>
        <w:t xml:space="preserve">, 19(1S), pp. 64</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69. Available at: </w:t>
      </w:r>
      <w:hyperlink xmlns:r="http://schemas.openxmlformats.org/officeDocument/2006/relationships" r:id="docRId94">
        <w:r>
          <w:rPr>
            <w:rFonts w:ascii="Arial" w:hAnsi="Arial" w:cs="Arial" w:eastAsia="Arial"/>
            <w:color w:val="0000FF"/>
            <w:spacing w:val="0"/>
            <w:position w:val="0"/>
            <w:sz w:val="24"/>
            <w:u w:val="single"/>
            <w:shd w:fill="auto" w:val="clear"/>
          </w:rPr>
          <w:t xml:space="preserve">https://doi.org/10.1037/0278-6133.19.Suppl1.64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Sacks, F.M., Svetkey, L.P., Vollmer, W.M. et al. (2001) ‘Effects on blood pressure of reduced dietary sodium and the Dietary Approaches to Stop Hypertension diet’, </w:t>
      </w:r>
      <w:r>
        <w:rPr>
          <w:rFonts w:ascii="Arial" w:hAnsi="Arial" w:cs="Arial" w:eastAsia="Arial"/>
          <w:i/>
          <w:color w:val="auto"/>
          <w:spacing w:val="0"/>
          <w:position w:val="0"/>
          <w:sz w:val="24"/>
          <w:shd w:fill="auto" w:val="clear"/>
        </w:rPr>
        <w:t xml:space="preserve">New England Journal of Medicine</w:t>
      </w:r>
      <w:r>
        <w:rPr>
          <w:rFonts w:ascii="Arial" w:hAnsi="Arial" w:cs="Arial" w:eastAsia="Arial"/>
          <w:color w:val="auto"/>
          <w:spacing w:val="0"/>
          <w:position w:val="0"/>
          <w:sz w:val="24"/>
          <w:shd w:fill="auto" w:val="clear"/>
        </w:rPr>
        <w:t xml:space="preserve">, 344(1), pp. 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10. Available at: </w:t>
      </w:r>
      <w:hyperlink xmlns:r="http://schemas.openxmlformats.org/officeDocument/2006/relationships" r:id="docRId95">
        <w:r>
          <w:rPr>
            <w:rFonts w:ascii="Arial" w:hAnsi="Arial" w:cs="Arial" w:eastAsia="Arial"/>
            <w:color w:val="0000FF"/>
            <w:spacing w:val="0"/>
            <w:position w:val="0"/>
            <w:sz w:val="24"/>
            <w:u w:val="single"/>
            <w:shd w:fill="auto" w:val="clear"/>
          </w:rPr>
          <w:t xml:space="preserve">https://doi.org/10.1056/NEJM200101043440101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Sadeghi, R. et al. (2023) ‘Is lifestyle modification with individual face-to-face education and counseling more effective than usual care for controlling hypertension?’, </w:t>
      </w:r>
      <w:r>
        <w:rPr>
          <w:rFonts w:ascii="Arial" w:hAnsi="Arial" w:cs="Arial" w:eastAsia="Arial"/>
          <w:i/>
          <w:color w:val="auto"/>
          <w:spacing w:val="0"/>
          <w:position w:val="0"/>
          <w:sz w:val="24"/>
          <w:shd w:fill="auto" w:val="clear"/>
        </w:rPr>
        <w:t xml:space="preserve">Health Education Research</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96">
        <w:r>
          <w:rPr>
            <w:rFonts w:ascii="Arial" w:hAnsi="Arial" w:cs="Arial" w:eastAsia="Arial"/>
            <w:color w:val="0000FF"/>
            <w:spacing w:val="0"/>
            <w:position w:val="0"/>
            <w:sz w:val="24"/>
            <w:u w:val="single"/>
            <w:shd w:fill="auto" w:val="clear"/>
          </w:rPr>
          <w:t xml:space="preserve">https://doi.org/10.1093/her/cyad028</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Schwarzer, R. (2008) ‘Modeling health behavior change: how to predict and modify the adoption and maintenance of health behaviors’, </w:t>
      </w:r>
      <w:r>
        <w:rPr>
          <w:rFonts w:ascii="Arial" w:hAnsi="Arial" w:cs="Arial" w:eastAsia="Arial"/>
          <w:i/>
          <w:color w:val="auto"/>
          <w:spacing w:val="0"/>
          <w:position w:val="0"/>
          <w:sz w:val="24"/>
          <w:shd w:fill="auto" w:val="clear"/>
        </w:rPr>
        <w:t xml:space="preserve">Applied Psychology</w:t>
      </w:r>
      <w:r>
        <w:rPr>
          <w:rFonts w:ascii="Arial" w:hAnsi="Arial" w:cs="Arial" w:eastAsia="Arial"/>
          <w:color w:val="auto"/>
          <w:spacing w:val="0"/>
          <w:position w:val="0"/>
          <w:sz w:val="24"/>
          <w:shd w:fill="auto" w:val="clear"/>
        </w:rPr>
        <w:t xml:space="preserve">, 57(1), pp. 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29. Available at: </w:t>
      </w:r>
      <w:hyperlink xmlns:r="http://schemas.openxmlformats.org/officeDocument/2006/relationships" r:id="docRId97">
        <w:r>
          <w:rPr>
            <w:rFonts w:ascii="Arial" w:hAnsi="Arial" w:cs="Arial" w:eastAsia="Arial"/>
            <w:color w:val="0000FF"/>
            <w:spacing w:val="0"/>
            <w:position w:val="0"/>
            <w:sz w:val="24"/>
            <w:u w:val="single"/>
            <w:shd w:fill="auto" w:val="clear"/>
          </w:rPr>
          <w:t xml:space="preserve">https://doi.org/10.1111/j.1464-0597.2007.00325.x</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Semlitsch, T., Krenn, C., Jeitler, K. et al. (2021) ‘Long-term effects of weight-reducing diets in people with hypertension’, </w:t>
      </w:r>
      <w:r>
        <w:rPr>
          <w:rFonts w:ascii="Arial" w:hAnsi="Arial" w:cs="Arial" w:eastAsia="Arial"/>
          <w:i/>
          <w:color w:val="auto"/>
          <w:spacing w:val="0"/>
          <w:position w:val="0"/>
          <w:sz w:val="24"/>
          <w:shd w:fill="auto" w:val="clear"/>
        </w:rPr>
        <w:t xml:space="preserve">Cochrane Database of Systematic Reviews</w:t>
      </w:r>
      <w:r>
        <w:rPr>
          <w:rFonts w:ascii="Arial" w:hAnsi="Arial" w:cs="Arial" w:eastAsia="Arial"/>
          <w:color w:val="auto"/>
          <w:spacing w:val="0"/>
          <w:position w:val="0"/>
          <w:sz w:val="24"/>
          <w:shd w:fill="auto" w:val="clear"/>
        </w:rPr>
        <w:t xml:space="preserve">, 2021(2), CD008274. Available at: </w:t>
      </w:r>
      <w:hyperlink xmlns:r="http://schemas.openxmlformats.org/officeDocument/2006/relationships" r:id="docRId98">
        <w:r>
          <w:rPr>
            <w:rFonts w:ascii="Arial" w:hAnsi="Arial" w:cs="Arial" w:eastAsia="Arial"/>
            <w:color w:val="0000FF"/>
            <w:spacing w:val="0"/>
            <w:position w:val="0"/>
            <w:sz w:val="24"/>
            <w:u w:val="single"/>
            <w:shd w:fill="auto" w:val="clear"/>
          </w:rPr>
          <w:t xml:space="preserve">https://doi.org/10.1002/14651858.CD008274.pub4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Siopis, G. et al. (2023) ‘Effectiveness, reach, uptake, and feasibility of digital health interventions for adults with hypertension: a systematic review and meta-analysis of randomised controlled trials’, </w:t>
      </w:r>
      <w:r>
        <w:rPr>
          <w:rFonts w:ascii="Arial" w:hAnsi="Arial" w:cs="Arial" w:eastAsia="Arial"/>
          <w:i/>
          <w:color w:val="auto"/>
          <w:spacing w:val="0"/>
          <w:position w:val="0"/>
          <w:sz w:val="24"/>
          <w:shd w:fill="auto" w:val="clear"/>
        </w:rPr>
        <w:t xml:space="preserve">The Lancet Digital Health</w:t>
      </w:r>
      <w:r>
        <w:rPr>
          <w:rFonts w:ascii="Arial" w:hAnsi="Arial" w:cs="Arial" w:eastAsia="Arial"/>
          <w:color w:val="auto"/>
          <w:spacing w:val="0"/>
          <w:position w:val="0"/>
          <w:sz w:val="24"/>
          <w:shd w:fill="auto" w:val="clear"/>
        </w:rPr>
        <w:t xml:space="preserve">, 5(3), pp. e144</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e159. Available at: </w:t>
      </w:r>
      <w:hyperlink xmlns:r="http://schemas.openxmlformats.org/officeDocument/2006/relationships" r:id="docRId99">
        <w:r>
          <w:rPr>
            <w:rFonts w:ascii="Arial" w:hAnsi="Arial" w:cs="Arial" w:eastAsia="Arial"/>
            <w:color w:val="0000FF"/>
            <w:spacing w:val="0"/>
            <w:position w:val="0"/>
            <w:sz w:val="24"/>
            <w:u w:val="single"/>
            <w:shd w:fill="auto" w:val="clear"/>
          </w:rPr>
          <w:t xml:space="preserve">https://doi.org/10.1016/S2589-7500(23)00002-X</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Snyder, H. (2019) ‘Literature review as a research methodology: an overview and guidelines’, </w:t>
      </w:r>
      <w:r>
        <w:rPr>
          <w:rFonts w:ascii="Arial" w:hAnsi="Arial" w:cs="Arial" w:eastAsia="Arial"/>
          <w:i/>
          <w:color w:val="auto"/>
          <w:spacing w:val="0"/>
          <w:position w:val="0"/>
          <w:sz w:val="24"/>
          <w:shd w:fill="auto" w:val="clear"/>
        </w:rPr>
        <w:t xml:space="preserve">Journal of Business Research</w:t>
      </w:r>
      <w:r>
        <w:rPr>
          <w:rFonts w:ascii="Arial" w:hAnsi="Arial" w:cs="Arial" w:eastAsia="Arial"/>
          <w:color w:val="auto"/>
          <w:spacing w:val="0"/>
          <w:position w:val="0"/>
          <w:sz w:val="24"/>
          <w:shd w:fill="auto" w:val="clear"/>
        </w:rPr>
        <w:t xml:space="preserve">, 104, pp. 333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339. Available at: </w:t>
      </w:r>
      <w:hyperlink xmlns:r="http://schemas.openxmlformats.org/officeDocument/2006/relationships" r:id="docRId100">
        <w:r>
          <w:rPr>
            <w:rFonts w:ascii="Arial" w:hAnsi="Arial" w:cs="Arial" w:eastAsia="Arial"/>
            <w:color w:val="0000FF"/>
            <w:spacing w:val="0"/>
            <w:position w:val="0"/>
            <w:sz w:val="24"/>
            <w:u w:val="single"/>
            <w:shd w:fill="auto" w:val="clear"/>
          </w:rPr>
          <w:t xml:space="preserve">https://doi.org/10.1016/j.jbusres.2019.07.039</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Sørensen, K., Van den Broucke, S., Fullam, J. et al. (2012) ‘Health literacy and public health: a systematic review and integration of definitions and models’, </w:t>
      </w:r>
      <w:r>
        <w:rPr>
          <w:rFonts w:ascii="Arial" w:hAnsi="Arial" w:cs="Arial" w:eastAsia="Arial"/>
          <w:i/>
          <w:color w:val="auto"/>
          <w:spacing w:val="0"/>
          <w:position w:val="0"/>
          <w:sz w:val="24"/>
          <w:shd w:fill="auto" w:val="clear"/>
        </w:rPr>
        <w:t xml:space="preserve">BMC Public Health</w:t>
      </w:r>
      <w:r>
        <w:rPr>
          <w:rFonts w:ascii="Arial" w:hAnsi="Arial" w:cs="Arial" w:eastAsia="Arial"/>
          <w:color w:val="auto"/>
          <w:spacing w:val="0"/>
          <w:position w:val="0"/>
          <w:sz w:val="24"/>
          <w:shd w:fill="auto" w:val="clear"/>
        </w:rPr>
        <w:t xml:space="preserve">, 12, 80. Available at: </w:t>
      </w:r>
      <w:hyperlink xmlns:r="http://schemas.openxmlformats.org/officeDocument/2006/relationships" r:id="docRId101">
        <w:r>
          <w:rPr>
            <w:rFonts w:ascii="Arial" w:hAnsi="Arial" w:cs="Arial" w:eastAsia="Arial"/>
            <w:color w:val="0000FF"/>
            <w:spacing w:val="0"/>
            <w:position w:val="0"/>
            <w:sz w:val="24"/>
            <w:u w:val="single"/>
            <w:shd w:fill="auto" w:val="clear"/>
          </w:rPr>
          <w:t xml:space="preserve">https://doi.org/10.1186/1471-2458-12-80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Stacey, D., Lewis, K.B., Smith, M. et al. (2024) ‘Decision aids for people facing health treatment or screening decisions’, </w:t>
      </w:r>
      <w:r>
        <w:rPr>
          <w:rFonts w:ascii="Arial" w:hAnsi="Arial" w:cs="Arial" w:eastAsia="Arial"/>
          <w:i/>
          <w:color w:val="auto"/>
          <w:spacing w:val="0"/>
          <w:position w:val="0"/>
          <w:sz w:val="24"/>
          <w:shd w:fill="auto" w:val="clear"/>
        </w:rPr>
        <w:t xml:space="preserve">Cochrane Database of Systematic Reviews</w:t>
      </w:r>
      <w:r>
        <w:rPr>
          <w:rFonts w:ascii="Arial" w:hAnsi="Arial" w:cs="Arial" w:eastAsia="Arial"/>
          <w:color w:val="auto"/>
          <w:spacing w:val="0"/>
          <w:position w:val="0"/>
          <w:sz w:val="24"/>
          <w:shd w:fill="auto" w:val="clear"/>
        </w:rPr>
        <w:t xml:space="preserve">, 2024(1), CD001431. Available at: </w:t>
      </w:r>
      <w:hyperlink xmlns:r="http://schemas.openxmlformats.org/officeDocument/2006/relationships" r:id="docRId102">
        <w:r>
          <w:rPr>
            <w:rFonts w:ascii="Arial" w:hAnsi="Arial" w:cs="Arial" w:eastAsia="Arial"/>
            <w:color w:val="0000FF"/>
            <w:spacing w:val="0"/>
            <w:position w:val="0"/>
            <w:sz w:val="24"/>
            <w:u w:val="single"/>
            <w:shd w:fill="auto" w:val="clear"/>
          </w:rPr>
          <w:t xml:space="preserve">https://doi.org/10.1002/14651858.CD001431.pub6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Tapela, N.M., Collister, J.A., Britton, A. et al. (2021) ‘Prevalence and determinants of hypertension awareness, treatment and control in the UK Biobank’, </w:t>
      </w:r>
      <w:r>
        <w:rPr>
          <w:rFonts w:ascii="Arial" w:hAnsi="Arial" w:cs="Arial" w:eastAsia="Arial"/>
          <w:i/>
          <w:color w:val="auto"/>
          <w:spacing w:val="0"/>
          <w:position w:val="0"/>
          <w:sz w:val="24"/>
          <w:shd w:fill="auto" w:val="clear"/>
        </w:rPr>
        <w:t xml:space="preserve">Open Heart</w:t>
      </w:r>
      <w:r>
        <w:rPr>
          <w:rFonts w:ascii="Arial" w:hAnsi="Arial" w:cs="Arial" w:eastAsia="Arial"/>
          <w:color w:val="auto"/>
          <w:spacing w:val="0"/>
          <w:position w:val="0"/>
          <w:sz w:val="24"/>
          <w:shd w:fill="auto" w:val="clear"/>
        </w:rPr>
        <w:t xml:space="preserve">, 8(1), e001461. Available at: </w:t>
      </w:r>
      <w:hyperlink xmlns:r="http://schemas.openxmlformats.org/officeDocument/2006/relationships" r:id="docRId103">
        <w:r>
          <w:rPr>
            <w:rFonts w:ascii="Arial" w:hAnsi="Arial" w:cs="Arial" w:eastAsia="Arial"/>
            <w:color w:val="0000FF"/>
            <w:spacing w:val="0"/>
            <w:position w:val="0"/>
            <w:sz w:val="24"/>
            <w:u w:val="single"/>
            <w:shd w:fill="auto" w:val="clear"/>
          </w:rPr>
          <w:t xml:space="preserve">https://doi.org/10.1136/openhrt-2020-001461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Tanner, L., Kenny, R.P.W., Still, M. et al. (2022) ‘NHS Health Check programme: a rapid review update’, </w:t>
      </w:r>
      <w:r>
        <w:rPr>
          <w:rFonts w:ascii="Arial" w:hAnsi="Arial" w:cs="Arial" w:eastAsia="Arial"/>
          <w:i/>
          <w:color w:val="auto"/>
          <w:spacing w:val="0"/>
          <w:position w:val="0"/>
          <w:sz w:val="24"/>
          <w:shd w:fill="auto" w:val="clear"/>
        </w:rPr>
        <w:t xml:space="preserve">BMJ Open</w:t>
      </w:r>
      <w:r>
        <w:rPr>
          <w:rFonts w:ascii="Arial" w:hAnsi="Arial" w:cs="Arial" w:eastAsia="Arial"/>
          <w:color w:val="auto"/>
          <w:spacing w:val="0"/>
          <w:position w:val="0"/>
          <w:sz w:val="24"/>
          <w:shd w:fill="auto" w:val="clear"/>
        </w:rPr>
        <w:t xml:space="preserve">, 12(2), e052832. Available at: </w:t>
      </w:r>
      <w:hyperlink xmlns:r="http://schemas.openxmlformats.org/officeDocument/2006/relationships" r:id="docRId104">
        <w:r>
          <w:rPr>
            <w:rFonts w:ascii="Arial" w:hAnsi="Arial" w:cs="Arial" w:eastAsia="Arial"/>
            <w:color w:val="0000FF"/>
            <w:spacing w:val="0"/>
            <w:position w:val="0"/>
            <w:sz w:val="24"/>
            <w:u w:val="single"/>
            <w:shd w:fill="auto" w:val="clear"/>
          </w:rPr>
          <w:t xml:space="preserve">https://doi.org/10.1136/bmjopen-2021-052832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Tong, A., Flemming, K., McInnes, E. et al. (2012) ‘Enhancing transparency in reporting the synthesis of qualitative research: ENTREQ’, </w:t>
      </w:r>
      <w:r>
        <w:rPr>
          <w:rFonts w:ascii="Arial" w:hAnsi="Arial" w:cs="Arial" w:eastAsia="Arial"/>
          <w:i/>
          <w:color w:val="auto"/>
          <w:spacing w:val="0"/>
          <w:position w:val="0"/>
          <w:sz w:val="24"/>
          <w:shd w:fill="auto" w:val="clear"/>
        </w:rPr>
        <w:t xml:space="preserve">BMC Medical Research Methodology</w:t>
      </w:r>
      <w:r>
        <w:rPr>
          <w:rFonts w:ascii="Arial" w:hAnsi="Arial" w:cs="Arial" w:eastAsia="Arial"/>
          <w:color w:val="auto"/>
          <w:spacing w:val="0"/>
          <w:position w:val="0"/>
          <w:sz w:val="24"/>
          <w:shd w:fill="auto" w:val="clear"/>
        </w:rPr>
        <w:t xml:space="preserve">, 12, 181. Available at: </w:t>
      </w:r>
      <w:hyperlink xmlns:r="http://schemas.openxmlformats.org/officeDocument/2006/relationships" r:id="docRId105">
        <w:r>
          <w:rPr>
            <w:rFonts w:ascii="Arial" w:hAnsi="Arial" w:cs="Arial" w:eastAsia="Arial"/>
            <w:color w:val="0000FF"/>
            <w:spacing w:val="0"/>
            <w:position w:val="0"/>
            <w:sz w:val="24"/>
            <w:u w:val="single"/>
            <w:shd w:fill="auto" w:val="clear"/>
          </w:rPr>
          <w:t xml:space="preserve">https://doi.org/10.1186/1471-2288-12-181</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Tricco, A.C., Lillie, E., Zarin, W. et al. (2018) ‘PRISMA extension for scoping reviews (PRISMA-ScR): checklist and explanation’, </w:t>
      </w:r>
      <w:r>
        <w:rPr>
          <w:rFonts w:ascii="Arial" w:hAnsi="Arial" w:cs="Arial" w:eastAsia="Arial"/>
          <w:i/>
          <w:color w:val="auto"/>
          <w:spacing w:val="0"/>
          <w:position w:val="0"/>
          <w:sz w:val="24"/>
          <w:shd w:fill="auto" w:val="clear"/>
        </w:rPr>
        <w:t xml:space="preserve">Annals of Internal Medicine</w:t>
      </w:r>
      <w:r>
        <w:rPr>
          <w:rFonts w:ascii="Arial" w:hAnsi="Arial" w:cs="Arial" w:eastAsia="Arial"/>
          <w:color w:val="auto"/>
          <w:spacing w:val="0"/>
          <w:position w:val="0"/>
          <w:sz w:val="24"/>
          <w:shd w:fill="auto" w:val="clear"/>
        </w:rPr>
        <w:t xml:space="preserve">, 169(7), pp. 467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473. Available at: </w:t>
      </w:r>
      <w:hyperlink xmlns:r="http://schemas.openxmlformats.org/officeDocument/2006/relationships" r:id="docRId106">
        <w:r>
          <w:rPr>
            <w:rFonts w:ascii="Arial" w:hAnsi="Arial" w:cs="Arial" w:eastAsia="Arial"/>
            <w:color w:val="0000FF"/>
            <w:spacing w:val="0"/>
            <w:position w:val="0"/>
            <w:sz w:val="24"/>
            <w:u w:val="single"/>
            <w:shd w:fill="auto" w:val="clear"/>
          </w:rPr>
          <w:t xml:space="preserve">https://doi.org/10.7326/M18-0850</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Tufanaru, C., Munn, Z., Aromataris, E., Campbell, J. and Hopp, L. (2020) ‘Systematic reviews of effectiveness’, in Aromataris, E. and Munn, Z. (eds.) </w:t>
      </w:r>
      <w:r>
        <w:rPr>
          <w:rFonts w:ascii="Arial" w:hAnsi="Arial" w:cs="Arial" w:eastAsia="Arial"/>
          <w:i/>
          <w:color w:val="auto"/>
          <w:spacing w:val="0"/>
          <w:position w:val="0"/>
          <w:sz w:val="24"/>
          <w:shd w:fill="auto" w:val="clear"/>
        </w:rPr>
        <w:t xml:space="preserve">JBI Manual for Evidence Synthesis</w:t>
      </w:r>
      <w:r>
        <w:rPr>
          <w:rFonts w:ascii="Arial" w:hAnsi="Arial" w:cs="Arial" w:eastAsia="Arial"/>
          <w:color w:val="auto"/>
          <w:spacing w:val="0"/>
          <w:position w:val="0"/>
          <w:sz w:val="24"/>
          <w:shd w:fill="auto" w:val="clear"/>
        </w:rPr>
        <w:t xml:space="preserve">. Adelaide: JBI. Available at: </w:t>
      </w:r>
      <w:hyperlink xmlns:r="http://schemas.openxmlformats.org/officeDocument/2006/relationships" r:id="docRId107">
        <w:r>
          <w:rPr>
            <w:rFonts w:ascii="Arial" w:hAnsi="Arial" w:cs="Arial" w:eastAsia="Arial"/>
            <w:color w:val="0000FF"/>
            <w:spacing w:val="0"/>
            <w:position w:val="0"/>
            <w:sz w:val="24"/>
            <w:u w:val="single"/>
            <w:shd w:fill="auto" w:val="clear"/>
          </w:rPr>
          <w:t xml:space="preserve">https://jbi-global.atlassian.net/wiki/spaces/MANUAL</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Unger, T., Borghi, C., Charchar, F. et al. (2020) ‘2020 International Society of Hypertension global hypertension practice guidelines’,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75(6), pp. 1334</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1357. Available at: </w:t>
      </w:r>
      <w:hyperlink xmlns:r="http://schemas.openxmlformats.org/officeDocument/2006/relationships" r:id="docRId108">
        <w:r>
          <w:rPr>
            <w:rFonts w:ascii="Arial" w:hAnsi="Arial" w:cs="Arial" w:eastAsia="Arial"/>
            <w:color w:val="0000FF"/>
            <w:spacing w:val="0"/>
            <w:position w:val="0"/>
            <w:sz w:val="24"/>
            <w:u w:val="single"/>
            <w:shd w:fill="auto" w:val="clear"/>
          </w:rPr>
          <w:t xml:space="preserve">https://doi.org/10.1097/HJH.0000000000002453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Van der Horst, D.E.M., Garvelink, M.M., Bos, W.J.W. et al. (2023) ‘For which decisions is shared decision making considered appropriate? A systematic review’, </w:t>
      </w:r>
      <w:r>
        <w:rPr>
          <w:rFonts w:ascii="Arial" w:hAnsi="Arial" w:cs="Arial" w:eastAsia="Arial"/>
          <w:i/>
          <w:color w:val="auto"/>
          <w:spacing w:val="0"/>
          <w:position w:val="0"/>
          <w:sz w:val="24"/>
          <w:shd w:fill="auto" w:val="clear"/>
        </w:rPr>
        <w:t xml:space="preserve">Patient Education and Counseling</w:t>
      </w:r>
      <w:r>
        <w:rPr>
          <w:rFonts w:ascii="Arial" w:hAnsi="Arial" w:cs="Arial" w:eastAsia="Arial"/>
          <w:color w:val="auto"/>
          <w:spacing w:val="0"/>
          <w:position w:val="0"/>
          <w:sz w:val="24"/>
          <w:shd w:fill="auto" w:val="clear"/>
        </w:rPr>
        <w:t xml:space="preserve">, 106, pp. 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16. Available at: </w:t>
      </w:r>
      <w:hyperlink xmlns:r="http://schemas.openxmlformats.org/officeDocument/2006/relationships" r:id="docRId109">
        <w:r>
          <w:rPr>
            <w:rFonts w:ascii="Arial" w:hAnsi="Arial" w:cs="Arial" w:eastAsia="Arial"/>
            <w:color w:val="0000FF"/>
            <w:spacing w:val="0"/>
            <w:position w:val="0"/>
            <w:sz w:val="24"/>
            <w:u w:val="single"/>
            <w:shd w:fill="auto" w:val="clear"/>
          </w:rPr>
          <w:t xml:space="preserve">https://doi.org/10.1016/j.pec.2022.09.015</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Whelton, P.K., Carey, R.M., Aronow, W.S. et al. (2018) ‘2017 ACC/AHA guideline for the prevention, detection, evaluation, and management of high blood pressure in adults’, </w:t>
      </w:r>
      <w:r>
        <w:rPr>
          <w:rFonts w:ascii="Arial" w:hAnsi="Arial" w:cs="Arial" w:eastAsia="Arial"/>
          <w:i/>
          <w:color w:val="auto"/>
          <w:spacing w:val="0"/>
          <w:position w:val="0"/>
          <w:sz w:val="24"/>
          <w:shd w:fill="auto" w:val="clear"/>
        </w:rPr>
        <w:t xml:space="preserve">Hypertension</w:t>
      </w:r>
      <w:r>
        <w:rPr>
          <w:rFonts w:ascii="Arial" w:hAnsi="Arial" w:cs="Arial" w:eastAsia="Arial"/>
          <w:color w:val="auto"/>
          <w:spacing w:val="0"/>
          <w:position w:val="0"/>
          <w:sz w:val="24"/>
          <w:shd w:fill="auto" w:val="clear"/>
        </w:rPr>
        <w:t xml:space="preserve">, 71(6), pp. e13</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e115. Available at: </w:t>
      </w:r>
      <w:hyperlink xmlns:r="http://schemas.openxmlformats.org/officeDocument/2006/relationships" r:id="docRId110">
        <w:r>
          <w:rPr>
            <w:rFonts w:ascii="Arial" w:hAnsi="Arial" w:cs="Arial" w:eastAsia="Arial"/>
            <w:color w:val="0000FF"/>
            <w:spacing w:val="0"/>
            <w:position w:val="0"/>
            <w:sz w:val="24"/>
            <w:u w:val="single"/>
            <w:shd w:fill="auto" w:val="clear"/>
          </w:rPr>
          <w:t xml:space="preserve">https://doi.org/10.1161/HYP.0000000000000065</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Williams, B., Mancia, G., Spiering, W. et al. (2018) ‘2018 ESC/ESH Guidelines for the management of arterial hypertension’, </w:t>
      </w:r>
      <w:r>
        <w:rPr>
          <w:rFonts w:ascii="Arial" w:hAnsi="Arial" w:cs="Arial" w:eastAsia="Arial"/>
          <w:i/>
          <w:color w:val="auto"/>
          <w:spacing w:val="0"/>
          <w:position w:val="0"/>
          <w:sz w:val="24"/>
          <w:shd w:fill="auto" w:val="clear"/>
        </w:rPr>
        <w:t xml:space="preserve">European Heart Journal</w:t>
      </w:r>
      <w:r>
        <w:rPr>
          <w:rFonts w:ascii="Arial" w:hAnsi="Arial" w:cs="Arial" w:eastAsia="Arial"/>
          <w:color w:val="auto"/>
          <w:spacing w:val="0"/>
          <w:position w:val="0"/>
          <w:sz w:val="24"/>
          <w:shd w:fill="auto" w:val="clear"/>
        </w:rPr>
        <w:t xml:space="preserve">, 39(33), pp. 3021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3104. Available at: </w:t>
      </w:r>
      <w:hyperlink xmlns:r="http://schemas.openxmlformats.org/officeDocument/2006/relationships" r:id="docRId111">
        <w:r>
          <w:rPr>
            <w:rFonts w:ascii="Arial" w:hAnsi="Arial" w:cs="Arial" w:eastAsia="Arial"/>
            <w:color w:val="0000FF"/>
            <w:spacing w:val="0"/>
            <w:position w:val="0"/>
            <w:sz w:val="24"/>
            <w:u w:val="single"/>
            <w:shd w:fill="auto" w:val="clear"/>
          </w:rPr>
          <w:t xml:space="preserve">https://doi.org/10.1093/eurheartj/ehy339</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(2012) </w:t>
      </w:r>
      <w:r>
        <w:rPr>
          <w:rFonts w:ascii="Arial" w:hAnsi="Arial" w:cs="Arial" w:eastAsia="Arial"/>
          <w:i/>
          <w:color w:val="auto"/>
          <w:spacing w:val="0"/>
          <w:position w:val="0"/>
          <w:sz w:val="24"/>
          <w:shd w:fill="auto" w:val="clear"/>
        </w:rPr>
        <w:t xml:space="preserve">Guideline: sodium intake for adults and children</w:t>
      </w:r>
      <w:r>
        <w:rPr>
          <w:rFonts w:ascii="Arial" w:hAnsi="Arial" w:cs="Arial" w:eastAsia="Arial"/>
          <w:color w:val="auto"/>
          <w:spacing w:val="0"/>
          <w:position w:val="0"/>
          <w:sz w:val="24"/>
          <w:shd w:fill="auto" w:val="clear"/>
        </w:rPr>
        <w:t xml:space="preserve">. Geneva: WHO. Available at: </w:t>
      </w:r>
      <w:hyperlink xmlns:r="http://schemas.openxmlformats.org/officeDocument/2006/relationships" r:id="docRId112">
        <w:r>
          <w:rPr>
            <w:rFonts w:ascii="Arial" w:hAnsi="Arial" w:cs="Arial" w:eastAsia="Arial"/>
            <w:color w:val="0000FF"/>
            <w:spacing w:val="0"/>
            <w:position w:val="0"/>
            <w:sz w:val="24"/>
            <w:u w:val="single"/>
            <w:shd w:fill="auto" w:val="clear"/>
          </w:rPr>
          <w:t xml:space="preserve">https://www.who.int/publications/i/item/9789241504836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(2013) </w:t>
      </w:r>
      <w:r>
        <w:rPr>
          <w:rFonts w:ascii="Arial" w:hAnsi="Arial" w:cs="Arial" w:eastAsia="Arial"/>
          <w:i/>
          <w:color w:val="auto"/>
          <w:spacing w:val="0"/>
          <w:position w:val="0"/>
          <w:sz w:val="24"/>
          <w:shd w:fill="auto" w:val="clear"/>
        </w:rPr>
        <w:t xml:space="preserve">Health literacy: the solid facts</w:t>
      </w:r>
      <w:r>
        <w:rPr>
          <w:rFonts w:ascii="Arial" w:hAnsi="Arial" w:cs="Arial" w:eastAsia="Arial"/>
          <w:color w:val="auto"/>
          <w:spacing w:val="0"/>
          <w:position w:val="0"/>
          <w:sz w:val="24"/>
          <w:shd w:fill="auto" w:val="clear"/>
        </w:rPr>
        <w:t xml:space="preserve">. Copenhagen: WHO Regional Office for Europe. Available at: </w:t>
      </w:r>
      <w:hyperlink xmlns:r="http://schemas.openxmlformats.org/officeDocument/2006/relationships" r:id="docRId113">
        <w:r>
          <w:rPr>
            <w:rFonts w:ascii="Arial" w:hAnsi="Arial" w:cs="Arial" w:eastAsia="Arial"/>
            <w:color w:val="0000FF"/>
            <w:spacing w:val="0"/>
            <w:position w:val="0"/>
            <w:sz w:val="24"/>
            <w:u w:val="single"/>
            <w:shd w:fill="auto" w:val="clear"/>
          </w:rPr>
          <w:t xml:space="preserve">https://iris.who.int/handle/10665/128703</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(2020) </w:t>
      </w:r>
      <w:r>
        <w:rPr>
          <w:rFonts w:ascii="Arial" w:hAnsi="Arial" w:cs="Arial" w:eastAsia="Arial"/>
          <w:i/>
          <w:color w:val="auto"/>
          <w:spacing w:val="0"/>
          <w:position w:val="0"/>
          <w:sz w:val="24"/>
          <w:shd w:fill="auto" w:val="clear"/>
        </w:rPr>
        <w:t xml:space="preserve">WHO guidelines on physical activity and sedentary behaviour</w:t>
      </w:r>
      <w:r>
        <w:rPr>
          <w:rFonts w:ascii="Arial" w:hAnsi="Arial" w:cs="Arial" w:eastAsia="Arial"/>
          <w:color w:val="auto"/>
          <w:spacing w:val="0"/>
          <w:position w:val="0"/>
          <w:sz w:val="24"/>
          <w:shd w:fill="auto" w:val="clear"/>
        </w:rPr>
        <w:t xml:space="preserve">. Geneva: WHO. Available at: </w:t>
      </w:r>
      <w:hyperlink xmlns:r="http://schemas.openxmlformats.org/officeDocument/2006/relationships" r:id="docRId114">
        <w:r>
          <w:rPr>
            <w:rFonts w:ascii="Arial" w:hAnsi="Arial" w:cs="Arial" w:eastAsia="Arial"/>
            <w:color w:val="0000FF"/>
            <w:spacing w:val="0"/>
            <w:position w:val="0"/>
            <w:sz w:val="24"/>
            <w:u w:val="single"/>
            <w:shd w:fill="auto" w:val="clear"/>
          </w:rPr>
          <w:t xml:space="preserve">https://www.who.int/publications/i/item/9789240015128</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(2021) </w:t>
      </w:r>
      <w:r>
        <w:rPr>
          <w:rFonts w:ascii="Arial" w:hAnsi="Arial" w:cs="Arial" w:eastAsia="Arial"/>
          <w:i/>
          <w:color w:val="auto"/>
          <w:spacing w:val="0"/>
          <w:position w:val="0"/>
          <w:sz w:val="24"/>
          <w:shd w:fill="auto" w:val="clear"/>
        </w:rPr>
        <w:t xml:space="preserve">Guideline for the pharmacological treatment of hypertension in adults</w:t>
      </w:r>
      <w:r>
        <w:rPr>
          <w:rFonts w:ascii="Arial" w:hAnsi="Arial" w:cs="Arial" w:eastAsia="Arial"/>
          <w:color w:val="auto"/>
          <w:spacing w:val="0"/>
          <w:position w:val="0"/>
          <w:sz w:val="24"/>
          <w:shd w:fill="auto" w:val="clear"/>
        </w:rPr>
        <w:t xml:space="preserve">. Geneva: WHO. Available at: </w:t>
      </w:r>
      <w:hyperlink xmlns:r="http://schemas.openxmlformats.org/officeDocument/2006/relationships" r:id="docRId115">
        <w:r>
          <w:rPr>
            <w:rFonts w:ascii="Arial" w:hAnsi="Arial" w:cs="Arial" w:eastAsia="Arial"/>
            <w:color w:val="0000FF"/>
            <w:spacing w:val="0"/>
            <w:position w:val="0"/>
            <w:sz w:val="24"/>
            <w:u w:val="single"/>
            <w:shd w:fill="auto" w:val="clear"/>
          </w:rPr>
          <w:t xml:space="preserve">https://www.ncbi.nlm.nih.gov/books/NBK573634/</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(2021) </w:t>
      </w:r>
      <w:r>
        <w:rPr>
          <w:rFonts w:ascii="Arial" w:hAnsi="Arial" w:cs="Arial" w:eastAsia="Arial"/>
          <w:i/>
          <w:color w:val="auto"/>
          <w:spacing w:val="0"/>
          <w:position w:val="0"/>
          <w:sz w:val="24"/>
          <w:shd w:fill="auto" w:val="clear"/>
        </w:rPr>
        <w:t xml:space="preserve">Health Promotion Glossary of Terms 2021</w:t>
      </w:r>
      <w:r>
        <w:rPr>
          <w:rFonts w:ascii="Arial" w:hAnsi="Arial" w:cs="Arial" w:eastAsia="Arial"/>
          <w:color w:val="auto"/>
          <w:spacing w:val="0"/>
          <w:position w:val="0"/>
          <w:sz w:val="24"/>
          <w:shd w:fill="auto" w:val="clear"/>
        </w:rPr>
        <w:t xml:space="preserve">. Geneva: WHO. Available at: </w:t>
      </w:r>
      <w:hyperlink xmlns:r="http://schemas.openxmlformats.org/officeDocument/2006/relationships" r:id="docRId116">
        <w:r>
          <w:rPr>
            <w:rFonts w:ascii="Arial" w:hAnsi="Arial" w:cs="Arial" w:eastAsia="Arial"/>
            <w:color w:val="0000FF"/>
            <w:spacing w:val="0"/>
            <w:position w:val="0"/>
            <w:sz w:val="24"/>
            <w:u w:val="single"/>
            <w:shd w:fill="auto" w:val="clear"/>
          </w:rPr>
          <w:t xml:space="preserve">https://www.who.int/publications/i/item/9789240038349</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(2023) </w:t>
      </w:r>
      <w:r>
        <w:rPr>
          <w:rFonts w:ascii="Arial" w:hAnsi="Arial" w:cs="Arial" w:eastAsia="Arial"/>
          <w:i/>
          <w:color w:val="auto"/>
          <w:spacing w:val="0"/>
          <w:position w:val="0"/>
          <w:sz w:val="24"/>
          <w:shd w:fill="auto" w:val="clear"/>
        </w:rPr>
        <w:t xml:space="preserve">Global report on hypertension: The race against a silent killer</w:t>
      </w:r>
      <w:r>
        <w:rPr>
          <w:rFonts w:ascii="Arial" w:hAnsi="Arial" w:cs="Arial" w:eastAsia="Arial"/>
          <w:color w:val="auto"/>
          <w:spacing w:val="0"/>
          <w:position w:val="0"/>
          <w:sz w:val="24"/>
          <w:shd w:fill="auto" w:val="clear"/>
        </w:rPr>
        <w:t xml:space="preserve">. Geneva: WHO. Available at: </w:t>
      </w:r>
      <w:hyperlink xmlns:r="http://schemas.openxmlformats.org/officeDocument/2006/relationships" r:id="docRId117">
        <w:r>
          <w:rPr>
            <w:rFonts w:ascii="Arial" w:hAnsi="Arial" w:cs="Arial" w:eastAsia="Arial"/>
            <w:color w:val="0000FF"/>
            <w:spacing w:val="0"/>
            <w:position w:val="0"/>
            <w:sz w:val="24"/>
            <w:u w:val="single"/>
            <w:shd w:fill="auto" w:val="clear"/>
          </w:rPr>
          <w:t xml:space="preserve">https://www.who.int/publications/i/item/9789240081062</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World Health Organization (2025) ‘Hypertension’, </w:t>
      </w:r>
      <w:r>
        <w:rPr>
          <w:rFonts w:ascii="Arial" w:hAnsi="Arial" w:cs="Arial" w:eastAsia="Arial"/>
          <w:i/>
          <w:color w:val="auto"/>
          <w:spacing w:val="0"/>
          <w:position w:val="0"/>
          <w:sz w:val="24"/>
          <w:shd w:fill="auto" w:val="clear"/>
        </w:rPr>
        <w:t xml:space="preserve">WHO Fact Sheets</w:t>
      </w:r>
      <w:r>
        <w:rPr>
          <w:rFonts w:ascii="Arial" w:hAnsi="Arial" w:cs="Arial" w:eastAsia="Arial"/>
          <w:color w:val="auto"/>
          <w:spacing w:val="0"/>
          <w:position w:val="0"/>
          <w:sz w:val="24"/>
          <w:shd w:fill="auto" w:val="clear"/>
        </w:rPr>
        <w:t xml:space="preserve">, 25 September. Available at: </w:t>
      </w:r>
      <w:hyperlink xmlns:r="http://schemas.openxmlformats.org/officeDocument/2006/relationships" r:id="docRId118">
        <w:r>
          <w:rPr>
            <w:rFonts w:ascii="Arial" w:hAnsi="Arial" w:cs="Arial" w:eastAsia="Arial"/>
            <w:color w:val="0000FF"/>
            <w:spacing w:val="0"/>
            <w:position w:val="0"/>
            <w:sz w:val="24"/>
            <w:u w:val="single"/>
            <w:shd w:fill="auto" w:val="clear"/>
          </w:rPr>
          <w:t xml:space="preserve">https://www.who.int/news-room/fact-sheets/detail/hypertension</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Xu, Y., Guo, T., Liu, Z. et al. (2022) ‘A systematic review of patient preferences, expectations, and values for the management and treatment of hypertension’, </w:t>
      </w:r>
      <w:r>
        <w:rPr>
          <w:rFonts w:ascii="Arial" w:hAnsi="Arial" w:cs="Arial" w:eastAsia="Arial"/>
          <w:i/>
          <w:color w:val="auto"/>
          <w:spacing w:val="0"/>
          <w:position w:val="0"/>
          <w:sz w:val="24"/>
          <w:shd w:fill="auto" w:val="clear"/>
        </w:rPr>
        <w:t xml:space="preserve">Patient Preference and Adherence</w:t>
      </w:r>
      <w:r>
        <w:rPr>
          <w:rFonts w:ascii="Arial" w:hAnsi="Arial" w:cs="Arial" w:eastAsia="Arial"/>
          <w:color w:val="auto"/>
          <w:spacing w:val="0"/>
          <w:position w:val="0"/>
          <w:sz w:val="24"/>
          <w:shd w:fill="auto" w:val="clear"/>
        </w:rPr>
        <w:t xml:space="preserve">, 16, pp. 2867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2876. Available at: </w:t>
      </w:r>
      <w:hyperlink xmlns:r="http://schemas.openxmlformats.org/officeDocument/2006/relationships" r:id="docRId119">
        <w:r>
          <w:rPr>
            <w:rFonts w:ascii="Arial" w:hAnsi="Arial" w:cs="Arial" w:eastAsia="Arial"/>
            <w:color w:val="0000FF"/>
            <w:spacing w:val="0"/>
            <w:position w:val="0"/>
            <w:sz w:val="24"/>
            <w:u w:val="single"/>
            <w:shd w:fill="auto" w:val="clear"/>
          </w:rPr>
          <w:t xml:space="preserve">https://doi.org/10.2147/PPA.S388356</w:t>
        </w:r>
      </w:hyperlink>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Aburto, N.J. et al. [Duplicate/verification note removed from final count: the sodium evidence is already represented at reference 2.]</w:t>
      </w:r>
    </w:p>
    <w:p>
      <w:pPr>
        <w:numPr>
          <w:ilvl w:val="0"/>
          <w:numId w:val="445"/>
        </w:numPr>
        <w:spacing w:before="240" w:after="0" w:line="360"/>
        <w:ind w:right="0" w:left="426" w:hanging="66"/>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Huang, L. et al. [Duplicate/verification note removed from final count: the sodium/potassium evidence is already represented at reference 40.]</w:t>
      </w:r>
    </w:p>
    <w:p>
      <w:pPr>
        <w:numPr>
          <w:ilvl w:val="0"/>
          <w:numId w:val="445"/>
        </w:numPr>
        <w:spacing w:before="240" w:after="100" w:line="360"/>
        <w:ind w:right="0" w:left="426" w:hanging="66"/>
        <w:jc w:val="both"/>
        <w:rPr>
          <w:rFonts w:ascii="Arial" w:hAnsi="Arial" w:cs="Arial" w:eastAsia="Arial"/>
          <w:color w:val="0000FF"/>
          <w:spacing w:val="0"/>
          <w:position w:val="0"/>
          <w:sz w:val="24"/>
          <w:u w:val="single"/>
          <w:shd w:fill="auto" w:val="clear"/>
        </w:rPr>
      </w:pPr>
      <w:r>
        <w:rPr>
          <w:rFonts w:ascii="Arial" w:hAnsi="Arial" w:cs="Arial" w:eastAsia="Arial"/>
          <w:color w:val="auto"/>
          <w:spacing w:val="0"/>
          <w:position w:val="0"/>
          <w:sz w:val="24"/>
          <w:shd w:fill="auto" w:val="clear"/>
        </w:rPr>
        <w:t xml:space="preserve">UK Health Security Agency (2024) </w:t>
      </w:r>
      <w:r>
        <w:rPr>
          <w:rFonts w:ascii="Arial" w:hAnsi="Arial" w:cs="Arial" w:eastAsia="Arial"/>
          <w:i/>
          <w:color w:val="auto"/>
          <w:spacing w:val="0"/>
          <w:position w:val="0"/>
          <w:sz w:val="24"/>
          <w:shd w:fill="auto" w:val="clear"/>
        </w:rPr>
        <w:t xml:space="preserve">UKHSA Health Equity for Health Security Strategy 2023 to 2026</w:t>
      </w:r>
      <w:r>
        <w:rPr>
          <w:rFonts w:ascii="Arial" w:hAnsi="Arial" w:cs="Arial" w:eastAsia="Arial"/>
          <w:color w:val="auto"/>
          <w:spacing w:val="0"/>
          <w:position w:val="0"/>
          <w:sz w:val="24"/>
          <w:shd w:fill="auto" w:val="clear"/>
        </w:rPr>
        <w:t xml:space="preserve">. London: UKHSA. Available at: </w:t>
      </w:r>
      <w:hyperlink xmlns:r="http://schemas.openxmlformats.org/officeDocument/2006/relationships" r:id="docRId120">
        <w:r>
          <w:rPr>
            <w:rFonts w:ascii="Arial" w:hAnsi="Arial" w:cs="Arial" w:eastAsia="Arial"/>
            <w:color w:val="0000FF"/>
            <w:spacing w:val="0"/>
            <w:position w:val="0"/>
            <w:sz w:val="24"/>
            <w:u w:val="single"/>
            <w:shd w:fill="auto" w:val="clear"/>
          </w:rPr>
          <w:t xml:space="preserve">https://www.gov.uk/government/publications/ukhsa-health-equity-for-health-security-strategy-2023-to-2026</w:t>
        </w:r>
      </w:hyperlink>
    </w:p>
    <w:p>
      <w:pPr>
        <w:spacing w:before="100" w:after="100" w:line="360"/>
        <w:ind w:right="0" w:left="0" w:firstLine="0"/>
        <w:jc w:val="both"/>
        <w:rPr>
          <w:rFonts w:ascii="Arial" w:hAnsi="Arial" w:cs="Arial" w:eastAsia="Arial"/>
          <w:color w:val="0000FF"/>
          <w:spacing w:val="0"/>
          <w:position w:val="0"/>
          <w:sz w:val="24"/>
          <w:u w:val="single"/>
          <w:shd w:fill="auto" w:val="clear"/>
        </w:rPr>
      </w:pPr>
    </w:p>
    <w:p>
      <w:pPr>
        <w:spacing w:before="100" w:after="100" w:line="360"/>
        <w:ind w:right="0" w:left="0" w:firstLine="0"/>
        <w:jc w:val="both"/>
        <w:rPr>
          <w:rFonts w:ascii="Arial" w:hAnsi="Arial" w:cs="Arial" w:eastAsia="Arial"/>
          <w:color w:val="0000FF"/>
          <w:spacing w:val="0"/>
          <w:position w:val="0"/>
          <w:sz w:val="24"/>
          <w:u w:val="single"/>
          <w:shd w:fill="auto" w:val="clear"/>
        </w:rPr>
      </w:pPr>
    </w:p>
    <w:p>
      <w:pPr>
        <w:spacing w:before="100" w:after="100" w:line="360"/>
        <w:ind w:right="0" w:left="0" w:firstLine="0"/>
        <w:jc w:val="both"/>
        <w:rPr>
          <w:rFonts w:ascii="Arial" w:hAnsi="Arial" w:cs="Arial" w:eastAsia="Arial"/>
          <w:color w:val="0000FF"/>
          <w:spacing w:val="0"/>
          <w:position w:val="0"/>
          <w:sz w:val="24"/>
          <w:u w:val="single"/>
          <w:shd w:fill="auto" w:val="clear"/>
        </w:rPr>
      </w:pPr>
    </w:p>
    <w:p>
      <w:pPr>
        <w:spacing w:before="100" w:after="100" w:line="360"/>
        <w:ind w:right="0" w:left="0" w:firstLine="0"/>
        <w:jc w:val="both"/>
        <w:rPr>
          <w:rFonts w:ascii="Arial" w:hAnsi="Arial" w:cs="Arial" w:eastAsia="Arial"/>
          <w:color w:val="0000FF"/>
          <w:spacing w:val="0"/>
          <w:position w:val="0"/>
          <w:sz w:val="24"/>
          <w:u w:val="single"/>
          <w:shd w:fill="auto" w:val="clear"/>
        </w:rPr>
      </w:pPr>
    </w:p>
    <w:p>
      <w:pPr>
        <w:spacing w:before="100" w:after="100" w:line="360"/>
        <w:ind w:right="0" w:left="0" w:firstLine="0"/>
        <w:jc w:val="both"/>
        <w:rPr>
          <w:rFonts w:ascii="Arial" w:hAnsi="Arial" w:cs="Arial" w:eastAsia="Arial"/>
          <w:color w:val="0000FF"/>
          <w:spacing w:val="0"/>
          <w:position w:val="0"/>
          <w:sz w:val="24"/>
          <w:u w:val="single"/>
          <w:shd w:fill="auto" w:val="clear"/>
        </w:rPr>
      </w:pPr>
    </w:p>
    <w:p>
      <w:pPr>
        <w:keepNext w:val="true"/>
        <w:keepLines w:val="true"/>
        <w:spacing w:before="240" w:after="152" w:line="360"/>
        <w:ind w:right="2" w:left="36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Appendix </w:t>
      </w:r>
      <w:r>
        <w:rPr>
          <w:rFonts w:ascii="Arial" w:hAnsi="Arial" w:cs="Arial" w:eastAsia="Arial"/>
          <w:b/>
          <w:color w:val="000000"/>
          <w:spacing w:val="0"/>
          <w:position w:val="0"/>
          <w:sz w:val="32"/>
          <w:shd w:fill="auto" w:val="clear"/>
        </w:rPr>
        <w:t xml:space="preserve">–</w:t>
      </w:r>
      <w:r>
        <w:rPr>
          <w:rFonts w:ascii="Arial" w:hAnsi="Arial" w:cs="Arial" w:eastAsia="Arial"/>
          <w:b/>
          <w:color w:val="000000"/>
          <w:spacing w:val="0"/>
          <w:position w:val="0"/>
          <w:sz w:val="32"/>
          <w:shd w:fill="auto" w:val="clear"/>
        </w:rPr>
        <w:t xml:space="preserve"> CASP/JBI Quality Appraisal</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Appendix .1 </w:t>
      </w:r>
      <w:r>
        <w:rPr>
          <w:rFonts w:ascii="Arial" w:hAnsi="Arial" w:cs="Arial" w:eastAsia="Arial"/>
          <w:b/>
          <w:color w:val="000000"/>
          <w:spacing w:val="0"/>
          <w:position w:val="0"/>
          <w:sz w:val="28"/>
          <w:shd w:fill="auto" w:val="clear"/>
        </w:rPr>
        <w:t xml:space="preserve">–</w:t>
      </w:r>
      <w:r>
        <w:rPr>
          <w:rFonts w:ascii="Arial" w:hAnsi="Arial" w:cs="Arial" w:eastAsia="Arial"/>
          <w:b/>
          <w:color w:val="000000"/>
          <w:spacing w:val="0"/>
          <w:position w:val="0"/>
          <w:sz w:val="28"/>
          <w:shd w:fill="auto" w:val="clear"/>
        </w:rPr>
        <w:t xml:space="preserve"> Quality Assessment Method</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subsection should briefly explain the appraisal approach:</w:t>
      </w: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methodological quality of the included studies was assessed using appropriate critical appraisal tools according to study design. The Critical Appraisal Skills Programme (CASP) checklists were used for qualitative and relevant observational studies, while the Joanna Briggs Institute (JBI) critical appraisal tools were used where appropriate for systematic reviews and other relevant study designs. Each study was assessed against the criteria specified in the relevant checklist, including clarity of the research question, appropriateness of methodology, validity of the findings, risk of bias, and appropriateness of analysis. Responses were recorded as “Yes”, “No” or “Can’t tell”, with supporting comments provided for each judgement. The overall quality judgement was based on the pattern of appraisal findings rather than solely on a numerical score (CASP, 2024; Aromataris and Munn, 2020).</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Appendix 2 </w:t>
      </w:r>
      <w:r>
        <w:rPr>
          <w:rFonts w:ascii="Arial" w:hAnsi="Arial" w:cs="Arial" w:eastAsia="Arial"/>
          <w:b/>
          <w:color w:val="000000"/>
          <w:spacing w:val="0"/>
          <w:position w:val="0"/>
          <w:sz w:val="28"/>
          <w:shd w:fill="auto" w:val="clear"/>
        </w:rPr>
        <w:t xml:space="preserve">–</w:t>
      </w:r>
      <w:r>
        <w:rPr>
          <w:rFonts w:ascii="Arial" w:hAnsi="Arial" w:cs="Arial" w:eastAsia="Arial"/>
          <w:b/>
          <w:color w:val="000000"/>
          <w:spacing w:val="0"/>
          <w:position w:val="0"/>
          <w:sz w:val="28"/>
          <w:shd w:fill="auto" w:val="clear"/>
        </w:rPr>
        <w:t xml:space="preserve"> Individual Study Appraisal</w:t>
      </w:r>
    </w:p>
    <w:tbl>
      <w:tblPr/>
      <w:tblGrid>
        <w:gridCol w:w="2151"/>
        <w:gridCol w:w="1446"/>
        <w:gridCol w:w="1412"/>
        <w:gridCol w:w="1496"/>
        <w:gridCol w:w="2511"/>
      </w:tblGrid>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Appraisal question</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Yes</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No</w:t>
            </w: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Can't tell</w:t>
            </w: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Supporting evidence/comments</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Is there a clearly focused research question?</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Segoe UI Symbol" w:hAnsi="Segoe UI Symbol" w:cs="Segoe UI Symbol" w:eastAsia="Segoe UI Symbol"/>
                <w:color w:val="auto"/>
                <w:spacing w:val="0"/>
                <w:position w:val="0"/>
                <w:sz w:val="24"/>
                <w:shd w:fill="auto" w:val="clear"/>
              </w:rPr>
              <w:t xml:space="preserve">✓</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Research objective clearly stated.</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Is the methodology appropriate to the research question?</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Segoe UI Symbol" w:hAnsi="Segoe UI Symbol" w:cs="Segoe UI Symbol" w:eastAsia="Segoe UI Symbol"/>
                <w:color w:val="auto"/>
                <w:spacing w:val="0"/>
                <w:position w:val="0"/>
                <w:sz w:val="24"/>
                <w:shd w:fill="auto" w:val="clear"/>
              </w:rPr>
              <w:t xml:space="preserve">✓</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 methodology appropriate to the stated objective.</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Was the search strategy appropriate and sufficiently comprehensive?</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Segoe UI Symbol" w:hAnsi="Segoe UI Symbol" w:cs="Segoe UI Symbol" w:eastAsia="Segoe UI Symbol"/>
                <w:color w:val="auto"/>
                <w:spacing w:val="0"/>
                <w:position w:val="0"/>
                <w:sz w:val="24"/>
                <w:shd w:fill="auto" w:val="clear"/>
              </w:rPr>
              <w:t xml:space="preserve">✓</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Multiple relevant sources/databases were considered.</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Were the included studies appropriately assessed?</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Segoe UI Symbol" w:hAnsi="Segoe UI Symbol" w:cs="Segoe UI Symbol" w:eastAsia="Segoe UI Symbol"/>
                <w:color w:val="auto"/>
                <w:spacing w:val="0"/>
                <w:position w:val="0"/>
                <w:sz w:val="24"/>
                <w:shd w:fill="auto" w:val="clear"/>
              </w:rPr>
              <w:t xml:space="preserve">✓</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Methodological quality was considered.</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Was the synthesis/analysis appropriate?</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Segoe UI Symbol" w:hAnsi="Segoe UI Symbol" w:cs="Segoe UI Symbol" w:eastAsia="Segoe UI Symbol"/>
                <w:color w:val="auto"/>
                <w:spacing w:val="0"/>
                <w:position w:val="0"/>
                <w:sz w:val="24"/>
                <w:shd w:fill="auto" w:val="clear"/>
              </w:rPr>
              <w:t xml:space="preserve">✓</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Findings were systematically synthesised.</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Were limitations or sources of bias considered?</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Segoe UI Symbol" w:hAnsi="Segoe UI Symbol" w:cs="Segoe UI Symbol" w:eastAsia="Segoe UI Symbol"/>
                <w:color w:val="auto"/>
                <w:spacing w:val="0"/>
                <w:position w:val="0"/>
                <w:sz w:val="24"/>
                <w:shd w:fill="auto" w:val="clear"/>
              </w:rPr>
              <w:t xml:space="preserve">✓</w:t>
            </w: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Heterogeneity and methodological limitations were acknowledged.</w:t>
            </w:r>
          </w:p>
        </w:tc>
      </w:tr>
      <w:tr>
        <w:trPr>
          <w:trHeight w:val="1" w:hRule="atLeast"/>
          <w:jc w:val="left"/>
        </w:trPr>
        <w:tc>
          <w:tcPr>
            <w:tcW w:w="21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Overall judgement</w:t>
            </w:r>
          </w:p>
        </w:tc>
        <w:tc>
          <w:tcPr>
            <w:tcW w:w="14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14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rFonts w:ascii="Calibri" w:hAnsi="Calibri" w:cs="Calibri" w:eastAsia="Calibri"/>
                <w:color w:val="auto"/>
                <w:spacing w:val="0"/>
                <w:position w:val="0"/>
                <w:sz w:val="22"/>
                <w:shd w:fill="auto" w:val="clear"/>
              </w:rPr>
            </w:pPr>
          </w:p>
        </w:tc>
        <w:tc>
          <w:tcPr>
            <w:tcW w:w="25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 quality</w:t>
            </w:r>
          </w:p>
        </w:tc>
      </w:tr>
    </w:tbl>
    <w:p>
      <w:pPr>
        <w:spacing w:before="100" w:after="100" w:line="360"/>
        <w:ind w:right="0" w:left="0" w:firstLine="0"/>
        <w:jc w:val="both"/>
        <w:rPr>
          <w:rFonts w:ascii="Arial" w:hAnsi="Arial" w:cs="Arial" w:eastAsia="Arial"/>
          <w:color w:val="auto"/>
          <w:spacing w:val="0"/>
          <w:position w:val="0"/>
          <w:sz w:val="24"/>
          <w:shd w:fill="auto" w:val="clear"/>
        </w:rPr>
      </w:pPr>
    </w:p>
    <w:p>
      <w:pPr>
        <w:spacing w:before="100" w:after="1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Important: these questions should be replaced with the exact questions from the checklist you actually used, where possible. Do not invent CASP/JBI questions and present them as official checklist wording.</w:t>
      </w:r>
    </w:p>
    <w:p>
      <w:pPr>
        <w:keepNext w:val="true"/>
        <w:keepLines w:val="true"/>
        <w:spacing w:before="0" w:after="152" w:line="265"/>
        <w:ind w:right="2" w:left="10" w:hanging="1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Appendix .3  </w:t>
      </w:r>
    </w:p>
    <w:p>
      <w:pPr>
        <w:keepNext w:val="true"/>
        <w:spacing w:before="0" w:after="200" w:line="240"/>
        <w:ind w:right="0" w:left="0" w:firstLine="0"/>
        <w:jc w:val="left"/>
        <w:rPr>
          <w:rFonts w:ascii="Calibri" w:hAnsi="Calibri" w:cs="Calibri" w:eastAsia="Calibri"/>
          <w:i/>
          <w:color w:val="44546A"/>
          <w:spacing w:val="0"/>
          <w:position w:val="0"/>
          <w:sz w:val="18"/>
          <w:shd w:fill="auto" w:val="clear"/>
        </w:rPr>
      </w:pPr>
      <w:r>
        <w:rPr>
          <w:rFonts w:ascii="Calibri" w:hAnsi="Calibri" w:cs="Calibri" w:eastAsia="Calibri"/>
          <w:i/>
          <w:color w:val="44546A"/>
          <w:spacing w:val="0"/>
          <w:position w:val="0"/>
          <w:sz w:val="18"/>
          <w:shd w:fill="auto" w:val="clear"/>
        </w:rPr>
        <w:t xml:space="preserve">Table 7.Overall Quality Summary</w:t>
      </w:r>
    </w:p>
    <w:tbl>
      <w:tblPr/>
      <w:tblGrid>
        <w:gridCol w:w="1271"/>
        <w:gridCol w:w="2391"/>
        <w:gridCol w:w="1844"/>
        <w:gridCol w:w="1792"/>
        <w:gridCol w:w="1718"/>
      </w:tblGrid>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Study</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Study design</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Appraisal tool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Overall quality</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Key limitation</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Han et al. (2025)</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Systematic/narrative review*</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review tool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Heterogeneity</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Robinson and Douglas (2021)</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Qualitative</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CASP</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Moderate/High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Small qualitative sample</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Elnaem et al. (2022)</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Systematic review</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JBI/appropriate review tool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Limited UK-specific evidence</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NHS Digital (2024)</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Cross-sectional survey</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observational tool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Cross-sectional design</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Carey and Whelton</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guideline</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guideline appraisal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Not primary research</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Böhm et al. (2021)</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review tool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Broad evidence base</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WHO (2023)</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Health report</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evidence appraisal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Descriptive rather than primary research</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UKHSA (2024)</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Government report</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report appraisal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Limited primary data</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Fryar et al. (2024)</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Cross-sectional survey</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observational tool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Limited UK applicability</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Piepoli et al. (2021)</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guideline</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guideline appraisal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Limited behavioural focus</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Williams et al.</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guideline</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guideline appraisal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Clinical emphasis</w:t>
            </w:r>
          </w:p>
        </w:tc>
      </w:tr>
      <w:tr>
        <w:trPr>
          <w:trHeight w:val="1" w:hRule="atLeast"/>
          <w:jc w:val="left"/>
        </w:trPr>
        <w:tc>
          <w:tcPr>
            <w:tcW w:w="12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NHS England (2025)</w:t>
            </w:r>
          </w:p>
        </w:tc>
        <w:tc>
          <w:tcPr>
            <w:tcW w:w="239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Government/policy report</w:t>
            </w:r>
          </w:p>
        </w:tc>
        <w:tc>
          <w:tcPr>
            <w:tcW w:w="184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Appropriate report appraisal</w:t>
            </w:r>
          </w:p>
        </w:tc>
        <w:tc>
          <w:tcPr>
            <w:tcW w:w="1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High</w:t>
            </w:r>
          </w:p>
        </w:tc>
        <w:tc>
          <w:tcPr>
            <w:tcW w:w="17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Limited primary evaluation</w:t>
            </w:r>
          </w:p>
        </w:tc>
      </w:tr>
    </w:tbl>
    <w:p>
      <w:pPr>
        <w:spacing w:before="100" w:after="10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58">
    <w:abstractNumId w:val="6"/>
  </w:num>
  <w:num w:numId="44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36/openhrt-2020-001461" Id="docRId103" Type="http://schemas.openxmlformats.org/officeDocument/2006/relationships/hyperlink" /><Relationship TargetMode="External" Target="https://doi.org/10.1136/bmj.n71" Id="docRId88" Type="http://schemas.openxmlformats.org/officeDocument/2006/relationships/hyperlink" /><Relationship TargetMode="External" Target="https://doi.org/10.1177/2047487319893035" Id="docRId90" Type="http://schemas.openxmlformats.org/officeDocument/2006/relationships/hyperlink" /><Relationship TargetMode="External" Target="https://doi.org/10.1016/0749-5978(91)90020-T" Id="docRId14" Type="http://schemas.openxmlformats.org/officeDocument/2006/relationships/hyperlink" /><Relationship TargetMode="External" Target="https://doi.org/10.1016/S0140-6736(21)01330-1" Id="docRId75" Type="http://schemas.openxmlformats.org/officeDocument/2006/relationships/hyperlink" /><Relationship TargetMode="External" Target="https://doi.org/10.1016/S2589-7500(23)00002-X" Id="docRId99" Type="http://schemas.openxmlformats.org/officeDocument/2006/relationships/hyperlink" /><Relationship TargetMode="External" Target="https://iris.who.int/handle/10665/128703" Id="docRId113" Type="http://schemas.openxmlformats.org/officeDocument/2006/relationships/hyperlink" /><Relationship TargetMode="External" Target="https://doi.org/10.1186/1748-5908-6-42" Id="docRId69" Type="http://schemas.openxmlformats.org/officeDocument/2006/relationships/hyperlink" /><Relationship TargetMode="External" Target="https://doi.org/10.3390/ijerph192114571" Id="docRId36" Type="http://schemas.openxmlformats.org/officeDocument/2006/relationships/hyperlink" /><Relationship TargetMode="External" Target="https://doi.org/10.1080/10410236.2013.873363" Id="docRId53" Type="http://schemas.openxmlformats.org/officeDocument/2006/relationships/hyperlink" /><Relationship TargetMode="External" Target="https://jbi-global.atlassian.net/wiki/spaces/MANUAL" Id="docRId60" Type="http://schemas.openxmlformats.org/officeDocument/2006/relationships/hyperlink" /><Relationship TargetMode="External" Target="https://jbi-global.atlassian.net/wiki/spaces/MANUAL" Id="docRId107" Type="http://schemas.openxmlformats.org/officeDocument/2006/relationships/hyperlink" /><Relationship TargetMode="External" Target="https://doi.org/10.1136/bmj.f1326" Id="docRId13" Type="http://schemas.openxmlformats.org/officeDocument/2006/relationships/hyperlink" /><Relationship TargetMode="External" Target="https://doi.org/10.46658/JBIMES-24-01" Id="docRId20" Type="http://schemas.openxmlformats.org/officeDocument/2006/relationships/hyperlink" /><Relationship TargetMode="External" Target="https://doi.org/10.1002/14651858.CD006732.pub4" Id="docRId58" Type="http://schemas.openxmlformats.org/officeDocument/2006/relationships/hyperlink" /><Relationship TargetMode="External" Target="https://digital.nhs.uk/data-and-information/publications/statistical/health-survey-for-england/2024/adults-health" Id="docRId78" Type="http://schemas.openxmlformats.org/officeDocument/2006/relationships/hyperlink" /><Relationship TargetMode="External" Target="https://doi.org/10.1037/0278-6133.19.Suppl1.64" Id="docRId94" Type="http://schemas.openxmlformats.org/officeDocument/2006/relationships/hyperlink" /><Relationship Target="embeddings/oleObject1.bin" Id="docRId2" Type="http://schemas.openxmlformats.org/officeDocument/2006/relationships/oleObject" /><Relationship TargetMode="External" Target="https://doi.org/10.1161/CIRCULATIONAHA.115.018912" Id="docRId71" Type="http://schemas.openxmlformats.org/officeDocument/2006/relationships/hyperlink" /><Relationship TargetMode="External" Target="https://www.who.int/publications/i/item/9789240081062" Id="docRId117" Type="http://schemas.openxmlformats.org/officeDocument/2006/relationships/hyperlink" /><Relationship TargetMode="External" Target="https://www.gov.uk/government/publications/ukhsa-health-equity-for-health-security-strategy-2023-to-2026" Id="docRId120" Type="http://schemas.openxmlformats.org/officeDocument/2006/relationships/hyperlink" /><Relationship TargetMode="External" Target="https://www.kingsfund.org.uk/insight-and-analysis/reports/making-shared-decision-making-reality" Id="docRId31" Type="http://schemas.openxmlformats.org/officeDocument/2006/relationships/hyperlink" /><Relationship TargetMode="External" Target="https://doi.org/10.15620/cdc/164016" Id="docRId42" Type="http://schemas.openxmlformats.org/officeDocument/2006/relationships/hyperlink" /><Relationship TargetMode="External" Target="https://doi.org/10.1371/journal.pone.0084238" Id="docRId56" Type="http://schemas.openxmlformats.org/officeDocument/2006/relationships/hyperlink" /><Relationship TargetMode="External" Target="https://doi.org/10.1093/eurheartj/ehae178" Id="docRId65" Type="http://schemas.openxmlformats.org/officeDocument/2006/relationships/hyperlink" /><Relationship TargetMode="External" Target="https://www.cdc.gov/nchs/products/databriefs/db364.htm" Id="docRId86" Type="http://schemas.openxmlformats.org/officeDocument/2006/relationships/hyperlink" /><Relationship TargetMode="External" Target="https://doi.org/10.1002/14651858.CD001431.pub6" Id="docRId102" Type="http://schemas.openxmlformats.org/officeDocument/2006/relationships/hyperlink" /><Relationship TargetMode="External" Target="https://doi.org/10.1136/bmj.n160" Id="docRId89" Type="http://schemas.openxmlformats.org/officeDocument/2006/relationships/hyperlink" /><Relationship TargetMode="External" Target="https://doi.org/10.1177/109019817400200403" Id="docRId93" Type="http://schemas.openxmlformats.org/officeDocument/2006/relationships/hyperlink" /><Relationship TargetMode="External" Target="https://doi.org/10.1161/CIR.0000000000000678" Id="docRId17" Type="http://schemas.openxmlformats.org/officeDocument/2006/relationships/hyperlink" /><Relationship TargetMode="External" Target="https://doi.org/10.1177/00333549141291S206" Id="docRId24" Type="http://schemas.openxmlformats.org/officeDocument/2006/relationships/hyperlink" /><Relationship TargetMode="External" Target="https://www.nice.org.uk/guidance/ng136" Id="docRId74" Type="http://schemas.openxmlformats.org/officeDocument/2006/relationships/hyperlink" /><Relationship TargetMode="External" Target="https://doi.org/10.1002/14651858.CD008274.pub4" Id="docRId98" Type="http://schemas.openxmlformats.org/officeDocument/2006/relationships/hyperlink" /><Relationship Target="embeddings/oleObject3.bin" Id="docRId6" Type="http://schemas.openxmlformats.org/officeDocument/2006/relationships/oleObject" /><Relationship TargetMode="External" Target="https://doi.org/10.1016/j.ijnss.2018.06.001" Id="docRId35" Type="http://schemas.openxmlformats.org/officeDocument/2006/relationships/hyperlink" /><Relationship TargetMode="External" Target="https://www.cochrane.org/authors/handbooks-and-manuals/handbook/current" Id="docRId46" Type="http://schemas.openxmlformats.org/officeDocument/2006/relationships/hyperlink" /><Relationship TargetMode="External" Target="https://doi.org/10.1038/s41598-023-37149-2" Id="docRId52" Type="http://schemas.openxmlformats.org/officeDocument/2006/relationships/hyperlink" /><Relationship TargetMode="External" Target="https://doi.org/10.1097/HJH.0000000000003480" Id="docRId61" Type="http://schemas.openxmlformats.org/officeDocument/2006/relationships/hyperlink" /><Relationship TargetMode="External" Target="https://doi.org/10.1093/heapro/15.3.259" Id="docRId82" Type="http://schemas.openxmlformats.org/officeDocument/2006/relationships/hyperlink" /><Relationship TargetMode="External" Target="https://doi.org/10.7326/M18-0850" Id="docRId106" Type="http://schemas.openxmlformats.org/officeDocument/2006/relationships/hyperlink" /><Relationship TargetMode="External" Target="https://doi.org/10.1007/s11886-022-01826-x" Id="docRId12" Type="http://schemas.openxmlformats.org/officeDocument/2006/relationships/hyperlink" /><Relationship TargetMode="External" Target="https://bjgp.org/content/63/610/e269" Id="docRId21" Type="http://schemas.openxmlformats.org/officeDocument/2006/relationships/hyperlink" /><Relationship Target="embeddings/oleObject4.bin" Id="docRId8" Type="http://schemas.openxmlformats.org/officeDocument/2006/relationships/oleObject" /><Relationship TargetMode="External" Target="https://doi.org/10.1111/j.1464-0597.2007.00325.x" Id="docRId97" Type="http://schemas.openxmlformats.org/officeDocument/2006/relationships/hyperlink" /><Relationship TargetMode="External" Target="https://doi.org/10.1161/HYPERTENSIONAHA.124.22703" Id="docRId28" Type="http://schemas.openxmlformats.org/officeDocument/2006/relationships/hyperlink" /><Relationship Target="media/image1.wmf" Id="docRId3" Type="http://schemas.openxmlformats.org/officeDocument/2006/relationships/image" /><Relationship TargetMode="External" Target="https://doi.org/10.1371/journal.pone.0080633" Id="docRId48" Type="http://schemas.openxmlformats.org/officeDocument/2006/relationships/hyperlink" /><Relationship TargetMode="External" Target="https://www.annfammed.org/content/6/6/490" Id="docRId70" Type="http://schemas.openxmlformats.org/officeDocument/2006/relationships/hyperlink" /><Relationship TargetMode="External" Target="https://doi.org/10.1161/HYP.0000000000000065" Id="docRId110" Type="http://schemas.openxmlformats.org/officeDocument/2006/relationships/hyperlink" /><Relationship TargetMode="External" Target="https://doi.org/10.1097/HJH.0b013e32835ca964" Id="docRId30" Type="http://schemas.openxmlformats.org/officeDocument/2006/relationships/hyperlink" /><Relationship TargetMode="External" Target="https://doi.org/10.3389/fnut.2021.725020" Id="docRId43" Type="http://schemas.openxmlformats.org/officeDocument/2006/relationships/hyperlink" /><Relationship TargetMode="External" Target="https://doi.org/10.1016/j.ijnurstu.2022.104406" Id="docRId66" Type="http://schemas.openxmlformats.org/officeDocument/2006/relationships/hyperlink" /><Relationship TargetMode="External" Target="https://doi.org/10.1111/jebm.12266" Id="docRId87" Type="http://schemas.openxmlformats.org/officeDocument/2006/relationships/hyperlink" /><Relationship TargetMode="External" Target="https://doi.org/10.1186/1471-2458-12-80" Id="docRId101" Type="http://schemas.openxmlformats.org/officeDocument/2006/relationships/hyperlink" /><Relationship TargetMode="External" Target="https://doi.org/10.1056/NEJM199704173361601" Id="docRId19" Type="http://schemas.openxmlformats.org/officeDocument/2006/relationships/hyperlink" /><Relationship TargetMode="External" Target="https://doi.org/10.1161/CIRCULATIONAHA.120.050371" Id="docRId39" Type="http://schemas.openxmlformats.org/officeDocument/2006/relationships/hyperlink" /><Relationship TargetMode="External" Target="https://doi.org/10.1136/bmjopen-2015-008840" Id="docRId92" Type="http://schemas.openxmlformats.org/officeDocument/2006/relationships/hyperlink" /><Relationship TargetMode="External" Target="https://www.who.int/publications/i/item/9789240038349" Id="docRId116" Type="http://schemas.openxmlformats.org/officeDocument/2006/relationships/hyperlink" /><Relationship Target="numbering.xml" Id="docRId121" Type="http://schemas.openxmlformats.org/officeDocument/2006/relationships/numbering" /><Relationship TargetMode="External" Target="https://doi.org/10.1371/journal.pmed.1002863" Id="docRId16" Type="http://schemas.openxmlformats.org/officeDocument/2006/relationships/hyperlink" /><Relationship TargetMode="External" Target="https://doi.org/10.1503/cmaj.151201" Id="docRId25" Type="http://schemas.openxmlformats.org/officeDocument/2006/relationships/hyperlink" /><Relationship TargetMode="External" Target="https://doi.org/10.1001/jamainternmed.2015.7444" Id="docRId32" Type="http://schemas.openxmlformats.org/officeDocument/2006/relationships/hyperlink" /><Relationship TargetMode="External" Target="https://doi.org/10.1002/14651858.CD004937.pub2" Id="docRId45" Type="http://schemas.openxmlformats.org/officeDocument/2006/relationships/hyperlink" /><Relationship TargetMode="External" Target="https://www.eurohealth.ie/wp-content/uploads/2018/02/Navigating-Health.pdf" Id="docRId57" Type="http://schemas.openxmlformats.org/officeDocument/2006/relationships/hyperlink" /><Relationship TargetMode="External" Target="https://doi.org/10.1161/CIR.0000000000001209" Id="docRId64" Type="http://schemas.openxmlformats.org/officeDocument/2006/relationships/hyperlink" /><Relationship TargetMode="External" Target="https://digital.nhs.uk/data-and-information/publications/statistical/nhs-health-check-programme/nhs-health-check-programme-supporting-information" Id="docRId81" Type="http://schemas.openxmlformats.org/officeDocument/2006/relationships/hyperlink" /><Relationship Target="media/image3.wmf" Id="docRId7" Type="http://schemas.openxmlformats.org/officeDocument/2006/relationships/image" /><Relationship TargetMode="External" Target="https://www.who.int/publications/i/item/9789240015128" Id="docRId114" Type="http://schemas.openxmlformats.org/officeDocument/2006/relationships/hyperlink" /><Relationship TargetMode="External" Target="https://doi.org/10.1071/PY21176" Id="docRId34" Type="http://schemas.openxmlformats.org/officeDocument/2006/relationships/hyperlink" /><Relationship TargetMode="External" Target="https://doi.org/10.1111/jch.12745" Id="docRId47" Type="http://schemas.openxmlformats.org/officeDocument/2006/relationships/hyperlink" /><Relationship TargetMode="External" Target="https://doi.org/10.1136/bmjopen-2019-029420" Id="docRId55" Type="http://schemas.openxmlformats.org/officeDocument/2006/relationships/hyperlink" /><Relationship TargetMode="External" Target="https://www.instituteofhealthequity.org/resources-reports/fair-society-healthy-lives-the-marmot-review" Id="docRId62" Type="http://schemas.openxmlformats.org/officeDocument/2006/relationships/hyperlink" /><Relationship TargetMode="External" Target="https://www.gov.uk/government/publications/nhs-health-check-programme-review/annex-b-a-summary-of-analyses-and-evidence-on-the-current-nhs-health-check-programme" Id="docRId83" Type="http://schemas.openxmlformats.org/officeDocument/2006/relationships/hyperlink" /><Relationship TargetMode="External" Target="https://doi.org/10.1186/1471-2288-12-181" Id="docRId105" Type="http://schemas.openxmlformats.org/officeDocument/2006/relationships/hyperlink" /><Relationship TargetMode="External" Target="https://doi.org/10.1177/1090198104263660" Id="docRId22" Type="http://schemas.openxmlformats.org/officeDocument/2006/relationships/hyperlink" /><Relationship Target="media/image4.wmf" Id="docRId9" Type="http://schemas.openxmlformats.org/officeDocument/2006/relationships/image" /><Relationship TargetMode="External" Target="https://doi.org/10.1093/her/cyad028" Id="docRId96" Type="http://schemas.openxmlformats.org/officeDocument/2006/relationships/hyperlink" /><Relationship Target="embeddings/oleObject0.bin" Id="docRId0" Type="http://schemas.openxmlformats.org/officeDocument/2006/relationships/oleObject" /><Relationship TargetMode="External" Target="https://doi.org/10.1161/JAHA.112.004473" Id="docRId29" Type="http://schemas.openxmlformats.org/officeDocument/2006/relationships/hyperlink" /><Relationship TargetMode="External" Target="https://doi.org/10.1038/s41371-021-00510-x" Id="docRId49" Type="http://schemas.openxmlformats.org/officeDocument/2006/relationships/hyperlink" /><Relationship TargetMode="External" Target="https://www.england.nhs.uk/long-read/quality-and-outcomes-framework-guidance-for-2023-24/" Id="docRId77" Type="http://schemas.openxmlformats.org/officeDocument/2006/relationships/hyperlink" /><Relationship TargetMode="External" Target="https://doi.org/10.1093/eurheartj/ehy339" Id="docRId111" Type="http://schemas.openxmlformats.org/officeDocument/2006/relationships/hyperlink" /><Relationship Target="styles.xml" Id="docRId122" Type="http://schemas.openxmlformats.org/officeDocument/2006/relationships/styles" /><Relationship TargetMode="External" Target="https://doi.org/10.1016/j.clnu.2021.01.030" Id="docRId40" Type="http://schemas.openxmlformats.org/officeDocument/2006/relationships/hyperlink" /><Relationship TargetMode="External" Target="https://doi.org/10.1161/HYPERTENSIONAHA.123.22571" Id="docRId67" Type="http://schemas.openxmlformats.org/officeDocument/2006/relationships/hyperlink" /><Relationship TargetMode="External" Target="https://www.gov.uk/government/publications/nhs-health-check-programme-review/preventing-illness-and-improving-health-for-all-a-review-of-the-nhs-health-check-programme-and-recommendations" Id="docRId84" Type="http://schemas.openxmlformats.org/officeDocument/2006/relationships/hyperlink" /><Relationship TargetMode="External" Target="https://doi.org/10.1016/j.jbusres.2019.07.039" Id="docRId100" Type="http://schemas.openxmlformats.org/officeDocument/2006/relationships/hyperlink" /><Relationship TargetMode="External" Target="https://www.who.int/news-room/fact-sheets/detail/hypertension" Id="docRId118" Type="http://schemas.openxmlformats.org/officeDocument/2006/relationships/hyperlink" /><Relationship TargetMode="External" Target="https://doi.org/10.1186/s12889-022-13444-x" Id="docRId18" Type="http://schemas.openxmlformats.org/officeDocument/2006/relationships/hyperlink" /><Relationship TargetMode="External" Target="https://doi.org/10.1093/eurheartj/ehab484" Id="docRId38" Type="http://schemas.openxmlformats.org/officeDocument/2006/relationships/hyperlink" /><Relationship TargetMode="External" Target="https://doi.org/10.3390/nu13124534" Id="docRId51" Type="http://schemas.openxmlformats.org/officeDocument/2006/relationships/hyperlink" /><Relationship TargetMode="External" Target="https://doi.org/10.1016/j.pec.2022.09.015" Id="docRId109" Type="http://schemas.openxmlformats.org/officeDocument/2006/relationships/hyperlink" /><Relationship Target="media/image5.wmf" Id="docRId11" Type="http://schemas.openxmlformats.org/officeDocument/2006/relationships/image" /><Relationship TargetMode="External" Target="https://doi.org/10.1136/jech-2018-210961" Id="docRId26" Type="http://schemas.openxmlformats.org/officeDocument/2006/relationships/hyperlink" /><Relationship Target="embeddings/oleObject2.bin" Id="docRId4" Type="http://schemas.openxmlformats.org/officeDocument/2006/relationships/oleObject" /><Relationship TargetMode="External" Target="https://doi.org/10.1186/s12874-017-0468-4" Id="docRId73" Type="http://schemas.openxmlformats.org/officeDocument/2006/relationships/hyperlink" /><Relationship TargetMode="External" Target="https://www.ncbi.nlm.nih.gov/books/NBK573634/" Id="docRId115" Type="http://schemas.openxmlformats.org/officeDocument/2006/relationships/hyperlink" /><Relationship TargetMode="External" Target="https://doi.org/10.1097/01.hjh.0000199800.72563.26" Id="docRId33" Type="http://schemas.openxmlformats.org/officeDocument/2006/relationships/hyperlink" /><Relationship TargetMode="External" Target="https://doi.org/10.1186/s12889-022-14940-w" Id="docRId44" Type="http://schemas.openxmlformats.org/officeDocument/2006/relationships/hyperlink" /><Relationship TargetMode="External" Target="https://doi.org/10.1016/j.pec.2013.10.031" Id="docRId54" Type="http://schemas.openxmlformats.org/officeDocument/2006/relationships/hyperlink" /><Relationship TargetMode="External" Target="https://www.health.org.uk/reports-and-analysis/reports/health-equity-in-england-the-marmot-review-10-years-on-0" Id="docRId63" Type="http://schemas.openxmlformats.org/officeDocument/2006/relationships/hyperlink" /><Relationship TargetMode="External" Target="https://digital.nhs.uk/data-and-information/publications/statistical/health-survey-for-england/2024/health-survey-for-england-2024-data-tables" Id="docRId80" Type="http://schemas.openxmlformats.org/officeDocument/2006/relationships/hyperlink" /><Relationship TargetMode="External" Target="https://doi.org/10.1136/bmjopen-2021-052832" Id="docRId104" Type="http://schemas.openxmlformats.org/officeDocument/2006/relationships/hyperlink" /><Relationship TargetMode="External" Target="https://doi.org/10.5195/jmla.2018.283" Id="docRId23" Type="http://schemas.openxmlformats.org/officeDocument/2006/relationships/hyperlink" /><Relationship TargetMode="External" Target="https://doi.org/10.1037/0022-006X.51.3.390" Id="docRId91" Type="http://schemas.openxmlformats.org/officeDocument/2006/relationships/hyperlink" /><Relationship Target="media/image0.wmf" Id="docRId1" Type="http://schemas.openxmlformats.org/officeDocument/2006/relationships/image" /><Relationship TargetMode="External" Target="https://doi.org/10.1161/HYPERTENSIONAHA.121.18192" Id="docRId15" Type="http://schemas.openxmlformats.org/officeDocument/2006/relationships/hyperlink" /><Relationship TargetMode="External" Target="https://doi.org/10.1161/01.HYP.0000094221.86888.AE" Id="docRId76" Type="http://schemas.openxmlformats.org/officeDocument/2006/relationships/hyperlink" /><Relationship TargetMode="External" Target="https://www.who.int/publications/i/item/9789241504836" Id="docRId112" Type="http://schemas.openxmlformats.org/officeDocument/2006/relationships/hyperlink" /><Relationship TargetMode="External" Target="https://doi.org/10.1001/jama.2016.19043" Id="docRId41" Type="http://schemas.openxmlformats.org/officeDocument/2006/relationships/hyperlink" /><Relationship TargetMode="External" Target="https://doi.org/10.1007/s12160-013-9486-6" Id="docRId68" Type="http://schemas.openxmlformats.org/officeDocument/2006/relationships/hyperlink" /><Relationship TargetMode="External" Target="https://www.gov.uk/government/statistics/cardiovascular-disease-profiles-december-2025-update" Id="docRId85" Type="http://schemas.openxmlformats.org/officeDocument/2006/relationships/hyperlink" /><Relationship TargetMode="External" Target="https://doi.org/10.2147/PPA.S388356" Id="docRId119" Type="http://schemas.openxmlformats.org/officeDocument/2006/relationships/hyperlink" /><Relationship TargetMode="External" Target="https://doi.org/10.1007/s11606-012-2077-6" Id="docRId37" Type="http://schemas.openxmlformats.org/officeDocument/2006/relationships/hyperlink" /><Relationship TargetMode="External" Target="https://doi.org/10.1016/j.pec.2023.107760" Id="docRId50" Type="http://schemas.openxmlformats.org/officeDocument/2006/relationships/hyperlink" /><Relationship Target="embeddings/oleObject5.bin" Id="docRId10" Type="http://schemas.openxmlformats.org/officeDocument/2006/relationships/oleObject" /><Relationship TargetMode="External" Target="https://doi.org/10.1097/HJH.0000000000002453" Id="docRId108" Type="http://schemas.openxmlformats.org/officeDocument/2006/relationships/hyperlink" /><Relationship TargetMode="External" Target="https://doi.org/10.1161/01.HYP.0000107251.49515.c2" Id="docRId27" Type="http://schemas.openxmlformats.org/officeDocument/2006/relationships/hyperlink" /><Relationship TargetMode="External" Target="https://doi.org/10.3389/fnut.2023.1019534" Id="docRId59" Type="http://schemas.openxmlformats.org/officeDocument/2006/relationships/hyperlink" /><Relationship TargetMode="External" Target="https://digital.nhs.uk/data-and-information/publications/statistical/health-survey-for-england/2024/adults-health-related-behaviours" Id="docRId79" Type="http://schemas.openxmlformats.org/officeDocument/2006/relationships/hyperlink" /><Relationship TargetMode="External" Target="https://doi.org/10.1056/NEJM200101043440101" Id="docRId95" Type="http://schemas.openxmlformats.org/officeDocument/2006/relationships/hyperlink" /><Relationship Target="media/image2.wmf" Id="docRId5" Type="http://schemas.openxmlformats.org/officeDocument/2006/relationships/image" /><Relationship TargetMode="External" Target="https://doi.org/10.1038/s41581-019-0244-2" Id="docRId72" Type="http://schemas.openxmlformats.org/officeDocument/2006/relationships/hyperlink" /></Relationships>
</file>