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48BADB" w14:textId="77777777" w:rsidR="006C75A5" w:rsidRDefault="006C75A5" w:rsidP="006C75A5">
      <w:pPr>
        <w:pStyle w:val="NormalWeb"/>
        <w:spacing w:before="0" w:beforeAutospacing="0" w:after="0" w:afterAutospacing="0"/>
        <w:ind w:left="-180" w:right="-334"/>
        <w:rPr>
          <w:rFonts w:ascii="Trebuchet MS" w:hAnsi="Trebuchet MS" w:cs="Tahoma"/>
        </w:rPr>
      </w:pPr>
      <w:bookmarkStart w:id="0" w:name="_Hlk13243580"/>
      <w:bookmarkStart w:id="1" w:name="_Hlk530613494"/>
      <w:r>
        <w:rPr>
          <w:noProof/>
        </w:rPr>
        <w:drawing>
          <wp:inline distT="0" distB="0" distL="0" distR="0" wp14:anchorId="0F8C2C84" wp14:editId="0F948991">
            <wp:extent cx="2783205" cy="1009650"/>
            <wp:effectExtent l="19050" t="19050" r="17145"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83205" cy="1009650"/>
                    </a:xfrm>
                    <a:prstGeom prst="rect">
                      <a:avLst/>
                    </a:prstGeom>
                    <a:noFill/>
                    <a:ln w="19050" cmpd="sng">
                      <a:solidFill>
                        <a:srgbClr val="000000"/>
                      </a:solidFill>
                      <a:miter lim="800000"/>
                      <a:headEnd/>
                      <a:tailEnd/>
                    </a:ln>
                    <a:effectLst/>
                  </pic:spPr>
                </pic:pic>
              </a:graphicData>
            </a:graphic>
          </wp:inline>
        </w:drawing>
      </w:r>
    </w:p>
    <w:p w14:paraId="4D3540FE" w14:textId="77777777" w:rsidR="006C75A5" w:rsidRDefault="006C75A5" w:rsidP="006C75A5">
      <w:pPr>
        <w:pStyle w:val="Heading1"/>
        <w:jc w:val="center"/>
        <w:rPr>
          <w:lang w:val="cy-GB"/>
        </w:rPr>
      </w:pPr>
      <w:r>
        <w:rPr>
          <w:lang w:val="cy-GB"/>
        </w:rPr>
        <w:t>Undergraduate assignment feedback form</w:t>
      </w:r>
    </w:p>
    <w:tbl>
      <w:tblPr>
        <w:tblpPr w:leftFromText="180" w:rightFromText="180" w:bottomFromText="160" w:vertAnchor="text" w:horzAnchor="margin" w:tblpY="699"/>
        <w:tblW w:w="100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9"/>
        <w:gridCol w:w="2159"/>
        <w:gridCol w:w="2716"/>
      </w:tblGrid>
      <w:tr w:rsidR="006C75A5" w14:paraId="71902853" w14:textId="77777777" w:rsidTr="008D689A">
        <w:trPr>
          <w:trHeight w:val="372"/>
        </w:trPr>
        <w:tc>
          <w:tcPr>
            <w:tcW w:w="10094" w:type="dxa"/>
            <w:gridSpan w:val="3"/>
            <w:tcBorders>
              <w:top w:val="single" w:sz="4" w:space="0" w:color="auto"/>
              <w:left w:val="single" w:sz="4" w:space="0" w:color="auto"/>
              <w:bottom w:val="single" w:sz="4" w:space="0" w:color="auto"/>
              <w:right w:val="single" w:sz="4" w:space="0" w:color="auto"/>
            </w:tcBorders>
            <w:vAlign w:val="center"/>
          </w:tcPr>
          <w:p w14:paraId="0F0B3D86" w14:textId="77777777" w:rsidR="006C75A5" w:rsidRDefault="006C75A5" w:rsidP="008D689A">
            <w:pPr>
              <w:pStyle w:val="NormalWeb"/>
              <w:spacing w:before="0" w:beforeAutospacing="0" w:after="0" w:afterAutospacing="0"/>
              <w:ind w:right="34"/>
              <w:rPr>
                <w:rFonts w:ascii="Calibri" w:hAnsi="Calibri" w:cs="Tahoma"/>
                <w:i/>
                <w:lang w:eastAsia="en-US"/>
              </w:rPr>
            </w:pPr>
            <w:bookmarkStart w:id="2" w:name="_Hlk536795148"/>
            <w:r>
              <w:rPr>
                <w:rFonts w:ascii="Calibri" w:hAnsi="Calibri" w:cs="Tahoma"/>
                <w:i/>
                <w:lang w:eastAsia="en-US"/>
              </w:rPr>
              <w:t>Student Name: Annie Thomas</w:t>
            </w:r>
          </w:p>
          <w:p w14:paraId="3D43EAB6" w14:textId="77777777" w:rsidR="006C75A5" w:rsidRDefault="006C75A5" w:rsidP="008D689A">
            <w:pPr>
              <w:pStyle w:val="NormalWeb"/>
              <w:spacing w:before="0" w:beforeAutospacing="0" w:after="0" w:afterAutospacing="0"/>
              <w:ind w:right="34"/>
              <w:rPr>
                <w:rFonts w:ascii="Calibri" w:hAnsi="Calibri" w:cs="Tahoma"/>
                <w:i/>
                <w:lang w:eastAsia="en-US"/>
              </w:rPr>
            </w:pPr>
          </w:p>
        </w:tc>
      </w:tr>
      <w:tr w:rsidR="006C75A5" w14:paraId="234B0DAC" w14:textId="77777777" w:rsidTr="008D689A">
        <w:trPr>
          <w:trHeight w:val="439"/>
        </w:trPr>
        <w:tc>
          <w:tcPr>
            <w:tcW w:w="5219" w:type="dxa"/>
            <w:tcBorders>
              <w:top w:val="single" w:sz="4" w:space="0" w:color="auto"/>
              <w:left w:val="single" w:sz="4" w:space="0" w:color="auto"/>
              <w:bottom w:val="single" w:sz="4" w:space="0" w:color="auto"/>
              <w:right w:val="single" w:sz="4" w:space="0" w:color="auto"/>
            </w:tcBorders>
            <w:vAlign w:val="center"/>
          </w:tcPr>
          <w:p w14:paraId="4267DAAF" w14:textId="28056B54" w:rsidR="006C75A5" w:rsidRDefault="006C75A5" w:rsidP="008D689A">
            <w:pPr>
              <w:pStyle w:val="NormalWeb"/>
              <w:spacing w:before="0" w:beforeAutospacing="0" w:after="0" w:afterAutospacing="0"/>
              <w:ind w:right="34"/>
              <w:rPr>
                <w:rFonts w:ascii="Calibri" w:hAnsi="Calibri" w:cs="Tahoma"/>
                <w:i/>
                <w:lang w:eastAsia="en-US"/>
              </w:rPr>
            </w:pPr>
            <w:r>
              <w:rPr>
                <w:rFonts w:ascii="Calibri" w:hAnsi="Calibri" w:cs="Tahoma"/>
                <w:i/>
                <w:lang w:eastAsia="en-US"/>
              </w:rPr>
              <w:t>Module Code: HP</w:t>
            </w:r>
            <w:r w:rsidR="004D1FD0">
              <w:rPr>
                <w:rFonts w:ascii="Calibri" w:hAnsi="Calibri" w:cs="Tahoma"/>
                <w:i/>
                <w:lang w:eastAsia="en-US"/>
              </w:rPr>
              <w:t>EN5017</w:t>
            </w:r>
          </w:p>
          <w:p w14:paraId="253D4005" w14:textId="77777777" w:rsidR="006C75A5" w:rsidRDefault="006C75A5" w:rsidP="008D689A">
            <w:pPr>
              <w:pStyle w:val="NormalWeb"/>
              <w:spacing w:before="0" w:beforeAutospacing="0" w:after="0" w:afterAutospacing="0"/>
              <w:ind w:right="34"/>
              <w:rPr>
                <w:rFonts w:ascii="Calibri" w:hAnsi="Calibri" w:cs="Tahoma"/>
                <w:i/>
                <w:lang w:eastAsia="en-US"/>
              </w:rPr>
            </w:pPr>
          </w:p>
          <w:p w14:paraId="277786F9" w14:textId="175E11C1" w:rsidR="006C75A5" w:rsidRDefault="006C75A5" w:rsidP="004D1FD0">
            <w:pPr>
              <w:pStyle w:val="NormalWeb"/>
              <w:spacing w:before="0" w:beforeAutospacing="0" w:after="0" w:afterAutospacing="0"/>
              <w:ind w:right="34"/>
              <w:rPr>
                <w:rFonts w:ascii="Calibri" w:hAnsi="Calibri" w:cs="Tahoma"/>
                <w:i/>
                <w:lang w:eastAsia="en-US"/>
              </w:rPr>
            </w:pPr>
            <w:r>
              <w:rPr>
                <w:rFonts w:ascii="Calibri" w:hAnsi="Calibri" w:cs="Tahoma"/>
                <w:i/>
                <w:lang w:eastAsia="en-US"/>
              </w:rPr>
              <w:t xml:space="preserve">Module title: </w:t>
            </w:r>
            <w:r w:rsidR="004D1FD0">
              <w:rPr>
                <w:rFonts w:ascii="Calibri" w:hAnsi="Calibri" w:cs="Tahoma"/>
                <w:i/>
                <w:lang w:eastAsia="en-US"/>
              </w:rPr>
              <w:t>English Independent Project</w:t>
            </w:r>
          </w:p>
        </w:tc>
        <w:tc>
          <w:tcPr>
            <w:tcW w:w="4875" w:type="dxa"/>
            <w:gridSpan w:val="2"/>
            <w:tcBorders>
              <w:top w:val="single" w:sz="4" w:space="0" w:color="auto"/>
              <w:left w:val="single" w:sz="4" w:space="0" w:color="auto"/>
              <w:bottom w:val="single" w:sz="4" w:space="0" w:color="auto"/>
              <w:right w:val="single" w:sz="4" w:space="0" w:color="auto"/>
            </w:tcBorders>
            <w:hideMark/>
          </w:tcPr>
          <w:p w14:paraId="2F81D813" w14:textId="77777777" w:rsidR="006C75A5" w:rsidRDefault="006C75A5" w:rsidP="008D689A">
            <w:pPr>
              <w:pStyle w:val="NormalWeb"/>
              <w:spacing w:before="0" w:beforeAutospacing="0" w:after="0" w:afterAutospacing="0"/>
              <w:ind w:right="34"/>
              <w:rPr>
                <w:rFonts w:ascii="Calibri" w:hAnsi="Calibri" w:cs="Tahoma"/>
                <w:i/>
                <w:lang w:eastAsia="en-US"/>
              </w:rPr>
            </w:pPr>
            <w:r>
              <w:rPr>
                <w:rFonts w:ascii="Calibri" w:hAnsi="Calibri" w:cs="Tahoma"/>
                <w:i/>
                <w:lang w:eastAsia="en-US"/>
              </w:rPr>
              <w:t>Student number:2301021</w:t>
            </w:r>
          </w:p>
        </w:tc>
      </w:tr>
      <w:tr w:rsidR="006C75A5" w14:paraId="22504079" w14:textId="77777777" w:rsidTr="008D689A">
        <w:trPr>
          <w:trHeight w:val="2066"/>
        </w:trPr>
        <w:tc>
          <w:tcPr>
            <w:tcW w:w="10094" w:type="dxa"/>
            <w:gridSpan w:val="3"/>
            <w:tcBorders>
              <w:top w:val="single" w:sz="4" w:space="0" w:color="auto"/>
              <w:left w:val="single" w:sz="4" w:space="0" w:color="auto"/>
              <w:bottom w:val="single" w:sz="4" w:space="0" w:color="auto"/>
              <w:right w:val="single" w:sz="4" w:space="0" w:color="auto"/>
            </w:tcBorders>
          </w:tcPr>
          <w:p w14:paraId="11583EE0" w14:textId="77777777" w:rsidR="006C75A5" w:rsidRDefault="006C75A5" w:rsidP="008D689A">
            <w:pPr>
              <w:pStyle w:val="NormalWeb"/>
              <w:spacing w:before="0" w:beforeAutospacing="0" w:after="0" w:afterAutospacing="0"/>
              <w:rPr>
                <w:rFonts w:ascii="Calibri" w:hAnsi="Calibri" w:cs="Tahoma"/>
                <w:i/>
                <w:lang w:eastAsia="en-US"/>
              </w:rPr>
            </w:pPr>
            <w:r>
              <w:rPr>
                <w:rFonts w:ascii="Calibri" w:hAnsi="Calibri" w:cs="Tahoma"/>
                <w:i/>
                <w:lang w:eastAsia="en-US"/>
              </w:rPr>
              <w:t>For completion by marker:</w:t>
            </w:r>
          </w:p>
          <w:p w14:paraId="0170E47B" w14:textId="77777777" w:rsidR="006C75A5" w:rsidRDefault="006C75A5" w:rsidP="008D689A">
            <w:pPr>
              <w:pStyle w:val="NormalWeb"/>
              <w:rPr>
                <w:rFonts w:ascii="Calibri" w:hAnsi="Calibri" w:cs="Tahoma"/>
                <w:i/>
                <w:lang w:eastAsia="en-US"/>
              </w:rPr>
            </w:pPr>
            <w:r>
              <w:rPr>
                <w:rFonts w:ascii="Calibri" w:hAnsi="Calibri" w:cs="Tahoma"/>
                <w:i/>
                <w:lang w:eastAsia="en-US"/>
              </w:rPr>
              <w:t>Comments:</w:t>
            </w:r>
          </w:p>
          <w:p w14:paraId="62F9F2A3" w14:textId="77777777" w:rsidR="006C75A5" w:rsidRDefault="006C75A5" w:rsidP="008D689A">
            <w:pPr>
              <w:pStyle w:val="NormalWeb"/>
              <w:rPr>
                <w:rFonts w:ascii="Calibri" w:hAnsi="Calibri" w:cs="Tahoma"/>
                <w:i/>
                <w:lang w:eastAsia="en-US"/>
              </w:rPr>
            </w:pPr>
          </w:p>
          <w:p w14:paraId="29DE3AA6" w14:textId="77777777" w:rsidR="006C75A5" w:rsidRDefault="006C75A5" w:rsidP="008D689A">
            <w:pPr>
              <w:pStyle w:val="NormalWeb"/>
              <w:rPr>
                <w:rFonts w:ascii="Calibri" w:hAnsi="Calibri" w:cs="Tahoma"/>
                <w:i/>
                <w:lang w:eastAsia="en-US"/>
              </w:rPr>
            </w:pPr>
          </w:p>
          <w:p w14:paraId="4D7CB2AB" w14:textId="77777777" w:rsidR="006C75A5" w:rsidRDefault="006C75A5" w:rsidP="008D689A">
            <w:pPr>
              <w:pStyle w:val="NormalWeb"/>
              <w:rPr>
                <w:rFonts w:ascii="Calibri" w:hAnsi="Calibri" w:cs="Tahoma"/>
                <w:i/>
                <w:lang w:eastAsia="en-US"/>
              </w:rPr>
            </w:pPr>
          </w:p>
          <w:p w14:paraId="629E8419" w14:textId="77777777" w:rsidR="006C75A5" w:rsidRDefault="006C75A5" w:rsidP="008D689A">
            <w:pPr>
              <w:pStyle w:val="NormalWeb"/>
              <w:rPr>
                <w:rFonts w:ascii="Calibri" w:hAnsi="Calibri" w:cs="Tahoma"/>
                <w:i/>
                <w:lang w:eastAsia="en-US"/>
              </w:rPr>
            </w:pPr>
          </w:p>
          <w:p w14:paraId="763E9B61" w14:textId="0EDBCD0B" w:rsidR="006C75A5" w:rsidRDefault="006C75A5" w:rsidP="008D689A">
            <w:pPr>
              <w:pStyle w:val="NormalWeb"/>
              <w:rPr>
                <w:rFonts w:ascii="Calibri" w:hAnsi="Calibri" w:cs="Tahoma"/>
                <w:i/>
                <w:lang w:eastAsia="en-US"/>
              </w:rPr>
            </w:pPr>
          </w:p>
          <w:p w14:paraId="2155CDC1" w14:textId="77777777" w:rsidR="004D1FD0" w:rsidRDefault="004D1FD0" w:rsidP="008D689A">
            <w:pPr>
              <w:pStyle w:val="NormalWeb"/>
              <w:rPr>
                <w:rFonts w:ascii="Calibri" w:hAnsi="Calibri" w:cs="Tahoma"/>
                <w:i/>
                <w:lang w:eastAsia="en-US"/>
              </w:rPr>
            </w:pPr>
          </w:p>
          <w:p w14:paraId="5ADBD272" w14:textId="77777777" w:rsidR="006C75A5" w:rsidRDefault="006C75A5" w:rsidP="008D689A">
            <w:pPr>
              <w:pStyle w:val="NormalWeb"/>
              <w:rPr>
                <w:rFonts w:ascii="Calibri" w:hAnsi="Calibri" w:cs="Tahoma"/>
                <w:i/>
                <w:lang w:eastAsia="en-US"/>
              </w:rPr>
            </w:pPr>
          </w:p>
          <w:p w14:paraId="3E254325" w14:textId="77777777" w:rsidR="006C75A5" w:rsidRDefault="006C75A5" w:rsidP="008D689A">
            <w:pPr>
              <w:pStyle w:val="NormalWeb"/>
              <w:rPr>
                <w:rFonts w:ascii="Calibri" w:hAnsi="Calibri" w:cs="Tahoma"/>
                <w:i/>
                <w:lang w:eastAsia="en-US"/>
              </w:rPr>
            </w:pPr>
          </w:p>
          <w:p w14:paraId="368DB337" w14:textId="77777777" w:rsidR="006C75A5" w:rsidRDefault="006C75A5" w:rsidP="008D689A">
            <w:pPr>
              <w:pStyle w:val="NormalWeb"/>
              <w:rPr>
                <w:rFonts w:ascii="Calibri" w:hAnsi="Calibri" w:cs="Tahoma"/>
                <w:i/>
                <w:lang w:eastAsia="en-US"/>
              </w:rPr>
            </w:pPr>
          </w:p>
          <w:p w14:paraId="75211779" w14:textId="77777777" w:rsidR="006C75A5" w:rsidRDefault="006C75A5" w:rsidP="008D689A">
            <w:pPr>
              <w:pStyle w:val="NormalWeb"/>
              <w:rPr>
                <w:rFonts w:ascii="Calibri" w:hAnsi="Calibri" w:cs="Tahoma"/>
                <w:i/>
                <w:lang w:eastAsia="en-US"/>
              </w:rPr>
            </w:pPr>
          </w:p>
          <w:p w14:paraId="118E7CA3" w14:textId="77777777" w:rsidR="006C75A5" w:rsidRDefault="006C75A5" w:rsidP="008D689A">
            <w:pPr>
              <w:pStyle w:val="NormalWeb"/>
              <w:rPr>
                <w:rFonts w:ascii="Calibri" w:hAnsi="Calibri" w:cs="Tahoma"/>
                <w:i/>
                <w:lang w:eastAsia="en-US"/>
              </w:rPr>
            </w:pPr>
          </w:p>
        </w:tc>
      </w:tr>
      <w:tr w:rsidR="006C75A5" w14:paraId="2D3E18AA" w14:textId="77777777" w:rsidTr="008D689A">
        <w:trPr>
          <w:trHeight w:val="251"/>
        </w:trPr>
        <w:tc>
          <w:tcPr>
            <w:tcW w:w="7378" w:type="dxa"/>
            <w:gridSpan w:val="2"/>
            <w:tcBorders>
              <w:top w:val="single" w:sz="4" w:space="0" w:color="auto"/>
              <w:left w:val="single" w:sz="4" w:space="0" w:color="auto"/>
              <w:bottom w:val="single" w:sz="4" w:space="0" w:color="auto"/>
              <w:right w:val="single" w:sz="4" w:space="0" w:color="auto"/>
            </w:tcBorders>
            <w:vAlign w:val="center"/>
            <w:hideMark/>
          </w:tcPr>
          <w:p w14:paraId="7BC631D4" w14:textId="77777777" w:rsidR="006C75A5" w:rsidRDefault="006C75A5" w:rsidP="008D689A">
            <w:pPr>
              <w:pStyle w:val="NormalWeb"/>
              <w:spacing w:beforeAutospacing="0" w:afterAutospacing="0"/>
              <w:ind w:left="142" w:right="34"/>
              <w:rPr>
                <w:rFonts w:ascii="Calibri" w:hAnsi="Calibri" w:cs="Tahoma"/>
                <w:i/>
                <w:lang w:eastAsia="en-US"/>
              </w:rPr>
            </w:pPr>
            <w:r>
              <w:rPr>
                <w:rFonts w:ascii="Calibri" w:hAnsi="Calibri" w:cs="Tahoma"/>
                <w:i/>
                <w:lang w:eastAsia="en-US"/>
              </w:rPr>
              <w:t>Marker’s signature:</w:t>
            </w:r>
          </w:p>
        </w:tc>
        <w:tc>
          <w:tcPr>
            <w:tcW w:w="2716" w:type="dxa"/>
            <w:tcBorders>
              <w:top w:val="single" w:sz="4" w:space="0" w:color="auto"/>
              <w:left w:val="single" w:sz="4" w:space="0" w:color="auto"/>
              <w:bottom w:val="single" w:sz="4" w:space="0" w:color="auto"/>
              <w:right w:val="single" w:sz="4" w:space="0" w:color="auto"/>
            </w:tcBorders>
            <w:vAlign w:val="center"/>
            <w:hideMark/>
          </w:tcPr>
          <w:p w14:paraId="7D7283FA" w14:textId="77777777" w:rsidR="006C75A5" w:rsidRDefault="006C75A5" w:rsidP="008D689A">
            <w:pPr>
              <w:pStyle w:val="NormalWeb"/>
              <w:spacing w:beforeAutospacing="0" w:after="0" w:afterAutospacing="0"/>
              <w:ind w:left="142" w:right="34"/>
              <w:rPr>
                <w:rFonts w:ascii="Calibri" w:hAnsi="Calibri" w:cs="Tahoma"/>
                <w:i/>
                <w:lang w:eastAsia="en-US"/>
              </w:rPr>
            </w:pPr>
            <w:r>
              <w:rPr>
                <w:rFonts w:ascii="Calibri" w:hAnsi="Calibri" w:cs="Tahoma"/>
                <w:i/>
                <w:lang w:eastAsia="en-US"/>
              </w:rPr>
              <w:t>Date:</w:t>
            </w:r>
          </w:p>
        </w:tc>
      </w:tr>
      <w:tr w:rsidR="006C75A5" w14:paraId="4CE51866" w14:textId="77777777" w:rsidTr="008D689A">
        <w:trPr>
          <w:trHeight w:val="620"/>
        </w:trPr>
        <w:tc>
          <w:tcPr>
            <w:tcW w:w="10094" w:type="dxa"/>
            <w:gridSpan w:val="3"/>
            <w:tcBorders>
              <w:top w:val="single" w:sz="4" w:space="0" w:color="auto"/>
              <w:left w:val="single" w:sz="4" w:space="0" w:color="auto"/>
              <w:bottom w:val="single" w:sz="4" w:space="0" w:color="auto"/>
              <w:right w:val="single" w:sz="4" w:space="0" w:color="auto"/>
            </w:tcBorders>
            <w:vAlign w:val="center"/>
            <w:hideMark/>
          </w:tcPr>
          <w:p w14:paraId="4244FB90" w14:textId="77777777" w:rsidR="006C75A5" w:rsidRDefault="006C75A5" w:rsidP="008D689A">
            <w:pPr>
              <w:pStyle w:val="NormalWeb"/>
              <w:spacing w:before="0" w:beforeAutospacing="0" w:after="0" w:afterAutospacing="0"/>
              <w:ind w:left="142" w:right="34"/>
              <w:rPr>
                <w:rFonts w:ascii="Calibri" w:hAnsi="Calibri" w:cs="Tahoma"/>
                <w:i/>
                <w:lang w:eastAsia="en-US"/>
              </w:rPr>
            </w:pPr>
            <w:r>
              <w:rPr>
                <w:rFonts w:ascii="Calibri" w:hAnsi="Calibri" w:cs="Tahoma"/>
                <w:i/>
                <w:lang w:eastAsia="en-US"/>
              </w:rPr>
              <w:t xml:space="preserve">Provisional mark: </w:t>
            </w:r>
          </w:p>
          <w:p w14:paraId="6B7399ED" w14:textId="77777777" w:rsidR="006C75A5" w:rsidRDefault="006C75A5" w:rsidP="008D689A">
            <w:pPr>
              <w:pStyle w:val="NormalWeb"/>
              <w:spacing w:before="0" w:beforeAutospacing="0" w:after="0" w:afterAutospacing="0"/>
              <w:ind w:left="142" w:right="34"/>
              <w:rPr>
                <w:rFonts w:ascii="Calibri" w:hAnsi="Calibri" w:cs="Tahoma"/>
                <w:i/>
                <w:lang w:eastAsia="en-US"/>
              </w:rPr>
            </w:pPr>
            <w:r>
              <w:rPr>
                <w:rFonts w:ascii="Calibri" w:hAnsi="Calibri" w:cs="Tahoma"/>
                <w:b/>
                <w:i/>
                <w:lang w:eastAsia="en-US"/>
              </w:rPr>
              <w:t>NB.</w:t>
            </w:r>
            <w:r>
              <w:rPr>
                <w:rFonts w:ascii="Calibri" w:hAnsi="Calibri" w:cs="Tahoma"/>
                <w:i/>
                <w:lang w:eastAsia="en-US"/>
              </w:rPr>
              <w:t xml:space="preserve">  All marks are provisional until confirmed by the final examination board. </w:t>
            </w:r>
          </w:p>
        </w:tc>
        <w:bookmarkEnd w:id="1"/>
        <w:bookmarkEnd w:id="2"/>
      </w:tr>
    </w:tbl>
    <w:p w14:paraId="0BE5F246" w14:textId="77777777" w:rsidR="006C75A5" w:rsidRDefault="006C75A5" w:rsidP="006C75A5">
      <w:pPr>
        <w:rPr>
          <w:rFonts w:ascii="Arial" w:hAnsi="Arial" w:cs="Arial"/>
          <w:b/>
          <w:sz w:val="24"/>
          <w:szCs w:val="24"/>
        </w:rPr>
      </w:pPr>
      <w:r w:rsidRPr="002D14E6">
        <w:rPr>
          <w:rFonts w:ascii="Arial" w:hAnsi="Arial" w:cs="Arial"/>
          <w:b/>
          <w:sz w:val="24"/>
          <w:szCs w:val="24"/>
        </w:rPr>
        <w:t xml:space="preserve"> </w:t>
      </w:r>
    </w:p>
    <w:p w14:paraId="1E799D47" w14:textId="26BC4C65" w:rsidR="0025722F" w:rsidRDefault="0025722F" w:rsidP="0025722F">
      <w:pPr>
        <w:rPr>
          <w:rFonts w:ascii="Arial" w:hAnsi="Arial" w:cs="Arial"/>
          <w:b/>
          <w:bCs/>
          <w:sz w:val="24"/>
          <w:szCs w:val="24"/>
        </w:rPr>
      </w:pPr>
      <w:r w:rsidRPr="00F433E8">
        <w:rPr>
          <w:rFonts w:ascii="Arial" w:hAnsi="Arial" w:cs="Arial"/>
          <w:b/>
          <w:bCs/>
          <w:sz w:val="24"/>
          <w:szCs w:val="24"/>
        </w:rPr>
        <w:lastRenderedPageBreak/>
        <w:t xml:space="preserve">‘The sowe fretten the child right in the cradel’: </w:t>
      </w:r>
      <w:r>
        <w:rPr>
          <w:rFonts w:ascii="Arial" w:hAnsi="Arial" w:cs="Arial"/>
          <w:b/>
          <w:bCs/>
          <w:sz w:val="24"/>
          <w:szCs w:val="24"/>
        </w:rPr>
        <w:t>constructing a criminal pig.</w:t>
      </w:r>
      <w:r>
        <w:rPr>
          <w:rStyle w:val="FootnoteReference"/>
          <w:rFonts w:ascii="Arial" w:hAnsi="Arial" w:cs="Arial"/>
          <w:b/>
          <w:bCs/>
          <w:sz w:val="24"/>
          <w:szCs w:val="24"/>
        </w:rPr>
        <w:footnoteReference w:id="1"/>
      </w:r>
      <w:r>
        <w:rPr>
          <w:rFonts w:ascii="Arial" w:hAnsi="Arial" w:cs="Arial"/>
          <w:b/>
          <w:bCs/>
          <w:sz w:val="24"/>
          <w:szCs w:val="24"/>
        </w:rPr>
        <w:t xml:space="preserve"> How medieval pig trials reflect and accommodate the challenge to humans when their bestial ‘opposite’ becomes their uncanny-other.</w:t>
      </w:r>
    </w:p>
    <w:p w14:paraId="3A936AC2" w14:textId="5203EC29" w:rsidR="0025722F" w:rsidRPr="00DF0958" w:rsidRDefault="0025722F" w:rsidP="0025722F">
      <w:pPr>
        <w:rPr>
          <w:rFonts w:ascii="Arial" w:hAnsi="Arial" w:cs="Arial"/>
          <w:sz w:val="24"/>
          <w:szCs w:val="24"/>
        </w:rPr>
      </w:pPr>
      <w:bookmarkStart w:id="4" w:name="_Hlk13404101"/>
      <w:r>
        <w:rPr>
          <w:rFonts w:ascii="Arial" w:hAnsi="Arial" w:cs="Arial"/>
          <w:sz w:val="24"/>
          <w:szCs w:val="24"/>
        </w:rPr>
        <w:t xml:space="preserve">Around eleven thousand years ago the interactions between Neolithic human and wild prey populations (including boar) intensified, so that an ‘incipient </w:t>
      </w:r>
      <w:r w:rsidRPr="0014431F">
        <w:rPr>
          <w:rFonts w:ascii="Arial" w:hAnsi="Arial" w:cs="Arial"/>
          <w:sz w:val="24"/>
          <w:szCs w:val="24"/>
        </w:rPr>
        <w:t>domestication process</w:t>
      </w:r>
      <w:r>
        <w:rPr>
          <w:rFonts w:ascii="Arial" w:hAnsi="Arial" w:cs="Arial"/>
          <w:sz w:val="24"/>
          <w:szCs w:val="24"/>
        </w:rPr>
        <w:t>[…]</w:t>
      </w:r>
      <w:r w:rsidRPr="0014431F">
        <w:rPr>
          <w:rFonts w:ascii="Arial" w:hAnsi="Arial" w:cs="Arial"/>
          <w:sz w:val="24"/>
          <w:szCs w:val="24"/>
        </w:rPr>
        <w:t xml:space="preserve"> began to emerge</w:t>
      </w:r>
      <w:r>
        <w:rPr>
          <w:rFonts w:ascii="Arial" w:hAnsi="Arial" w:cs="Arial"/>
          <w:sz w:val="24"/>
          <w:szCs w:val="24"/>
        </w:rPr>
        <w:t>’.</w:t>
      </w:r>
      <w:r>
        <w:rPr>
          <w:rStyle w:val="FootnoteReference"/>
          <w:rFonts w:ascii="Arial" w:hAnsi="Arial" w:cs="Arial"/>
          <w:sz w:val="24"/>
          <w:szCs w:val="24"/>
        </w:rPr>
        <w:footnoteReference w:id="2"/>
      </w:r>
      <w:r>
        <w:rPr>
          <w:rFonts w:ascii="Arial" w:hAnsi="Arial" w:cs="Arial"/>
          <w:sz w:val="24"/>
          <w:szCs w:val="24"/>
        </w:rPr>
        <w:t xml:space="preserve"> Yet, unlike other prey, the omnivorous boar was attracted by human waste; thus, the pig is thought to have followed its fellow scavenger, the wolf, down the ‘commensal’ pathway to domestication, albeit at a distance of some four thousand years.</w:t>
      </w:r>
      <w:r>
        <w:rPr>
          <w:rStyle w:val="FootnoteReference"/>
          <w:rFonts w:ascii="Arial" w:hAnsi="Arial" w:cs="Arial"/>
          <w:sz w:val="24"/>
          <w:szCs w:val="24"/>
        </w:rPr>
        <w:footnoteReference w:id="3"/>
      </w:r>
      <w:r>
        <w:rPr>
          <w:rFonts w:ascii="Arial" w:hAnsi="Arial" w:cs="Arial"/>
          <w:sz w:val="24"/>
          <w:szCs w:val="24"/>
        </w:rPr>
        <w:t xml:space="preserve"> However, by and large, pigs did not share the same quality of relationship with humans that dogs enjoyed. It was another thousand years before they were described as domesticated, and a thousand more before this domesticated pig was transported to Europe, only to be subsumed (genetically) by local boar populations.</w:t>
      </w:r>
      <w:r>
        <w:rPr>
          <w:rStyle w:val="FootnoteReference"/>
          <w:rFonts w:ascii="Arial" w:hAnsi="Arial" w:cs="Arial"/>
          <w:sz w:val="24"/>
          <w:szCs w:val="24"/>
        </w:rPr>
        <w:footnoteReference w:id="4"/>
      </w:r>
      <w:r>
        <w:rPr>
          <w:rFonts w:ascii="Arial" w:hAnsi="Arial" w:cs="Arial"/>
          <w:sz w:val="24"/>
          <w:szCs w:val="24"/>
        </w:rPr>
        <w:t xml:space="preserve"> By this time they were firmly established as </w:t>
      </w:r>
      <w:r>
        <w:rPr>
          <w:rFonts w:ascii="Arial" w:hAnsi="Arial" w:cs="Arial"/>
          <w:sz w:val="24"/>
          <w:szCs w:val="24"/>
        </w:rPr>
        <w:lastRenderedPageBreak/>
        <w:t xml:space="preserve">food, not companion, thus even the route to their domestication was ambiguous: that it was commensal complicated their position as prey, and that they were food complicated any possible relationship </w:t>
      </w:r>
      <w:r w:rsidR="00FB12D9">
        <w:rPr>
          <w:rFonts w:ascii="Arial" w:hAnsi="Arial" w:cs="Arial"/>
          <w:sz w:val="24"/>
          <w:szCs w:val="24"/>
        </w:rPr>
        <w:t>comparable to</w:t>
      </w:r>
      <w:r>
        <w:rPr>
          <w:rFonts w:ascii="Arial" w:hAnsi="Arial" w:cs="Arial"/>
          <w:sz w:val="24"/>
          <w:szCs w:val="24"/>
        </w:rPr>
        <w:t xml:space="preserve"> that shared by dog and human. The pig’s long history with man remained problematic, not solely their history as food, but also their mythic, religious and scientific histories were rife with negative beliefs, so that throughout, even in the surrounding literature, the pig became defined as both our opposite number and an uncanny ‘other’: our demonic double. </w:t>
      </w:r>
      <w:bookmarkStart w:id="6" w:name="_Hlk13921720"/>
    </w:p>
    <w:bookmarkEnd w:id="0"/>
    <w:bookmarkEnd w:id="4"/>
    <w:bookmarkEnd w:id="6"/>
    <w:p w14:paraId="447376A2" w14:textId="389F6E51" w:rsidR="0025722F" w:rsidRDefault="0025722F" w:rsidP="0025722F">
      <w:pPr>
        <w:rPr>
          <w:rFonts w:ascii="Arial" w:hAnsi="Arial" w:cs="Arial"/>
          <w:sz w:val="24"/>
          <w:szCs w:val="24"/>
        </w:rPr>
      </w:pPr>
      <w:r>
        <w:rPr>
          <w:rFonts w:ascii="Arial" w:hAnsi="Arial" w:cs="Arial"/>
          <w:sz w:val="24"/>
          <w:szCs w:val="24"/>
        </w:rPr>
        <w:t>A brief history of the problematic and ambiguous relationship between the human and the pig seems appropriate</w:t>
      </w:r>
      <w:r w:rsidR="0061141C">
        <w:rPr>
          <w:rFonts w:ascii="Arial" w:hAnsi="Arial" w:cs="Arial"/>
          <w:sz w:val="24"/>
          <w:szCs w:val="24"/>
        </w:rPr>
        <w:t>,</w:t>
      </w:r>
      <w:r>
        <w:rPr>
          <w:rFonts w:ascii="Arial" w:hAnsi="Arial" w:cs="Arial"/>
          <w:sz w:val="24"/>
          <w:szCs w:val="24"/>
        </w:rPr>
        <w:t xml:space="preserve"> so the essay will open with a consideration of the pig’s mythic and religious history, leading up to the Middle Ages and Renaissance. It will consider the myth of Demeter and Persephone, with some reference to Ceridwen, and to the pigs stolen from the underworld in </w:t>
      </w:r>
      <w:r w:rsidRPr="00DF0958">
        <w:rPr>
          <w:rFonts w:ascii="Arial" w:hAnsi="Arial" w:cs="Arial"/>
          <w:i/>
          <w:iCs/>
          <w:sz w:val="24"/>
          <w:szCs w:val="24"/>
        </w:rPr>
        <w:t>The Mabinogion</w:t>
      </w:r>
      <w:r>
        <w:rPr>
          <w:rFonts w:ascii="Arial" w:hAnsi="Arial" w:cs="Arial"/>
          <w:sz w:val="24"/>
          <w:szCs w:val="24"/>
        </w:rPr>
        <w:t>. This will be followed by a scientific history with the remainder of the essay concentrating on the pig during Medieval and Renaissance Europe. This period has been chosen because of the pig trials which ran throughout the period</w:t>
      </w:r>
      <w:r w:rsidR="00083ECE">
        <w:rPr>
          <w:rFonts w:ascii="Arial" w:hAnsi="Arial" w:cs="Arial"/>
          <w:sz w:val="24"/>
          <w:szCs w:val="24"/>
        </w:rPr>
        <w:t>,</w:t>
      </w:r>
      <w:r>
        <w:rPr>
          <w:rFonts w:ascii="Arial" w:hAnsi="Arial" w:cs="Arial"/>
          <w:sz w:val="24"/>
          <w:szCs w:val="24"/>
        </w:rPr>
        <w:t xml:space="preserve"> which seemed to crystallise the disquiet about what it meant to be human. However, this particular timeframe is complicated. The Medieval and Renaissance human understood the cosmos and their place in it with sophisticated linguistic and thought structures, but these structures did not necessarily operate in ways that correlate with our own. This work will use a summarised version of Foucault’s understanding of this difference from his linguistic study </w:t>
      </w:r>
      <w:r>
        <w:rPr>
          <w:rFonts w:ascii="Arial" w:hAnsi="Arial" w:cs="Arial"/>
          <w:i/>
          <w:iCs/>
          <w:sz w:val="24"/>
          <w:szCs w:val="24"/>
        </w:rPr>
        <w:t>The Order of Things</w:t>
      </w:r>
      <w:r>
        <w:rPr>
          <w:rFonts w:ascii="Arial" w:hAnsi="Arial" w:cs="Arial"/>
          <w:sz w:val="24"/>
          <w:szCs w:val="24"/>
        </w:rPr>
        <w:t xml:space="preserve">. This, with the help of Yamamoto’s work on the medieval bestiaries, will be used to help explain in what way the pig transgressed the systems designed to limit chaos. Yamamoto’s work will be supplemented with that of Susan Anderson, and further explored in the story of the battle between King Arthur and Twrch Trwyth, from </w:t>
      </w:r>
      <w:r>
        <w:rPr>
          <w:rFonts w:ascii="Arial" w:hAnsi="Arial" w:cs="Arial"/>
          <w:i/>
          <w:iCs/>
          <w:sz w:val="24"/>
          <w:szCs w:val="24"/>
        </w:rPr>
        <w:t>The Mabinogion</w:t>
      </w:r>
      <w:r>
        <w:rPr>
          <w:rFonts w:ascii="Arial" w:hAnsi="Arial" w:cs="Arial"/>
          <w:sz w:val="24"/>
          <w:szCs w:val="24"/>
        </w:rPr>
        <w:t xml:space="preserve"> tale of ‘Culhwch </w:t>
      </w:r>
      <w:r>
        <w:rPr>
          <w:rFonts w:ascii="Arial" w:hAnsi="Arial" w:cs="Arial"/>
          <w:sz w:val="24"/>
          <w:szCs w:val="24"/>
        </w:rPr>
        <w:lastRenderedPageBreak/>
        <w:t>and Olwen’. The aim will be to clarify why the pig was understood as both opposite to the human ‘the most animal of animals’, and an uncanny-other ‘”the animal most like people”’, illuminating the system that perpetuated this.</w:t>
      </w:r>
      <w:r>
        <w:rPr>
          <w:rStyle w:val="FootnoteReference"/>
          <w:rFonts w:ascii="Arial" w:hAnsi="Arial" w:cs="Arial"/>
          <w:sz w:val="24"/>
          <w:szCs w:val="24"/>
        </w:rPr>
        <w:footnoteReference w:id="5"/>
      </w:r>
      <w:r>
        <w:rPr>
          <w:rFonts w:ascii="Arial" w:hAnsi="Arial" w:cs="Arial"/>
          <w:sz w:val="24"/>
          <w:szCs w:val="24"/>
        </w:rPr>
        <w:t xml:space="preserve"> Ironically, the pig became the ultimate ‘animal of animals’ when it transgressed the most sacrosanct of hierarchical boundaries: killing a human. This was an action permissible only to mankind, so it was when the pig behaved ‘most like people’ that it was deemed most animal.</w:t>
      </w:r>
      <w:r>
        <w:rPr>
          <w:rStyle w:val="FootnoteReference"/>
          <w:rFonts w:ascii="Arial" w:hAnsi="Arial" w:cs="Arial"/>
          <w:sz w:val="24"/>
          <w:szCs w:val="24"/>
        </w:rPr>
        <w:footnoteReference w:id="6"/>
      </w:r>
      <w:r>
        <w:rPr>
          <w:rFonts w:ascii="Arial" w:hAnsi="Arial" w:cs="Arial"/>
          <w:sz w:val="24"/>
          <w:szCs w:val="24"/>
        </w:rPr>
        <w:t xml:space="preserve"> </w:t>
      </w:r>
    </w:p>
    <w:p w14:paraId="1C9AFCBF" w14:textId="77777777" w:rsidR="0025722F" w:rsidRPr="00C013A4" w:rsidRDefault="0025722F" w:rsidP="0025722F">
      <w:pPr>
        <w:rPr>
          <w:rFonts w:ascii="Arial" w:hAnsi="Arial" w:cs="Arial"/>
          <w:color w:val="FF0000"/>
          <w:sz w:val="24"/>
          <w:szCs w:val="24"/>
        </w:rPr>
      </w:pPr>
      <w:r>
        <w:rPr>
          <w:rFonts w:ascii="Arial" w:hAnsi="Arial" w:cs="Arial"/>
          <w:sz w:val="24"/>
          <w:szCs w:val="24"/>
        </w:rPr>
        <w:t>As Evans notes, some pigs that killed were constructed into a criminal body equivalent to that of a human: imprisoned, dressed, tried and (often) executed. His work will be relied upon for information on these trials.</w:t>
      </w:r>
      <w:r>
        <w:rPr>
          <w:rStyle w:val="FootnoteReference"/>
          <w:rFonts w:ascii="Arial" w:hAnsi="Arial" w:cs="Arial"/>
          <w:sz w:val="24"/>
          <w:szCs w:val="24"/>
        </w:rPr>
        <w:footnoteReference w:id="7"/>
      </w:r>
      <w:r>
        <w:rPr>
          <w:rFonts w:ascii="Arial" w:hAnsi="Arial" w:cs="Arial"/>
          <w:sz w:val="24"/>
          <w:szCs w:val="24"/>
        </w:rPr>
        <w:t xml:space="preserve"> This is a curious blurring of the boundary between human and pig that was otherwise so anxiously preserved, one in which humans seem to have assisted the pig in becoming their utmost version of the uncanny-other: it lends the pig trials a ritualistic and sacrificial air, and thus Girard’s theory of the scapegoat will help shape an understanding of the role pigs suffered in this pig/human dynamic.</w:t>
      </w:r>
      <w:r>
        <w:rPr>
          <w:rStyle w:val="FootnoteReference"/>
          <w:rFonts w:ascii="Arial" w:hAnsi="Arial" w:cs="Arial"/>
          <w:sz w:val="24"/>
          <w:szCs w:val="24"/>
        </w:rPr>
        <w:footnoteReference w:id="8"/>
      </w:r>
      <w:r>
        <w:rPr>
          <w:rFonts w:ascii="Arial" w:hAnsi="Arial" w:cs="Arial"/>
          <w:sz w:val="24"/>
          <w:szCs w:val="24"/>
        </w:rPr>
        <w:t xml:space="preserve"> When using Girard’s work the story of the Gadarene pigs will be considered, particularly since Girard himself uses the story to help explain his theory. </w:t>
      </w:r>
      <w:r w:rsidRPr="002D7F3B">
        <w:rPr>
          <w:rFonts w:ascii="Arial" w:hAnsi="Arial" w:cs="Arial"/>
          <w:sz w:val="24"/>
          <w:szCs w:val="24"/>
        </w:rPr>
        <w:t>To conclude</w:t>
      </w:r>
      <w:r>
        <w:rPr>
          <w:rFonts w:ascii="Arial" w:hAnsi="Arial" w:cs="Arial"/>
          <w:sz w:val="24"/>
          <w:szCs w:val="24"/>
        </w:rPr>
        <w:t>,</w:t>
      </w:r>
      <w:r w:rsidRPr="002D7F3B">
        <w:rPr>
          <w:rFonts w:ascii="Arial" w:hAnsi="Arial" w:cs="Arial"/>
          <w:sz w:val="24"/>
          <w:szCs w:val="24"/>
        </w:rPr>
        <w:t xml:space="preserve"> </w:t>
      </w:r>
      <w:r>
        <w:rPr>
          <w:rFonts w:ascii="Arial" w:hAnsi="Arial" w:cs="Arial"/>
          <w:sz w:val="24"/>
          <w:szCs w:val="24"/>
        </w:rPr>
        <w:t xml:space="preserve">pig references utilised by Gower in </w:t>
      </w:r>
      <w:r>
        <w:rPr>
          <w:rFonts w:ascii="Arial" w:hAnsi="Arial" w:cs="Arial"/>
          <w:i/>
          <w:iCs/>
          <w:sz w:val="24"/>
          <w:szCs w:val="24"/>
        </w:rPr>
        <w:t xml:space="preserve">Vox </w:t>
      </w:r>
      <w:r>
        <w:rPr>
          <w:rFonts w:ascii="Arial" w:hAnsi="Arial" w:cs="Arial"/>
          <w:i/>
          <w:iCs/>
          <w:sz w:val="24"/>
          <w:szCs w:val="24"/>
        </w:rPr>
        <w:lastRenderedPageBreak/>
        <w:t>Clamantis</w:t>
      </w:r>
      <w:r>
        <w:rPr>
          <w:rFonts w:ascii="Arial" w:hAnsi="Arial" w:cs="Arial"/>
          <w:sz w:val="24"/>
          <w:szCs w:val="24"/>
        </w:rPr>
        <w:t xml:space="preserve"> will be </w:t>
      </w:r>
      <w:r w:rsidRPr="002D7F3B">
        <w:rPr>
          <w:rFonts w:ascii="Arial" w:hAnsi="Arial" w:cs="Arial"/>
          <w:sz w:val="24"/>
          <w:szCs w:val="24"/>
        </w:rPr>
        <w:t xml:space="preserve">used to view </w:t>
      </w:r>
      <w:r>
        <w:rPr>
          <w:rFonts w:ascii="Arial" w:hAnsi="Arial" w:cs="Arial"/>
          <w:sz w:val="24"/>
          <w:szCs w:val="24"/>
        </w:rPr>
        <w:t xml:space="preserve">the dynamic the other way: the ‘pigging’ of certain ‘criminal’ humans in the Middle Ages and Renaissance. This reversal will include the work by Ally Terry-Fritsch on the medieval pig Shandmasken (shame masks) that Terry-Fritsch notes were used as part of system of unshaping the human form, by reducing it to the form of an animal; this was part of a process of dehumanising those who were considered to have transgressed society’s boundaries. This sheds further light on the problematic and ambiguous dynamic between man and pigs, and consequently on our relationship with ourselves: despite a hierarchy with man supposedly in a fixed position at the top, the human remained troubled by an apparently unstable body, more open to contamination than the system intended to suggest. </w:t>
      </w:r>
    </w:p>
    <w:p w14:paraId="00DEE157" w14:textId="121D0385" w:rsidR="0025722F" w:rsidRDefault="0025722F" w:rsidP="0025722F">
      <w:pPr>
        <w:rPr>
          <w:rFonts w:ascii="Arial" w:hAnsi="Arial" w:cs="Arial"/>
          <w:sz w:val="24"/>
          <w:szCs w:val="24"/>
        </w:rPr>
      </w:pPr>
      <w:r>
        <w:rPr>
          <w:rFonts w:ascii="Arial" w:hAnsi="Arial" w:cs="Arial"/>
          <w:sz w:val="24"/>
          <w:szCs w:val="24"/>
        </w:rPr>
        <w:t>If the pig’s early history with man meant an intelligent, potentially companionate, creature became a mere food source, their mythic and religious ‘history’ left them in an equally ambiguous position. The most positive aspects of the pig’s mythological history lay in the revered seed goddesses of the ancient world who were, at some time, identified as sows: Demeter (the Grain-Mother) and her daughter Persephone (the Grain-Maiden) in ancient Greece, and the Welsh Ceridwen.</w:t>
      </w:r>
      <w:r>
        <w:rPr>
          <w:rStyle w:val="FootnoteReference"/>
          <w:rFonts w:ascii="Arial" w:hAnsi="Arial" w:cs="Arial"/>
          <w:sz w:val="24"/>
          <w:szCs w:val="24"/>
        </w:rPr>
        <w:footnoteReference w:id="9"/>
      </w:r>
      <w:r>
        <w:rPr>
          <w:rFonts w:ascii="Arial" w:hAnsi="Arial" w:cs="Arial"/>
          <w:sz w:val="24"/>
          <w:szCs w:val="24"/>
        </w:rPr>
        <w:t xml:space="preserve"> The </w:t>
      </w:r>
      <w:r>
        <w:rPr>
          <w:rFonts w:ascii="Arial" w:hAnsi="Arial" w:cs="Arial"/>
          <w:i/>
          <w:iCs/>
          <w:sz w:val="24"/>
          <w:szCs w:val="24"/>
        </w:rPr>
        <w:t xml:space="preserve">Homeric Hymn to Demeter </w:t>
      </w:r>
      <w:r>
        <w:rPr>
          <w:rFonts w:ascii="Arial" w:hAnsi="Arial" w:cs="Arial"/>
          <w:sz w:val="24"/>
          <w:szCs w:val="24"/>
        </w:rPr>
        <w:t>is ‘the earliest (c. 650-550 BC)…single narrative version of the story of Persephone…and Demeter’.</w:t>
      </w:r>
      <w:r>
        <w:rPr>
          <w:rStyle w:val="FootnoteReference"/>
          <w:rFonts w:ascii="Arial" w:hAnsi="Arial" w:cs="Arial"/>
          <w:sz w:val="24"/>
          <w:szCs w:val="24"/>
        </w:rPr>
        <w:footnoteReference w:id="10"/>
      </w:r>
      <w:r>
        <w:rPr>
          <w:rFonts w:ascii="Arial" w:hAnsi="Arial" w:cs="Arial"/>
          <w:sz w:val="24"/>
          <w:szCs w:val="24"/>
        </w:rPr>
        <w:t xml:space="preserve"> It tells of Persephone ‘whom Hades snatched’ (l.2), to </w:t>
      </w:r>
      <w:r>
        <w:rPr>
          <w:rFonts w:ascii="Arial" w:hAnsi="Arial" w:cs="Arial"/>
          <w:sz w:val="24"/>
          <w:szCs w:val="24"/>
        </w:rPr>
        <w:lastRenderedPageBreak/>
        <w:t>be his wife.</w:t>
      </w:r>
      <w:r>
        <w:rPr>
          <w:rStyle w:val="FootnoteReference"/>
          <w:rFonts w:ascii="Arial" w:hAnsi="Arial" w:cs="Arial"/>
          <w:sz w:val="24"/>
          <w:szCs w:val="24"/>
        </w:rPr>
        <w:footnoteReference w:id="11"/>
      </w:r>
      <w:r>
        <w:rPr>
          <w:rFonts w:ascii="Arial" w:hAnsi="Arial" w:cs="Arial"/>
          <w:sz w:val="24"/>
          <w:szCs w:val="24"/>
        </w:rPr>
        <w:t xml:space="preserve"> Hades drags Persephone through ‘a chasm opened in the Nyssian Plain’ (ll.16-17) to the underworld. The poem goes on to describe how her mother Demeter fell into grief and caused the earth to suffer a year without harvest, until Hermes negotiates her partial release with Hades for a portion of each year (spring and summer). Although the </w:t>
      </w:r>
      <w:r>
        <w:rPr>
          <w:rFonts w:ascii="Arial" w:hAnsi="Arial" w:cs="Arial"/>
          <w:i/>
          <w:iCs/>
          <w:sz w:val="24"/>
          <w:szCs w:val="24"/>
        </w:rPr>
        <w:t>Homeric Hymn to Demeter</w:t>
      </w:r>
      <w:r>
        <w:rPr>
          <w:rFonts w:ascii="Arial" w:hAnsi="Arial" w:cs="Arial"/>
          <w:sz w:val="24"/>
          <w:szCs w:val="24"/>
        </w:rPr>
        <w:t xml:space="preserve"> is the oldest surviving version of the story, it is a written text of tales from an oral tradition: orally, aspects could be omitted, left to the audiences’ memory and imagination, and added to.</w:t>
      </w:r>
      <w:r>
        <w:rPr>
          <w:rStyle w:val="FootnoteReference"/>
          <w:rFonts w:ascii="Arial" w:hAnsi="Arial" w:cs="Arial"/>
          <w:sz w:val="24"/>
          <w:szCs w:val="24"/>
        </w:rPr>
        <w:footnoteReference w:id="12"/>
      </w:r>
      <w:r>
        <w:rPr>
          <w:rFonts w:ascii="Arial" w:hAnsi="Arial" w:cs="Arial"/>
          <w:sz w:val="24"/>
          <w:szCs w:val="24"/>
        </w:rPr>
        <w:t xml:space="preserve"> Fragments of contemporary Orphic Hymns add different details. Fragment (Orph.frag.52 Kern) adds the detail of Eubouleus, the swineherd</w:t>
      </w:r>
      <w:r w:rsidR="00083ECE">
        <w:rPr>
          <w:rFonts w:ascii="Arial" w:hAnsi="Arial" w:cs="Arial"/>
          <w:sz w:val="24"/>
          <w:szCs w:val="24"/>
        </w:rPr>
        <w:t>, whose</w:t>
      </w:r>
      <w:r>
        <w:rPr>
          <w:rFonts w:ascii="Arial" w:hAnsi="Arial" w:cs="Arial"/>
          <w:sz w:val="24"/>
          <w:szCs w:val="24"/>
        </w:rPr>
        <w:t xml:space="preserve"> swine tumble into the rift along with the snatched Persephone.</w:t>
      </w:r>
      <w:r>
        <w:rPr>
          <w:rStyle w:val="FootnoteReference"/>
          <w:rFonts w:ascii="Arial" w:hAnsi="Arial" w:cs="Arial"/>
          <w:sz w:val="24"/>
          <w:szCs w:val="24"/>
        </w:rPr>
        <w:footnoteReference w:id="13"/>
      </w:r>
      <w:r>
        <w:rPr>
          <w:rFonts w:ascii="Arial" w:hAnsi="Arial" w:cs="Arial"/>
          <w:sz w:val="24"/>
          <w:szCs w:val="24"/>
        </w:rPr>
        <w:t xml:space="preserve"> The validity of this detail is reinforced by Lucian’s contemporary record of the Thesmophoria, a festival ‘in honour of Demeter and…Persephone’.</w:t>
      </w:r>
      <w:r>
        <w:rPr>
          <w:rStyle w:val="FootnoteReference"/>
          <w:rFonts w:ascii="Arial" w:hAnsi="Arial" w:cs="Arial"/>
          <w:sz w:val="24"/>
          <w:szCs w:val="24"/>
        </w:rPr>
        <w:footnoteReference w:id="14"/>
      </w:r>
      <w:r>
        <w:rPr>
          <w:rFonts w:ascii="Arial" w:hAnsi="Arial" w:cs="Arial"/>
          <w:sz w:val="24"/>
          <w:szCs w:val="24"/>
        </w:rPr>
        <w:t xml:space="preserve"> Lucian (c125-180 AD) confirmed that ‘in honour of Eubouleus, piglets are…thrown down into the chasm…[their] rotted remains…brought up…and [laid] on the altars.’</w:t>
      </w:r>
      <w:r>
        <w:rPr>
          <w:rStyle w:val="FootnoteReference"/>
          <w:rFonts w:ascii="Arial" w:hAnsi="Arial" w:cs="Arial"/>
          <w:sz w:val="24"/>
          <w:szCs w:val="24"/>
        </w:rPr>
        <w:footnoteReference w:id="15"/>
      </w:r>
      <w:r>
        <w:rPr>
          <w:rFonts w:ascii="Arial" w:hAnsi="Arial" w:cs="Arial"/>
          <w:sz w:val="24"/>
          <w:szCs w:val="24"/>
        </w:rPr>
        <w:t xml:space="preserve"> Then, corresponding to widespread rituals that appeared for centuries to come, the remains were mixed with seed to give ‘abundant crops’.</w:t>
      </w:r>
      <w:r>
        <w:rPr>
          <w:rStyle w:val="FootnoteReference"/>
          <w:rFonts w:ascii="Arial" w:hAnsi="Arial" w:cs="Arial"/>
          <w:sz w:val="24"/>
          <w:szCs w:val="24"/>
        </w:rPr>
        <w:footnoteReference w:id="16"/>
      </w:r>
      <w:r>
        <w:rPr>
          <w:rFonts w:ascii="Arial" w:hAnsi="Arial" w:cs="Arial"/>
          <w:sz w:val="24"/>
          <w:szCs w:val="24"/>
        </w:rPr>
        <w:t xml:space="preserve">  </w:t>
      </w:r>
      <w:r>
        <w:rPr>
          <w:rFonts w:ascii="Arial" w:hAnsi="Arial" w:cs="Arial"/>
          <w:sz w:val="24"/>
          <w:szCs w:val="24"/>
        </w:rPr>
        <w:lastRenderedPageBreak/>
        <w:t xml:space="preserve">Ceridwen is described as a goddess of the Celtic underworld, just as Persephone is the queen of the Greek underworld. Although it is unclear whether the association of sow with Ceridwen is anything more significant than her affiliation with Demeter, the pigs of </w:t>
      </w:r>
      <w:r w:rsidRPr="00A25A3E">
        <w:rPr>
          <w:rFonts w:ascii="Arial" w:hAnsi="Arial" w:cs="Arial"/>
          <w:i/>
          <w:iCs/>
          <w:sz w:val="24"/>
          <w:szCs w:val="24"/>
        </w:rPr>
        <w:t>The Mabinogion</w:t>
      </w:r>
      <w:r>
        <w:rPr>
          <w:rFonts w:ascii="Arial" w:hAnsi="Arial" w:cs="Arial"/>
          <w:sz w:val="24"/>
          <w:szCs w:val="24"/>
        </w:rPr>
        <w:t xml:space="preserve"> have a clear relationship of their own to the underworld: they were sent to the mortal world ‘from Annwn, by Arawn king of Annwn’.</w:t>
      </w:r>
      <w:r>
        <w:rPr>
          <w:rStyle w:val="FootnoteReference"/>
          <w:rFonts w:ascii="Arial" w:hAnsi="Arial" w:cs="Arial"/>
          <w:sz w:val="24"/>
          <w:szCs w:val="24"/>
        </w:rPr>
        <w:footnoteReference w:id="17"/>
      </w:r>
      <w:r>
        <w:rPr>
          <w:rFonts w:ascii="Arial" w:hAnsi="Arial" w:cs="Arial"/>
          <w:sz w:val="24"/>
          <w:szCs w:val="24"/>
        </w:rPr>
        <w:t xml:space="preserve"> Thus, pigs, sustenance and the underworld became merged - unfortunately with the eventual negative conflation of pigs and sacrifice. </w:t>
      </w:r>
    </w:p>
    <w:p w14:paraId="017771B2" w14:textId="77777777" w:rsidR="0025722F" w:rsidRDefault="0025722F" w:rsidP="0025722F">
      <w:pPr>
        <w:rPr>
          <w:rFonts w:ascii="Arial" w:hAnsi="Arial" w:cs="Arial"/>
          <w:sz w:val="24"/>
          <w:szCs w:val="24"/>
        </w:rPr>
      </w:pPr>
      <w:r>
        <w:rPr>
          <w:rFonts w:ascii="Arial" w:hAnsi="Arial" w:cs="Arial"/>
          <w:sz w:val="24"/>
          <w:szCs w:val="24"/>
        </w:rPr>
        <w:t>In the religions and myths of other cultures, pigs were often considered both physically and spiritually unclean, and so were objects of disgust: for the Jewish the pig was unclean ‘since it has hooves that are unsplit, but it does not chew its cud’; Islam considered the pig unclean for similar reasons, backed also by the Qur’an; Thomas proposes the pig also to be spiritually unclean for the Ancient Egyptians, evidenced by their lack of mention in the ‘offering lists to the dead’, suggesting pigs were considered ‘” unclean” food for the pious dead’.</w:t>
      </w:r>
      <w:r>
        <w:rPr>
          <w:rStyle w:val="FootnoteReference"/>
          <w:rFonts w:ascii="Arial" w:hAnsi="Arial" w:cs="Arial"/>
          <w:sz w:val="24"/>
          <w:szCs w:val="24"/>
        </w:rPr>
        <w:footnoteReference w:id="18"/>
      </w:r>
      <w:r>
        <w:rPr>
          <w:rFonts w:ascii="Arial" w:hAnsi="Arial" w:cs="Arial"/>
          <w:sz w:val="24"/>
          <w:szCs w:val="24"/>
        </w:rPr>
        <w:t xml:space="preserve"> For Christians animals were merely part of the order of the natural world, placed on earth by God to sustain Man. Yet, the ancient conflation of pigs and the underworld still seems to hold some sway </w:t>
      </w:r>
      <w:r>
        <w:rPr>
          <w:rFonts w:ascii="Arial" w:hAnsi="Arial" w:cs="Arial"/>
          <w:sz w:val="24"/>
          <w:szCs w:val="24"/>
        </w:rPr>
        <w:lastRenderedPageBreak/>
        <w:t>in Christianity’s relationship with the pig. As the</w:t>
      </w:r>
      <w:r w:rsidRPr="00610099">
        <w:rPr>
          <w:rFonts w:ascii="Arial" w:hAnsi="Arial" w:cs="Arial"/>
          <w:sz w:val="24"/>
          <w:szCs w:val="24"/>
        </w:rPr>
        <w:t xml:space="preserve"> gospel of Mark, </w:t>
      </w:r>
      <w:r>
        <w:rPr>
          <w:rFonts w:ascii="Arial" w:hAnsi="Arial" w:cs="Arial"/>
          <w:sz w:val="24"/>
          <w:szCs w:val="24"/>
        </w:rPr>
        <w:t>C</w:t>
      </w:r>
      <w:r w:rsidRPr="00610099">
        <w:rPr>
          <w:rFonts w:ascii="Arial" w:hAnsi="Arial" w:cs="Arial"/>
          <w:sz w:val="24"/>
          <w:szCs w:val="24"/>
        </w:rPr>
        <w:t>hapter 5</w:t>
      </w:r>
      <w:r>
        <w:rPr>
          <w:rFonts w:ascii="Arial" w:hAnsi="Arial" w:cs="Arial"/>
          <w:sz w:val="24"/>
          <w:szCs w:val="24"/>
        </w:rPr>
        <w:t xml:space="preserve"> will serve to illustrate later, there is an ambiguity that is noted by </w:t>
      </w:r>
      <w:r w:rsidRPr="00610099">
        <w:rPr>
          <w:rFonts w:ascii="Arial" w:hAnsi="Arial" w:cs="Arial"/>
          <w:i/>
          <w:iCs/>
          <w:sz w:val="24"/>
          <w:szCs w:val="24"/>
        </w:rPr>
        <w:t>Boars, Pigs and Myths</w:t>
      </w:r>
      <w:r>
        <w:rPr>
          <w:rFonts w:ascii="Arial" w:hAnsi="Arial" w:cs="Arial"/>
          <w:sz w:val="24"/>
          <w:szCs w:val="24"/>
        </w:rPr>
        <w:t>: there is both a</w:t>
      </w:r>
      <w:r w:rsidRPr="00610099">
        <w:rPr>
          <w:rFonts w:ascii="Arial" w:hAnsi="Arial" w:cs="Arial"/>
          <w:sz w:val="24"/>
          <w:szCs w:val="24"/>
        </w:rPr>
        <w:t xml:space="preserve"> </w:t>
      </w:r>
      <w:r>
        <w:rPr>
          <w:rFonts w:ascii="Arial" w:hAnsi="Arial" w:cs="Arial"/>
          <w:sz w:val="24"/>
          <w:szCs w:val="24"/>
        </w:rPr>
        <w:t>‘</w:t>
      </w:r>
      <w:r w:rsidRPr="00610099">
        <w:rPr>
          <w:rFonts w:ascii="Arial" w:hAnsi="Arial" w:cs="Arial"/>
          <w:sz w:val="24"/>
          <w:szCs w:val="24"/>
        </w:rPr>
        <w:t xml:space="preserve">sacredness </w:t>
      </w:r>
      <w:r>
        <w:rPr>
          <w:rFonts w:ascii="Arial" w:hAnsi="Arial" w:cs="Arial"/>
          <w:sz w:val="24"/>
          <w:szCs w:val="24"/>
        </w:rPr>
        <w:t>[to]</w:t>
      </w:r>
      <w:r w:rsidRPr="00610099">
        <w:rPr>
          <w:rFonts w:ascii="Arial" w:hAnsi="Arial" w:cs="Arial"/>
          <w:sz w:val="24"/>
          <w:szCs w:val="24"/>
        </w:rPr>
        <w:t xml:space="preserve"> the pig, and </w:t>
      </w:r>
      <w:r>
        <w:rPr>
          <w:rFonts w:ascii="Arial" w:hAnsi="Arial" w:cs="Arial"/>
          <w:sz w:val="24"/>
          <w:szCs w:val="24"/>
        </w:rPr>
        <w:t>[an]</w:t>
      </w:r>
      <w:r w:rsidRPr="00610099">
        <w:rPr>
          <w:rFonts w:ascii="Arial" w:hAnsi="Arial" w:cs="Arial"/>
          <w:sz w:val="24"/>
          <w:szCs w:val="24"/>
        </w:rPr>
        <w:t xml:space="preserve"> affinity with the demonic’</w:t>
      </w:r>
      <w:r>
        <w:rPr>
          <w:rFonts w:ascii="Arial" w:hAnsi="Arial" w:cs="Arial"/>
          <w:sz w:val="24"/>
          <w:szCs w:val="24"/>
        </w:rPr>
        <w:t>.</w:t>
      </w:r>
      <w:r>
        <w:rPr>
          <w:rStyle w:val="FootnoteReference"/>
          <w:rFonts w:ascii="Arial" w:hAnsi="Arial" w:cs="Arial"/>
          <w:sz w:val="24"/>
          <w:szCs w:val="24"/>
        </w:rPr>
        <w:footnoteReference w:id="19"/>
      </w:r>
      <w:r>
        <w:rPr>
          <w:rFonts w:ascii="Arial" w:hAnsi="Arial" w:cs="Arial"/>
          <w:sz w:val="24"/>
          <w:szCs w:val="24"/>
        </w:rPr>
        <w:t xml:space="preserve"> </w:t>
      </w:r>
      <w:bookmarkStart w:id="11" w:name="_Hlk13867034"/>
    </w:p>
    <w:bookmarkEnd w:id="11"/>
    <w:p w14:paraId="5E5157C9" w14:textId="77777777" w:rsidR="0025722F" w:rsidRPr="00993A83" w:rsidRDefault="0025722F" w:rsidP="0025722F">
      <w:pPr>
        <w:rPr>
          <w:rFonts w:ascii="Arial" w:hAnsi="Arial" w:cs="Arial"/>
          <w:sz w:val="24"/>
          <w:szCs w:val="24"/>
        </w:rPr>
      </w:pPr>
      <w:r>
        <w:rPr>
          <w:rFonts w:ascii="Arial" w:hAnsi="Arial" w:cs="Arial"/>
          <w:sz w:val="24"/>
          <w:szCs w:val="24"/>
        </w:rPr>
        <w:t>The poor pig did not only share a history with man through food, myth and religion: sadly, it joined man early in the history of science. By the latter part of the 2</w:t>
      </w:r>
      <w:r w:rsidRPr="001171EC">
        <w:rPr>
          <w:rFonts w:ascii="Arial" w:hAnsi="Arial" w:cs="Arial"/>
          <w:sz w:val="24"/>
          <w:szCs w:val="24"/>
          <w:vertAlign w:val="superscript"/>
        </w:rPr>
        <w:t>nd</w:t>
      </w:r>
      <w:r>
        <w:rPr>
          <w:rFonts w:ascii="Arial" w:hAnsi="Arial" w:cs="Arial"/>
          <w:sz w:val="24"/>
          <w:szCs w:val="24"/>
        </w:rPr>
        <w:t xml:space="preserve"> century AD the Greek philosopher, physician and surgeon </w:t>
      </w:r>
      <w:r w:rsidRPr="00993A83">
        <w:rPr>
          <w:rFonts w:ascii="Arial" w:hAnsi="Arial" w:cs="Arial"/>
          <w:sz w:val="24"/>
          <w:szCs w:val="24"/>
          <w:shd w:val="clear" w:color="auto" w:fill="FFFFFF"/>
        </w:rPr>
        <w:t xml:space="preserve">Galen </w:t>
      </w:r>
      <w:r>
        <w:rPr>
          <w:rFonts w:ascii="Arial" w:hAnsi="Arial" w:cs="Arial"/>
          <w:sz w:val="24"/>
          <w:szCs w:val="24"/>
          <w:shd w:val="clear" w:color="auto" w:fill="FFFFFF"/>
        </w:rPr>
        <w:t>‘</w:t>
      </w:r>
      <w:r w:rsidRPr="00993A83">
        <w:rPr>
          <w:rFonts w:ascii="Arial" w:hAnsi="Arial" w:cs="Arial"/>
          <w:sz w:val="24"/>
          <w:szCs w:val="24"/>
          <w:shd w:val="clear" w:color="auto" w:fill="FFFFFF"/>
        </w:rPr>
        <w:t>travelled to Rome…where he…gave numerous public lectures and anatomical demonstrations’</w:t>
      </w:r>
      <w:r>
        <w:rPr>
          <w:rFonts w:ascii="Arial" w:hAnsi="Arial" w:cs="Arial"/>
          <w:sz w:val="24"/>
          <w:szCs w:val="24"/>
        </w:rPr>
        <w:t>.</w:t>
      </w:r>
      <w:r>
        <w:rPr>
          <w:rStyle w:val="FootnoteReference"/>
          <w:rFonts w:ascii="Arial" w:hAnsi="Arial" w:cs="Arial"/>
          <w:sz w:val="24"/>
          <w:szCs w:val="24"/>
        </w:rPr>
        <w:footnoteReference w:id="20"/>
      </w:r>
      <w:r w:rsidRPr="00993A83">
        <w:rPr>
          <w:rFonts w:ascii="Arial" w:hAnsi="Arial" w:cs="Arial"/>
          <w:sz w:val="24"/>
          <w:szCs w:val="24"/>
        </w:rPr>
        <w:t xml:space="preserve"> </w:t>
      </w:r>
      <w:r>
        <w:rPr>
          <w:rFonts w:ascii="Arial" w:hAnsi="Arial" w:cs="Arial"/>
          <w:sz w:val="24"/>
          <w:szCs w:val="24"/>
        </w:rPr>
        <w:t>When those demonstrations required live subjects, Galen favoured pigs: pragmatically, they were readily available, since they were a sufficiently abundant food source; and Galen declared the pig’s internal anatomy to be close enough to ape anatomy to be able to trace that of the human.</w:t>
      </w:r>
      <w:r>
        <w:rPr>
          <w:rStyle w:val="FootnoteReference"/>
          <w:rFonts w:ascii="Arial" w:hAnsi="Arial" w:cs="Arial"/>
          <w:sz w:val="24"/>
          <w:szCs w:val="24"/>
        </w:rPr>
        <w:footnoteReference w:id="21"/>
      </w:r>
      <w:r>
        <w:rPr>
          <w:rFonts w:ascii="Arial" w:hAnsi="Arial" w:cs="Arial"/>
          <w:sz w:val="24"/>
          <w:szCs w:val="24"/>
        </w:rPr>
        <w:t xml:space="preserve"> Importantly, the ape itself was not chosen precisely because of its resemblance to the human: Galen noted them to ‘find little enjoyment in live dissection’ and the ‘</w:t>
      </w:r>
      <w:r w:rsidRPr="00447269">
        <w:rPr>
          <w:rFonts w:ascii="Arial" w:hAnsi="Arial" w:cs="Arial"/>
          <w:sz w:val="24"/>
          <w:szCs w:val="24"/>
        </w:rPr>
        <w:t xml:space="preserve">spectacle </w:t>
      </w:r>
      <w:r>
        <w:rPr>
          <w:rFonts w:ascii="Arial" w:hAnsi="Arial" w:cs="Arial"/>
          <w:sz w:val="24"/>
          <w:szCs w:val="24"/>
        </w:rPr>
        <w:t>[to be]</w:t>
      </w:r>
      <w:r w:rsidRPr="00447269">
        <w:rPr>
          <w:rFonts w:ascii="Arial" w:hAnsi="Arial" w:cs="Arial"/>
          <w:sz w:val="24"/>
          <w:szCs w:val="24"/>
        </w:rPr>
        <w:t xml:space="preserve"> hideous”</w:t>
      </w:r>
      <w:r>
        <w:rPr>
          <w:rFonts w:ascii="Arial" w:hAnsi="Arial" w:cs="Arial"/>
          <w:sz w:val="24"/>
          <w:szCs w:val="24"/>
        </w:rPr>
        <w:t xml:space="preserve">. Such empathy was not extended to the pig ‘who </w:t>
      </w:r>
      <w:r w:rsidRPr="0015311C">
        <w:rPr>
          <w:rFonts w:ascii="Arial" w:hAnsi="Arial" w:cs="Arial"/>
          <w:sz w:val="24"/>
          <w:szCs w:val="24"/>
        </w:rPr>
        <w:t>lack</w:t>
      </w:r>
      <w:r>
        <w:rPr>
          <w:rFonts w:ascii="Arial" w:hAnsi="Arial" w:cs="Arial"/>
          <w:sz w:val="24"/>
          <w:szCs w:val="24"/>
        </w:rPr>
        <w:t>[ed]</w:t>
      </w:r>
      <w:r w:rsidRPr="0015311C">
        <w:rPr>
          <w:rFonts w:ascii="Arial" w:hAnsi="Arial" w:cs="Arial"/>
          <w:sz w:val="24"/>
          <w:szCs w:val="24"/>
        </w:rPr>
        <w:t xml:space="preserve"> the “loathsomeness of the expression” that arouse</w:t>
      </w:r>
      <w:r>
        <w:rPr>
          <w:rFonts w:ascii="Arial" w:hAnsi="Arial" w:cs="Arial"/>
          <w:sz w:val="24"/>
          <w:szCs w:val="24"/>
        </w:rPr>
        <w:t>[d]</w:t>
      </w:r>
      <w:r w:rsidRPr="0015311C">
        <w:rPr>
          <w:rFonts w:ascii="Arial" w:hAnsi="Arial" w:cs="Arial"/>
          <w:sz w:val="24"/>
          <w:szCs w:val="24"/>
        </w:rPr>
        <w:t xml:space="preserve"> ethical concern</w:t>
      </w:r>
      <w:r>
        <w:rPr>
          <w:rFonts w:ascii="Arial" w:hAnsi="Arial" w:cs="Arial"/>
          <w:sz w:val="24"/>
          <w:szCs w:val="24"/>
        </w:rPr>
        <w:t>.’</w:t>
      </w:r>
      <w:r>
        <w:rPr>
          <w:rStyle w:val="FootnoteReference"/>
          <w:rFonts w:ascii="Arial" w:hAnsi="Arial" w:cs="Arial"/>
          <w:sz w:val="24"/>
          <w:szCs w:val="24"/>
        </w:rPr>
        <w:footnoteReference w:id="22"/>
      </w:r>
      <w:r>
        <w:rPr>
          <w:rFonts w:ascii="Arial" w:hAnsi="Arial" w:cs="Arial"/>
          <w:sz w:val="24"/>
          <w:szCs w:val="24"/>
        </w:rPr>
        <w:t xml:space="preserve"> Thus, the pig ‘</w:t>
      </w:r>
      <w:r w:rsidRPr="0015311C">
        <w:rPr>
          <w:rFonts w:ascii="Arial" w:hAnsi="Arial" w:cs="Arial"/>
          <w:sz w:val="24"/>
          <w:szCs w:val="24"/>
        </w:rPr>
        <w:t>is the non-human animal that the anatomist can do violence to with the least psychological unease</w:t>
      </w:r>
      <w:r>
        <w:rPr>
          <w:rFonts w:ascii="Arial" w:hAnsi="Arial" w:cs="Arial"/>
          <w:sz w:val="24"/>
          <w:szCs w:val="24"/>
        </w:rPr>
        <w:t>.’</w:t>
      </w:r>
      <w:r>
        <w:rPr>
          <w:rStyle w:val="FootnoteReference"/>
          <w:rFonts w:ascii="Arial" w:hAnsi="Arial" w:cs="Arial"/>
          <w:sz w:val="24"/>
          <w:szCs w:val="24"/>
        </w:rPr>
        <w:footnoteReference w:id="23"/>
      </w:r>
    </w:p>
    <w:p w14:paraId="71A1A01B" w14:textId="767FCACF" w:rsidR="0025722F" w:rsidRDefault="0025722F" w:rsidP="0025722F">
      <w:pPr>
        <w:rPr>
          <w:rFonts w:ascii="Arial" w:hAnsi="Arial" w:cs="Arial"/>
          <w:sz w:val="24"/>
          <w:szCs w:val="24"/>
        </w:rPr>
      </w:pPr>
      <w:r w:rsidRPr="0071347B">
        <w:rPr>
          <w:rFonts w:ascii="Arial" w:hAnsi="Arial" w:cs="Arial"/>
          <w:sz w:val="24"/>
          <w:szCs w:val="24"/>
        </w:rPr>
        <w:t xml:space="preserve">Pigs remained the body of choice for anatomising. By the </w:t>
      </w:r>
      <w:r>
        <w:rPr>
          <w:rFonts w:ascii="Arial" w:hAnsi="Arial" w:cs="Arial"/>
          <w:sz w:val="24"/>
          <w:szCs w:val="24"/>
        </w:rPr>
        <w:t>M</w:t>
      </w:r>
      <w:r w:rsidRPr="0071347B">
        <w:rPr>
          <w:rFonts w:ascii="Arial" w:hAnsi="Arial" w:cs="Arial"/>
          <w:sz w:val="24"/>
          <w:szCs w:val="24"/>
        </w:rPr>
        <w:t xml:space="preserve">iddle </w:t>
      </w:r>
      <w:r>
        <w:rPr>
          <w:rFonts w:ascii="Arial" w:hAnsi="Arial" w:cs="Arial"/>
          <w:sz w:val="24"/>
          <w:szCs w:val="24"/>
        </w:rPr>
        <w:t>A</w:t>
      </w:r>
      <w:r w:rsidRPr="0071347B">
        <w:rPr>
          <w:rFonts w:ascii="Arial" w:hAnsi="Arial" w:cs="Arial"/>
          <w:sz w:val="24"/>
          <w:szCs w:val="24"/>
        </w:rPr>
        <w:t>ges, the student textbook ‘The Anatomy of the Pig’</w:t>
      </w:r>
      <w:r>
        <w:rPr>
          <w:rFonts w:ascii="Arial" w:hAnsi="Arial" w:cs="Arial"/>
          <w:sz w:val="24"/>
          <w:szCs w:val="24"/>
        </w:rPr>
        <w:t>,</w:t>
      </w:r>
      <w:r w:rsidRPr="0071347B">
        <w:rPr>
          <w:rFonts w:ascii="Arial" w:hAnsi="Arial" w:cs="Arial"/>
          <w:sz w:val="24"/>
          <w:szCs w:val="24"/>
        </w:rPr>
        <w:t xml:space="preserve"> buil</w:t>
      </w:r>
      <w:r>
        <w:rPr>
          <w:rFonts w:ascii="Arial" w:hAnsi="Arial" w:cs="Arial"/>
          <w:sz w:val="24"/>
          <w:szCs w:val="24"/>
        </w:rPr>
        <w:t>ding</w:t>
      </w:r>
      <w:r w:rsidRPr="0071347B">
        <w:rPr>
          <w:rFonts w:ascii="Arial" w:hAnsi="Arial" w:cs="Arial"/>
          <w:sz w:val="24"/>
          <w:szCs w:val="24"/>
        </w:rPr>
        <w:t xml:space="preserve"> on the work of Galen, declar</w:t>
      </w:r>
      <w:r>
        <w:rPr>
          <w:rFonts w:ascii="Arial" w:hAnsi="Arial" w:cs="Arial"/>
          <w:sz w:val="24"/>
          <w:szCs w:val="24"/>
        </w:rPr>
        <w:t>ed</w:t>
      </w:r>
      <w:r w:rsidRPr="0071347B">
        <w:rPr>
          <w:rFonts w:ascii="Arial" w:hAnsi="Arial" w:cs="Arial"/>
          <w:sz w:val="24"/>
          <w:szCs w:val="24"/>
        </w:rPr>
        <w:t xml:space="preserve"> the pig to have the most similar internal anatomy to the human</w:t>
      </w:r>
      <w:r>
        <w:rPr>
          <w:rFonts w:ascii="Arial" w:hAnsi="Arial" w:cs="Arial"/>
          <w:sz w:val="24"/>
          <w:szCs w:val="24"/>
        </w:rPr>
        <w:t>;</w:t>
      </w:r>
      <w:r w:rsidRPr="0071347B">
        <w:rPr>
          <w:rFonts w:ascii="Arial" w:hAnsi="Arial" w:cs="Arial"/>
          <w:sz w:val="24"/>
          <w:szCs w:val="24"/>
        </w:rPr>
        <w:t xml:space="preserve"> this sameness was what </w:t>
      </w:r>
      <w:r w:rsidRPr="0071347B">
        <w:rPr>
          <w:rFonts w:ascii="Arial" w:hAnsi="Arial" w:cs="Arial"/>
          <w:sz w:val="24"/>
          <w:szCs w:val="24"/>
        </w:rPr>
        <w:lastRenderedPageBreak/>
        <w:t>allowed their selection for dissection and</w:t>
      </w:r>
      <w:r>
        <w:rPr>
          <w:rFonts w:ascii="Arial" w:hAnsi="Arial" w:cs="Arial"/>
          <w:sz w:val="24"/>
          <w:szCs w:val="24"/>
        </w:rPr>
        <w:t>,</w:t>
      </w:r>
      <w:r w:rsidRPr="0071347B">
        <w:rPr>
          <w:rFonts w:ascii="Arial" w:hAnsi="Arial" w:cs="Arial"/>
          <w:sz w:val="24"/>
          <w:szCs w:val="24"/>
        </w:rPr>
        <w:t xml:space="preserve"> </w:t>
      </w:r>
      <w:r>
        <w:rPr>
          <w:rFonts w:ascii="Arial" w:hAnsi="Arial" w:cs="Arial"/>
          <w:sz w:val="24"/>
          <w:szCs w:val="24"/>
        </w:rPr>
        <w:t xml:space="preserve">as a substitute human, </w:t>
      </w:r>
      <w:r w:rsidRPr="0071347B">
        <w:rPr>
          <w:rFonts w:ascii="Arial" w:hAnsi="Arial" w:cs="Arial"/>
          <w:sz w:val="24"/>
          <w:szCs w:val="24"/>
        </w:rPr>
        <w:t>maintained their position as other.</w:t>
      </w:r>
      <w:r w:rsidRPr="0071347B">
        <w:rPr>
          <w:rStyle w:val="FootnoteReference"/>
          <w:rFonts w:ascii="Arial" w:hAnsi="Arial" w:cs="Arial"/>
          <w:sz w:val="24"/>
          <w:szCs w:val="24"/>
        </w:rPr>
        <w:footnoteReference w:id="24"/>
      </w:r>
      <w:r w:rsidRPr="0071347B">
        <w:rPr>
          <w:rFonts w:ascii="Arial" w:hAnsi="Arial" w:cs="Arial"/>
          <w:sz w:val="24"/>
          <w:szCs w:val="24"/>
        </w:rPr>
        <w:t xml:space="preserve"> Bolman notes the textbook to be for scholars in an institute in Salerno, and that</w:t>
      </w:r>
      <w:r>
        <w:rPr>
          <w:rFonts w:ascii="Arial" w:hAnsi="Arial" w:cs="Arial"/>
          <w:sz w:val="24"/>
          <w:szCs w:val="24"/>
        </w:rPr>
        <w:t xml:space="preserve"> Salerno</w:t>
      </w:r>
      <w:r w:rsidRPr="0071347B">
        <w:rPr>
          <w:rFonts w:ascii="Arial" w:hAnsi="Arial" w:cs="Arial"/>
          <w:sz w:val="24"/>
          <w:szCs w:val="24"/>
        </w:rPr>
        <w:t xml:space="preserve">, like Rome, </w:t>
      </w:r>
      <w:r>
        <w:rPr>
          <w:rFonts w:ascii="Arial" w:hAnsi="Arial" w:cs="Arial"/>
          <w:sz w:val="24"/>
          <w:szCs w:val="24"/>
        </w:rPr>
        <w:t>had</w:t>
      </w:r>
      <w:r w:rsidRPr="0071347B">
        <w:rPr>
          <w:rFonts w:ascii="Arial" w:hAnsi="Arial" w:cs="Arial"/>
          <w:sz w:val="24"/>
          <w:szCs w:val="24"/>
        </w:rPr>
        <w:t xml:space="preserve"> a plentiful supply of pigs for meat</w:t>
      </w:r>
      <w:r>
        <w:rPr>
          <w:rFonts w:ascii="Arial" w:hAnsi="Arial" w:cs="Arial"/>
          <w:sz w:val="24"/>
          <w:szCs w:val="24"/>
        </w:rPr>
        <w:t>. Thus,</w:t>
      </w:r>
      <w:r w:rsidRPr="0071347B">
        <w:rPr>
          <w:rFonts w:ascii="Arial" w:hAnsi="Arial" w:cs="Arial"/>
          <w:sz w:val="24"/>
          <w:szCs w:val="24"/>
        </w:rPr>
        <w:t xml:space="preserve"> the anatomising of pigs was rendered </w:t>
      </w:r>
      <w:r>
        <w:rPr>
          <w:rFonts w:ascii="Arial" w:hAnsi="Arial" w:cs="Arial"/>
          <w:sz w:val="24"/>
          <w:szCs w:val="24"/>
        </w:rPr>
        <w:t>morally imperceptible,</w:t>
      </w:r>
      <w:r w:rsidRPr="0071347B">
        <w:rPr>
          <w:rFonts w:ascii="Arial" w:hAnsi="Arial" w:cs="Arial"/>
          <w:sz w:val="24"/>
          <w:szCs w:val="24"/>
        </w:rPr>
        <w:t xml:space="preserve"> since the pig was already both an object of sacrifice (in Galen’s Rome) and </w:t>
      </w:r>
      <w:r>
        <w:rPr>
          <w:rFonts w:ascii="Arial" w:hAnsi="Arial" w:cs="Arial"/>
          <w:sz w:val="24"/>
          <w:szCs w:val="24"/>
        </w:rPr>
        <w:t>me</w:t>
      </w:r>
      <w:r w:rsidRPr="0071347B">
        <w:rPr>
          <w:rFonts w:ascii="Arial" w:hAnsi="Arial" w:cs="Arial"/>
          <w:sz w:val="24"/>
          <w:szCs w:val="24"/>
        </w:rPr>
        <w:t>at</w:t>
      </w:r>
      <w:r>
        <w:rPr>
          <w:rFonts w:ascii="Arial" w:hAnsi="Arial" w:cs="Arial"/>
          <w:sz w:val="24"/>
          <w:szCs w:val="24"/>
        </w:rPr>
        <w:t>,</w:t>
      </w:r>
      <w:r w:rsidRPr="0071347B">
        <w:rPr>
          <w:rFonts w:ascii="Arial" w:hAnsi="Arial" w:cs="Arial"/>
          <w:sz w:val="24"/>
          <w:szCs w:val="24"/>
        </w:rPr>
        <w:t xml:space="preserve"> routinely butchered in both Rome and Medieval Salerno. </w:t>
      </w:r>
      <w:r w:rsidR="00403C72">
        <w:rPr>
          <w:rFonts w:ascii="Arial" w:hAnsi="Arial" w:cs="Arial"/>
          <w:sz w:val="24"/>
          <w:szCs w:val="24"/>
        </w:rPr>
        <w:t>So, b</w:t>
      </w:r>
      <w:r w:rsidRPr="0071347B">
        <w:rPr>
          <w:rFonts w:ascii="Arial" w:hAnsi="Arial" w:cs="Arial"/>
          <w:sz w:val="24"/>
          <w:szCs w:val="24"/>
        </w:rPr>
        <w:t xml:space="preserve">y the </w:t>
      </w:r>
      <w:r>
        <w:rPr>
          <w:rFonts w:ascii="Arial" w:hAnsi="Arial" w:cs="Arial"/>
          <w:sz w:val="24"/>
          <w:szCs w:val="24"/>
        </w:rPr>
        <w:t>M</w:t>
      </w:r>
      <w:r w:rsidRPr="0071347B">
        <w:rPr>
          <w:rFonts w:ascii="Arial" w:hAnsi="Arial" w:cs="Arial"/>
          <w:sz w:val="24"/>
          <w:szCs w:val="24"/>
        </w:rPr>
        <w:t xml:space="preserve">iddle </w:t>
      </w:r>
      <w:r>
        <w:rPr>
          <w:rFonts w:ascii="Arial" w:hAnsi="Arial" w:cs="Arial"/>
          <w:sz w:val="24"/>
          <w:szCs w:val="24"/>
        </w:rPr>
        <w:t>A</w:t>
      </w:r>
      <w:r w:rsidRPr="0071347B">
        <w:rPr>
          <w:rFonts w:ascii="Arial" w:hAnsi="Arial" w:cs="Arial"/>
          <w:sz w:val="24"/>
          <w:szCs w:val="24"/>
        </w:rPr>
        <w:t>ges the pig h</w:t>
      </w:r>
      <w:r>
        <w:rPr>
          <w:rFonts w:ascii="Arial" w:hAnsi="Arial" w:cs="Arial"/>
          <w:sz w:val="24"/>
          <w:szCs w:val="24"/>
        </w:rPr>
        <w:t>eld</w:t>
      </w:r>
      <w:r w:rsidRPr="0071347B">
        <w:rPr>
          <w:rFonts w:ascii="Arial" w:hAnsi="Arial" w:cs="Arial"/>
          <w:sz w:val="24"/>
          <w:szCs w:val="24"/>
        </w:rPr>
        <w:t xml:space="preserve"> a particular position as a body vulnerable to human dissection: </w:t>
      </w:r>
      <w:r>
        <w:rPr>
          <w:rFonts w:ascii="Arial" w:hAnsi="Arial" w:cs="Arial"/>
          <w:sz w:val="24"/>
          <w:szCs w:val="24"/>
        </w:rPr>
        <w:t xml:space="preserve">to be </w:t>
      </w:r>
      <w:r w:rsidRPr="0071347B">
        <w:rPr>
          <w:rFonts w:ascii="Arial" w:hAnsi="Arial" w:cs="Arial"/>
          <w:sz w:val="24"/>
          <w:szCs w:val="24"/>
        </w:rPr>
        <w:t xml:space="preserve">butchered, anatomised, </w:t>
      </w:r>
      <w:r>
        <w:rPr>
          <w:rFonts w:ascii="Arial" w:hAnsi="Arial" w:cs="Arial"/>
          <w:sz w:val="24"/>
          <w:szCs w:val="24"/>
        </w:rPr>
        <w:t xml:space="preserve">and </w:t>
      </w:r>
      <w:r w:rsidRPr="0071347B">
        <w:rPr>
          <w:rFonts w:ascii="Arial" w:hAnsi="Arial" w:cs="Arial"/>
          <w:sz w:val="24"/>
          <w:szCs w:val="24"/>
        </w:rPr>
        <w:t xml:space="preserve">executed. </w:t>
      </w:r>
      <w:r>
        <w:rPr>
          <w:rFonts w:ascii="Arial" w:hAnsi="Arial" w:cs="Arial"/>
          <w:sz w:val="24"/>
          <w:szCs w:val="24"/>
        </w:rPr>
        <w:t xml:space="preserve">Medieval and Renaissance pigs had the misfortune to be both the </w:t>
      </w:r>
      <w:r w:rsidRPr="0071347B">
        <w:rPr>
          <w:rFonts w:ascii="Arial" w:hAnsi="Arial" w:cs="Arial"/>
          <w:sz w:val="24"/>
          <w:szCs w:val="24"/>
        </w:rPr>
        <w:t>‘most animal of animals’</w:t>
      </w:r>
      <w:r>
        <w:rPr>
          <w:rFonts w:ascii="Arial" w:hAnsi="Arial" w:cs="Arial"/>
          <w:sz w:val="24"/>
          <w:szCs w:val="24"/>
        </w:rPr>
        <w:t xml:space="preserve"> and the </w:t>
      </w:r>
      <w:r w:rsidRPr="0071347B">
        <w:rPr>
          <w:rFonts w:ascii="Arial" w:hAnsi="Arial" w:cs="Arial"/>
          <w:sz w:val="24"/>
          <w:szCs w:val="24"/>
        </w:rPr>
        <w:t>most human of animals,</w:t>
      </w:r>
      <w:r>
        <w:rPr>
          <w:rFonts w:ascii="Arial" w:hAnsi="Arial" w:cs="Arial"/>
          <w:sz w:val="24"/>
          <w:szCs w:val="24"/>
        </w:rPr>
        <w:t xml:space="preserve"> or as Bolman puts it, ‘</w:t>
      </w:r>
      <w:r w:rsidRPr="00ED1DFF">
        <w:rPr>
          <w:rFonts w:ascii="Arial" w:hAnsi="Arial" w:cs="Arial"/>
          <w:sz w:val="24"/>
          <w:szCs w:val="24"/>
        </w:rPr>
        <w:t xml:space="preserve">biologically like us and morally valueless’ so that they </w:t>
      </w:r>
      <w:r>
        <w:rPr>
          <w:rFonts w:ascii="Arial" w:hAnsi="Arial" w:cs="Arial"/>
          <w:sz w:val="24"/>
          <w:szCs w:val="24"/>
        </w:rPr>
        <w:t xml:space="preserve">simultaneously </w:t>
      </w:r>
      <w:r w:rsidRPr="00ED1DFF">
        <w:rPr>
          <w:rFonts w:ascii="Arial" w:hAnsi="Arial" w:cs="Arial"/>
          <w:sz w:val="24"/>
          <w:szCs w:val="24"/>
        </w:rPr>
        <w:t>occupied ‘both sides of the animal-human boundary… (while maintaining the barrier of the middle)’</w:t>
      </w:r>
      <w:r>
        <w:rPr>
          <w:rFonts w:ascii="Arial" w:hAnsi="Arial" w:cs="Arial"/>
          <w:sz w:val="24"/>
          <w:szCs w:val="24"/>
        </w:rPr>
        <w:t>.</w:t>
      </w:r>
      <w:r>
        <w:rPr>
          <w:rStyle w:val="FootnoteReference"/>
          <w:rFonts w:ascii="Arial" w:hAnsi="Arial" w:cs="Arial"/>
          <w:sz w:val="24"/>
          <w:szCs w:val="24"/>
        </w:rPr>
        <w:footnoteReference w:id="25"/>
      </w:r>
      <w:r>
        <w:rPr>
          <w:rFonts w:ascii="Arial" w:hAnsi="Arial" w:cs="Arial"/>
          <w:sz w:val="24"/>
          <w:szCs w:val="24"/>
        </w:rPr>
        <w:t xml:space="preserve"> Which is true, until they kill a human: it is at this point they trespassed into that liminal space.</w:t>
      </w:r>
    </w:p>
    <w:p w14:paraId="6088147B" w14:textId="5E11EB8B" w:rsidR="0025722F" w:rsidRDefault="0025722F" w:rsidP="0025722F">
      <w:pPr>
        <w:rPr>
          <w:rFonts w:ascii="Arial" w:hAnsi="Arial" w:cs="Arial"/>
          <w:sz w:val="24"/>
          <w:szCs w:val="24"/>
        </w:rPr>
      </w:pPr>
      <w:r>
        <w:rPr>
          <w:rFonts w:ascii="Arial" w:hAnsi="Arial" w:cs="Arial"/>
          <w:sz w:val="24"/>
          <w:szCs w:val="24"/>
        </w:rPr>
        <w:t>This is a space of comfort and discomfort. It is a space we still understand today as a layer of protection from what does not bear close inspection: it is how we keep systems of subjugation, psychologically, at one remove. For the Medieval world, however, such boundaries were an abundant natural occurrence of the cosmic order, so we will leave the pigs temporarily to try and understand this order. It is an order that, with its commensurate systems of language, was at its peak of sophistication in the Middle Ages and Renaissance, and is not easily defined. Its complexities have been studied by Foucault, within the wider discipline of linguistics.</w:t>
      </w:r>
      <w:r>
        <w:rPr>
          <w:rStyle w:val="FootnoteReference"/>
          <w:rFonts w:ascii="Arial" w:hAnsi="Arial" w:cs="Arial"/>
          <w:sz w:val="24"/>
          <w:szCs w:val="24"/>
        </w:rPr>
        <w:footnoteReference w:id="26"/>
      </w:r>
      <w:r>
        <w:rPr>
          <w:rFonts w:ascii="Arial" w:hAnsi="Arial" w:cs="Arial"/>
          <w:sz w:val="24"/>
          <w:szCs w:val="24"/>
        </w:rPr>
        <w:t xml:space="preserve"> In a simplified version of Foucault’s study there were two sets of connected things occurring. First, the cosmic order and language were relational: the meaning of something was </w:t>
      </w:r>
      <w:r>
        <w:rPr>
          <w:rFonts w:ascii="Arial" w:hAnsi="Arial" w:cs="Arial"/>
          <w:sz w:val="24"/>
          <w:szCs w:val="24"/>
        </w:rPr>
        <w:lastRenderedPageBreak/>
        <w:t xml:space="preserve">sought through its similarity to other things, since each part held fragments of all other things. Everything in the heavens was reflected on the earthly plane, </w:t>
      </w:r>
      <w:r w:rsidR="00403C72">
        <w:rPr>
          <w:rFonts w:ascii="Arial" w:hAnsi="Arial" w:cs="Arial"/>
          <w:sz w:val="24"/>
          <w:szCs w:val="24"/>
        </w:rPr>
        <w:t xml:space="preserve">and </w:t>
      </w:r>
      <w:r>
        <w:rPr>
          <w:rFonts w:ascii="Arial" w:hAnsi="Arial" w:cs="Arial"/>
          <w:sz w:val="24"/>
          <w:szCs w:val="24"/>
        </w:rPr>
        <w:t xml:space="preserve">everything in the sky had its equivalent in the oceans, the same dynamic was found between </w:t>
      </w:r>
      <w:r w:rsidR="00403C72">
        <w:rPr>
          <w:rFonts w:ascii="Arial" w:hAnsi="Arial" w:cs="Arial"/>
          <w:sz w:val="24"/>
          <w:szCs w:val="24"/>
        </w:rPr>
        <w:t xml:space="preserve">all </w:t>
      </w:r>
      <w:r>
        <w:rPr>
          <w:rFonts w:ascii="Arial" w:hAnsi="Arial" w:cs="Arial"/>
          <w:sz w:val="24"/>
          <w:szCs w:val="24"/>
        </w:rPr>
        <w:t>the individual components of the universe; at the centre of it all, containing and reflecting everything, was man.</w:t>
      </w:r>
      <w:r>
        <w:rPr>
          <w:rStyle w:val="FootnoteReference"/>
          <w:rFonts w:ascii="Arial" w:hAnsi="Arial" w:cs="Arial"/>
          <w:sz w:val="24"/>
          <w:szCs w:val="24"/>
        </w:rPr>
        <w:footnoteReference w:id="27"/>
      </w:r>
      <w:r>
        <w:rPr>
          <w:rFonts w:ascii="Arial" w:hAnsi="Arial" w:cs="Arial"/>
          <w:sz w:val="24"/>
          <w:szCs w:val="24"/>
        </w:rPr>
        <w:t xml:space="preserve"> Understanding God was the movable goal for which understanding man was the substitute - just as for Galen, understanding human anatomy through the pig was only entertained when refracted through the ape. The problem with similarity is contamination. Therefore, second, just as similarity is essential to cohere the cosmos, so is maintaining difference to prevent cross-contamination. Foucault names this ‘antipathy’: it ‘maintains the isolation of things and prevents their assimilation; it encloses every species with its impenetrable difference’</w:t>
      </w:r>
      <w:r>
        <w:rPr>
          <w:rStyle w:val="FootnoteReference"/>
          <w:rFonts w:ascii="Arial" w:hAnsi="Arial" w:cs="Arial"/>
          <w:sz w:val="24"/>
          <w:szCs w:val="24"/>
        </w:rPr>
        <w:footnoteReference w:id="28"/>
      </w:r>
      <w:r>
        <w:rPr>
          <w:rFonts w:ascii="Arial" w:hAnsi="Arial" w:cs="Arial"/>
          <w:sz w:val="24"/>
          <w:szCs w:val="24"/>
        </w:rPr>
        <w:t xml:space="preserve"> It is the necessary hate and violence of identity, required so that things can ‘resemble others…be drawn to them…without being swallowed up or losing…singularity’.</w:t>
      </w:r>
      <w:r>
        <w:rPr>
          <w:rStyle w:val="FootnoteReference"/>
          <w:rFonts w:ascii="Arial" w:hAnsi="Arial" w:cs="Arial"/>
          <w:sz w:val="24"/>
          <w:szCs w:val="24"/>
        </w:rPr>
        <w:footnoteReference w:id="29"/>
      </w:r>
    </w:p>
    <w:p w14:paraId="5F86A971" w14:textId="77777777" w:rsidR="0025722F" w:rsidRDefault="0025722F" w:rsidP="0025722F">
      <w:pPr>
        <w:rPr>
          <w:rFonts w:ascii="Arial" w:hAnsi="Arial" w:cs="Arial"/>
          <w:sz w:val="24"/>
          <w:szCs w:val="24"/>
        </w:rPr>
      </w:pPr>
      <w:r>
        <w:rPr>
          <w:rFonts w:ascii="Arial" w:hAnsi="Arial" w:cs="Arial"/>
          <w:sz w:val="24"/>
          <w:szCs w:val="24"/>
        </w:rPr>
        <w:t>There was thought to be knowledge hidden in this system available to man in the signs which had been laid in all things by God.</w:t>
      </w:r>
      <w:r>
        <w:rPr>
          <w:rStyle w:val="FootnoteReference"/>
          <w:rFonts w:ascii="Arial" w:hAnsi="Arial" w:cs="Arial"/>
          <w:sz w:val="24"/>
          <w:szCs w:val="24"/>
        </w:rPr>
        <w:footnoteReference w:id="30"/>
      </w:r>
      <w:r>
        <w:rPr>
          <w:rFonts w:ascii="Arial" w:hAnsi="Arial" w:cs="Arial"/>
          <w:sz w:val="24"/>
          <w:szCs w:val="24"/>
        </w:rPr>
        <w:t xml:space="preserve"> These were divine signs </w:t>
      </w:r>
      <w:r>
        <w:rPr>
          <w:rFonts w:ascii="Arial" w:hAnsi="Arial" w:cs="Arial"/>
          <w:bCs/>
          <w:sz w:val="24"/>
          <w:szCs w:val="24"/>
        </w:rPr>
        <w:t xml:space="preserve">that ‘offer[ed] themselves to men as things to be deciphered’ and were </w:t>
      </w:r>
      <w:r>
        <w:rPr>
          <w:rFonts w:ascii="Arial" w:hAnsi="Arial" w:cs="Arial"/>
          <w:sz w:val="24"/>
          <w:szCs w:val="24"/>
        </w:rPr>
        <w:t>available to ‘read’ though they pre-dated language and literacy.</w:t>
      </w:r>
      <w:r>
        <w:rPr>
          <w:rStyle w:val="FootnoteReference"/>
          <w:rFonts w:ascii="Arial" w:hAnsi="Arial" w:cs="Arial"/>
          <w:bCs/>
          <w:sz w:val="24"/>
          <w:szCs w:val="24"/>
        </w:rPr>
        <w:footnoteReference w:id="31"/>
      </w:r>
      <w:r>
        <w:rPr>
          <w:rFonts w:ascii="Arial" w:hAnsi="Arial" w:cs="Arial"/>
          <w:bCs/>
          <w:sz w:val="24"/>
          <w:szCs w:val="24"/>
        </w:rPr>
        <w:t xml:space="preserve"> Language was not a separate system, but rather held the knowledge of what it discovered,</w:t>
      </w:r>
      <w:r>
        <w:rPr>
          <w:rFonts w:ascii="Arial" w:hAnsi="Arial" w:cs="Arial"/>
          <w:sz w:val="24"/>
          <w:szCs w:val="24"/>
        </w:rPr>
        <w:t xml:space="preserve"> increasing its power </w:t>
      </w:r>
      <w:r>
        <w:rPr>
          <w:rFonts w:ascii="Arial" w:hAnsi="Arial" w:cs="Arial"/>
          <w:sz w:val="24"/>
          <w:szCs w:val="24"/>
        </w:rPr>
        <w:lastRenderedPageBreak/>
        <w:t>and potency.</w:t>
      </w:r>
      <w:r>
        <w:rPr>
          <w:rStyle w:val="FootnoteReference"/>
          <w:rFonts w:ascii="Arial" w:hAnsi="Arial" w:cs="Arial"/>
          <w:sz w:val="24"/>
          <w:szCs w:val="24"/>
        </w:rPr>
        <w:footnoteReference w:id="32"/>
      </w:r>
      <w:r>
        <w:rPr>
          <w:rFonts w:ascii="Arial" w:hAnsi="Arial" w:cs="Arial"/>
          <w:sz w:val="24"/>
          <w:szCs w:val="24"/>
        </w:rPr>
        <w:t xml:space="preserve"> Literacy offered further advances, but not without creating its own potential to contaminate as is evidenced by the Medieval Bestiary. </w:t>
      </w:r>
    </w:p>
    <w:p w14:paraId="4C1F506E" w14:textId="29D33339" w:rsidR="0025722F" w:rsidRDefault="0025722F" w:rsidP="0025722F">
      <w:pPr>
        <w:rPr>
          <w:rFonts w:ascii="Arial" w:hAnsi="Arial" w:cs="Arial"/>
          <w:sz w:val="24"/>
          <w:szCs w:val="24"/>
        </w:rPr>
      </w:pPr>
      <w:r>
        <w:rPr>
          <w:rFonts w:ascii="Arial" w:hAnsi="Arial" w:cs="Arial"/>
          <w:sz w:val="24"/>
          <w:szCs w:val="24"/>
        </w:rPr>
        <w:t>The Bestiary should be seen, as Yamamoto observes, as more than ‘simply…a catalogue’ of animals: not that there was no taxonomy, but rather a differing taxonomy, and one that served a different purpose to a modern categorising of animals.</w:t>
      </w:r>
      <w:r>
        <w:rPr>
          <w:rStyle w:val="FootnoteReference"/>
          <w:rFonts w:ascii="Arial" w:hAnsi="Arial" w:cs="Arial"/>
          <w:sz w:val="24"/>
          <w:szCs w:val="24"/>
        </w:rPr>
        <w:footnoteReference w:id="33"/>
      </w:r>
      <w:r>
        <w:rPr>
          <w:rFonts w:ascii="Arial" w:hAnsi="Arial" w:cs="Arial"/>
          <w:sz w:val="24"/>
          <w:szCs w:val="24"/>
        </w:rPr>
        <w:t xml:space="preserve"> Yamamoto draws attention to the Ashmolean Bestiary, with its illustration of a four-tiered division of the animals created by God on the sixth day. Textually, it then goes on to further divide the animal kingdom into ‘beasts [that] run on the earth, birds [that] fly in the air, fish [that] swim in the water, [and] reptiles [that] crawl on the ground’: each beast, remaining securely in its element, and therefore able to safely reflect its equivalent in a separate element. </w:t>
      </w:r>
      <w:r>
        <w:rPr>
          <w:rStyle w:val="FootnoteReference"/>
          <w:rFonts w:ascii="Arial" w:hAnsi="Arial" w:cs="Arial"/>
          <w:sz w:val="24"/>
          <w:szCs w:val="24"/>
        </w:rPr>
        <w:footnoteReference w:id="34"/>
      </w:r>
      <w:r>
        <w:rPr>
          <w:rFonts w:ascii="Arial" w:hAnsi="Arial" w:cs="Arial"/>
          <w:sz w:val="24"/>
          <w:szCs w:val="24"/>
        </w:rPr>
        <w:t xml:space="preserve"> However, the Bestiaries categorised beasts </w:t>
      </w:r>
      <w:r w:rsidRPr="00564F3F">
        <w:rPr>
          <w:rFonts w:ascii="Arial" w:hAnsi="Arial" w:cs="Arial"/>
          <w:i/>
          <w:iCs/>
          <w:sz w:val="24"/>
          <w:szCs w:val="24"/>
        </w:rPr>
        <w:t>and</w:t>
      </w:r>
      <w:r>
        <w:rPr>
          <w:rFonts w:ascii="Arial" w:hAnsi="Arial" w:cs="Arial"/>
          <w:sz w:val="24"/>
          <w:szCs w:val="24"/>
        </w:rPr>
        <w:t xml:space="preserve"> man, and usefulness to man was a further distinct category. As importantly, this also served to pin man and beast into their hierarchical place .</w:t>
      </w:r>
      <w:r>
        <w:rPr>
          <w:rStyle w:val="FootnoteReference"/>
          <w:rFonts w:ascii="Arial" w:hAnsi="Arial" w:cs="Arial"/>
          <w:sz w:val="24"/>
          <w:szCs w:val="24"/>
        </w:rPr>
        <w:footnoteReference w:id="35"/>
      </w:r>
      <w:r>
        <w:rPr>
          <w:rFonts w:ascii="Arial" w:hAnsi="Arial" w:cs="Arial"/>
          <w:sz w:val="24"/>
          <w:szCs w:val="24"/>
        </w:rPr>
        <w:t xml:space="preserve"> The Bestiary was for the edification of man, employing each type of animal with its particular divine ‘imprint’ as an exemplum of idealised behaviour (or warning of its opposite) whilst also securing man’s position in relation to God: the human was a </w:t>
      </w:r>
      <w:r w:rsidR="00F1476A">
        <w:rPr>
          <w:rFonts w:ascii="Arial" w:hAnsi="Arial" w:cs="Arial"/>
          <w:sz w:val="24"/>
          <w:szCs w:val="24"/>
        </w:rPr>
        <w:t xml:space="preserve">rational </w:t>
      </w:r>
      <w:r>
        <w:rPr>
          <w:rFonts w:ascii="Arial" w:hAnsi="Arial" w:cs="Arial"/>
          <w:sz w:val="24"/>
          <w:szCs w:val="24"/>
        </w:rPr>
        <w:t>being with a soul and an eternal life, above and distinct from animals.</w:t>
      </w:r>
      <w:r>
        <w:rPr>
          <w:rStyle w:val="FootnoteReference"/>
          <w:rFonts w:ascii="Arial" w:hAnsi="Arial" w:cs="Arial"/>
          <w:sz w:val="24"/>
          <w:szCs w:val="24"/>
        </w:rPr>
        <w:footnoteReference w:id="36"/>
      </w:r>
      <w:r>
        <w:rPr>
          <w:rFonts w:ascii="Arial" w:hAnsi="Arial" w:cs="Arial"/>
          <w:sz w:val="24"/>
          <w:szCs w:val="24"/>
        </w:rPr>
        <w:t xml:space="preserve">  </w:t>
      </w:r>
    </w:p>
    <w:p w14:paraId="685D79E1" w14:textId="1B0A2CAF" w:rsidR="0025722F" w:rsidRDefault="0025722F" w:rsidP="0025722F">
      <w:pPr>
        <w:rPr>
          <w:rFonts w:ascii="Arial" w:hAnsi="Arial" w:cs="Arial"/>
          <w:sz w:val="24"/>
          <w:szCs w:val="24"/>
        </w:rPr>
      </w:pPr>
      <w:r>
        <w:rPr>
          <w:rFonts w:ascii="Arial" w:hAnsi="Arial" w:cs="Arial"/>
          <w:sz w:val="24"/>
          <w:szCs w:val="24"/>
        </w:rPr>
        <w:t xml:space="preserve">But there was a danger in this. First, the Bestiary became a textual site where disparate entities were drawn into an otherwise unattainable proximity: the risk was a cross-contamination by scrutiny, as all lay close together before the ‘reader’. Second, although the Bestiaries were reiterating Biblical exegesis by placing the </w:t>
      </w:r>
      <w:r>
        <w:rPr>
          <w:rFonts w:ascii="Arial" w:hAnsi="Arial" w:cs="Arial"/>
          <w:sz w:val="24"/>
          <w:szCs w:val="24"/>
        </w:rPr>
        <w:lastRenderedPageBreak/>
        <w:t xml:space="preserve">human above animals in a hierarchical structure, they inadvertently made explicit that human and animal shared the same structure. Thus, the boundaries that separated categories of beasts, and the boundary that separated beasts and man, became of the utmost importance. The Bestiary is a record of boundaries reflective of Foucault’s similitude offset by antipathy, promoting man’s position over the animals (that were similar enough to enlighten aspects of humanity), and inciting man to defend his dominium over them. So that when Yamamoto poses the question prompted by the Bestiaries: ‘what does it mean to be human?’ </w:t>
      </w:r>
      <w:r w:rsidR="007549C2">
        <w:rPr>
          <w:rFonts w:ascii="Arial" w:hAnsi="Arial" w:cs="Arial"/>
          <w:sz w:val="24"/>
          <w:szCs w:val="24"/>
        </w:rPr>
        <w:t xml:space="preserve">she is </w:t>
      </w:r>
      <w:r w:rsidR="00E70430">
        <w:rPr>
          <w:rFonts w:ascii="Arial" w:hAnsi="Arial" w:cs="Arial"/>
          <w:sz w:val="24"/>
          <w:szCs w:val="24"/>
        </w:rPr>
        <w:t xml:space="preserve">best </w:t>
      </w:r>
      <w:r w:rsidR="007549C2">
        <w:rPr>
          <w:rFonts w:ascii="Arial" w:hAnsi="Arial" w:cs="Arial"/>
          <w:sz w:val="24"/>
          <w:szCs w:val="24"/>
        </w:rPr>
        <w:t xml:space="preserve">answered by </w:t>
      </w:r>
      <w:r>
        <w:rPr>
          <w:rFonts w:ascii="Arial" w:hAnsi="Arial" w:cs="Arial"/>
          <w:sz w:val="24"/>
          <w:szCs w:val="24"/>
        </w:rPr>
        <w:t>Steel</w:t>
      </w:r>
      <w:r w:rsidR="00E70430">
        <w:rPr>
          <w:rFonts w:ascii="Arial" w:hAnsi="Arial" w:cs="Arial"/>
          <w:sz w:val="24"/>
          <w:szCs w:val="24"/>
        </w:rPr>
        <w:t>,</w:t>
      </w:r>
      <w:r>
        <w:rPr>
          <w:rFonts w:ascii="Arial" w:hAnsi="Arial" w:cs="Arial"/>
          <w:sz w:val="24"/>
          <w:szCs w:val="24"/>
        </w:rPr>
        <w:t xml:space="preserve"> </w:t>
      </w:r>
      <w:r w:rsidR="007549C2">
        <w:rPr>
          <w:rFonts w:ascii="Arial" w:hAnsi="Arial" w:cs="Arial"/>
          <w:sz w:val="24"/>
          <w:szCs w:val="24"/>
        </w:rPr>
        <w:t xml:space="preserve">who </w:t>
      </w:r>
      <w:r>
        <w:rPr>
          <w:rFonts w:ascii="Arial" w:hAnsi="Arial" w:cs="Arial"/>
          <w:sz w:val="24"/>
          <w:szCs w:val="24"/>
        </w:rPr>
        <w:t>unequivocally</w:t>
      </w:r>
      <w:r w:rsidR="007549C2">
        <w:rPr>
          <w:rFonts w:ascii="Arial" w:hAnsi="Arial" w:cs="Arial"/>
          <w:sz w:val="24"/>
          <w:szCs w:val="24"/>
        </w:rPr>
        <w:t xml:space="preserve"> states</w:t>
      </w:r>
      <w:r>
        <w:rPr>
          <w:rFonts w:ascii="Arial" w:hAnsi="Arial" w:cs="Arial"/>
          <w:sz w:val="24"/>
          <w:szCs w:val="24"/>
        </w:rPr>
        <w:t xml:space="preserve"> that to be human is defined by the violent subjugation of animals.</w:t>
      </w:r>
      <w:r>
        <w:rPr>
          <w:rStyle w:val="FootnoteReference"/>
          <w:rFonts w:ascii="Arial" w:hAnsi="Arial" w:cs="Arial"/>
          <w:sz w:val="24"/>
          <w:szCs w:val="24"/>
        </w:rPr>
        <w:footnoteReference w:id="37"/>
      </w:r>
      <w:r>
        <w:rPr>
          <w:rFonts w:ascii="Arial" w:hAnsi="Arial" w:cs="Arial"/>
          <w:sz w:val="24"/>
          <w:szCs w:val="24"/>
        </w:rPr>
        <w:t xml:space="preserve"> </w:t>
      </w:r>
    </w:p>
    <w:p w14:paraId="6519987C" w14:textId="0EDB40E9" w:rsidR="0025722F" w:rsidRDefault="0025722F" w:rsidP="0025722F">
      <w:pPr>
        <w:tabs>
          <w:tab w:val="left" w:pos="2054"/>
        </w:tabs>
        <w:rPr>
          <w:rFonts w:ascii="Arial" w:hAnsi="Arial" w:cs="Arial"/>
          <w:sz w:val="24"/>
          <w:szCs w:val="24"/>
        </w:rPr>
      </w:pPr>
      <w:r>
        <w:rPr>
          <w:rFonts w:ascii="Arial" w:hAnsi="Arial" w:cs="Arial"/>
          <w:sz w:val="24"/>
          <w:szCs w:val="24"/>
        </w:rPr>
        <w:t>Anderson expands this, observing ‘</w:t>
      </w:r>
      <w:r w:rsidRPr="009A2DE0">
        <w:rPr>
          <w:rFonts w:ascii="Arial" w:hAnsi="Arial" w:cs="Arial"/>
          <w:sz w:val="24"/>
          <w:szCs w:val="24"/>
        </w:rPr>
        <w:t>many bestiary illuminations forego simple descriptive images in favor of gory hunting scenes</w:t>
      </w:r>
      <w:r>
        <w:rPr>
          <w:rFonts w:ascii="Arial" w:hAnsi="Arial" w:cs="Arial"/>
          <w:sz w:val="24"/>
          <w:szCs w:val="24"/>
        </w:rPr>
        <w:t>’.</w:t>
      </w:r>
      <w:r>
        <w:rPr>
          <w:rStyle w:val="FootnoteReference"/>
          <w:rFonts w:ascii="Arial" w:hAnsi="Arial" w:cs="Arial"/>
          <w:sz w:val="24"/>
          <w:szCs w:val="24"/>
        </w:rPr>
        <w:footnoteReference w:id="38"/>
      </w:r>
      <w:r>
        <w:rPr>
          <w:rFonts w:ascii="Arial" w:hAnsi="Arial" w:cs="Arial"/>
          <w:sz w:val="24"/>
          <w:szCs w:val="24"/>
        </w:rPr>
        <w:t xml:space="preserve"> She notes of the Bodley 764 that ‘r</w:t>
      </w:r>
      <w:r w:rsidRPr="00584E21">
        <w:rPr>
          <w:rFonts w:ascii="Arial" w:hAnsi="Arial" w:cs="Arial"/>
          <w:sz w:val="24"/>
          <w:szCs w:val="24"/>
        </w:rPr>
        <w:t>ather than a simple portrait of a quintessential boar</w:t>
      </w:r>
      <w:r>
        <w:rPr>
          <w:rFonts w:ascii="Arial" w:hAnsi="Arial" w:cs="Arial"/>
          <w:sz w:val="24"/>
          <w:szCs w:val="24"/>
        </w:rPr>
        <w:t xml:space="preserve">…[it] </w:t>
      </w:r>
      <w:r w:rsidRPr="00584E21">
        <w:rPr>
          <w:rFonts w:ascii="Arial" w:hAnsi="Arial" w:cs="Arial"/>
          <w:sz w:val="24"/>
          <w:szCs w:val="24"/>
        </w:rPr>
        <w:t>depicts a violent encounter</w:t>
      </w:r>
      <w:r w:rsidR="002D72CE">
        <w:rPr>
          <w:rFonts w:ascii="Arial" w:hAnsi="Arial" w:cs="Arial"/>
          <w:sz w:val="24"/>
          <w:szCs w:val="24"/>
        </w:rPr>
        <w:t>’ where</w:t>
      </w:r>
      <w:r>
        <w:rPr>
          <w:rFonts w:ascii="Arial" w:hAnsi="Arial" w:cs="Arial"/>
          <w:sz w:val="24"/>
          <w:szCs w:val="24"/>
        </w:rPr>
        <w:t xml:space="preserve"> ‘the </w:t>
      </w:r>
      <w:r w:rsidRPr="00584E21">
        <w:rPr>
          <w:rFonts w:ascii="Arial" w:hAnsi="Arial" w:cs="Arial"/>
          <w:sz w:val="24"/>
          <w:szCs w:val="24"/>
        </w:rPr>
        <w:t>boar</w:t>
      </w:r>
      <w:r>
        <w:rPr>
          <w:rFonts w:ascii="Arial" w:hAnsi="Arial" w:cs="Arial"/>
          <w:sz w:val="24"/>
          <w:szCs w:val="24"/>
        </w:rPr>
        <w:t>…</w:t>
      </w:r>
      <w:r w:rsidRPr="00584E21">
        <w:rPr>
          <w:rFonts w:ascii="Arial" w:hAnsi="Arial" w:cs="Arial"/>
          <w:sz w:val="24"/>
          <w:szCs w:val="24"/>
        </w:rPr>
        <w:t xml:space="preserve"> gore</w:t>
      </w:r>
      <w:r>
        <w:rPr>
          <w:rFonts w:ascii="Arial" w:hAnsi="Arial" w:cs="Arial"/>
          <w:sz w:val="24"/>
          <w:szCs w:val="24"/>
        </w:rPr>
        <w:t>[s]</w:t>
      </w:r>
      <w:r w:rsidRPr="00584E21">
        <w:rPr>
          <w:rFonts w:ascii="Arial" w:hAnsi="Arial" w:cs="Arial"/>
          <w:sz w:val="24"/>
          <w:szCs w:val="24"/>
        </w:rPr>
        <w:t xml:space="preserve"> a hunting dog, and</w:t>
      </w:r>
      <w:r>
        <w:rPr>
          <w:rFonts w:ascii="Arial" w:hAnsi="Arial" w:cs="Arial"/>
          <w:sz w:val="24"/>
          <w:szCs w:val="24"/>
        </w:rPr>
        <w:t>…</w:t>
      </w:r>
      <w:r w:rsidRPr="00584E21">
        <w:rPr>
          <w:rFonts w:ascii="Arial" w:hAnsi="Arial" w:cs="Arial"/>
          <w:sz w:val="24"/>
          <w:szCs w:val="24"/>
        </w:rPr>
        <w:t>is gored himself by</w:t>
      </w:r>
      <w:r>
        <w:rPr>
          <w:rFonts w:ascii="Arial" w:hAnsi="Arial" w:cs="Arial"/>
          <w:sz w:val="24"/>
          <w:szCs w:val="24"/>
        </w:rPr>
        <w:t>…</w:t>
      </w:r>
      <w:r w:rsidRPr="00584E21">
        <w:rPr>
          <w:rFonts w:ascii="Arial" w:hAnsi="Arial" w:cs="Arial"/>
          <w:sz w:val="24"/>
          <w:szCs w:val="24"/>
        </w:rPr>
        <w:t>two hunters</w:t>
      </w:r>
      <w:r>
        <w:rPr>
          <w:rFonts w:ascii="Arial" w:hAnsi="Arial" w:cs="Arial"/>
          <w:sz w:val="24"/>
          <w:szCs w:val="24"/>
        </w:rPr>
        <w:t>’.</w:t>
      </w:r>
      <w:r>
        <w:rPr>
          <w:rStyle w:val="FootnoteReference"/>
          <w:rFonts w:ascii="Arial" w:hAnsi="Arial" w:cs="Arial"/>
          <w:sz w:val="24"/>
          <w:szCs w:val="24"/>
        </w:rPr>
        <w:footnoteReference w:id="39"/>
      </w:r>
      <w:r>
        <w:rPr>
          <w:rFonts w:ascii="Arial" w:hAnsi="Arial" w:cs="Arial"/>
          <w:sz w:val="24"/>
          <w:szCs w:val="24"/>
        </w:rPr>
        <w:t xml:space="preserve"> The pig seems to inspire a particularly aggressive attitude to be displayed towards it, commensurate with its own traits of ferocity and aggressiveness.</w:t>
      </w:r>
      <w:r>
        <w:rPr>
          <w:rStyle w:val="FootnoteReference"/>
          <w:rFonts w:ascii="Arial" w:hAnsi="Arial" w:cs="Arial"/>
          <w:sz w:val="24"/>
          <w:szCs w:val="24"/>
        </w:rPr>
        <w:footnoteReference w:id="40"/>
      </w:r>
      <w:r>
        <w:rPr>
          <w:rFonts w:ascii="Arial" w:hAnsi="Arial" w:cs="Arial"/>
          <w:sz w:val="24"/>
          <w:szCs w:val="24"/>
        </w:rPr>
        <w:t xml:space="preserve"> That the boar requires two humans and a dog to subdue it belies the docile status expected of mere prey or a domestic food source, and suggests the pig is not naturally subjugated. Thus, the pig is the animal from the domestic sphere of medieval and Renaissance life that man most needs to fear. Omnivorous, intelligent, and violent, the pig displays explicit markers of humanity that complement its internal </w:t>
      </w:r>
      <w:r>
        <w:rPr>
          <w:rFonts w:ascii="Arial" w:hAnsi="Arial" w:cs="Arial"/>
          <w:sz w:val="24"/>
          <w:szCs w:val="24"/>
        </w:rPr>
        <w:lastRenderedPageBreak/>
        <w:t xml:space="preserve">similarity to man, ‘provoking’ a need in man to revisit subjugation upon the pig. The pig is representative of the need for a constant </w:t>
      </w:r>
      <w:r w:rsidR="009E5978">
        <w:rPr>
          <w:rFonts w:ascii="Arial" w:hAnsi="Arial" w:cs="Arial"/>
          <w:sz w:val="24"/>
          <w:szCs w:val="24"/>
        </w:rPr>
        <w:t xml:space="preserve">violent </w:t>
      </w:r>
      <w:r>
        <w:rPr>
          <w:rFonts w:ascii="Arial" w:hAnsi="Arial" w:cs="Arial"/>
          <w:sz w:val="24"/>
          <w:szCs w:val="24"/>
        </w:rPr>
        <w:t>reiteration by the human of the boundaries between humans and animals.</w:t>
      </w:r>
      <w:r>
        <w:rPr>
          <w:rStyle w:val="FootnoteReference"/>
          <w:rFonts w:ascii="Arial" w:hAnsi="Arial" w:cs="Arial"/>
          <w:sz w:val="24"/>
          <w:szCs w:val="24"/>
        </w:rPr>
        <w:footnoteReference w:id="41"/>
      </w:r>
      <w:r>
        <w:rPr>
          <w:rFonts w:ascii="Arial" w:hAnsi="Arial" w:cs="Arial"/>
          <w:sz w:val="24"/>
          <w:szCs w:val="24"/>
        </w:rPr>
        <w:t xml:space="preserve"> </w:t>
      </w:r>
    </w:p>
    <w:p w14:paraId="21FBAE88" w14:textId="6186CDD0" w:rsidR="0025722F" w:rsidRDefault="0025722F" w:rsidP="0025722F">
      <w:pPr>
        <w:tabs>
          <w:tab w:val="left" w:pos="2054"/>
        </w:tabs>
        <w:rPr>
          <w:rFonts w:ascii="Arial" w:hAnsi="Arial" w:cs="Arial"/>
          <w:sz w:val="24"/>
          <w:szCs w:val="24"/>
        </w:rPr>
      </w:pPr>
      <w:r>
        <w:rPr>
          <w:rFonts w:ascii="Arial" w:hAnsi="Arial" w:cs="Arial"/>
          <w:sz w:val="24"/>
          <w:szCs w:val="24"/>
        </w:rPr>
        <w:t xml:space="preserve">In </w:t>
      </w:r>
      <w:r w:rsidRPr="00FF6B6E">
        <w:rPr>
          <w:rFonts w:ascii="Arial" w:hAnsi="Arial" w:cs="Arial"/>
          <w:i/>
          <w:iCs/>
          <w:sz w:val="24"/>
          <w:szCs w:val="24"/>
        </w:rPr>
        <w:t>The Mabinogion</w:t>
      </w:r>
      <w:r>
        <w:rPr>
          <w:rFonts w:ascii="Arial" w:hAnsi="Arial" w:cs="Arial"/>
          <w:sz w:val="24"/>
          <w:szCs w:val="24"/>
        </w:rPr>
        <w:t xml:space="preserve"> there is an aspect of the story of ‘Culhwch and Olwen’, where King Arthur battles Twrch Trwyth, that reflects this dynamic.</w:t>
      </w:r>
      <w:r>
        <w:rPr>
          <w:rStyle w:val="FootnoteReference"/>
          <w:rFonts w:ascii="Arial" w:hAnsi="Arial" w:cs="Arial"/>
          <w:sz w:val="24"/>
          <w:szCs w:val="24"/>
        </w:rPr>
        <w:footnoteReference w:id="42"/>
      </w:r>
      <w:r>
        <w:rPr>
          <w:rFonts w:ascii="Arial" w:hAnsi="Arial" w:cs="Arial"/>
          <w:sz w:val="24"/>
          <w:szCs w:val="24"/>
        </w:rPr>
        <w:t xml:space="preserve"> The story concerns Culhwch winning the daughter of a giant for his bride, a task so difficult and dangerous he requires the help of his cousin Arthur</w:t>
      </w:r>
      <w:bookmarkStart w:id="13" w:name="_Hlk13985974"/>
      <w:r>
        <w:rPr>
          <w:rFonts w:ascii="Arial" w:hAnsi="Arial" w:cs="Arial"/>
          <w:sz w:val="24"/>
          <w:szCs w:val="24"/>
        </w:rPr>
        <w:t xml:space="preserve">; in fact, the co-operation of many men must be gained by Arthur and co-ordinated against the giant boar. It is a tale where much is blurred between human and pig: Culhwch (as is attested by the ‘hwch’ (pig) of his name) was born ‘in a pig-run’; Arthur is, according to Merlin’s prophecies in Geoffrey of Monmouth’s </w:t>
      </w:r>
      <w:r>
        <w:rPr>
          <w:rFonts w:ascii="Arial" w:hAnsi="Arial" w:cs="Arial"/>
          <w:i/>
          <w:iCs/>
          <w:sz w:val="24"/>
          <w:szCs w:val="24"/>
        </w:rPr>
        <w:t>History of the Kings of Britain</w:t>
      </w:r>
      <w:r>
        <w:rPr>
          <w:rFonts w:ascii="Arial" w:hAnsi="Arial" w:cs="Arial"/>
          <w:sz w:val="24"/>
          <w:szCs w:val="24"/>
        </w:rPr>
        <w:t>, ‘the Boar of Cornwall’; and Twrch Trwyth himself was once a human, the son of the chieftain Taredd Wledig, but ‘for his wickedness God transformed him [to] a swine’.</w:t>
      </w:r>
      <w:r>
        <w:rPr>
          <w:rStyle w:val="FootnoteReference"/>
          <w:rFonts w:ascii="Arial" w:hAnsi="Arial" w:cs="Arial"/>
          <w:sz w:val="24"/>
          <w:szCs w:val="24"/>
        </w:rPr>
        <w:footnoteReference w:id="43"/>
      </w:r>
      <w:r>
        <w:rPr>
          <w:rFonts w:ascii="Arial" w:hAnsi="Arial" w:cs="Arial"/>
          <w:sz w:val="24"/>
          <w:szCs w:val="24"/>
        </w:rPr>
        <w:t xml:space="preserve"> </w:t>
      </w:r>
      <w:r w:rsidR="00A5440D">
        <w:rPr>
          <w:rFonts w:ascii="Arial" w:hAnsi="Arial" w:cs="Arial"/>
          <w:sz w:val="24"/>
          <w:szCs w:val="24"/>
        </w:rPr>
        <w:t>During the tale t</w:t>
      </w:r>
      <w:r>
        <w:rPr>
          <w:rFonts w:ascii="Arial" w:hAnsi="Arial" w:cs="Arial"/>
          <w:sz w:val="24"/>
          <w:szCs w:val="24"/>
        </w:rPr>
        <w:t>here is single-combat between a human with the title ‘boar’</w:t>
      </w:r>
      <w:r w:rsidR="00A5440D">
        <w:rPr>
          <w:rFonts w:ascii="Arial" w:hAnsi="Arial" w:cs="Arial"/>
          <w:sz w:val="24"/>
          <w:szCs w:val="24"/>
        </w:rPr>
        <w:t xml:space="preserve"> -</w:t>
      </w:r>
      <w:r>
        <w:rPr>
          <w:rFonts w:ascii="Arial" w:hAnsi="Arial" w:cs="Arial"/>
          <w:sz w:val="24"/>
          <w:szCs w:val="24"/>
        </w:rPr>
        <w:t xml:space="preserve"> ‘I will join with him life for life’</w:t>
      </w:r>
      <w:r w:rsidR="00A5440D">
        <w:rPr>
          <w:rFonts w:ascii="Arial" w:hAnsi="Arial" w:cs="Arial"/>
          <w:sz w:val="24"/>
          <w:szCs w:val="24"/>
        </w:rPr>
        <w:t xml:space="preserve"> - </w:t>
      </w:r>
      <w:r>
        <w:rPr>
          <w:rFonts w:ascii="Arial" w:hAnsi="Arial" w:cs="Arial"/>
          <w:sz w:val="24"/>
          <w:szCs w:val="24"/>
        </w:rPr>
        <w:t>and a boar who was once human.</w:t>
      </w:r>
      <w:r>
        <w:rPr>
          <w:rStyle w:val="FootnoteReference"/>
          <w:rFonts w:ascii="Arial" w:hAnsi="Arial" w:cs="Arial"/>
          <w:sz w:val="24"/>
          <w:szCs w:val="24"/>
        </w:rPr>
        <w:footnoteReference w:id="44"/>
      </w:r>
      <w:r>
        <w:rPr>
          <w:rFonts w:ascii="Arial" w:hAnsi="Arial" w:cs="Arial"/>
          <w:sz w:val="24"/>
          <w:szCs w:val="24"/>
        </w:rPr>
        <w:t xml:space="preserve"> Because it is the King who is fighting the boar, some human dignity is returned to Twrch Trwyth. </w:t>
      </w:r>
      <w:bookmarkStart w:id="14" w:name="_Hlk14007356"/>
      <w:bookmarkEnd w:id="13"/>
      <w:r>
        <w:rPr>
          <w:rFonts w:ascii="Arial" w:hAnsi="Arial" w:cs="Arial"/>
          <w:sz w:val="24"/>
          <w:szCs w:val="24"/>
        </w:rPr>
        <w:t>Equally, when Arthur ‘ranged all his warriors’, he is calling up an army and conducting a military campaign, so that there is a recognition of Twrch Trwyth’s equivalent might, and worthiness as an opponent.</w:t>
      </w:r>
      <w:r>
        <w:rPr>
          <w:rStyle w:val="FootnoteReference"/>
          <w:rFonts w:ascii="Arial" w:hAnsi="Arial" w:cs="Arial"/>
          <w:sz w:val="24"/>
          <w:szCs w:val="24"/>
        </w:rPr>
        <w:footnoteReference w:id="45"/>
      </w:r>
      <w:r w:rsidR="00D52654">
        <w:rPr>
          <w:rFonts w:ascii="Arial" w:hAnsi="Arial" w:cs="Arial"/>
          <w:sz w:val="24"/>
          <w:szCs w:val="24"/>
        </w:rPr>
        <w:t xml:space="preserve"> </w:t>
      </w:r>
      <w:r>
        <w:rPr>
          <w:rFonts w:ascii="Arial" w:hAnsi="Arial" w:cs="Arial"/>
          <w:sz w:val="24"/>
          <w:szCs w:val="24"/>
        </w:rPr>
        <w:t>Consequently, there is an acknowledgement of the potential for this boar to win</w:t>
      </w:r>
      <w:r w:rsidR="00C42F9D">
        <w:rPr>
          <w:rFonts w:ascii="Arial" w:hAnsi="Arial" w:cs="Arial"/>
          <w:sz w:val="24"/>
          <w:szCs w:val="24"/>
        </w:rPr>
        <w:t>, and</w:t>
      </w:r>
      <w:r>
        <w:rPr>
          <w:rFonts w:ascii="Arial" w:hAnsi="Arial" w:cs="Arial"/>
          <w:sz w:val="24"/>
          <w:szCs w:val="24"/>
        </w:rPr>
        <w:t xml:space="preserve"> </w:t>
      </w:r>
      <w:r w:rsidR="00C42F9D">
        <w:rPr>
          <w:rFonts w:ascii="Arial" w:hAnsi="Arial" w:cs="Arial"/>
          <w:sz w:val="24"/>
          <w:szCs w:val="24"/>
        </w:rPr>
        <w:t>if he</w:t>
      </w:r>
      <w:r>
        <w:rPr>
          <w:rFonts w:ascii="Arial" w:hAnsi="Arial" w:cs="Arial"/>
          <w:sz w:val="24"/>
          <w:szCs w:val="24"/>
        </w:rPr>
        <w:t xml:space="preserve"> successfully subjuga</w:t>
      </w:r>
      <w:r w:rsidR="00C42F9D">
        <w:rPr>
          <w:rFonts w:ascii="Arial" w:hAnsi="Arial" w:cs="Arial"/>
          <w:sz w:val="24"/>
          <w:szCs w:val="24"/>
        </w:rPr>
        <w:t>tes</w:t>
      </w:r>
      <w:r>
        <w:rPr>
          <w:rFonts w:ascii="Arial" w:hAnsi="Arial" w:cs="Arial"/>
          <w:sz w:val="24"/>
          <w:szCs w:val="24"/>
        </w:rPr>
        <w:t xml:space="preserve"> the human king with </w:t>
      </w:r>
      <w:r>
        <w:rPr>
          <w:rFonts w:ascii="Arial" w:hAnsi="Arial" w:cs="Arial"/>
          <w:sz w:val="24"/>
          <w:szCs w:val="24"/>
        </w:rPr>
        <w:lastRenderedPageBreak/>
        <w:t xml:space="preserve">violence </w:t>
      </w:r>
      <w:r w:rsidR="00C42F9D">
        <w:rPr>
          <w:rFonts w:ascii="Arial" w:hAnsi="Arial" w:cs="Arial"/>
          <w:sz w:val="24"/>
          <w:szCs w:val="24"/>
        </w:rPr>
        <w:t xml:space="preserve">this is </w:t>
      </w:r>
      <w:r>
        <w:rPr>
          <w:rFonts w:ascii="Arial" w:hAnsi="Arial" w:cs="Arial"/>
          <w:sz w:val="24"/>
          <w:szCs w:val="24"/>
        </w:rPr>
        <w:t>dominance</w:t>
      </w:r>
      <w:r w:rsidR="000F004E">
        <w:rPr>
          <w:rFonts w:ascii="Arial" w:hAnsi="Arial" w:cs="Arial"/>
          <w:sz w:val="24"/>
          <w:szCs w:val="24"/>
        </w:rPr>
        <w:t>;</w:t>
      </w:r>
      <w:r>
        <w:rPr>
          <w:rFonts w:ascii="Arial" w:hAnsi="Arial" w:cs="Arial"/>
          <w:sz w:val="24"/>
          <w:szCs w:val="24"/>
        </w:rPr>
        <w:t xml:space="preserve"> for a king to lose is not just death, but </w:t>
      </w:r>
      <w:r w:rsidR="00C42F9D">
        <w:rPr>
          <w:rFonts w:ascii="Arial" w:hAnsi="Arial" w:cs="Arial"/>
          <w:sz w:val="24"/>
          <w:szCs w:val="24"/>
        </w:rPr>
        <w:t xml:space="preserve">the </w:t>
      </w:r>
      <w:r>
        <w:rPr>
          <w:rFonts w:ascii="Arial" w:hAnsi="Arial" w:cs="Arial"/>
          <w:sz w:val="24"/>
          <w:szCs w:val="24"/>
        </w:rPr>
        <w:t>loss of human rule.</w:t>
      </w:r>
      <w:r>
        <w:rPr>
          <w:rStyle w:val="FootnoteReference"/>
          <w:rFonts w:ascii="Arial" w:hAnsi="Arial" w:cs="Arial"/>
          <w:sz w:val="24"/>
          <w:szCs w:val="24"/>
        </w:rPr>
        <w:footnoteReference w:id="46"/>
      </w:r>
      <w:r>
        <w:rPr>
          <w:rFonts w:ascii="Arial" w:hAnsi="Arial" w:cs="Arial"/>
          <w:sz w:val="24"/>
          <w:szCs w:val="24"/>
        </w:rPr>
        <w:t xml:space="preserve"> Thus, as Steel notes of Arthur’s victory over the boar in </w:t>
      </w:r>
      <w:r>
        <w:rPr>
          <w:rFonts w:ascii="Arial" w:hAnsi="Arial" w:cs="Arial"/>
          <w:i/>
          <w:iCs/>
          <w:sz w:val="24"/>
          <w:szCs w:val="24"/>
        </w:rPr>
        <w:t>The Avowyng of Arthur</w:t>
      </w:r>
      <w:r>
        <w:rPr>
          <w:rFonts w:ascii="Arial" w:hAnsi="Arial" w:cs="Arial"/>
          <w:sz w:val="24"/>
          <w:szCs w:val="24"/>
        </w:rPr>
        <w:t>, ‘Arthur’s success quashes the resemblance between human and boar…securing supremacy and hence humanity’.</w:t>
      </w:r>
      <w:r>
        <w:rPr>
          <w:rStyle w:val="FootnoteReference"/>
          <w:rFonts w:ascii="Arial" w:hAnsi="Arial" w:cs="Arial"/>
          <w:sz w:val="24"/>
          <w:szCs w:val="24"/>
        </w:rPr>
        <w:footnoteReference w:id="47"/>
      </w:r>
    </w:p>
    <w:bookmarkEnd w:id="14"/>
    <w:p w14:paraId="4F6356F2" w14:textId="77777777" w:rsidR="0025722F" w:rsidRDefault="0025722F" w:rsidP="0025722F">
      <w:pPr>
        <w:tabs>
          <w:tab w:val="left" w:pos="2054"/>
        </w:tabs>
        <w:rPr>
          <w:rFonts w:ascii="Arial" w:hAnsi="Arial" w:cs="Arial"/>
          <w:sz w:val="24"/>
          <w:szCs w:val="24"/>
        </w:rPr>
      </w:pPr>
      <w:r>
        <w:rPr>
          <w:rFonts w:ascii="Arial" w:hAnsi="Arial" w:cs="Arial"/>
          <w:sz w:val="24"/>
          <w:szCs w:val="24"/>
        </w:rPr>
        <w:t xml:space="preserve">Unlike the </w:t>
      </w:r>
      <w:r>
        <w:rPr>
          <w:rFonts w:ascii="Arial" w:hAnsi="Arial" w:cs="Arial"/>
          <w:i/>
          <w:iCs/>
          <w:sz w:val="24"/>
          <w:szCs w:val="24"/>
        </w:rPr>
        <w:t>Avowyng</w:t>
      </w:r>
      <w:r>
        <w:rPr>
          <w:rFonts w:ascii="Arial" w:hAnsi="Arial" w:cs="Arial"/>
          <w:sz w:val="24"/>
          <w:szCs w:val="24"/>
        </w:rPr>
        <w:t>,</w:t>
      </w:r>
      <w:r>
        <w:rPr>
          <w:rFonts w:ascii="Arial" w:hAnsi="Arial" w:cs="Arial"/>
          <w:i/>
          <w:iCs/>
          <w:sz w:val="24"/>
          <w:szCs w:val="24"/>
        </w:rPr>
        <w:t xml:space="preserve"> The Mabinogion</w:t>
      </w:r>
      <w:r>
        <w:rPr>
          <w:rFonts w:ascii="Arial" w:hAnsi="Arial" w:cs="Arial"/>
          <w:sz w:val="24"/>
          <w:szCs w:val="24"/>
        </w:rPr>
        <w:t xml:space="preserve"> sees Arthur defeat, rather than kill, the boar in combat. In a control of might the boar is then forced out of Cornwall and driven ‘straight forward into the sea’.</w:t>
      </w:r>
      <w:r>
        <w:rPr>
          <w:rStyle w:val="FootnoteReference"/>
          <w:rFonts w:ascii="Arial" w:hAnsi="Arial" w:cs="Arial"/>
          <w:sz w:val="24"/>
          <w:szCs w:val="24"/>
        </w:rPr>
        <w:footnoteReference w:id="48"/>
      </w:r>
      <w:r>
        <w:rPr>
          <w:rFonts w:ascii="Arial" w:hAnsi="Arial" w:cs="Arial"/>
          <w:sz w:val="24"/>
          <w:szCs w:val="24"/>
        </w:rPr>
        <w:t xml:space="preserve"> The boar of </w:t>
      </w:r>
      <w:r>
        <w:rPr>
          <w:rFonts w:ascii="Arial" w:hAnsi="Arial" w:cs="Arial"/>
          <w:i/>
          <w:iCs/>
          <w:sz w:val="24"/>
          <w:szCs w:val="24"/>
        </w:rPr>
        <w:t>The Mabinogion</w:t>
      </w:r>
      <w:r>
        <w:rPr>
          <w:rFonts w:ascii="Arial" w:hAnsi="Arial" w:cs="Arial"/>
          <w:sz w:val="24"/>
          <w:szCs w:val="24"/>
        </w:rPr>
        <w:t xml:space="preserve"> then, is better linked</w:t>
      </w:r>
      <w:r>
        <w:rPr>
          <w:rFonts w:ascii="Arial" w:hAnsi="Arial" w:cs="Arial"/>
          <w:i/>
          <w:iCs/>
          <w:sz w:val="24"/>
          <w:szCs w:val="24"/>
        </w:rPr>
        <w:t xml:space="preserve"> </w:t>
      </w:r>
      <w:r>
        <w:rPr>
          <w:rFonts w:ascii="Arial" w:hAnsi="Arial" w:cs="Arial"/>
          <w:sz w:val="24"/>
          <w:szCs w:val="24"/>
        </w:rPr>
        <w:t>to the pigs that fall into the chasm in Persephone, and with the pigs that are driven over the cliff into the sea/lake in Mark: 5. The link suggests pigs are driven to fall, aligning them to man as a parody of Adam. However, their fall takes them further down than the human fall from the heavens to earth. Pigs falling from earth to the underworld completes the cycle of descent; they perform another part of the axis, the animal fulcrum to our human one.</w:t>
      </w:r>
    </w:p>
    <w:p w14:paraId="310B5CF4" w14:textId="63EC0650" w:rsidR="0025722F" w:rsidRDefault="0025722F" w:rsidP="0025722F">
      <w:pPr>
        <w:tabs>
          <w:tab w:val="left" w:pos="2054"/>
        </w:tabs>
        <w:rPr>
          <w:rFonts w:ascii="Arial" w:hAnsi="Arial" w:cs="Arial"/>
          <w:sz w:val="24"/>
          <w:szCs w:val="24"/>
        </w:rPr>
      </w:pPr>
      <w:r>
        <w:rPr>
          <w:rFonts w:ascii="Arial" w:hAnsi="Arial" w:cs="Arial"/>
          <w:sz w:val="24"/>
          <w:szCs w:val="24"/>
        </w:rPr>
        <w:t xml:space="preserve">This affinity to the human, in a creature which mankind would prefer to deem their opposite, creates anxiety, particularly when that affinity </w:t>
      </w:r>
      <w:r w:rsidR="00945121">
        <w:rPr>
          <w:rFonts w:ascii="Arial" w:hAnsi="Arial" w:cs="Arial"/>
          <w:sz w:val="24"/>
          <w:szCs w:val="24"/>
        </w:rPr>
        <w:t xml:space="preserve">is </w:t>
      </w:r>
      <w:r>
        <w:rPr>
          <w:rFonts w:ascii="Arial" w:hAnsi="Arial" w:cs="Arial"/>
          <w:sz w:val="24"/>
          <w:szCs w:val="24"/>
        </w:rPr>
        <w:t xml:space="preserve">brought to the surface. This is most succinctly played out in the animal trials of the </w:t>
      </w:r>
      <w:r w:rsidR="00EA6BB9">
        <w:rPr>
          <w:rFonts w:ascii="Arial" w:hAnsi="Arial" w:cs="Arial"/>
          <w:sz w:val="24"/>
          <w:szCs w:val="24"/>
        </w:rPr>
        <w:t>M</w:t>
      </w:r>
      <w:r>
        <w:rPr>
          <w:rFonts w:ascii="Arial" w:hAnsi="Arial" w:cs="Arial"/>
          <w:sz w:val="24"/>
          <w:szCs w:val="24"/>
        </w:rPr>
        <w:t>edieval and early modern period. The work of E.P. Evans reveals that, of the large animals, the homicidal pig was the most common solo ‘offender’ brought to trial.  Both the accuracy of his records, and the conclusions Evans drew from them, have been criticised.</w:t>
      </w:r>
      <w:r>
        <w:rPr>
          <w:rStyle w:val="FootnoteReference"/>
          <w:rFonts w:ascii="Arial" w:hAnsi="Arial" w:cs="Arial"/>
          <w:sz w:val="24"/>
          <w:szCs w:val="24"/>
        </w:rPr>
        <w:footnoteReference w:id="49"/>
      </w:r>
      <w:r>
        <w:rPr>
          <w:rFonts w:ascii="Arial" w:hAnsi="Arial" w:cs="Arial"/>
          <w:sz w:val="24"/>
          <w:szCs w:val="24"/>
        </w:rPr>
        <w:t xml:space="preserve"> Beirnes dislikes Evans high-handed tone as he derides Medieval and </w:t>
      </w:r>
      <w:r>
        <w:rPr>
          <w:rFonts w:ascii="Arial" w:hAnsi="Arial" w:cs="Arial"/>
          <w:sz w:val="24"/>
          <w:szCs w:val="24"/>
        </w:rPr>
        <w:lastRenderedPageBreak/>
        <w:t>Renaissance ‘beliefs as mistaken and their practices as absurd’, yet Evans treats their systems of understanding seriously, though in a way that is coloured by contemporary thought on evolution.</w:t>
      </w:r>
      <w:r>
        <w:rPr>
          <w:rStyle w:val="FootnoteReference"/>
          <w:rFonts w:ascii="Arial" w:hAnsi="Arial" w:cs="Arial"/>
          <w:sz w:val="24"/>
          <w:szCs w:val="24"/>
        </w:rPr>
        <w:footnoteReference w:id="50"/>
      </w:r>
      <w:r>
        <w:rPr>
          <w:rFonts w:ascii="Arial" w:hAnsi="Arial" w:cs="Arial"/>
          <w:sz w:val="24"/>
          <w:szCs w:val="24"/>
        </w:rPr>
        <w:t xml:space="preserve"> The raconteur-style with which Evans comments on his record of the trials, seems to be to lull his audience into a shared ridicule. Simultaneously, presenting his audience with pertinent insights, </w:t>
      </w:r>
      <w:r w:rsidR="003D2993">
        <w:rPr>
          <w:rFonts w:ascii="Arial" w:hAnsi="Arial" w:cs="Arial"/>
          <w:sz w:val="24"/>
          <w:szCs w:val="24"/>
        </w:rPr>
        <w:t xml:space="preserve">he </w:t>
      </w:r>
      <w:r>
        <w:rPr>
          <w:rFonts w:ascii="Arial" w:hAnsi="Arial" w:cs="Arial"/>
          <w:sz w:val="24"/>
          <w:szCs w:val="24"/>
        </w:rPr>
        <w:t>established that the trials were conducted by a society of sense and reason</w:t>
      </w:r>
      <w:r w:rsidR="00EA6BB9">
        <w:rPr>
          <w:rFonts w:ascii="Arial" w:hAnsi="Arial" w:cs="Arial"/>
          <w:sz w:val="24"/>
          <w:szCs w:val="24"/>
        </w:rPr>
        <w:t>,</w:t>
      </w:r>
      <w:r>
        <w:rPr>
          <w:rFonts w:ascii="Arial" w:hAnsi="Arial" w:cs="Arial"/>
          <w:sz w:val="24"/>
          <w:szCs w:val="24"/>
        </w:rPr>
        <w:t xml:space="preserve"> battling with the complexities of criminality and justice. This mix exposed his audience to their own societies’ similar contemporary struggle, and its descent into the ridiculous. In doing so it reveal</w:t>
      </w:r>
      <w:r w:rsidR="00F957A8">
        <w:rPr>
          <w:rFonts w:ascii="Arial" w:hAnsi="Arial" w:cs="Arial"/>
          <w:sz w:val="24"/>
          <w:szCs w:val="24"/>
        </w:rPr>
        <w:t>ed</w:t>
      </w:r>
      <w:r w:rsidR="00017235">
        <w:rPr>
          <w:rFonts w:ascii="Arial" w:hAnsi="Arial" w:cs="Arial"/>
          <w:sz w:val="24"/>
          <w:szCs w:val="24"/>
        </w:rPr>
        <w:t xml:space="preserve"> an</w:t>
      </w:r>
      <w:r>
        <w:rPr>
          <w:rFonts w:ascii="Arial" w:hAnsi="Arial" w:cs="Arial"/>
          <w:sz w:val="24"/>
          <w:szCs w:val="24"/>
        </w:rPr>
        <w:t xml:space="preserve"> interesting insight into human/animal relationships, and the dynamic into which the pig was ensnared. </w:t>
      </w:r>
    </w:p>
    <w:p w14:paraId="1BF9CAB8" w14:textId="6505E158" w:rsidR="0025722F" w:rsidRDefault="0025722F" w:rsidP="0025722F">
      <w:pPr>
        <w:tabs>
          <w:tab w:val="left" w:pos="2054"/>
        </w:tabs>
        <w:rPr>
          <w:rFonts w:ascii="Arial" w:hAnsi="Arial" w:cs="Arial"/>
          <w:sz w:val="24"/>
          <w:szCs w:val="24"/>
        </w:rPr>
      </w:pPr>
      <w:r>
        <w:rPr>
          <w:rFonts w:ascii="Arial" w:hAnsi="Arial" w:cs="Arial"/>
          <w:sz w:val="24"/>
          <w:szCs w:val="24"/>
        </w:rPr>
        <w:t xml:space="preserve">The greatest insight returns our attention to boundaries. Boundaries, and the rule of law, are permissible instruments through which mankind might manage chaos. Evans introduces </w:t>
      </w:r>
      <w:r w:rsidRPr="000A090F">
        <w:rPr>
          <w:rFonts w:ascii="Arial" w:hAnsi="Arial" w:cs="Arial"/>
          <w:i/>
          <w:iCs/>
          <w:sz w:val="24"/>
          <w:szCs w:val="24"/>
          <w:shd w:val="clear" w:color="auto" w:fill="FFFFFF"/>
        </w:rPr>
        <w:t>ápsýchon díkaio</w:t>
      </w:r>
      <w:r>
        <w:rPr>
          <w:rFonts w:ascii="Arial" w:hAnsi="Arial" w:cs="Arial"/>
          <w:sz w:val="24"/>
          <w:szCs w:val="24"/>
          <w:shd w:val="clear" w:color="auto" w:fill="FFFFFF"/>
        </w:rPr>
        <w:t>, a</w:t>
      </w:r>
      <w:r>
        <w:rPr>
          <w:rFonts w:ascii="Arial" w:hAnsi="Arial" w:cs="Arial"/>
          <w:sz w:val="24"/>
          <w:szCs w:val="24"/>
        </w:rPr>
        <w:t xml:space="preserve"> law of ancient Greece that allowed for the ‘prosecution of lifeless things’ that had caused death to a human: this could be </w:t>
      </w:r>
      <w:r>
        <w:rPr>
          <w:rFonts w:ascii="Arial" w:hAnsi="Arial" w:cs="Arial"/>
          <w:sz w:val="24"/>
          <w:szCs w:val="24"/>
        </w:rPr>
        <w:lastRenderedPageBreak/>
        <w:t>extended to the animate, to brute beasts, beings without language or reason.</w:t>
      </w:r>
      <w:r>
        <w:rPr>
          <w:rStyle w:val="FootnoteReference"/>
          <w:rFonts w:ascii="Arial" w:hAnsi="Arial" w:cs="Arial"/>
          <w:sz w:val="24"/>
          <w:szCs w:val="24"/>
        </w:rPr>
        <w:footnoteReference w:id="51"/>
      </w:r>
      <w:r>
        <w:rPr>
          <w:rFonts w:ascii="Arial" w:hAnsi="Arial" w:cs="Arial"/>
          <w:sz w:val="24"/>
          <w:szCs w:val="24"/>
        </w:rPr>
        <w:t xml:space="preserve"> Its most interesting aspect, when concerning the inanimate, was banishment: anything which has caused death ‘shall be put beyond the boundaries’.</w:t>
      </w:r>
      <w:r>
        <w:rPr>
          <w:rStyle w:val="FootnoteReference"/>
          <w:rFonts w:ascii="Arial" w:hAnsi="Arial" w:cs="Arial"/>
          <w:sz w:val="24"/>
          <w:szCs w:val="24"/>
        </w:rPr>
        <w:footnoteReference w:id="52"/>
      </w:r>
      <w:r>
        <w:rPr>
          <w:rFonts w:ascii="Arial" w:hAnsi="Arial" w:cs="Arial"/>
          <w:sz w:val="24"/>
          <w:szCs w:val="24"/>
        </w:rPr>
        <w:t xml:space="preserve"> For the Greeks the site of the death had become a contaminated place, open to the ‘avenging spirit of the deceased’. By the Middle Ages this was converted, via the church, to a contaminated place being vulnerable to ‘possession of both persons and places’ by devils, if it was not expunged.</w:t>
      </w:r>
      <w:r>
        <w:rPr>
          <w:rStyle w:val="FootnoteReference"/>
          <w:rFonts w:ascii="Arial" w:hAnsi="Arial" w:cs="Arial"/>
          <w:sz w:val="24"/>
          <w:szCs w:val="24"/>
        </w:rPr>
        <w:footnoteReference w:id="53"/>
      </w:r>
      <w:r>
        <w:rPr>
          <w:rFonts w:ascii="Arial" w:hAnsi="Arial" w:cs="Arial"/>
          <w:sz w:val="24"/>
          <w:szCs w:val="24"/>
        </w:rPr>
        <w:t xml:space="preserve"> </w:t>
      </w:r>
    </w:p>
    <w:p w14:paraId="58E2B2A9" w14:textId="4CCE4F74" w:rsidR="0025722F" w:rsidRDefault="0025722F" w:rsidP="0025722F">
      <w:pPr>
        <w:tabs>
          <w:tab w:val="left" w:pos="2054"/>
        </w:tabs>
        <w:rPr>
          <w:rFonts w:ascii="Arial" w:hAnsi="Arial" w:cs="Arial"/>
          <w:sz w:val="24"/>
          <w:szCs w:val="24"/>
        </w:rPr>
      </w:pPr>
      <w:r>
        <w:rPr>
          <w:rFonts w:ascii="Arial" w:hAnsi="Arial" w:cs="Arial"/>
          <w:sz w:val="24"/>
          <w:szCs w:val="24"/>
        </w:rPr>
        <w:t xml:space="preserve">A homicidal pig is one who has risen up like Twrch Trwyth and challenged human dominance, and so the correct God-given order of things. It has moved into the liminal space of the boundary between human and animal, causing contamination and all its potential for chaos. Although God was the ultimate judge, the practice of law allowed man some earthly control, however, all due process had to be accurately applied to ensure entities outside of man’s control were neither contravened (God) nor allowed purchase (the Devil). While the church was involved in the trials concerned with bugs and infestations, the large animal trials were </w:t>
      </w:r>
      <w:r w:rsidR="008438AD">
        <w:rPr>
          <w:rFonts w:ascii="Arial" w:hAnsi="Arial" w:cs="Arial"/>
          <w:sz w:val="24"/>
          <w:szCs w:val="24"/>
        </w:rPr>
        <w:t>principally</w:t>
      </w:r>
      <w:r>
        <w:rPr>
          <w:rFonts w:ascii="Arial" w:hAnsi="Arial" w:cs="Arial"/>
          <w:sz w:val="24"/>
          <w:szCs w:val="24"/>
        </w:rPr>
        <w:t xml:space="preserve"> secular, since ‘animals…should be tried by ecclesiastical tribunals, except…where the penalty involves the shedding of blood’.</w:t>
      </w:r>
      <w:r>
        <w:rPr>
          <w:rStyle w:val="FootnoteReference"/>
          <w:rFonts w:ascii="Arial" w:hAnsi="Arial" w:cs="Arial"/>
          <w:sz w:val="24"/>
          <w:szCs w:val="24"/>
        </w:rPr>
        <w:footnoteReference w:id="54"/>
      </w:r>
      <w:r>
        <w:rPr>
          <w:rFonts w:ascii="Arial" w:hAnsi="Arial" w:cs="Arial"/>
          <w:sz w:val="24"/>
          <w:szCs w:val="24"/>
        </w:rPr>
        <w:t xml:space="preserve"> They were secular, but within the confines of a society constructed around divine law, and even the secular proceedings had their ‘litanies’; the performative and ritualised language of the trials presumably held great potency in the </w:t>
      </w:r>
      <w:r w:rsidR="008438AD">
        <w:rPr>
          <w:rFonts w:ascii="Arial" w:hAnsi="Arial" w:cs="Arial"/>
          <w:sz w:val="24"/>
          <w:szCs w:val="24"/>
        </w:rPr>
        <w:t>M</w:t>
      </w:r>
      <w:r>
        <w:rPr>
          <w:rFonts w:ascii="Arial" w:hAnsi="Arial" w:cs="Arial"/>
          <w:sz w:val="24"/>
          <w:szCs w:val="24"/>
        </w:rPr>
        <w:t xml:space="preserve">edieval and Renaissance psyche. Evans notes the concern of his source, Chassenee, that all should be performed to the exact letter of the law; this was a matter of ritual, since a ‘mispronunciation…an incorrect accentuation…[or] </w:t>
      </w:r>
      <w:r>
        <w:rPr>
          <w:rFonts w:ascii="Arial" w:hAnsi="Arial" w:cs="Arial"/>
          <w:sz w:val="24"/>
          <w:szCs w:val="24"/>
        </w:rPr>
        <w:lastRenderedPageBreak/>
        <w:t>false intonation…suffice[d] to…nullify the…workings of the magic.’</w:t>
      </w:r>
      <w:r>
        <w:rPr>
          <w:rStyle w:val="FootnoteReference"/>
          <w:rFonts w:ascii="Arial" w:hAnsi="Arial" w:cs="Arial"/>
          <w:sz w:val="24"/>
          <w:szCs w:val="24"/>
        </w:rPr>
        <w:footnoteReference w:id="55"/>
      </w:r>
      <w:r>
        <w:rPr>
          <w:rFonts w:ascii="Arial" w:hAnsi="Arial" w:cs="Arial"/>
          <w:sz w:val="24"/>
          <w:szCs w:val="24"/>
        </w:rPr>
        <w:t xml:space="preserve"> Although more applicable to the anathemas of the ecclesiastical court, the language of the secular court ensured the execution of the accused did not descend to retributive justice. </w:t>
      </w:r>
    </w:p>
    <w:p w14:paraId="0BECD19E" w14:textId="6393AD54" w:rsidR="0025722F" w:rsidRDefault="0025722F" w:rsidP="0025722F">
      <w:pPr>
        <w:tabs>
          <w:tab w:val="left" w:pos="2054"/>
        </w:tabs>
        <w:rPr>
          <w:rFonts w:ascii="Arial" w:hAnsi="Arial" w:cs="Arial"/>
          <w:sz w:val="24"/>
          <w:szCs w:val="24"/>
        </w:rPr>
      </w:pPr>
      <w:r>
        <w:rPr>
          <w:rFonts w:ascii="Arial" w:hAnsi="Arial" w:cs="Arial"/>
          <w:sz w:val="24"/>
          <w:szCs w:val="24"/>
        </w:rPr>
        <w:t xml:space="preserve">There was more than a ritualist use of language occurring, however. </w:t>
      </w:r>
      <w:r w:rsidR="003B0D5A">
        <w:rPr>
          <w:rFonts w:ascii="Arial" w:hAnsi="Arial" w:cs="Arial"/>
          <w:sz w:val="24"/>
          <w:szCs w:val="24"/>
        </w:rPr>
        <w:t>It seems a rituali</w:t>
      </w:r>
      <w:r w:rsidR="00C20746">
        <w:rPr>
          <w:rFonts w:ascii="Arial" w:hAnsi="Arial" w:cs="Arial"/>
          <w:sz w:val="24"/>
          <w:szCs w:val="24"/>
        </w:rPr>
        <w:t>s</w:t>
      </w:r>
      <w:r w:rsidR="003B0D5A">
        <w:rPr>
          <w:rFonts w:ascii="Arial" w:hAnsi="Arial" w:cs="Arial"/>
          <w:sz w:val="24"/>
          <w:szCs w:val="24"/>
        </w:rPr>
        <w:t>ation of the process of law to go</w:t>
      </w:r>
      <w:r>
        <w:rPr>
          <w:rFonts w:ascii="Arial" w:hAnsi="Arial" w:cs="Arial"/>
          <w:sz w:val="24"/>
          <w:szCs w:val="24"/>
        </w:rPr>
        <w:t xml:space="preserve"> through the procedure of arrest</w:t>
      </w:r>
      <w:r w:rsidR="003B0D5A">
        <w:rPr>
          <w:rFonts w:ascii="Arial" w:hAnsi="Arial" w:cs="Arial"/>
          <w:sz w:val="24"/>
          <w:szCs w:val="24"/>
        </w:rPr>
        <w:t>ing</w:t>
      </w:r>
      <w:r>
        <w:rPr>
          <w:rFonts w:ascii="Arial" w:hAnsi="Arial" w:cs="Arial"/>
          <w:sz w:val="24"/>
          <w:szCs w:val="24"/>
        </w:rPr>
        <w:t xml:space="preserve"> a pig</w:t>
      </w:r>
      <w:r w:rsidR="004D350C">
        <w:rPr>
          <w:rFonts w:ascii="Arial" w:hAnsi="Arial" w:cs="Arial"/>
          <w:sz w:val="24"/>
          <w:szCs w:val="24"/>
        </w:rPr>
        <w:t>, detaining it</w:t>
      </w:r>
      <w:r>
        <w:rPr>
          <w:rFonts w:ascii="Arial" w:hAnsi="Arial" w:cs="Arial"/>
          <w:sz w:val="24"/>
          <w:szCs w:val="24"/>
        </w:rPr>
        <w:t xml:space="preserve"> in prison</w:t>
      </w:r>
      <w:r w:rsidR="00C02114">
        <w:rPr>
          <w:rFonts w:ascii="Arial" w:hAnsi="Arial" w:cs="Arial"/>
          <w:sz w:val="24"/>
          <w:szCs w:val="24"/>
        </w:rPr>
        <w:t>,</w:t>
      </w:r>
      <w:r>
        <w:rPr>
          <w:rFonts w:ascii="Arial" w:hAnsi="Arial" w:cs="Arial"/>
          <w:sz w:val="24"/>
          <w:szCs w:val="24"/>
        </w:rPr>
        <w:t xml:space="preserve"> dressing it in cloth</w:t>
      </w:r>
      <w:r w:rsidR="00C02114">
        <w:rPr>
          <w:rFonts w:ascii="Arial" w:hAnsi="Arial" w:cs="Arial"/>
          <w:sz w:val="24"/>
          <w:szCs w:val="24"/>
        </w:rPr>
        <w:t>es,</w:t>
      </w:r>
      <w:r>
        <w:rPr>
          <w:rFonts w:ascii="Arial" w:hAnsi="Arial" w:cs="Arial"/>
          <w:sz w:val="24"/>
          <w:szCs w:val="24"/>
        </w:rPr>
        <w:t xml:space="preserve"> appoint</w:t>
      </w:r>
      <w:r w:rsidR="007E0E01">
        <w:rPr>
          <w:rFonts w:ascii="Arial" w:hAnsi="Arial" w:cs="Arial"/>
          <w:sz w:val="24"/>
          <w:szCs w:val="24"/>
        </w:rPr>
        <w:t>ing</w:t>
      </w:r>
      <w:r>
        <w:rPr>
          <w:rFonts w:ascii="Arial" w:hAnsi="Arial" w:cs="Arial"/>
          <w:sz w:val="24"/>
          <w:szCs w:val="24"/>
        </w:rPr>
        <w:t xml:space="preserve"> a proper prosecutor and defence attorney to ensure a full and fairly argued the case and, in the event of the death-sentence, employ</w:t>
      </w:r>
      <w:r w:rsidR="00C20746">
        <w:rPr>
          <w:rFonts w:ascii="Arial" w:hAnsi="Arial" w:cs="Arial"/>
          <w:sz w:val="24"/>
          <w:szCs w:val="24"/>
        </w:rPr>
        <w:t>ing</w:t>
      </w:r>
      <w:r>
        <w:rPr>
          <w:rFonts w:ascii="Arial" w:hAnsi="Arial" w:cs="Arial"/>
          <w:sz w:val="24"/>
          <w:szCs w:val="24"/>
        </w:rPr>
        <w:t xml:space="preserve"> a professional executioner. This judicial process was to purge the contamination, to safely allow the human to step into the polluted liminal space, join the pig in its near-human state and, like breaking a fever, bring the situation to a controlled crisis. As Oldridge highlights, this was not hysteria: this was a measured management of contingencies. It attested to the seriousness of the latent danger posed by a pig that overstepped its boundaries, as perceived by people who ‘lived every day at the edge of explanatory darkness’.</w:t>
      </w:r>
      <w:r>
        <w:rPr>
          <w:rStyle w:val="FootnoteReference"/>
          <w:rFonts w:ascii="Arial" w:hAnsi="Arial" w:cs="Arial"/>
          <w:sz w:val="24"/>
          <w:szCs w:val="24"/>
        </w:rPr>
        <w:footnoteReference w:id="56"/>
      </w:r>
      <w:r>
        <w:rPr>
          <w:rFonts w:ascii="Arial" w:hAnsi="Arial" w:cs="Arial"/>
          <w:sz w:val="24"/>
          <w:szCs w:val="24"/>
        </w:rPr>
        <w:t xml:space="preserve"> </w:t>
      </w:r>
    </w:p>
    <w:p w14:paraId="1732542C" w14:textId="390249F9" w:rsidR="0025722F" w:rsidRDefault="0025722F" w:rsidP="0025722F">
      <w:pPr>
        <w:tabs>
          <w:tab w:val="left" w:pos="2054"/>
        </w:tabs>
        <w:rPr>
          <w:rFonts w:ascii="Arial" w:hAnsi="Arial" w:cs="Arial"/>
          <w:sz w:val="24"/>
          <w:szCs w:val="24"/>
        </w:rPr>
      </w:pPr>
      <w:r>
        <w:rPr>
          <w:rFonts w:ascii="Arial" w:hAnsi="Arial" w:cs="Arial"/>
          <w:sz w:val="24"/>
          <w:szCs w:val="24"/>
        </w:rPr>
        <w:t xml:space="preserve">To clothe and try the pig was to </w:t>
      </w:r>
      <w:r w:rsidRPr="009441B4">
        <w:rPr>
          <w:rFonts w:ascii="Arial" w:hAnsi="Arial" w:cs="Arial"/>
          <w:sz w:val="24"/>
          <w:szCs w:val="24"/>
        </w:rPr>
        <w:t>extend</w:t>
      </w:r>
      <w:r w:rsidRPr="009441B4">
        <w:rPr>
          <w:rFonts w:ascii="Arial" w:hAnsi="Arial" w:cs="Arial"/>
          <w:i/>
          <w:iCs/>
          <w:sz w:val="24"/>
          <w:szCs w:val="24"/>
        </w:rPr>
        <w:t xml:space="preserve"> </w:t>
      </w:r>
      <w:r>
        <w:rPr>
          <w:rFonts w:ascii="Arial" w:hAnsi="Arial" w:cs="Arial"/>
          <w:sz w:val="24"/>
          <w:szCs w:val="24"/>
        </w:rPr>
        <w:t>its crime of moving into the human realm: it was not, as Oldridge notes, about apportioning rationality to the accused.</w:t>
      </w:r>
      <w:r>
        <w:rPr>
          <w:rStyle w:val="FootnoteReference"/>
          <w:rFonts w:ascii="Arial" w:hAnsi="Arial" w:cs="Arial"/>
          <w:sz w:val="24"/>
          <w:szCs w:val="24"/>
        </w:rPr>
        <w:footnoteReference w:id="57"/>
      </w:r>
      <w:r>
        <w:rPr>
          <w:rFonts w:ascii="Arial" w:hAnsi="Arial" w:cs="Arial"/>
          <w:sz w:val="24"/>
          <w:szCs w:val="24"/>
        </w:rPr>
        <w:t xml:space="preserve"> Srivastava concurs, ‘the inclusion of animals within a legal category [did not] imbue them with…characteristics of…natural persons’.</w:t>
      </w:r>
      <w:r>
        <w:rPr>
          <w:rStyle w:val="FootnoteReference"/>
          <w:rFonts w:ascii="Arial" w:hAnsi="Arial" w:cs="Arial"/>
          <w:sz w:val="24"/>
          <w:szCs w:val="24"/>
        </w:rPr>
        <w:footnoteReference w:id="58"/>
      </w:r>
      <w:r>
        <w:rPr>
          <w:rFonts w:ascii="Arial" w:hAnsi="Arial" w:cs="Arial"/>
          <w:sz w:val="24"/>
          <w:szCs w:val="24"/>
        </w:rPr>
        <w:t xml:space="preserve"> Rather, it was constructing a humanoid to receive full due consequence of the trial and sentence, while simultaneously projecting the contaminated space between boundaries back onto its porcine body. The sentence must be passed to put the transgressing pig back </w:t>
      </w:r>
      <w:r>
        <w:rPr>
          <w:rFonts w:ascii="Arial" w:hAnsi="Arial" w:cs="Arial"/>
          <w:sz w:val="24"/>
          <w:szCs w:val="24"/>
        </w:rPr>
        <w:lastRenderedPageBreak/>
        <w:t>‘beyond the boundaries’, to exorcise and close space of danger opened by the murder</w:t>
      </w:r>
      <w:r w:rsidR="009441B4">
        <w:rPr>
          <w:rFonts w:ascii="Arial" w:hAnsi="Arial" w:cs="Arial"/>
          <w:sz w:val="24"/>
          <w:szCs w:val="24"/>
        </w:rPr>
        <w:t>ous</w:t>
      </w:r>
      <w:r>
        <w:rPr>
          <w:rFonts w:ascii="Arial" w:hAnsi="Arial" w:cs="Arial"/>
          <w:sz w:val="24"/>
          <w:szCs w:val="24"/>
        </w:rPr>
        <w:t xml:space="preserve"> pig. Either its innocence would place it firmly back inside the confines of ‘pig’, or its guilt would allow its removal it from the space altogether, thus cleansing that space of any contamination. At the point of execution, though, the humanoid pig was often returned to its status of transgressing animal and suffered an inverted hanging otherwise reserved for traitors and Jews; the obvious connotations for the status of humans hung in this manner will be visited during the last part of the essay.</w:t>
      </w:r>
    </w:p>
    <w:p w14:paraId="00D3D130" w14:textId="2E283D3A" w:rsidR="0025722F" w:rsidRDefault="0025722F" w:rsidP="0025722F">
      <w:pPr>
        <w:tabs>
          <w:tab w:val="left" w:pos="2054"/>
        </w:tabs>
        <w:rPr>
          <w:rFonts w:ascii="Arial" w:hAnsi="Arial" w:cs="Arial"/>
          <w:sz w:val="24"/>
          <w:szCs w:val="24"/>
        </w:rPr>
      </w:pPr>
      <w:r>
        <w:rPr>
          <w:rFonts w:ascii="Arial" w:hAnsi="Arial" w:cs="Arial"/>
          <w:sz w:val="24"/>
          <w:szCs w:val="24"/>
        </w:rPr>
        <w:t>The ritualistic process of making the pig into a ‘human’ and then erasing it to re-establish order holds sacrificial elements compatible with Girard’s theory of the Scapegoat. The original scapegoat was a sin-offering that was presented by Aaron to God in Leviticus 16: Aaron ‘lay his hands on [the scapegoats’] head to “transfer [to it] his sins and those of the people’.</w:t>
      </w:r>
      <w:r>
        <w:rPr>
          <w:rStyle w:val="FootnoteReference"/>
          <w:rFonts w:ascii="Arial" w:hAnsi="Arial" w:cs="Arial"/>
          <w:sz w:val="24"/>
          <w:szCs w:val="24"/>
        </w:rPr>
        <w:footnoteReference w:id="59"/>
      </w:r>
      <w:r>
        <w:rPr>
          <w:rFonts w:ascii="Arial" w:hAnsi="Arial" w:cs="Arial"/>
          <w:sz w:val="24"/>
          <w:szCs w:val="24"/>
        </w:rPr>
        <w:t xml:space="preserve"> According to Girard, ‘primal religions…form[ed] when humans channelled violence onto surrogate victims,…scapegoats,…whose punishment serves the greater good.’</w:t>
      </w:r>
      <w:r>
        <w:rPr>
          <w:rStyle w:val="FootnoteReference"/>
          <w:rFonts w:ascii="Arial" w:hAnsi="Arial" w:cs="Arial"/>
          <w:sz w:val="24"/>
          <w:szCs w:val="24"/>
        </w:rPr>
        <w:footnoteReference w:id="60"/>
      </w:r>
      <w:r>
        <w:rPr>
          <w:rFonts w:ascii="Arial" w:hAnsi="Arial" w:cs="Arial"/>
          <w:sz w:val="24"/>
          <w:szCs w:val="24"/>
        </w:rPr>
        <w:t xml:space="preserve"> The innocence that the term ‘victim’ suggests seems a little incongruous when applied to a pig that has been accused and convicted of a crime. However, such transgressing pigs were only proved by the court to be the </w:t>
      </w:r>
      <w:r w:rsidRPr="001810C7">
        <w:rPr>
          <w:rFonts w:ascii="Arial" w:hAnsi="Arial" w:cs="Arial"/>
          <w:i/>
          <w:iCs/>
          <w:sz w:val="24"/>
          <w:szCs w:val="24"/>
        </w:rPr>
        <w:t>site</w:t>
      </w:r>
      <w:r>
        <w:rPr>
          <w:rFonts w:ascii="Arial" w:hAnsi="Arial" w:cs="Arial"/>
          <w:sz w:val="24"/>
          <w:szCs w:val="24"/>
        </w:rPr>
        <w:t xml:space="preserve"> of culpability – the pig was not deemed as rational. It had not fully gained the ‘characteristics of natural persons’ and thus retained some abstraction: its body was what was being sentenced, as a site of diabolic contamination that might leave society vulnerable to further incursion.</w:t>
      </w:r>
      <w:r>
        <w:rPr>
          <w:rStyle w:val="FootnoteReference"/>
          <w:rFonts w:ascii="Arial" w:hAnsi="Arial" w:cs="Arial"/>
          <w:sz w:val="24"/>
          <w:szCs w:val="24"/>
        </w:rPr>
        <w:footnoteReference w:id="61"/>
      </w:r>
      <w:r>
        <w:rPr>
          <w:rFonts w:ascii="Arial" w:hAnsi="Arial" w:cs="Arial"/>
          <w:sz w:val="24"/>
          <w:szCs w:val="24"/>
        </w:rPr>
        <w:t xml:space="preserve">To attach sin to such a figure was the </w:t>
      </w:r>
      <w:r>
        <w:rPr>
          <w:rFonts w:ascii="Arial" w:hAnsi="Arial" w:cs="Arial"/>
          <w:sz w:val="24"/>
          <w:szCs w:val="24"/>
        </w:rPr>
        <w:lastRenderedPageBreak/>
        <w:t>system that Girard believed effectively, but temporarily, relieved any build-up of tension in pre-Christian societies, particularly tension connected to violence.</w:t>
      </w:r>
      <w:r>
        <w:rPr>
          <w:rStyle w:val="FootnoteReference"/>
          <w:rFonts w:ascii="Arial" w:hAnsi="Arial" w:cs="Arial"/>
          <w:sz w:val="24"/>
          <w:szCs w:val="24"/>
        </w:rPr>
        <w:footnoteReference w:id="62"/>
      </w:r>
      <w:r>
        <w:rPr>
          <w:rFonts w:ascii="Arial" w:hAnsi="Arial" w:cs="Arial"/>
          <w:sz w:val="24"/>
          <w:szCs w:val="24"/>
        </w:rPr>
        <w:t xml:space="preserve"> </w:t>
      </w:r>
    </w:p>
    <w:p w14:paraId="590CD090" w14:textId="0BFE6355" w:rsidR="0025722F" w:rsidRDefault="0025722F" w:rsidP="0025722F">
      <w:pPr>
        <w:rPr>
          <w:rFonts w:ascii="Arial" w:hAnsi="Arial" w:cs="Arial"/>
          <w:sz w:val="24"/>
          <w:szCs w:val="24"/>
        </w:rPr>
      </w:pPr>
      <w:r>
        <w:rPr>
          <w:rFonts w:ascii="Arial" w:hAnsi="Arial" w:cs="Arial"/>
          <w:sz w:val="24"/>
          <w:szCs w:val="24"/>
        </w:rPr>
        <w:t>Yet violence visited on a Scapegoat should not play any part in Christian culture, which must not be ‘involved in the shedding of blood’. Girard holds that the Biblical lesson held in the story of Cain and Able is that ‘the culture born of violence must return to violence’. All Biblical teaching that followed was concerned with this truth, culminating in the crucifixion of Christ.</w:t>
      </w:r>
      <w:r>
        <w:rPr>
          <w:rStyle w:val="FootnoteReference"/>
          <w:rFonts w:ascii="Arial" w:hAnsi="Arial" w:cs="Arial"/>
          <w:sz w:val="24"/>
          <w:szCs w:val="24"/>
        </w:rPr>
        <w:footnoteReference w:id="63"/>
      </w:r>
      <w:r>
        <w:rPr>
          <w:rFonts w:ascii="Arial" w:hAnsi="Arial" w:cs="Arial"/>
          <w:sz w:val="24"/>
          <w:szCs w:val="24"/>
        </w:rPr>
        <w:t xml:space="preserve"> The crucifixion was not considered by Girard to be the ultimate sacrifice, since it is not possible to end a cycle of sacrificial death and violence with sacrificial death and violence. Rather, it exposed that the temporary relief for the collective when they killed a scapegoat</w:t>
      </w:r>
      <w:r w:rsidR="008754AF">
        <w:rPr>
          <w:rFonts w:ascii="Arial" w:hAnsi="Arial" w:cs="Arial"/>
          <w:sz w:val="24"/>
          <w:szCs w:val="24"/>
        </w:rPr>
        <w:t xml:space="preserve"> (</w:t>
      </w:r>
      <w:r>
        <w:rPr>
          <w:rFonts w:ascii="Arial" w:hAnsi="Arial" w:cs="Arial"/>
          <w:sz w:val="24"/>
          <w:szCs w:val="24"/>
        </w:rPr>
        <w:t>whilst believing the ritual removed their culpability</w:t>
      </w:r>
      <w:r w:rsidR="008754AF">
        <w:rPr>
          <w:rFonts w:ascii="Arial" w:hAnsi="Arial" w:cs="Arial"/>
          <w:sz w:val="24"/>
          <w:szCs w:val="24"/>
        </w:rPr>
        <w:t>)</w:t>
      </w:r>
      <w:r>
        <w:rPr>
          <w:rFonts w:ascii="Arial" w:hAnsi="Arial" w:cs="Arial"/>
          <w:sz w:val="24"/>
          <w:szCs w:val="24"/>
        </w:rPr>
        <w:t xml:space="preserve"> was ‘the source of all lies’: Biblical teaching placed the injustice of the crime ‘squarely on those who are responsible for it’, rather than on the scapegoat, which was ‘innocent and…vindicated by God’.</w:t>
      </w:r>
      <w:r>
        <w:rPr>
          <w:rStyle w:val="FootnoteReference"/>
          <w:rFonts w:ascii="Arial" w:hAnsi="Arial" w:cs="Arial"/>
          <w:sz w:val="24"/>
          <w:szCs w:val="24"/>
        </w:rPr>
        <w:footnoteReference w:id="64"/>
      </w:r>
      <w:r>
        <w:rPr>
          <w:rFonts w:ascii="Arial" w:hAnsi="Arial" w:cs="Arial"/>
          <w:sz w:val="24"/>
          <w:szCs w:val="24"/>
        </w:rPr>
        <w:t xml:space="preserve"> Nevertheless, Girard, when describing his theory of scapegoating as ‘the structuring force of culture’, bluntly states ‘violence is universally human’.</w:t>
      </w:r>
      <w:r>
        <w:rPr>
          <w:rStyle w:val="FootnoteReference"/>
          <w:rFonts w:ascii="Arial" w:hAnsi="Arial" w:cs="Arial"/>
          <w:sz w:val="24"/>
          <w:szCs w:val="24"/>
        </w:rPr>
        <w:footnoteReference w:id="65"/>
      </w:r>
      <w:r>
        <w:rPr>
          <w:rFonts w:ascii="Arial" w:hAnsi="Arial" w:cs="Arial"/>
          <w:sz w:val="24"/>
          <w:szCs w:val="24"/>
        </w:rPr>
        <w:t xml:space="preserve"> So that, w</w:t>
      </w:r>
      <w:r w:rsidRPr="00722615">
        <w:rPr>
          <w:rFonts w:ascii="Arial" w:hAnsi="Arial" w:cs="Arial"/>
          <w:sz w:val="24"/>
          <w:szCs w:val="24"/>
        </w:rPr>
        <w:t>h</w:t>
      </w:r>
      <w:r>
        <w:rPr>
          <w:rFonts w:ascii="Arial" w:hAnsi="Arial" w:cs="Arial"/>
          <w:sz w:val="24"/>
          <w:szCs w:val="24"/>
        </w:rPr>
        <w:t>ere</w:t>
      </w:r>
      <w:r w:rsidRPr="00722615">
        <w:rPr>
          <w:rFonts w:ascii="Arial" w:hAnsi="Arial" w:cs="Arial"/>
          <w:sz w:val="24"/>
          <w:szCs w:val="24"/>
        </w:rPr>
        <w:t xml:space="preserve"> Steel reveals </w:t>
      </w:r>
      <w:r>
        <w:rPr>
          <w:rFonts w:ascii="Arial" w:hAnsi="Arial" w:cs="Arial"/>
          <w:sz w:val="24"/>
          <w:szCs w:val="24"/>
        </w:rPr>
        <w:t xml:space="preserve">that </w:t>
      </w:r>
      <w:r w:rsidR="008754AF">
        <w:rPr>
          <w:rFonts w:ascii="Arial" w:hAnsi="Arial" w:cs="Arial"/>
          <w:sz w:val="24"/>
          <w:szCs w:val="24"/>
        </w:rPr>
        <w:t xml:space="preserve">violence is </w:t>
      </w:r>
      <w:r>
        <w:rPr>
          <w:rFonts w:ascii="Arial" w:hAnsi="Arial" w:cs="Arial"/>
          <w:sz w:val="24"/>
          <w:szCs w:val="24"/>
        </w:rPr>
        <w:t xml:space="preserve">what </w:t>
      </w:r>
      <w:r w:rsidRPr="00722615">
        <w:rPr>
          <w:rFonts w:ascii="Arial" w:hAnsi="Arial" w:cs="Arial"/>
          <w:sz w:val="24"/>
          <w:szCs w:val="24"/>
        </w:rPr>
        <w:t xml:space="preserve">creates a human, Girard </w:t>
      </w:r>
      <w:r>
        <w:rPr>
          <w:rFonts w:ascii="Arial" w:hAnsi="Arial" w:cs="Arial"/>
          <w:sz w:val="24"/>
          <w:szCs w:val="24"/>
        </w:rPr>
        <w:t>extends this</w:t>
      </w:r>
      <w:r w:rsidR="008754AF">
        <w:rPr>
          <w:rFonts w:ascii="Arial" w:hAnsi="Arial" w:cs="Arial"/>
          <w:sz w:val="24"/>
          <w:szCs w:val="24"/>
        </w:rPr>
        <w:t>: violence is</w:t>
      </w:r>
      <w:r>
        <w:rPr>
          <w:rFonts w:ascii="Arial" w:hAnsi="Arial" w:cs="Arial"/>
          <w:sz w:val="24"/>
          <w:szCs w:val="24"/>
        </w:rPr>
        <w:t xml:space="preserve"> what creates a community.</w:t>
      </w:r>
    </w:p>
    <w:p w14:paraId="5BAA1202" w14:textId="77777777" w:rsidR="0025722F" w:rsidRDefault="0025722F" w:rsidP="0025722F">
      <w:pPr>
        <w:rPr>
          <w:rFonts w:ascii="Arial" w:hAnsi="Arial" w:cs="Arial"/>
          <w:sz w:val="24"/>
          <w:szCs w:val="24"/>
        </w:rPr>
      </w:pPr>
      <w:r>
        <w:rPr>
          <w:rFonts w:ascii="Arial" w:hAnsi="Arial" w:cs="Arial"/>
          <w:sz w:val="24"/>
          <w:szCs w:val="24"/>
        </w:rPr>
        <w:lastRenderedPageBreak/>
        <w:t>When Girard discusses various sacrificial rites, interesting patterns reveal them to be similar to that which seems ritual in the pig trials: ‘a period of isolation’ is mimicked in a pig confined to a human cell; ‘invocations…pronounced’, like the specific judicial language that must be adhered to; wearing a ‘halter reserved for sacrificial beasts’, like dressing the pig as a human for its trial.</w:t>
      </w:r>
      <w:r>
        <w:rPr>
          <w:rStyle w:val="FootnoteReference"/>
          <w:rFonts w:ascii="Arial" w:hAnsi="Arial" w:cs="Arial"/>
          <w:sz w:val="24"/>
          <w:szCs w:val="24"/>
        </w:rPr>
        <w:footnoteReference w:id="66"/>
      </w:r>
      <w:r>
        <w:rPr>
          <w:rFonts w:ascii="Arial" w:hAnsi="Arial" w:cs="Arial"/>
          <w:sz w:val="24"/>
          <w:szCs w:val="24"/>
        </w:rPr>
        <w:t xml:space="preserve"> Dressing the pig not only marked it out from the rest of its kind and for its role in the ritual, but created a quasi-human that corresponded to Girard’s ‘monstrous double’, a ‘formless and grotesque mixture of things…normally separated’ whose ‘differences [are] muddied and confused’.</w:t>
      </w:r>
      <w:r>
        <w:rPr>
          <w:rStyle w:val="FootnoteReference"/>
          <w:rFonts w:ascii="Arial" w:hAnsi="Arial" w:cs="Arial"/>
          <w:sz w:val="24"/>
          <w:szCs w:val="24"/>
        </w:rPr>
        <w:footnoteReference w:id="67"/>
      </w:r>
      <w:r>
        <w:rPr>
          <w:rFonts w:ascii="Arial" w:hAnsi="Arial" w:cs="Arial"/>
          <w:sz w:val="24"/>
          <w:szCs w:val="24"/>
        </w:rPr>
        <w:t xml:space="preserve"> Equally though, Girard’s scapegoat as monstrous double must belong to the community, and thus is a mix of the familiar and the alien, reminiscent of Freud’s uncanny: the dressed, humanised pig inhabits a space where it is both the opposite of the human, and their uncanny double.</w:t>
      </w:r>
      <w:r>
        <w:rPr>
          <w:rStyle w:val="FootnoteReference"/>
          <w:rFonts w:ascii="Arial" w:hAnsi="Arial" w:cs="Arial"/>
          <w:sz w:val="24"/>
          <w:szCs w:val="24"/>
        </w:rPr>
        <w:footnoteReference w:id="68"/>
      </w:r>
      <w:r>
        <w:rPr>
          <w:rFonts w:ascii="Arial" w:hAnsi="Arial" w:cs="Arial"/>
          <w:sz w:val="24"/>
          <w:szCs w:val="24"/>
        </w:rPr>
        <w:t xml:space="preserve"> This status is a requirement of the scapegoating system ‘to make the victim wholly sacrificeable’.</w:t>
      </w:r>
      <w:r>
        <w:rPr>
          <w:rStyle w:val="FootnoteReference"/>
          <w:rFonts w:ascii="Arial" w:hAnsi="Arial" w:cs="Arial"/>
          <w:sz w:val="24"/>
          <w:szCs w:val="24"/>
        </w:rPr>
        <w:footnoteReference w:id="69"/>
      </w:r>
    </w:p>
    <w:p w14:paraId="2681B909" w14:textId="77777777" w:rsidR="0025722F" w:rsidRDefault="0025722F" w:rsidP="0025722F">
      <w:pPr>
        <w:rPr>
          <w:rFonts w:ascii="Arial" w:hAnsi="Arial" w:cs="Arial"/>
          <w:sz w:val="24"/>
          <w:szCs w:val="24"/>
        </w:rPr>
      </w:pPr>
      <w:r>
        <w:rPr>
          <w:rFonts w:ascii="Arial" w:hAnsi="Arial" w:cs="Arial"/>
          <w:sz w:val="24"/>
          <w:szCs w:val="24"/>
        </w:rPr>
        <w:t>That the medieval and Renaissance pig is a scapegoat in a highly Christian society is a problem. This was resolved by burying scapegoating in the legal system, hidden in the same place that humans employed their defining rationality to safeguard their position in the hierarchy. The trial of the pig is where humans collectively maintained their distinction from the animals with violence disguised as reason. However, it seems the Bible is not exempt from the expulsion of sin through a porcine body. The previously mentioned story of the Gadarene pigs sees Jesus expel a legion of demons from a possessed man, and cast them into a herd of two thousand swine who, as a result, run over a steep cliff and drown in the sea.</w:t>
      </w:r>
    </w:p>
    <w:p w14:paraId="59A44DBC" w14:textId="7DB67C51" w:rsidR="0025722F" w:rsidRDefault="0025722F" w:rsidP="0025722F">
      <w:pPr>
        <w:rPr>
          <w:rFonts w:ascii="Arial" w:hAnsi="Arial" w:cs="Arial"/>
          <w:sz w:val="24"/>
          <w:szCs w:val="24"/>
        </w:rPr>
      </w:pPr>
      <w:r>
        <w:rPr>
          <w:rFonts w:ascii="Arial" w:hAnsi="Arial" w:cs="Arial"/>
          <w:sz w:val="24"/>
          <w:szCs w:val="24"/>
        </w:rPr>
        <w:lastRenderedPageBreak/>
        <w:t>However, Jesus (like Arthur) causes the death of the pigs, rather than overtly killing them. While, in the pig trials, the process of law is being used to distance the collective from their act of murder, and hold the church at one remove from it. What Girard deems most important about Mark: 5 is that</w:t>
      </w:r>
      <w:r w:rsidR="00AD625D">
        <w:rPr>
          <w:rFonts w:ascii="Arial" w:hAnsi="Arial" w:cs="Arial"/>
          <w:sz w:val="24"/>
          <w:szCs w:val="24"/>
        </w:rPr>
        <w:t>,</w:t>
      </w:r>
      <w:r>
        <w:rPr>
          <w:rFonts w:ascii="Arial" w:hAnsi="Arial" w:cs="Arial"/>
          <w:sz w:val="24"/>
          <w:szCs w:val="24"/>
        </w:rPr>
        <w:t xml:space="preserve"> although Jesus allowed the death of the pigs, it was to redirect responsibility for sin away from the single victim (the scapegoat) back where it belonged, onto the many (the collective) who must each carry their own part. This is not about numbers, although two thousand pigs die rather than the (usual) singular pig of the trials. To Girard, the Gadarene pigs represent the community that surround</w:t>
      </w:r>
      <w:r w:rsidR="00490213">
        <w:rPr>
          <w:rFonts w:ascii="Arial" w:hAnsi="Arial" w:cs="Arial"/>
          <w:sz w:val="24"/>
          <w:szCs w:val="24"/>
        </w:rPr>
        <w:t>ed</w:t>
      </w:r>
      <w:r>
        <w:rPr>
          <w:rFonts w:ascii="Arial" w:hAnsi="Arial" w:cs="Arial"/>
          <w:sz w:val="24"/>
          <w:szCs w:val="24"/>
        </w:rPr>
        <w:t xml:space="preserve"> them, who had allowed one person (the scapegoat) to suffer greatly as they transferred their sin to him to free themselves from its burden. </w:t>
      </w:r>
      <w:r w:rsidR="00490213">
        <w:rPr>
          <w:rFonts w:ascii="Arial" w:hAnsi="Arial" w:cs="Arial"/>
          <w:sz w:val="24"/>
          <w:szCs w:val="24"/>
        </w:rPr>
        <w:t>While</w:t>
      </w:r>
      <w:r>
        <w:rPr>
          <w:rFonts w:ascii="Arial" w:hAnsi="Arial" w:cs="Arial"/>
          <w:sz w:val="24"/>
          <w:szCs w:val="24"/>
        </w:rPr>
        <w:t>, the pig trials permitted both the scapegoat (the pig) and sin to be violently removed, offering a temporary clearing and sealing of a space, this is both cruel and ineffective: viewed from Girard’s perspective, it did not prevent the individuals in the community from encountering their own sin, it only added further sin, whilst avoiding accountability and resolution.</w:t>
      </w:r>
    </w:p>
    <w:p w14:paraId="0F46F95F" w14:textId="20B70AB8" w:rsidR="0025722F" w:rsidRDefault="0025722F" w:rsidP="0025722F">
      <w:pPr>
        <w:rPr>
          <w:rFonts w:ascii="Arial" w:hAnsi="Arial" w:cs="Arial"/>
          <w:sz w:val="24"/>
          <w:szCs w:val="24"/>
        </w:rPr>
      </w:pPr>
      <w:r>
        <w:rPr>
          <w:rFonts w:ascii="Arial" w:hAnsi="Arial" w:cs="Arial"/>
          <w:sz w:val="24"/>
          <w:szCs w:val="24"/>
        </w:rPr>
        <w:t>This legal scapegoating was not just confined to animals, however. Therefore, the conclusion of this study will turn the tables and consider how and why some humans were reduced by society to pigs. Terry-Fritsch identifies that to reduce a human to animal is to render them ‘ungestalt’ and ‘without social identity’.</w:t>
      </w:r>
      <w:r>
        <w:rPr>
          <w:rStyle w:val="FootnoteReference"/>
          <w:rFonts w:ascii="Arial" w:hAnsi="Arial" w:cs="Arial"/>
          <w:sz w:val="24"/>
          <w:szCs w:val="24"/>
        </w:rPr>
        <w:footnoteReference w:id="70"/>
      </w:r>
      <w:r>
        <w:rPr>
          <w:rFonts w:ascii="Arial" w:hAnsi="Arial" w:cs="Arial"/>
          <w:sz w:val="24"/>
          <w:szCs w:val="24"/>
        </w:rPr>
        <w:t xml:space="preserve"> She defines ungestalt as ‘a medieval term designating “formlessness”’: the term was applicable to both ‘convicted animals’ in ‘the guise of humanity’ and ‘convicted humans, in ‘the guise of animals’, rendering both ‘no longer fit within the…order of community life’.</w:t>
      </w:r>
      <w:r>
        <w:rPr>
          <w:rStyle w:val="FootnoteReference"/>
          <w:rFonts w:ascii="Arial" w:hAnsi="Arial" w:cs="Arial"/>
          <w:sz w:val="24"/>
          <w:szCs w:val="24"/>
        </w:rPr>
        <w:footnoteReference w:id="71"/>
      </w:r>
      <w:r>
        <w:rPr>
          <w:rFonts w:ascii="Arial" w:hAnsi="Arial" w:cs="Arial"/>
          <w:sz w:val="24"/>
          <w:szCs w:val="24"/>
        </w:rPr>
        <w:t xml:space="preserve"> </w:t>
      </w:r>
      <w:r>
        <w:rPr>
          <w:rFonts w:ascii="Arial" w:hAnsi="Arial" w:cs="Arial"/>
          <w:sz w:val="24"/>
          <w:szCs w:val="24"/>
        </w:rPr>
        <w:lastRenderedPageBreak/>
        <w:t>The most obvious physical comparison was between clothing the pig and the use of Shandmasken on an offending humans: Shandmasken were usually for offences punishable by ‘spectacles of humiliation’ though, rather than for capitol offences.</w:t>
      </w:r>
      <w:r>
        <w:rPr>
          <w:rStyle w:val="FootnoteReference"/>
          <w:rFonts w:ascii="Arial" w:hAnsi="Arial" w:cs="Arial"/>
          <w:sz w:val="24"/>
          <w:szCs w:val="24"/>
        </w:rPr>
        <w:footnoteReference w:id="72"/>
      </w:r>
      <w:r>
        <w:rPr>
          <w:rFonts w:ascii="Arial" w:hAnsi="Arial" w:cs="Arial"/>
          <w:sz w:val="24"/>
          <w:szCs w:val="24"/>
        </w:rPr>
        <w:t xml:space="preserve"> There were different types of masks for different types of crime, represented by different animals: the pig mask represented lust and gluttony, that is ‘uncontrollable desires of the flesh’.</w:t>
      </w:r>
      <w:r>
        <w:rPr>
          <w:rStyle w:val="FootnoteReference"/>
          <w:rFonts w:ascii="Arial" w:hAnsi="Arial" w:cs="Arial"/>
          <w:sz w:val="24"/>
          <w:szCs w:val="24"/>
        </w:rPr>
        <w:footnoteReference w:id="73"/>
      </w:r>
      <w:r>
        <w:rPr>
          <w:rFonts w:ascii="Arial" w:hAnsi="Arial" w:cs="Arial"/>
          <w:sz w:val="24"/>
          <w:szCs w:val="24"/>
        </w:rPr>
        <w:t xml:space="preserve"> Although the pig was often ‘associated with lechery’, lust here is greed, an example of offenders who were punished with the pig mask, were those who got shamefully drunk.</w:t>
      </w:r>
      <w:r>
        <w:rPr>
          <w:rStyle w:val="FootnoteReference"/>
          <w:rFonts w:ascii="Arial" w:hAnsi="Arial" w:cs="Arial"/>
          <w:sz w:val="24"/>
          <w:szCs w:val="24"/>
        </w:rPr>
        <w:footnoteReference w:id="74"/>
      </w:r>
      <w:r>
        <w:rPr>
          <w:rFonts w:ascii="Arial" w:hAnsi="Arial" w:cs="Arial"/>
          <w:sz w:val="24"/>
          <w:szCs w:val="24"/>
        </w:rPr>
        <w:t xml:space="preserve"> Often these masks covered the entire head, removing individual identity and reducing the wearer to animal, whilst making clear their offence.</w:t>
      </w:r>
      <w:r>
        <w:rPr>
          <w:rStyle w:val="FootnoteReference"/>
          <w:rFonts w:ascii="Arial" w:hAnsi="Arial" w:cs="Arial"/>
          <w:sz w:val="24"/>
          <w:szCs w:val="24"/>
        </w:rPr>
        <w:footnoteReference w:id="75"/>
      </w:r>
      <w:r>
        <w:rPr>
          <w:rFonts w:ascii="Arial" w:hAnsi="Arial" w:cs="Arial"/>
          <w:sz w:val="24"/>
          <w:szCs w:val="24"/>
        </w:rPr>
        <w:t xml:space="preserve"> Other shameful spectacles were employed, designed to move the human offender below the animal in the hierarchy, such as the ‘comingling of animal and human’ through interaction ‘with the animal’s anus’. This presumably doubly shamed the offender as both pig and Jew, since the ‘widely circulated illustrations’ of the repulsive Judensau, depict</w:t>
      </w:r>
      <w:r w:rsidR="00490213">
        <w:rPr>
          <w:rFonts w:ascii="Arial" w:hAnsi="Arial" w:cs="Arial"/>
          <w:sz w:val="24"/>
          <w:szCs w:val="24"/>
        </w:rPr>
        <w:t>ed</w:t>
      </w:r>
      <w:r>
        <w:rPr>
          <w:rFonts w:ascii="Arial" w:hAnsi="Arial" w:cs="Arial"/>
          <w:sz w:val="24"/>
          <w:szCs w:val="24"/>
        </w:rPr>
        <w:t xml:space="preserve"> Jew</w:t>
      </w:r>
      <w:r w:rsidR="00490213">
        <w:rPr>
          <w:rFonts w:ascii="Arial" w:hAnsi="Arial" w:cs="Arial"/>
          <w:sz w:val="24"/>
          <w:szCs w:val="24"/>
        </w:rPr>
        <w:t>s</w:t>
      </w:r>
      <w:r>
        <w:rPr>
          <w:rFonts w:ascii="Arial" w:hAnsi="Arial" w:cs="Arial"/>
          <w:sz w:val="24"/>
          <w:szCs w:val="24"/>
        </w:rPr>
        <w:t xml:space="preserve"> tampering with various orifices of a giant sow</w:t>
      </w:r>
      <w:r w:rsidR="001B5B38">
        <w:rPr>
          <w:rFonts w:ascii="Arial" w:hAnsi="Arial" w:cs="Arial"/>
          <w:sz w:val="24"/>
          <w:szCs w:val="24"/>
        </w:rPr>
        <w:t>.</w:t>
      </w:r>
      <w:r>
        <w:rPr>
          <w:rFonts w:ascii="Arial" w:hAnsi="Arial" w:cs="Arial"/>
          <w:sz w:val="24"/>
          <w:szCs w:val="24"/>
        </w:rPr>
        <w:t xml:space="preserve"> </w:t>
      </w:r>
      <w:r w:rsidR="001B5B38">
        <w:rPr>
          <w:rFonts w:ascii="Arial" w:hAnsi="Arial" w:cs="Arial"/>
          <w:sz w:val="24"/>
          <w:szCs w:val="24"/>
        </w:rPr>
        <w:t>T</w:t>
      </w:r>
      <w:r w:rsidR="00490213">
        <w:rPr>
          <w:rFonts w:ascii="Arial" w:hAnsi="Arial" w:cs="Arial"/>
          <w:sz w:val="24"/>
          <w:szCs w:val="24"/>
        </w:rPr>
        <w:t xml:space="preserve">hus, </w:t>
      </w:r>
      <w:r>
        <w:rPr>
          <w:rFonts w:ascii="Arial" w:hAnsi="Arial" w:cs="Arial"/>
          <w:sz w:val="24"/>
          <w:szCs w:val="24"/>
        </w:rPr>
        <w:t xml:space="preserve">co-mingling man and pig </w:t>
      </w:r>
      <w:r w:rsidR="001B5B38">
        <w:rPr>
          <w:rFonts w:ascii="Arial" w:hAnsi="Arial" w:cs="Arial"/>
          <w:sz w:val="24"/>
          <w:szCs w:val="24"/>
        </w:rPr>
        <w:t>in</w:t>
      </w:r>
      <w:r w:rsidR="00490213">
        <w:rPr>
          <w:rFonts w:ascii="Arial" w:hAnsi="Arial" w:cs="Arial"/>
          <w:sz w:val="24"/>
          <w:szCs w:val="24"/>
        </w:rPr>
        <w:t xml:space="preserve"> imagery </w:t>
      </w:r>
      <w:r w:rsidR="001B5B38">
        <w:rPr>
          <w:rFonts w:ascii="Arial" w:hAnsi="Arial" w:cs="Arial"/>
          <w:sz w:val="24"/>
          <w:szCs w:val="24"/>
        </w:rPr>
        <w:t xml:space="preserve">was </w:t>
      </w:r>
      <w:r w:rsidR="00490213">
        <w:rPr>
          <w:rFonts w:ascii="Arial" w:hAnsi="Arial" w:cs="Arial"/>
          <w:sz w:val="24"/>
          <w:szCs w:val="24"/>
        </w:rPr>
        <w:t>used to subjugate other races</w:t>
      </w:r>
      <w:r>
        <w:rPr>
          <w:rFonts w:ascii="Arial" w:hAnsi="Arial" w:cs="Arial"/>
          <w:sz w:val="24"/>
          <w:szCs w:val="24"/>
        </w:rPr>
        <w:t xml:space="preserve">. </w:t>
      </w:r>
      <w:r w:rsidR="00490213">
        <w:rPr>
          <w:rFonts w:ascii="Arial" w:hAnsi="Arial" w:cs="Arial"/>
          <w:sz w:val="24"/>
          <w:szCs w:val="24"/>
        </w:rPr>
        <w:t xml:space="preserve">It exposed Christian society’s </w:t>
      </w:r>
      <w:r>
        <w:rPr>
          <w:rFonts w:ascii="Arial" w:hAnsi="Arial" w:cs="Arial"/>
          <w:sz w:val="24"/>
          <w:szCs w:val="24"/>
        </w:rPr>
        <w:t>attitude towards Jews</w:t>
      </w:r>
      <w:r w:rsidR="001B5B38">
        <w:rPr>
          <w:rFonts w:ascii="Arial" w:hAnsi="Arial" w:cs="Arial"/>
          <w:sz w:val="24"/>
          <w:szCs w:val="24"/>
        </w:rPr>
        <w:t>:</w:t>
      </w:r>
      <w:r w:rsidR="00490213">
        <w:rPr>
          <w:rFonts w:ascii="Arial" w:hAnsi="Arial" w:cs="Arial"/>
          <w:sz w:val="24"/>
          <w:szCs w:val="24"/>
        </w:rPr>
        <w:t xml:space="preserve"> that they were </w:t>
      </w:r>
      <w:r>
        <w:rPr>
          <w:rFonts w:ascii="Arial" w:hAnsi="Arial" w:cs="Arial"/>
          <w:sz w:val="24"/>
          <w:szCs w:val="24"/>
        </w:rPr>
        <w:t>transgressive, and defined them as animal</w:t>
      </w:r>
      <w:r w:rsidR="001B5B38">
        <w:rPr>
          <w:rFonts w:ascii="Arial" w:hAnsi="Arial" w:cs="Arial"/>
          <w:sz w:val="24"/>
          <w:szCs w:val="24"/>
        </w:rPr>
        <w:t>, most commonly the pig</w:t>
      </w:r>
      <w:r w:rsidR="00490213">
        <w:rPr>
          <w:rFonts w:ascii="Arial" w:hAnsi="Arial" w:cs="Arial"/>
          <w:sz w:val="24"/>
          <w:szCs w:val="24"/>
        </w:rPr>
        <w:t>. Thus,</w:t>
      </w:r>
      <w:r>
        <w:rPr>
          <w:rFonts w:ascii="Arial" w:hAnsi="Arial" w:cs="Arial"/>
          <w:sz w:val="24"/>
          <w:szCs w:val="24"/>
        </w:rPr>
        <w:t xml:space="preserve"> any punishment for Jewish offenders reflected and reinforced this status</w:t>
      </w:r>
      <w:r w:rsidR="0060544E">
        <w:rPr>
          <w:rFonts w:ascii="Arial" w:hAnsi="Arial" w:cs="Arial"/>
          <w:sz w:val="24"/>
          <w:szCs w:val="24"/>
        </w:rPr>
        <w:t xml:space="preserve"> as beasts</w:t>
      </w:r>
      <w:r>
        <w:rPr>
          <w:rFonts w:ascii="Arial" w:hAnsi="Arial" w:cs="Arial"/>
          <w:sz w:val="24"/>
          <w:szCs w:val="24"/>
        </w:rPr>
        <w:t xml:space="preserve">: </w:t>
      </w:r>
      <w:r w:rsidR="0060544E">
        <w:rPr>
          <w:rFonts w:ascii="Arial" w:hAnsi="Arial" w:cs="Arial"/>
          <w:sz w:val="24"/>
          <w:szCs w:val="24"/>
        </w:rPr>
        <w:t xml:space="preserve">they suffered </w:t>
      </w:r>
      <w:r>
        <w:rPr>
          <w:rFonts w:ascii="Arial" w:hAnsi="Arial" w:cs="Arial"/>
          <w:sz w:val="24"/>
          <w:szCs w:val="24"/>
        </w:rPr>
        <w:t xml:space="preserve">inverted hanging, and also execution by burning </w:t>
      </w:r>
      <w:r w:rsidR="00CC2C66">
        <w:rPr>
          <w:rFonts w:ascii="Arial" w:hAnsi="Arial" w:cs="Arial"/>
          <w:sz w:val="24"/>
          <w:szCs w:val="24"/>
        </w:rPr>
        <w:t>(along with their partner)</w:t>
      </w:r>
      <w:r w:rsidR="00CC2C66">
        <w:rPr>
          <w:rFonts w:ascii="Arial" w:hAnsi="Arial" w:cs="Arial"/>
          <w:sz w:val="24"/>
          <w:szCs w:val="24"/>
        </w:rPr>
        <w:t xml:space="preserve"> </w:t>
      </w:r>
      <w:r>
        <w:rPr>
          <w:rFonts w:ascii="Arial" w:hAnsi="Arial" w:cs="Arial"/>
          <w:sz w:val="24"/>
          <w:szCs w:val="24"/>
        </w:rPr>
        <w:t>if they were involved in cross-cultural sexual relations.</w:t>
      </w:r>
    </w:p>
    <w:p w14:paraId="4D09756F" w14:textId="41C7EBF7" w:rsidR="009F19FF" w:rsidRDefault="0025722F">
      <w:pPr>
        <w:rPr>
          <w:rFonts w:ascii="Arial" w:hAnsi="Arial" w:cs="Arial"/>
          <w:sz w:val="24"/>
          <w:szCs w:val="24"/>
        </w:rPr>
      </w:pPr>
      <w:r>
        <w:rPr>
          <w:rFonts w:ascii="Arial" w:hAnsi="Arial" w:cs="Arial"/>
          <w:sz w:val="24"/>
          <w:szCs w:val="24"/>
        </w:rPr>
        <w:t>Bestialising humans with pig ‘imagery’ was not confined to representations of the Jew, however. In the years leading up to the 1381 uprising</w:t>
      </w:r>
      <w:r w:rsidR="00D0771B">
        <w:rPr>
          <w:rFonts w:ascii="Arial" w:hAnsi="Arial" w:cs="Arial"/>
          <w:sz w:val="24"/>
          <w:szCs w:val="24"/>
        </w:rPr>
        <w:t>,</w:t>
      </w:r>
      <w:r>
        <w:rPr>
          <w:rFonts w:ascii="Arial" w:hAnsi="Arial" w:cs="Arial"/>
          <w:sz w:val="24"/>
          <w:szCs w:val="24"/>
        </w:rPr>
        <w:t xml:space="preserve"> it was also applied to </w:t>
      </w:r>
      <w:r>
        <w:rPr>
          <w:rFonts w:ascii="Arial" w:hAnsi="Arial" w:cs="Arial"/>
          <w:sz w:val="24"/>
          <w:szCs w:val="24"/>
        </w:rPr>
        <w:lastRenderedPageBreak/>
        <w:t>those of the third estate, who were described in porcine terms as ‘“grobbyng about the erthe”’ and as ones who ‘”shall lick the earth and eat it”.</w:t>
      </w:r>
      <w:r>
        <w:rPr>
          <w:rStyle w:val="FootnoteReference"/>
          <w:rFonts w:ascii="Arial" w:hAnsi="Arial" w:cs="Arial"/>
          <w:sz w:val="24"/>
          <w:szCs w:val="24"/>
        </w:rPr>
        <w:footnoteReference w:id="76"/>
      </w:r>
      <w:r>
        <w:rPr>
          <w:rFonts w:ascii="Arial" w:hAnsi="Arial" w:cs="Arial"/>
          <w:sz w:val="24"/>
          <w:szCs w:val="24"/>
        </w:rPr>
        <w:t xml:space="preserve"> </w:t>
      </w:r>
      <w:r w:rsidR="006D61DD">
        <w:rPr>
          <w:rFonts w:ascii="Arial" w:hAnsi="Arial" w:cs="Arial"/>
          <w:sz w:val="24"/>
          <w:szCs w:val="24"/>
        </w:rPr>
        <w:t xml:space="preserve">After the uprising, mindless ferocity was added to this </w:t>
      </w:r>
      <w:r>
        <w:rPr>
          <w:rFonts w:ascii="Arial" w:hAnsi="Arial" w:cs="Arial"/>
          <w:sz w:val="24"/>
          <w:szCs w:val="24"/>
        </w:rPr>
        <w:t>imagery, as those involved became fearsome traitors.</w:t>
      </w:r>
      <w:r>
        <w:rPr>
          <w:rStyle w:val="FootnoteReference"/>
          <w:rFonts w:ascii="Arial" w:hAnsi="Arial" w:cs="Arial"/>
          <w:sz w:val="24"/>
          <w:szCs w:val="24"/>
        </w:rPr>
        <w:footnoteReference w:id="77"/>
      </w:r>
      <w:r>
        <w:rPr>
          <w:rFonts w:ascii="Arial" w:hAnsi="Arial" w:cs="Arial"/>
          <w:sz w:val="24"/>
          <w:szCs w:val="24"/>
        </w:rPr>
        <w:t xml:space="preserve"> Most notably, this rhetorical reduction is employed by Gower in his revision of </w:t>
      </w:r>
      <w:r>
        <w:rPr>
          <w:rFonts w:ascii="Arial" w:hAnsi="Arial" w:cs="Arial"/>
          <w:i/>
          <w:iCs/>
          <w:sz w:val="24"/>
          <w:szCs w:val="24"/>
        </w:rPr>
        <w:t>Vox Clamantis</w:t>
      </w:r>
      <w:r>
        <w:rPr>
          <w:rFonts w:ascii="Arial" w:hAnsi="Arial" w:cs="Arial"/>
          <w:sz w:val="24"/>
          <w:szCs w:val="24"/>
        </w:rPr>
        <w:t xml:space="preserve">.  Ironically Gower, who fashioned himself ‘the voice of the people’, was compelled to add a </w:t>
      </w:r>
      <w:r w:rsidR="00E80C65">
        <w:rPr>
          <w:rFonts w:ascii="Arial" w:hAnsi="Arial" w:cs="Arial"/>
          <w:sz w:val="24"/>
          <w:szCs w:val="24"/>
        </w:rPr>
        <w:t>prologue</w:t>
      </w:r>
      <w:r>
        <w:rPr>
          <w:rFonts w:ascii="Arial" w:hAnsi="Arial" w:cs="Arial"/>
          <w:sz w:val="24"/>
          <w:szCs w:val="24"/>
        </w:rPr>
        <w:t xml:space="preserve"> to </w:t>
      </w:r>
      <w:r>
        <w:rPr>
          <w:rFonts w:ascii="Arial" w:hAnsi="Arial" w:cs="Arial"/>
          <w:i/>
          <w:iCs/>
          <w:sz w:val="24"/>
          <w:szCs w:val="24"/>
        </w:rPr>
        <w:t>Vox</w:t>
      </w:r>
      <w:r>
        <w:rPr>
          <w:rFonts w:ascii="Arial" w:hAnsi="Arial" w:cs="Arial"/>
          <w:sz w:val="24"/>
          <w:szCs w:val="24"/>
        </w:rPr>
        <w:t>, redefining the term ‘common people’ to exclude the peasantry.</w:t>
      </w:r>
      <w:r>
        <w:rPr>
          <w:rStyle w:val="FootnoteReference"/>
          <w:rFonts w:ascii="Arial" w:hAnsi="Arial" w:cs="Arial"/>
          <w:sz w:val="24"/>
          <w:szCs w:val="24"/>
        </w:rPr>
        <w:footnoteReference w:id="78"/>
      </w:r>
      <w:r>
        <w:rPr>
          <w:rFonts w:ascii="Arial" w:hAnsi="Arial" w:cs="Arial"/>
          <w:sz w:val="24"/>
          <w:szCs w:val="24"/>
        </w:rPr>
        <w:t xml:space="preserve">  He was then able to suggest the </w:t>
      </w:r>
      <w:r>
        <w:rPr>
          <w:rFonts w:ascii="Arial" w:hAnsi="Arial" w:cs="Arial"/>
          <w:i/>
          <w:iCs/>
          <w:sz w:val="24"/>
          <w:szCs w:val="24"/>
        </w:rPr>
        <w:t>Vox</w:t>
      </w:r>
      <w:r>
        <w:rPr>
          <w:rFonts w:ascii="Arial" w:hAnsi="Arial" w:cs="Arial"/>
          <w:sz w:val="24"/>
          <w:szCs w:val="24"/>
        </w:rPr>
        <w:t xml:space="preserve"> had prophesised </w:t>
      </w:r>
      <w:r w:rsidR="007D71E6">
        <w:rPr>
          <w:rFonts w:ascii="Arial" w:hAnsi="Arial" w:cs="Arial"/>
          <w:sz w:val="24"/>
          <w:szCs w:val="24"/>
        </w:rPr>
        <w:t xml:space="preserve">the </w:t>
      </w:r>
      <w:r w:rsidR="00326614">
        <w:rPr>
          <w:rFonts w:ascii="Arial" w:hAnsi="Arial" w:cs="Arial"/>
          <w:sz w:val="24"/>
          <w:szCs w:val="24"/>
        </w:rPr>
        <w:t>‘</w:t>
      </w:r>
      <w:r w:rsidR="007D71E6">
        <w:rPr>
          <w:rFonts w:ascii="Arial" w:hAnsi="Arial" w:cs="Arial"/>
          <w:sz w:val="24"/>
          <w:szCs w:val="24"/>
        </w:rPr>
        <w:t>peasant</w:t>
      </w:r>
      <w:r w:rsidR="00326614">
        <w:rPr>
          <w:rFonts w:ascii="Arial" w:hAnsi="Arial" w:cs="Arial"/>
          <w:sz w:val="24"/>
          <w:szCs w:val="24"/>
        </w:rPr>
        <w:t>s’</w:t>
      </w:r>
      <w:r>
        <w:rPr>
          <w:rFonts w:ascii="Arial" w:hAnsi="Arial" w:cs="Arial"/>
          <w:sz w:val="24"/>
          <w:szCs w:val="24"/>
        </w:rPr>
        <w:t xml:space="preserve"> uprising ‘against the other estates’</w:t>
      </w:r>
      <w:r w:rsidR="004A6B2F">
        <w:rPr>
          <w:rFonts w:ascii="Arial" w:hAnsi="Arial" w:cs="Arial"/>
          <w:sz w:val="24"/>
          <w:szCs w:val="24"/>
        </w:rPr>
        <w:t xml:space="preserve">: once </w:t>
      </w:r>
      <w:r w:rsidR="007D71E6">
        <w:rPr>
          <w:rFonts w:ascii="Arial" w:hAnsi="Arial" w:cs="Arial"/>
          <w:sz w:val="24"/>
          <w:szCs w:val="24"/>
        </w:rPr>
        <w:t>t</w:t>
      </w:r>
      <w:r w:rsidR="00326614">
        <w:rPr>
          <w:rFonts w:ascii="Arial" w:hAnsi="Arial" w:cs="Arial"/>
          <w:sz w:val="24"/>
          <w:szCs w:val="24"/>
        </w:rPr>
        <w:t>hey</w:t>
      </w:r>
      <w:r w:rsidR="007D71E6">
        <w:rPr>
          <w:rFonts w:ascii="Arial" w:hAnsi="Arial" w:cs="Arial"/>
          <w:sz w:val="24"/>
          <w:szCs w:val="24"/>
        </w:rPr>
        <w:t xml:space="preserve"> were </w:t>
      </w:r>
      <w:r w:rsidR="004A6B2F">
        <w:rPr>
          <w:rFonts w:ascii="Arial" w:hAnsi="Arial" w:cs="Arial"/>
          <w:sz w:val="24"/>
          <w:szCs w:val="24"/>
        </w:rPr>
        <w:t>s</w:t>
      </w:r>
      <w:r>
        <w:rPr>
          <w:rFonts w:ascii="Arial" w:hAnsi="Arial" w:cs="Arial"/>
          <w:sz w:val="24"/>
          <w:szCs w:val="24"/>
        </w:rPr>
        <w:t xml:space="preserve">afely demarcated from the rest of society, and </w:t>
      </w:r>
      <w:r w:rsidR="00E80C65">
        <w:rPr>
          <w:rFonts w:ascii="Arial" w:hAnsi="Arial" w:cs="Arial"/>
          <w:sz w:val="24"/>
          <w:szCs w:val="24"/>
        </w:rPr>
        <w:t>al</w:t>
      </w:r>
      <w:r>
        <w:rPr>
          <w:rFonts w:ascii="Arial" w:hAnsi="Arial" w:cs="Arial"/>
          <w:sz w:val="24"/>
          <w:szCs w:val="24"/>
        </w:rPr>
        <w:t xml:space="preserve">so </w:t>
      </w:r>
      <w:r w:rsidR="004A6B2F">
        <w:rPr>
          <w:rFonts w:ascii="Arial" w:hAnsi="Arial" w:cs="Arial"/>
          <w:sz w:val="24"/>
          <w:szCs w:val="24"/>
        </w:rPr>
        <w:t xml:space="preserve">from </w:t>
      </w:r>
      <w:r>
        <w:rPr>
          <w:rFonts w:ascii="Arial" w:hAnsi="Arial" w:cs="Arial"/>
          <w:sz w:val="24"/>
          <w:szCs w:val="24"/>
        </w:rPr>
        <w:t>himself as the voice of the people, he</w:t>
      </w:r>
      <w:r w:rsidR="00E80C65">
        <w:rPr>
          <w:rFonts w:ascii="Arial" w:hAnsi="Arial" w:cs="Arial"/>
          <w:sz w:val="24"/>
          <w:szCs w:val="24"/>
        </w:rPr>
        <w:t xml:space="preserve"> could</w:t>
      </w:r>
      <w:r>
        <w:rPr>
          <w:rFonts w:ascii="Arial" w:hAnsi="Arial" w:cs="Arial"/>
          <w:sz w:val="24"/>
          <w:szCs w:val="24"/>
        </w:rPr>
        <w:t xml:space="preserve"> now define the </w:t>
      </w:r>
      <w:r w:rsidR="004A6B2F">
        <w:rPr>
          <w:rFonts w:ascii="Arial" w:hAnsi="Arial" w:cs="Arial"/>
          <w:sz w:val="24"/>
          <w:szCs w:val="24"/>
        </w:rPr>
        <w:t>‘</w:t>
      </w:r>
      <w:r>
        <w:rPr>
          <w:rFonts w:ascii="Arial" w:hAnsi="Arial" w:cs="Arial"/>
          <w:sz w:val="24"/>
          <w:szCs w:val="24"/>
        </w:rPr>
        <w:t>rebels</w:t>
      </w:r>
      <w:r w:rsidR="004A6B2F">
        <w:rPr>
          <w:rFonts w:ascii="Arial" w:hAnsi="Arial" w:cs="Arial"/>
          <w:sz w:val="24"/>
          <w:szCs w:val="24"/>
        </w:rPr>
        <w:t>’</w:t>
      </w:r>
      <w:r>
        <w:rPr>
          <w:rFonts w:ascii="Arial" w:hAnsi="Arial" w:cs="Arial"/>
          <w:sz w:val="24"/>
          <w:szCs w:val="24"/>
        </w:rPr>
        <w:t xml:space="preserve"> as </w:t>
      </w:r>
      <w:r w:rsidR="004A6B2F">
        <w:rPr>
          <w:rFonts w:ascii="Arial" w:hAnsi="Arial" w:cs="Arial"/>
          <w:sz w:val="24"/>
          <w:szCs w:val="24"/>
        </w:rPr>
        <w:t>‘</w:t>
      </w:r>
      <w:r>
        <w:rPr>
          <w:rFonts w:ascii="Arial" w:hAnsi="Arial" w:cs="Arial"/>
          <w:sz w:val="24"/>
          <w:szCs w:val="24"/>
        </w:rPr>
        <w:t>swine into which a cursed spirit had entered, just as Holy Writ tells of</w:t>
      </w:r>
      <w:r w:rsidR="004A6B2F">
        <w:rPr>
          <w:rFonts w:ascii="Arial" w:hAnsi="Arial" w:cs="Arial"/>
          <w:sz w:val="24"/>
          <w:szCs w:val="24"/>
        </w:rPr>
        <w:t>’</w:t>
      </w:r>
      <w:r>
        <w:rPr>
          <w:rFonts w:ascii="Arial" w:hAnsi="Arial" w:cs="Arial"/>
          <w:sz w:val="24"/>
          <w:szCs w:val="24"/>
        </w:rPr>
        <w:t>.</w:t>
      </w:r>
      <w:r>
        <w:rPr>
          <w:rStyle w:val="FootnoteReference"/>
          <w:rFonts w:ascii="Arial" w:hAnsi="Arial" w:cs="Arial"/>
          <w:sz w:val="24"/>
          <w:szCs w:val="24"/>
        </w:rPr>
        <w:footnoteReference w:id="79"/>
      </w:r>
      <w:r>
        <w:rPr>
          <w:rFonts w:ascii="Arial" w:hAnsi="Arial" w:cs="Arial"/>
          <w:sz w:val="24"/>
          <w:szCs w:val="24"/>
        </w:rPr>
        <w:t xml:space="preserve"> Th</w:t>
      </w:r>
      <w:r w:rsidR="004A6B2F">
        <w:rPr>
          <w:rFonts w:ascii="Arial" w:hAnsi="Arial" w:cs="Arial"/>
          <w:sz w:val="24"/>
          <w:szCs w:val="24"/>
        </w:rPr>
        <w:t>ose who took part in the Uprising</w:t>
      </w:r>
      <w:r>
        <w:rPr>
          <w:rFonts w:ascii="Arial" w:hAnsi="Arial" w:cs="Arial"/>
          <w:sz w:val="24"/>
          <w:szCs w:val="24"/>
        </w:rPr>
        <w:t xml:space="preserve"> </w:t>
      </w:r>
      <w:r w:rsidR="004A6B2F">
        <w:rPr>
          <w:rFonts w:ascii="Arial" w:hAnsi="Arial" w:cs="Arial"/>
          <w:sz w:val="24"/>
          <w:szCs w:val="24"/>
        </w:rPr>
        <w:t>we</w:t>
      </w:r>
      <w:r>
        <w:rPr>
          <w:rFonts w:ascii="Arial" w:hAnsi="Arial" w:cs="Arial"/>
          <w:sz w:val="24"/>
          <w:szCs w:val="24"/>
        </w:rPr>
        <w:t xml:space="preserve">re </w:t>
      </w:r>
      <w:r w:rsidR="004A6B2F">
        <w:rPr>
          <w:rFonts w:ascii="Arial" w:hAnsi="Arial" w:cs="Arial"/>
          <w:sz w:val="24"/>
          <w:szCs w:val="24"/>
        </w:rPr>
        <w:t xml:space="preserve">being </w:t>
      </w:r>
      <w:r>
        <w:rPr>
          <w:rFonts w:ascii="Arial" w:hAnsi="Arial" w:cs="Arial"/>
          <w:sz w:val="24"/>
          <w:szCs w:val="24"/>
        </w:rPr>
        <w:t xml:space="preserve">cast as </w:t>
      </w:r>
      <w:r w:rsidR="00CA4031">
        <w:rPr>
          <w:rFonts w:ascii="Arial" w:hAnsi="Arial" w:cs="Arial"/>
          <w:sz w:val="24"/>
          <w:szCs w:val="24"/>
        </w:rPr>
        <w:t>the</w:t>
      </w:r>
      <w:r>
        <w:rPr>
          <w:rFonts w:ascii="Arial" w:hAnsi="Arial" w:cs="Arial"/>
          <w:sz w:val="24"/>
          <w:szCs w:val="24"/>
        </w:rPr>
        <w:t xml:space="preserve"> reasonless pig flesh containing the demonic </w:t>
      </w:r>
      <w:r w:rsidR="004A6B2F">
        <w:rPr>
          <w:rFonts w:ascii="Arial" w:hAnsi="Arial" w:cs="Arial"/>
          <w:sz w:val="24"/>
          <w:szCs w:val="24"/>
        </w:rPr>
        <w:t>of</w:t>
      </w:r>
      <w:r>
        <w:rPr>
          <w:rFonts w:ascii="Arial" w:hAnsi="Arial" w:cs="Arial"/>
          <w:sz w:val="24"/>
          <w:szCs w:val="24"/>
        </w:rPr>
        <w:t xml:space="preserve"> Mark: 5, yet </w:t>
      </w:r>
      <w:r w:rsidR="006F0E1B">
        <w:rPr>
          <w:rFonts w:ascii="Arial" w:hAnsi="Arial" w:cs="Arial"/>
          <w:sz w:val="24"/>
          <w:szCs w:val="24"/>
        </w:rPr>
        <w:t xml:space="preserve">they </w:t>
      </w:r>
      <w:r>
        <w:rPr>
          <w:rFonts w:ascii="Arial" w:hAnsi="Arial" w:cs="Arial"/>
          <w:sz w:val="24"/>
          <w:szCs w:val="24"/>
        </w:rPr>
        <w:t>retain</w:t>
      </w:r>
      <w:r w:rsidR="004A6B2F">
        <w:rPr>
          <w:rFonts w:ascii="Arial" w:hAnsi="Arial" w:cs="Arial"/>
          <w:sz w:val="24"/>
          <w:szCs w:val="24"/>
        </w:rPr>
        <w:t>ed</w:t>
      </w:r>
      <w:r>
        <w:rPr>
          <w:rFonts w:ascii="Arial" w:hAnsi="Arial" w:cs="Arial"/>
          <w:sz w:val="24"/>
          <w:szCs w:val="24"/>
        </w:rPr>
        <w:t xml:space="preserve"> </w:t>
      </w:r>
      <w:r w:rsidR="004A6B2F">
        <w:rPr>
          <w:rFonts w:ascii="Arial" w:hAnsi="Arial" w:cs="Arial"/>
          <w:sz w:val="24"/>
          <w:szCs w:val="24"/>
        </w:rPr>
        <w:t>the qualities of</w:t>
      </w:r>
      <w:r>
        <w:rPr>
          <w:rFonts w:ascii="Arial" w:hAnsi="Arial" w:cs="Arial"/>
          <w:sz w:val="24"/>
          <w:szCs w:val="24"/>
        </w:rPr>
        <w:t xml:space="preserve"> destructive porcine savagery and malice</w:t>
      </w:r>
      <w:r w:rsidR="001421A0">
        <w:rPr>
          <w:rFonts w:ascii="Arial" w:hAnsi="Arial" w:cs="Arial"/>
          <w:sz w:val="24"/>
          <w:szCs w:val="24"/>
        </w:rPr>
        <w:t xml:space="preserve">. </w:t>
      </w:r>
      <w:r w:rsidR="000C7E56">
        <w:rPr>
          <w:rFonts w:ascii="Arial" w:hAnsi="Arial" w:cs="Arial"/>
          <w:sz w:val="24"/>
          <w:szCs w:val="24"/>
        </w:rPr>
        <w:t>Sadly, the pig seems unable to free itself from its status of most ‘animal of animals</w:t>
      </w:r>
      <w:r w:rsidR="000C7E56">
        <w:rPr>
          <w:rFonts w:ascii="Arial" w:hAnsi="Arial" w:cs="Arial"/>
          <w:sz w:val="24"/>
          <w:szCs w:val="24"/>
        </w:rPr>
        <w:t>’</w:t>
      </w:r>
      <w:r w:rsidR="000C7E56">
        <w:rPr>
          <w:rFonts w:ascii="Arial" w:hAnsi="Arial" w:cs="Arial"/>
          <w:sz w:val="24"/>
          <w:szCs w:val="24"/>
        </w:rPr>
        <w:t xml:space="preserve">, and </w:t>
      </w:r>
      <w:r w:rsidR="000C7E56">
        <w:rPr>
          <w:rFonts w:ascii="Arial" w:hAnsi="Arial" w:cs="Arial"/>
          <w:sz w:val="24"/>
          <w:szCs w:val="24"/>
        </w:rPr>
        <w:t xml:space="preserve">the </w:t>
      </w:r>
      <w:r w:rsidR="00B137EB">
        <w:rPr>
          <w:rFonts w:ascii="Arial" w:hAnsi="Arial" w:cs="Arial"/>
          <w:sz w:val="24"/>
          <w:szCs w:val="24"/>
        </w:rPr>
        <w:t xml:space="preserve">animal </w:t>
      </w:r>
      <w:r w:rsidR="000C7E56">
        <w:rPr>
          <w:rFonts w:ascii="Arial" w:hAnsi="Arial" w:cs="Arial"/>
          <w:sz w:val="24"/>
          <w:szCs w:val="24"/>
        </w:rPr>
        <w:t xml:space="preserve">‘most like </w:t>
      </w:r>
      <w:r w:rsidR="002E79A1">
        <w:rPr>
          <w:rFonts w:ascii="Arial" w:hAnsi="Arial" w:cs="Arial"/>
          <w:sz w:val="24"/>
          <w:szCs w:val="24"/>
        </w:rPr>
        <w:t>people</w:t>
      </w:r>
      <w:r w:rsidR="000C7E56">
        <w:rPr>
          <w:rFonts w:ascii="Arial" w:hAnsi="Arial" w:cs="Arial"/>
          <w:sz w:val="24"/>
          <w:szCs w:val="24"/>
        </w:rPr>
        <w:t>’. It is the demonic hidden in the domestic</w:t>
      </w:r>
      <w:r w:rsidR="006F0E1B">
        <w:rPr>
          <w:rFonts w:ascii="Arial" w:hAnsi="Arial" w:cs="Arial"/>
          <w:sz w:val="24"/>
          <w:szCs w:val="24"/>
        </w:rPr>
        <w:t>. The capability for it to turn on its ‘innocent’ superiors</w:t>
      </w:r>
      <w:r w:rsidR="000C7E56">
        <w:rPr>
          <w:rFonts w:ascii="Arial" w:hAnsi="Arial" w:cs="Arial"/>
          <w:sz w:val="24"/>
          <w:szCs w:val="24"/>
        </w:rPr>
        <w:t xml:space="preserve"> </w:t>
      </w:r>
      <w:r w:rsidR="006F0E1B">
        <w:rPr>
          <w:rFonts w:ascii="Arial" w:hAnsi="Arial" w:cs="Arial"/>
          <w:sz w:val="24"/>
          <w:szCs w:val="24"/>
        </w:rPr>
        <w:t xml:space="preserve">imbues all pigs with a </w:t>
      </w:r>
      <w:r w:rsidR="000C7E56">
        <w:rPr>
          <w:rFonts w:ascii="Arial" w:hAnsi="Arial" w:cs="Arial"/>
          <w:sz w:val="24"/>
          <w:szCs w:val="24"/>
        </w:rPr>
        <w:t>brutal treachery</w:t>
      </w:r>
      <w:r w:rsidR="006F0E1B">
        <w:rPr>
          <w:rFonts w:ascii="Arial" w:hAnsi="Arial" w:cs="Arial"/>
          <w:sz w:val="24"/>
          <w:szCs w:val="24"/>
        </w:rPr>
        <w:t>,</w:t>
      </w:r>
      <w:r w:rsidR="000C7E56">
        <w:rPr>
          <w:rFonts w:ascii="Arial" w:hAnsi="Arial" w:cs="Arial"/>
          <w:sz w:val="24"/>
          <w:szCs w:val="24"/>
        </w:rPr>
        <w:t xml:space="preserve"> an image that Chaucer’s quote of the title, ‘the sowe fretten the child right in the cradel’, so chillingly embodie</w:t>
      </w:r>
      <w:r w:rsidR="006F0E1B">
        <w:rPr>
          <w:rFonts w:ascii="Arial" w:hAnsi="Arial" w:cs="Arial"/>
          <w:sz w:val="24"/>
          <w:szCs w:val="24"/>
        </w:rPr>
        <w:t>s</w:t>
      </w:r>
      <w:r w:rsidR="000C7E56">
        <w:rPr>
          <w:rFonts w:ascii="Arial" w:hAnsi="Arial" w:cs="Arial"/>
          <w:sz w:val="24"/>
          <w:szCs w:val="24"/>
        </w:rPr>
        <w:t>.</w:t>
      </w:r>
      <w:r w:rsidR="002E79A1">
        <w:rPr>
          <w:rFonts w:ascii="Arial" w:hAnsi="Arial" w:cs="Arial"/>
          <w:sz w:val="24"/>
          <w:szCs w:val="24"/>
        </w:rPr>
        <w:t xml:space="preserve"> </w:t>
      </w:r>
    </w:p>
    <w:p w14:paraId="2DB44C02" w14:textId="77777777" w:rsidR="009F19FF" w:rsidRDefault="009F19FF">
      <w:pPr>
        <w:rPr>
          <w:rFonts w:ascii="Arial" w:hAnsi="Arial" w:cs="Arial"/>
          <w:sz w:val="24"/>
          <w:szCs w:val="24"/>
        </w:rPr>
      </w:pPr>
      <w:r>
        <w:rPr>
          <w:rFonts w:ascii="Arial" w:hAnsi="Arial" w:cs="Arial"/>
          <w:sz w:val="24"/>
          <w:szCs w:val="24"/>
        </w:rPr>
        <w:br w:type="page"/>
      </w:r>
    </w:p>
    <w:p w14:paraId="067C2DC0" w14:textId="77777777" w:rsidR="009F19FF" w:rsidRDefault="009F19FF" w:rsidP="009F19FF">
      <w:pPr>
        <w:spacing w:line="240" w:lineRule="auto"/>
        <w:rPr>
          <w:rFonts w:ascii="Arial" w:hAnsi="Arial" w:cs="Arial"/>
          <w:b/>
          <w:bCs/>
          <w:sz w:val="24"/>
          <w:szCs w:val="24"/>
        </w:rPr>
      </w:pPr>
      <w:r w:rsidRPr="00BA3514">
        <w:rPr>
          <w:rFonts w:ascii="Arial" w:hAnsi="Arial" w:cs="Arial"/>
          <w:b/>
          <w:bCs/>
          <w:sz w:val="24"/>
          <w:szCs w:val="24"/>
        </w:rPr>
        <w:lastRenderedPageBreak/>
        <w:t>Bibliography</w:t>
      </w:r>
    </w:p>
    <w:p w14:paraId="64F3E4E2" w14:textId="77777777" w:rsidR="009F19FF" w:rsidRPr="000D5958" w:rsidRDefault="009F19FF" w:rsidP="009F19FF">
      <w:pPr>
        <w:tabs>
          <w:tab w:val="left" w:pos="2054"/>
        </w:tabs>
        <w:spacing w:line="240" w:lineRule="auto"/>
        <w:rPr>
          <w:rFonts w:ascii="Arial" w:hAnsi="Arial" w:cs="Arial"/>
          <w:sz w:val="24"/>
          <w:szCs w:val="24"/>
        </w:rPr>
      </w:pPr>
      <w:bookmarkStart w:id="24" w:name="_Hlk13071066"/>
    </w:p>
    <w:p w14:paraId="7BA08C89" w14:textId="77777777" w:rsidR="009F19FF" w:rsidRPr="002276E1" w:rsidRDefault="009F19FF" w:rsidP="009F19FF">
      <w:pPr>
        <w:tabs>
          <w:tab w:val="left" w:pos="2054"/>
        </w:tabs>
        <w:spacing w:line="240" w:lineRule="auto"/>
        <w:rPr>
          <w:rFonts w:ascii="Arial" w:hAnsi="Arial" w:cs="Arial"/>
          <w:sz w:val="24"/>
          <w:szCs w:val="24"/>
        </w:rPr>
      </w:pPr>
      <w:r w:rsidRPr="002276E1">
        <w:rPr>
          <w:rFonts w:ascii="Arial" w:hAnsi="Arial" w:cs="Arial"/>
          <w:sz w:val="24"/>
          <w:szCs w:val="24"/>
        </w:rPr>
        <w:t xml:space="preserve">Anderson, </w:t>
      </w:r>
      <w:r>
        <w:rPr>
          <w:rFonts w:ascii="Arial" w:hAnsi="Arial" w:cs="Arial"/>
          <w:sz w:val="24"/>
          <w:szCs w:val="24"/>
        </w:rPr>
        <w:t xml:space="preserve">S., </w:t>
      </w:r>
      <w:r w:rsidRPr="002276E1">
        <w:rPr>
          <w:rFonts w:ascii="Arial" w:hAnsi="Arial" w:cs="Arial"/>
          <w:i/>
          <w:iCs/>
          <w:sz w:val="24"/>
          <w:szCs w:val="24"/>
        </w:rPr>
        <w:t>Mirrors and Fears: Humans in the Bestiary</w:t>
      </w:r>
      <w:r w:rsidRPr="002276E1">
        <w:rPr>
          <w:rFonts w:ascii="Arial" w:hAnsi="Arial" w:cs="Arial"/>
          <w:sz w:val="24"/>
          <w:szCs w:val="24"/>
        </w:rPr>
        <w:t>, Arizona State University, May</w:t>
      </w:r>
      <w:r>
        <w:rPr>
          <w:rFonts w:ascii="Arial" w:hAnsi="Arial" w:cs="Arial"/>
          <w:sz w:val="24"/>
          <w:szCs w:val="24"/>
        </w:rPr>
        <w:t xml:space="preserve"> </w:t>
      </w:r>
      <w:r w:rsidRPr="002276E1">
        <w:rPr>
          <w:rFonts w:ascii="Arial" w:hAnsi="Arial" w:cs="Arial"/>
          <w:sz w:val="24"/>
          <w:szCs w:val="24"/>
        </w:rPr>
        <w:t>2014,</w:t>
      </w:r>
      <w:r>
        <w:rPr>
          <w:rFonts w:ascii="Arial" w:hAnsi="Arial" w:cs="Arial"/>
          <w:sz w:val="24"/>
          <w:szCs w:val="24"/>
        </w:rPr>
        <w:t xml:space="preserve"> </w:t>
      </w:r>
      <w:hyperlink r:id="rId7" w:history="1">
        <w:r w:rsidRPr="00847A2B">
          <w:rPr>
            <w:rStyle w:val="Hyperlink"/>
            <w:rFonts w:ascii="Arial" w:hAnsi="Arial" w:cs="Arial"/>
            <w:sz w:val="24"/>
            <w:szCs w:val="24"/>
          </w:rPr>
          <w:t>https://repository.asu.edu/attachments/135098/content/Anderson_asu_0010N_13956.pdf</w:t>
        </w:r>
      </w:hyperlink>
      <w:r w:rsidRPr="002276E1">
        <w:rPr>
          <w:rFonts w:ascii="Arial" w:hAnsi="Arial" w:cs="Arial"/>
          <w:sz w:val="24"/>
          <w:szCs w:val="24"/>
        </w:rPr>
        <w:t xml:space="preserve">   </w:t>
      </w:r>
      <w:bookmarkEnd w:id="24"/>
      <w:r w:rsidRPr="002276E1">
        <w:rPr>
          <w:rFonts w:ascii="Arial" w:hAnsi="Arial" w:cs="Arial"/>
          <w:sz w:val="24"/>
          <w:szCs w:val="24"/>
        </w:rPr>
        <w:t>Accessed 12</w:t>
      </w:r>
      <w:r w:rsidRPr="002276E1">
        <w:rPr>
          <w:rFonts w:ascii="Arial" w:hAnsi="Arial" w:cs="Arial"/>
          <w:sz w:val="24"/>
          <w:szCs w:val="24"/>
          <w:vertAlign w:val="superscript"/>
        </w:rPr>
        <w:t>th</w:t>
      </w:r>
      <w:r w:rsidRPr="002276E1">
        <w:rPr>
          <w:rFonts w:ascii="Arial" w:hAnsi="Arial" w:cs="Arial"/>
          <w:sz w:val="24"/>
          <w:szCs w:val="24"/>
        </w:rPr>
        <w:t xml:space="preserve"> Oct 2018.</w:t>
      </w:r>
    </w:p>
    <w:p w14:paraId="593C6D30" w14:textId="77777777" w:rsidR="009F19FF" w:rsidRPr="006E0161" w:rsidRDefault="009F19FF" w:rsidP="009F19FF">
      <w:pPr>
        <w:spacing w:line="240" w:lineRule="auto"/>
        <w:rPr>
          <w:rFonts w:ascii="Arial" w:hAnsi="Arial" w:cs="Arial"/>
          <w:sz w:val="24"/>
          <w:szCs w:val="24"/>
        </w:rPr>
      </w:pPr>
      <w:r w:rsidRPr="006E0161">
        <w:rPr>
          <w:rFonts w:ascii="Arial" w:hAnsi="Arial" w:cs="Arial"/>
          <w:sz w:val="24"/>
          <w:szCs w:val="24"/>
          <w:shd w:val="clear" w:color="auto" w:fill="FFFFFF"/>
        </w:rPr>
        <w:t>Barton,</w:t>
      </w:r>
      <w:r>
        <w:rPr>
          <w:rFonts w:ascii="Arial" w:hAnsi="Arial" w:cs="Arial"/>
          <w:sz w:val="24"/>
          <w:szCs w:val="24"/>
          <w:shd w:val="clear" w:color="auto" w:fill="FFFFFF"/>
        </w:rPr>
        <w:t xml:space="preserve"> </w:t>
      </w:r>
      <w:r w:rsidRPr="006E0161">
        <w:rPr>
          <w:rFonts w:ascii="Arial" w:hAnsi="Arial" w:cs="Arial"/>
          <w:sz w:val="24"/>
          <w:szCs w:val="24"/>
          <w:shd w:val="clear" w:color="auto" w:fill="FFFFFF"/>
        </w:rPr>
        <w:t>Dr M</w:t>
      </w:r>
      <w:r>
        <w:rPr>
          <w:rFonts w:ascii="Arial" w:hAnsi="Arial" w:cs="Arial"/>
          <w:sz w:val="24"/>
          <w:szCs w:val="24"/>
          <w:shd w:val="clear" w:color="auto" w:fill="FFFFFF"/>
        </w:rPr>
        <w:t>.,</w:t>
      </w:r>
      <w:r w:rsidRPr="006E0161">
        <w:rPr>
          <w:rFonts w:ascii="Arial" w:hAnsi="Arial" w:cs="Arial"/>
          <w:sz w:val="24"/>
          <w:szCs w:val="24"/>
          <w:shd w:val="clear" w:color="auto" w:fill="FFFFFF"/>
        </w:rPr>
        <w:t xml:space="preserve"> ‘Claudius Galen’, </w:t>
      </w:r>
      <w:r w:rsidRPr="006E0161">
        <w:rPr>
          <w:rFonts w:ascii="Arial" w:hAnsi="Arial" w:cs="Arial"/>
          <w:i/>
          <w:iCs/>
          <w:sz w:val="24"/>
          <w:szCs w:val="24"/>
          <w:shd w:val="clear" w:color="auto" w:fill="FFFFFF"/>
        </w:rPr>
        <w:t>Past Medical History</w:t>
      </w:r>
      <w:r w:rsidRPr="006E0161">
        <w:rPr>
          <w:rFonts w:ascii="Arial" w:hAnsi="Arial" w:cs="Arial"/>
          <w:sz w:val="24"/>
          <w:szCs w:val="24"/>
          <w:shd w:val="clear" w:color="auto" w:fill="FFFFFF"/>
        </w:rPr>
        <w:t>, (Dec 2016) &lt;</w:t>
      </w:r>
      <w:r w:rsidRPr="006E0161">
        <w:rPr>
          <w:rFonts w:ascii="Arial" w:hAnsi="Arial" w:cs="Arial"/>
          <w:sz w:val="24"/>
          <w:szCs w:val="24"/>
        </w:rPr>
        <w:t xml:space="preserve"> </w:t>
      </w:r>
      <w:hyperlink r:id="rId8" w:history="1">
        <w:r w:rsidRPr="006E0161">
          <w:rPr>
            <w:rStyle w:val="Hyperlink"/>
            <w:rFonts w:ascii="Arial" w:hAnsi="Arial" w:cs="Arial"/>
            <w:sz w:val="24"/>
            <w:szCs w:val="24"/>
            <w:shd w:val="clear" w:color="auto" w:fill="FFFFFF"/>
          </w:rPr>
          <w:t>www.pastmedicalhistory.co.uk/claudius-galen/</w:t>
        </w:r>
      </w:hyperlink>
      <w:r w:rsidRPr="006E0161">
        <w:rPr>
          <w:rFonts w:ascii="Arial" w:hAnsi="Arial" w:cs="Arial"/>
          <w:sz w:val="24"/>
          <w:szCs w:val="24"/>
          <w:shd w:val="clear" w:color="auto" w:fill="FFFFFF"/>
        </w:rPr>
        <w:t>&gt; Accessed 6</w:t>
      </w:r>
      <w:r w:rsidRPr="006E0161">
        <w:rPr>
          <w:rFonts w:ascii="Arial" w:hAnsi="Arial" w:cs="Arial"/>
          <w:sz w:val="24"/>
          <w:szCs w:val="24"/>
          <w:shd w:val="clear" w:color="auto" w:fill="FFFFFF"/>
          <w:vertAlign w:val="superscript"/>
        </w:rPr>
        <w:t>th</w:t>
      </w:r>
      <w:r w:rsidRPr="006E0161">
        <w:rPr>
          <w:rFonts w:ascii="Arial" w:hAnsi="Arial" w:cs="Arial"/>
          <w:sz w:val="24"/>
          <w:szCs w:val="24"/>
          <w:shd w:val="clear" w:color="auto" w:fill="FFFFFF"/>
        </w:rPr>
        <w:t xml:space="preserve"> July 2019.</w:t>
      </w:r>
    </w:p>
    <w:p w14:paraId="7E35A95E" w14:textId="77777777" w:rsidR="009F19FF" w:rsidRPr="00492059" w:rsidRDefault="009F19FF" w:rsidP="009F19FF">
      <w:pPr>
        <w:spacing w:line="240" w:lineRule="auto"/>
        <w:rPr>
          <w:rFonts w:ascii="Arial" w:hAnsi="Arial" w:cs="Arial"/>
          <w:sz w:val="24"/>
          <w:szCs w:val="24"/>
        </w:rPr>
      </w:pPr>
      <w:r w:rsidRPr="00492059">
        <w:rPr>
          <w:rFonts w:ascii="Arial" w:hAnsi="Arial" w:cs="Arial"/>
          <w:sz w:val="24"/>
          <w:szCs w:val="24"/>
        </w:rPr>
        <w:t xml:space="preserve">Beirnes, </w:t>
      </w:r>
      <w:r>
        <w:rPr>
          <w:rFonts w:ascii="Arial" w:hAnsi="Arial" w:cs="Arial"/>
          <w:sz w:val="24"/>
          <w:szCs w:val="24"/>
        </w:rPr>
        <w:t xml:space="preserve">P., </w:t>
      </w:r>
      <w:r w:rsidRPr="00492059">
        <w:rPr>
          <w:rFonts w:ascii="Arial" w:hAnsi="Arial" w:cs="Arial"/>
          <w:i/>
          <w:iCs/>
          <w:sz w:val="24"/>
          <w:szCs w:val="24"/>
        </w:rPr>
        <w:t>The Law is an Ass: Reading E P Evans’ ‘The Medieval Prosecution and Capital Punishment of Animals’</w:t>
      </w:r>
      <w:r w:rsidRPr="00492059">
        <w:rPr>
          <w:rFonts w:ascii="Arial" w:hAnsi="Arial" w:cs="Arial"/>
          <w:sz w:val="24"/>
          <w:szCs w:val="24"/>
        </w:rPr>
        <w:t xml:space="preserve"> (Cambridge: The White Horse Press, 1994)</w:t>
      </w:r>
    </w:p>
    <w:p w14:paraId="6BAF80AB" w14:textId="77777777" w:rsidR="009F19FF" w:rsidRPr="00146F7E" w:rsidRDefault="009F19FF" w:rsidP="009F19FF">
      <w:pPr>
        <w:spacing w:line="240" w:lineRule="auto"/>
        <w:rPr>
          <w:rFonts w:ascii="Arial" w:hAnsi="Arial" w:cs="Arial"/>
          <w:sz w:val="24"/>
          <w:szCs w:val="24"/>
        </w:rPr>
      </w:pPr>
      <w:r w:rsidRPr="00146F7E">
        <w:rPr>
          <w:rFonts w:ascii="Arial" w:hAnsi="Arial" w:cs="Arial"/>
          <w:sz w:val="24"/>
          <w:szCs w:val="24"/>
        </w:rPr>
        <w:t>Beirnes,</w:t>
      </w:r>
      <w:r>
        <w:rPr>
          <w:rFonts w:ascii="Arial" w:hAnsi="Arial" w:cs="Arial"/>
          <w:sz w:val="24"/>
          <w:szCs w:val="24"/>
        </w:rPr>
        <w:t xml:space="preserve"> p.,</w:t>
      </w:r>
      <w:r w:rsidRPr="00146F7E">
        <w:rPr>
          <w:rFonts w:ascii="Arial" w:hAnsi="Arial" w:cs="Arial"/>
          <w:sz w:val="24"/>
          <w:szCs w:val="24"/>
        </w:rPr>
        <w:t xml:space="preserve"> ‘A note on the facticity of animal trials in early modern Britain; or, the curious prosecution of farmer Carter’s dog for murder’, </w:t>
      </w:r>
      <w:r w:rsidRPr="00146F7E">
        <w:rPr>
          <w:rFonts w:ascii="Arial" w:hAnsi="Arial" w:cs="Arial"/>
          <w:i/>
          <w:iCs/>
          <w:sz w:val="24"/>
          <w:szCs w:val="24"/>
        </w:rPr>
        <w:t>Crime, Law and Social Change</w:t>
      </w:r>
      <w:r w:rsidRPr="00146F7E">
        <w:rPr>
          <w:rFonts w:ascii="Arial" w:hAnsi="Arial" w:cs="Arial"/>
          <w:sz w:val="24"/>
          <w:szCs w:val="24"/>
        </w:rPr>
        <w:t xml:space="preserve"> (2011), Published online: Springer Science+Business Media B.V. &lt;</w:t>
      </w:r>
      <w:hyperlink r:id="rId9" w:history="1">
        <w:r w:rsidRPr="00146F7E">
          <w:rPr>
            <w:rStyle w:val="Hyperlink"/>
            <w:rFonts w:ascii="Arial" w:hAnsi="Arial" w:cs="Arial"/>
            <w:sz w:val="24"/>
            <w:szCs w:val="24"/>
          </w:rPr>
          <w:t>https://link-springer-com.ezproxy.uwtsd.ac.uk/content/pdf/10.1007%2Fs10611-011-9291-8.pdf</w:t>
        </w:r>
      </w:hyperlink>
      <w:r w:rsidRPr="00146F7E">
        <w:rPr>
          <w:rFonts w:ascii="Arial" w:hAnsi="Arial" w:cs="Arial"/>
          <w:sz w:val="24"/>
          <w:szCs w:val="24"/>
        </w:rPr>
        <w:t>&gt; Accessed 13</w:t>
      </w:r>
      <w:r w:rsidRPr="00146F7E">
        <w:rPr>
          <w:rFonts w:ascii="Arial" w:hAnsi="Arial" w:cs="Arial"/>
          <w:sz w:val="24"/>
          <w:szCs w:val="24"/>
          <w:vertAlign w:val="superscript"/>
        </w:rPr>
        <w:t>th</w:t>
      </w:r>
      <w:r w:rsidRPr="00146F7E">
        <w:rPr>
          <w:rFonts w:ascii="Arial" w:hAnsi="Arial" w:cs="Arial"/>
          <w:sz w:val="24"/>
          <w:szCs w:val="24"/>
        </w:rPr>
        <w:t xml:space="preserve"> Nov 2018</w:t>
      </w:r>
    </w:p>
    <w:p w14:paraId="46E81456" w14:textId="77777777" w:rsidR="009F19FF" w:rsidRDefault="009F19FF" w:rsidP="009F19FF">
      <w:pPr>
        <w:spacing w:line="240" w:lineRule="auto"/>
        <w:rPr>
          <w:rFonts w:ascii="Arial" w:hAnsi="Arial" w:cs="Arial"/>
          <w:sz w:val="24"/>
          <w:szCs w:val="24"/>
        </w:rPr>
      </w:pPr>
      <w:r>
        <w:rPr>
          <w:rFonts w:ascii="Arial" w:hAnsi="Arial" w:cs="Arial"/>
          <w:sz w:val="24"/>
          <w:szCs w:val="24"/>
        </w:rPr>
        <w:t xml:space="preserve">Bolman,B., </w:t>
      </w:r>
      <w:r>
        <w:rPr>
          <w:rFonts w:ascii="Arial" w:hAnsi="Arial" w:cs="Arial"/>
          <w:i/>
          <w:iCs/>
          <w:sz w:val="24"/>
          <w:szCs w:val="24"/>
        </w:rPr>
        <w:t>The Pigs That Therefore We Are: Anatomy, Biology and Transplantation</w:t>
      </w:r>
      <w:r>
        <w:rPr>
          <w:rFonts w:ascii="Arial" w:hAnsi="Arial" w:cs="Arial"/>
          <w:sz w:val="24"/>
          <w:szCs w:val="24"/>
        </w:rPr>
        <w:t xml:space="preserve"> (Aug 9</w:t>
      </w:r>
      <w:r w:rsidRPr="00BA3514">
        <w:rPr>
          <w:rFonts w:ascii="Arial" w:hAnsi="Arial" w:cs="Arial"/>
          <w:sz w:val="24"/>
          <w:szCs w:val="24"/>
          <w:vertAlign w:val="superscript"/>
        </w:rPr>
        <w:t>th</w:t>
      </w:r>
      <w:r>
        <w:rPr>
          <w:rFonts w:ascii="Arial" w:hAnsi="Arial" w:cs="Arial"/>
          <w:sz w:val="24"/>
          <w:szCs w:val="24"/>
        </w:rPr>
        <w:t>, 2013</w:t>
      </w:r>
      <w:r w:rsidRPr="00BA3514">
        <w:rPr>
          <w:rFonts w:ascii="Arial" w:hAnsi="Arial" w:cs="Arial"/>
          <w:sz w:val="24"/>
          <w:szCs w:val="24"/>
        </w:rPr>
        <w:t xml:space="preserve">)  </w:t>
      </w:r>
      <w:hyperlink r:id="rId10" w:history="1">
        <w:r w:rsidRPr="00847A2B">
          <w:rPr>
            <w:rStyle w:val="Hyperlink"/>
            <w:rFonts w:ascii="Arial" w:hAnsi="Arial" w:cs="Arial"/>
            <w:sz w:val="24"/>
            <w:szCs w:val="24"/>
          </w:rPr>
          <w:t xml:space="preserve">https://ocw.mit.edu/courses/science-technology-and-society/sts-330-history-and-anthropology-of-medicine-and-biology-spring-2013/assignments/MITSTS_330S13_BolmModePigs.pdf </w:t>
        </w:r>
      </w:hyperlink>
      <w:r>
        <w:rPr>
          <w:rFonts w:ascii="Arial" w:hAnsi="Arial" w:cs="Arial"/>
          <w:sz w:val="24"/>
          <w:szCs w:val="24"/>
        </w:rPr>
        <w:t xml:space="preserve"> Accessed 28</w:t>
      </w:r>
      <w:r w:rsidRPr="003E7E6E">
        <w:rPr>
          <w:rFonts w:ascii="Arial" w:hAnsi="Arial" w:cs="Arial"/>
          <w:sz w:val="24"/>
          <w:szCs w:val="24"/>
          <w:vertAlign w:val="superscript"/>
        </w:rPr>
        <w:t>th</w:t>
      </w:r>
      <w:r>
        <w:rPr>
          <w:rFonts w:ascii="Arial" w:hAnsi="Arial" w:cs="Arial"/>
          <w:sz w:val="24"/>
          <w:szCs w:val="24"/>
        </w:rPr>
        <w:t xml:space="preserve"> June 2019</w:t>
      </w:r>
    </w:p>
    <w:p w14:paraId="5060F697" w14:textId="77777777" w:rsidR="009F19FF" w:rsidRDefault="009F19FF" w:rsidP="009F19FF">
      <w:pPr>
        <w:spacing w:line="240" w:lineRule="auto"/>
        <w:rPr>
          <w:rFonts w:ascii="Arial" w:hAnsi="Arial" w:cs="Arial"/>
          <w:sz w:val="24"/>
          <w:szCs w:val="24"/>
        </w:rPr>
      </w:pPr>
      <w:r w:rsidRPr="00D459A8">
        <w:rPr>
          <w:rFonts w:ascii="Arial" w:hAnsi="Arial" w:cs="Arial"/>
          <w:sz w:val="24"/>
          <w:szCs w:val="24"/>
        </w:rPr>
        <w:t>Chaucer, G., ed. Larry D. Benson, ‘The Canterbury Tales’ in</w:t>
      </w:r>
      <w:r w:rsidRPr="00D459A8">
        <w:rPr>
          <w:rFonts w:ascii="Arial" w:hAnsi="Arial" w:cs="Arial"/>
          <w:i/>
          <w:sz w:val="24"/>
          <w:szCs w:val="24"/>
        </w:rPr>
        <w:t xml:space="preserve"> The Riverside Chaucer</w:t>
      </w:r>
      <w:r w:rsidRPr="00D459A8">
        <w:rPr>
          <w:rFonts w:ascii="Arial" w:hAnsi="Arial" w:cs="Arial"/>
          <w:sz w:val="24"/>
          <w:szCs w:val="24"/>
        </w:rPr>
        <w:t>, (Oxford: Oxford University Press, 1987)</w:t>
      </w:r>
    </w:p>
    <w:p w14:paraId="32E0E668" w14:textId="77777777" w:rsidR="009F19FF" w:rsidRPr="00E17272" w:rsidRDefault="009F19FF" w:rsidP="009F19FF">
      <w:pPr>
        <w:spacing w:line="240" w:lineRule="auto"/>
        <w:rPr>
          <w:rFonts w:ascii="Arial" w:hAnsi="Arial" w:cs="Arial"/>
          <w:b/>
          <w:bCs/>
          <w:sz w:val="24"/>
          <w:szCs w:val="24"/>
        </w:rPr>
      </w:pPr>
      <w:r>
        <w:rPr>
          <w:rFonts w:ascii="Arial" w:hAnsi="Arial" w:cs="Arial"/>
          <w:sz w:val="24"/>
          <w:szCs w:val="24"/>
        </w:rPr>
        <w:t xml:space="preserve">Cox, J. D., </w:t>
      </w:r>
      <w:r>
        <w:rPr>
          <w:rFonts w:ascii="Arial" w:hAnsi="Arial" w:cs="Arial"/>
          <w:i/>
          <w:iCs/>
          <w:sz w:val="24"/>
          <w:szCs w:val="24"/>
        </w:rPr>
        <w:t>The Devil and the Sacred in English Drama, 1350-1642</w:t>
      </w:r>
      <w:r>
        <w:rPr>
          <w:rFonts w:ascii="Arial" w:hAnsi="Arial" w:cs="Arial"/>
          <w:sz w:val="24"/>
          <w:szCs w:val="24"/>
        </w:rPr>
        <w:t xml:space="preserve"> (Cambridge: Cambridge University Press, 2000)</w:t>
      </w:r>
    </w:p>
    <w:p w14:paraId="78F3FEAB" w14:textId="77777777" w:rsidR="009F19FF" w:rsidRDefault="009F19FF" w:rsidP="009F19FF">
      <w:pPr>
        <w:spacing w:line="240" w:lineRule="auto"/>
        <w:rPr>
          <w:rFonts w:ascii="Arial" w:hAnsi="Arial" w:cs="Arial"/>
          <w:sz w:val="24"/>
          <w:szCs w:val="24"/>
        </w:rPr>
      </w:pPr>
      <w:r>
        <w:rPr>
          <w:rFonts w:ascii="Arial" w:hAnsi="Arial" w:cs="Arial"/>
          <w:sz w:val="24"/>
          <w:szCs w:val="24"/>
        </w:rPr>
        <w:t xml:space="preserve">Evans, E.P., </w:t>
      </w:r>
      <w:r>
        <w:rPr>
          <w:rFonts w:ascii="Arial" w:hAnsi="Arial" w:cs="Arial"/>
          <w:i/>
          <w:iCs/>
          <w:sz w:val="24"/>
          <w:szCs w:val="24"/>
        </w:rPr>
        <w:t>The Criminal Prosecution and Capital Punishment of Animals</w:t>
      </w:r>
      <w:r>
        <w:rPr>
          <w:rFonts w:ascii="Arial" w:hAnsi="Arial" w:cs="Arial"/>
          <w:sz w:val="24"/>
          <w:szCs w:val="24"/>
        </w:rPr>
        <w:t xml:space="preserve"> (London: Faber and Faber, 1906) </w:t>
      </w:r>
    </w:p>
    <w:p w14:paraId="437DCCA0" w14:textId="77777777" w:rsidR="009F19FF" w:rsidRPr="00E456DE" w:rsidRDefault="009F19FF" w:rsidP="009F19FF">
      <w:pPr>
        <w:spacing w:line="240" w:lineRule="auto"/>
        <w:rPr>
          <w:rFonts w:ascii="Arial" w:hAnsi="Arial" w:cs="Arial"/>
          <w:sz w:val="24"/>
          <w:szCs w:val="24"/>
        </w:rPr>
      </w:pPr>
      <w:r w:rsidRPr="00E456DE">
        <w:rPr>
          <w:rFonts w:ascii="Arial" w:hAnsi="Arial" w:cs="Arial"/>
          <w:sz w:val="24"/>
          <w:szCs w:val="24"/>
        </w:rPr>
        <w:t>Foucault,</w:t>
      </w:r>
      <w:r>
        <w:rPr>
          <w:rFonts w:ascii="Arial" w:hAnsi="Arial" w:cs="Arial"/>
          <w:sz w:val="24"/>
          <w:szCs w:val="24"/>
        </w:rPr>
        <w:t xml:space="preserve"> M.,</w:t>
      </w:r>
      <w:r w:rsidRPr="00E456DE">
        <w:rPr>
          <w:rFonts w:ascii="Arial" w:hAnsi="Arial" w:cs="Arial"/>
          <w:sz w:val="24"/>
          <w:szCs w:val="24"/>
        </w:rPr>
        <w:t xml:space="preserve"> </w:t>
      </w:r>
      <w:r w:rsidRPr="00E456DE">
        <w:rPr>
          <w:rFonts w:ascii="Arial" w:hAnsi="Arial" w:cs="Arial"/>
          <w:i/>
          <w:iCs/>
          <w:sz w:val="24"/>
          <w:szCs w:val="24"/>
        </w:rPr>
        <w:t>The Order of Things</w:t>
      </w:r>
      <w:r w:rsidRPr="00E456DE">
        <w:rPr>
          <w:rFonts w:ascii="Arial" w:hAnsi="Arial" w:cs="Arial"/>
          <w:sz w:val="24"/>
          <w:szCs w:val="24"/>
        </w:rPr>
        <w:t xml:space="preserve"> (London: Routledge, 1970)</w:t>
      </w:r>
    </w:p>
    <w:p w14:paraId="4C1FDC2F" w14:textId="77777777" w:rsidR="009F19FF" w:rsidRPr="002535E6" w:rsidRDefault="009F19FF" w:rsidP="009F19FF">
      <w:pPr>
        <w:spacing w:line="240" w:lineRule="auto"/>
        <w:rPr>
          <w:rFonts w:ascii="Arial" w:hAnsi="Arial" w:cs="Arial"/>
          <w:sz w:val="24"/>
          <w:szCs w:val="24"/>
        </w:rPr>
      </w:pPr>
      <w:r w:rsidRPr="002535E6">
        <w:rPr>
          <w:rFonts w:ascii="Arial" w:hAnsi="Arial" w:cs="Arial"/>
          <w:color w:val="000020"/>
          <w:sz w:val="24"/>
          <w:szCs w:val="24"/>
          <w:shd w:val="clear" w:color="auto" w:fill="FFFFFF"/>
        </w:rPr>
        <w:t>Frazer, Sir J</w:t>
      </w:r>
      <w:r>
        <w:rPr>
          <w:rFonts w:ascii="Arial" w:hAnsi="Arial" w:cs="Arial"/>
          <w:color w:val="000020"/>
          <w:sz w:val="24"/>
          <w:szCs w:val="24"/>
          <w:shd w:val="clear" w:color="auto" w:fill="FFFFFF"/>
        </w:rPr>
        <w:t>.</w:t>
      </w:r>
      <w:r w:rsidRPr="002535E6">
        <w:rPr>
          <w:rFonts w:ascii="Arial" w:hAnsi="Arial" w:cs="Arial"/>
          <w:color w:val="000020"/>
          <w:sz w:val="24"/>
          <w:szCs w:val="24"/>
          <w:shd w:val="clear" w:color="auto" w:fill="FFFFFF"/>
        </w:rPr>
        <w:t xml:space="preserve"> G</w:t>
      </w:r>
      <w:r>
        <w:rPr>
          <w:rFonts w:ascii="Arial" w:hAnsi="Arial" w:cs="Arial"/>
          <w:color w:val="000020"/>
          <w:sz w:val="24"/>
          <w:szCs w:val="24"/>
          <w:shd w:val="clear" w:color="auto" w:fill="FFFFFF"/>
        </w:rPr>
        <w:t>.,</w:t>
      </w:r>
      <w:r w:rsidRPr="002535E6">
        <w:rPr>
          <w:rFonts w:ascii="Arial" w:hAnsi="Arial" w:cs="Arial"/>
          <w:color w:val="000020"/>
          <w:sz w:val="24"/>
          <w:szCs w:val="24"/>
          <w:shd w:val="clear" w:color="auto" w:fill="FFFFFF"/>
        </w:rPr>
        <w:t xml:space="preserve"> </w:t>
      </w:r>
      <w:r w:rsidRPr="002535E6">
        <w:rPr>
          <w:rFonts w:ascii="Arial" w:hAnsi="Arial" w:cs="Arial"/>
          <w:i/>
          <w:iCs/>
          <w:sz w:val="24"/>
          <w:szCs w:val="24"/>
        </w:rPr>
        <w:t>The Golden Bough</w:t>
      </w:r>
      <w:r w:rsidRPr="002535E6">
        <w:rPr>
          <w:rFonts w:ascii="Arial" w:hAnsi="Arial" w:cs="Arial"/>
          <w:sz w:val="24"/>
          <w:szCs w:val="24"/>
        </w:rPr>
        <w:t xml:space="preserve">, (1922) viewed online on Bartleby.com,  </w:t>
      </w:r>
      <w:hyperlink r:id="rId11" w:history="1">
        <w:r w:rsidRPr="002535E6">
          <w:rPr>
            <w:rStyle w:val="Hyperlink"/>
            <w:rFonts w:ascii="Arial" w:hAnsi="Arial" w:cs="Arial"/>
            <w:sz w:val="24"/>
            <w:szCs w:val="24"/>
          </w:rPr>
          <w:t>https://www.bartleby.com/196/113.html</w:t>
        </w:r>
      </w:hyperlink>
      <w:r w:rsidRPr="002535E6">
        <w:rPr>
          <w:rFonts w:ascii="Arial" w:hAnsi="Arial" w:cs="Arial"/>
          <w:sz w:val="24"/>
          <w:szCs w:val="24"/>
        </w:rPr>
        <w:t xml:space="preserve"> Accessed 30</w:t>
      </w:r>
      <w:r w:rsidRPr="002535E6">
        <w:rPr>
          <w:rFonts w:ascii="Arial" w:hAnsi="Arial" w:cs="Arial"/>
          <w:sz w:val="24"/>
          <w:szCs w:val="24"/>
          <w:vertAlign w:val="superscript"/>
        </w:rPr>
        <w:t>th</w:t>
      </w:r>
      <w:r w:rsidRPr="002535E6">
        <w:rPr>
          <w:rFonts w:ascii="Arial" w:hAnsi="Arial" w:cs="Arial"/>
          <w:sz w:val="24"/>
          <w:szCs w:val="24"/>
        </w:rPr>
        <w:t xml:space="preserve"> Sept 2018</w:t>
      </w:r>
    </w:p>
    <w:p w14:paraId="7D4ECA8A" w14:textId="77777777" w:rsidR="009F19FF" w:rsidRPr="00DC1B58" w:rsidRDefault="009F19FF" w:rsidP="009F19FF">
      <w:pPr>
        <w:spacing w:line="240" w:lineRule="auto"/>
        <w:rPr>
          <w:rFonts w:ascii="Arial" w:hAnsi="Arial" w:cs="Arial"/>
          <w:sz w:val="24"/>
          <w:szCs w:val="24"/>
        </w:rPr>
      </w:pPr>
      <w:r w:rsidRPr="00DC1B58">
        <w:rPr>
          <w:rFonts w:ascii="Arial" w:hAnsi="Arial" w:cs="Arial"/>
          <w:sz w:val="24"/>
          <w:szCs w:val="24"/>
        </w:rPr>
        <w:t xml:space="preserve">Girard, </w:t>
      </w:r>
      <w:r>
        <w:rPr>
          <w:rFonts w:ascii="Arial" w:hAnsi="Arial" w:cs="Arial"/>
          <w:sz w:val="24"/>
          <w:szCs w:val="24"/>
        </w:rPr>
        <w:t xml:space="preserve">R., </w:t>
      </w:r>
      <w:r w:rsidRPr="00DC1B58">
        <w:rPr>
          <w:rFonts w:ascii="Arial" w:hAnsi="Arial" w:cs="Arial"/>
          <w:i/>
          <w:iCs/>
          <w:sz w:val="24"/>
          <w:szCs w:val="24"/>
        </w:rPr>
        <w:t>Violence and the Sacred</w:t>
      </w:r>
      <w:r w:rsidRPr="00DC1B58">
        <w:rPr>
          <w:rFonts w:ascii="Arial" w:hAnsi="Arial" w:cs="Arial"/>
          <w:sz w:val="24"/>
          <w:szCs w:val="24"/>
        </w:rPr>
        <w:t xml:space="preserve"> (London: The John Hopkins University Press, 1972 (1977 English Translation))</w:t>
      </w:r>
    </w:p>
    <w:p w14:paraId="52BD1DAC" w14:textId="77777777" w:rsidR="009F19FF" w:rsidRPr="00DC1B58" w:rsidRDefault="009F19FF" w:rsidP="009F19FF">
      <w:pPr>
        <w:spacing w:line="240" w:lineRule="auto"/>
        <w:rPr>
          <w:rFonts w:ascii="Arial" w:hAnsi="Arial" w:cs="Arial"/>
          <w:sz w:val="24"/>
          <w:szCs w:val="24"/>
        </w:rPr>
      </w:pPr>
      <w:r w:rsidRPr="00DC1B58">
        <w:rPr>
          <w:rFonts w:ascii="Arial" w:hAnsi="Arial" w:cs="Arial"/>
          <w:sz w:val="24"/>
          <w:szCs w:val="24"/>
        </w:rPr>
        <w:t xml:space="preserve">Girard, </w:t>
      </w:r>
      <w:r>
        <w:rPr>
          <w:rFonts w:ascii="Arial" w:hAnsi="Arial" w:cs="Arial"/>
          <w:sz w:val="24"/>
          <w:szCs w:val="24"/>
        </w:rPr>
        <w:t xml:space="preserve">R., </w:t>
      </w:r>
      <w:r w:rsidRPr="00DC1B58">
        <w:rPr>
          <w:rFonts w:ascii="Arial" w:hAnsi="Arial" w:cs="Arial"/>
          <w:i/>
          <w:iCs/>
          <w:sz w:val="24"/>
          <w:szCs w:val="24"/>
        </w:rPr>
        <w:t>Things Hidden Since the Foundation of the World</w:t>
      </w:r>
      <w:r w:rsidRPr="00DC1B58">
        <w:rPr>
          <w:rFonts w:ascii="Arial" w:hAnsi="Arial" w:cs="Arial"/>
          <w:sz w:val="24"/>
          <w:szCs w:val="24"/>
        </w:rPr>
        <w:t xml:space="preserve"> (London: The Athlone Press, 1978 (1987 English Translation))</w:t>
      </w:r>
    </w:p>
    <w:p w14:paraId="3C282DF8" w14:textId="77777777" w:rsidR="009F19FF" w:rsidRPr="00DC1B58" w:rsidRDefault="009F19FF" w:rsidP="009F19FF">
      <w:pPr>
        <w:pStyle w:val="FootnoteText"/>
        <w:rPr>
          <w:rFonts w:ascii="Arial" w:hAnsi="Arial" w:cs="Arial"/>
          <w:sz w:val="24"/>
          <w:szCs w:val="24"/>
        </w:rPr>
      </w:pPr>
      <w:r w:rsidRPr="00DC1B58">
        <w:rPr>
          <w:rFonts w:ascii="Arial" w:hAnsi="Arial" w:cs="Arial"/>
          <w:sz w:val="24"/>
          <w:szCs w:val="24"/>
        </w:rPr>
        <w:t xml:space="preserve">Girard, </w:t>
      </w:r>
      <w:r>
        <w:rPr>
          <w:rFonts w:ascii="Arial" w:hAnsi="Arial" w:cs="Arial"/>
          <w:sz w:val="24"/>
          <w:szCs w:val="24"/>
        </w:rPr>
        <w:t xml:space="preserve">R., </w:t>
      </w:r>
      <w:r w:rsidRPr="00DC1B58">
        <w:rPr>
          <w:rFonts w:ascii="Arial" w:hAnsi="Arial" w:cs="Arial"/>
          <w:i/>
          <w:iCs/>
          <w:sz w:val="24"/>
          <w:szCs w:val="24"/>
        </w:rPr>
        <w:t>The Scapegoat</w:t>
      </w:r>
      <w:r w:rsidRPr="00DC1B58">
        <w:rPr>
          <w:rFonts w:ascii="Arial" w:hAnsi="Arial" w:cs="Arial"/>
          <w:sz w:val="24"/>
          <w:szCs w:val="24"/>
        </w:rPr>
        <w:t xml:space="preserve"> (Baltimore: The John Hopkins University Press, 1982 (1986))</w:t>
      </w:r>
    </w:p>
    <w:p w14:paraId="6C785ECE" w14:textId="77777777" w:rsidR="009F19FF" w:rsidRDefault="009F19FF" w:rsidP="009F19FF">
      <w:pPr>
        <w:pStyle w:val="FootnoteText"/>
        <w:rPr>
          <w:rFonts w:ascii="Arial" w:hAnsi="Arial" w:cs="Arial"/>
          <w:sz w:val="24"/>
          <w:szCs w:val="24"/>
        </w:rPr>
      </w:pPr>
    </w:p>
    <w:p w14:paraId="60D9EB43" w14:textId="77777777" w:rsidR="009F19FF" w:rsidRPr="00A64430" w:rsidRDefault="009F19FF" w:rsidP="009F19FF">
      <w:pPr>
        <w:pStyle w:val="FootnoteText"/>
        <w:rPr>
          <w:rFonts w:ascii="Arial" w:hAnsi="Arial" w:cs="Arial"/>
          <w:sz w:val="24"/>
          <w:szCs w:val="24"/>
        </w:rPr>
      </w:pPr>
      <w:r w:rsidRPr="00A64430">
        <w:rPr>
          <w:rFonts w:ascii="Arial" w:hAnsi="Arial" w:cs="Arial"/>
          <w:sz w:val="24"/>
          <w:szCs w:val="24"/>
        </w:rPr>
        <w:t xml:space="preserve">Goodwin, </w:t>
      </w:r>
      <w:r>
        <w:rPr>
          <w:rFonts w:ascii="Arial" w:hAnsi="Arial" w:cs="Arial"/>
          <w:sz w:val="24"/>
          <w:szCs w:val="24"/>
        </w:rPr>
        <w:t xml:space="preserve">G., </w:t>
      </w:r>
      <w:r w:rsidRPr="00A64430">
        <w:rPr>
          <w:rFonts w:ascii="Arial" w:hAnsi="Arial" w:cs="Arial"/>
          <w:i/>
          <w:iCs/>
          <w:sz w:val="24"/>
          <w:szCs w:val="24"/>
        </w:rPr>
        <w:t>‘” Why Persephone?” Investing the Unique Position of Persephone as a Dying God(ess)Offering Hope for the Afterlife’</w:t>
      </w:r>
      <w:r w:rsidRPr="00A64430">
        <w:rPr>
          <w:rFonts w:ascii="Arial" w:hAnsi="Arial" w:cs="Arial"/>
          <w:sz w:val="24"/>
          <w:szCs w:val="24"/>
        </w:rPr>
        <w:t xml:space="preserve">, Thesis for a Masters in Classics, Rhodes University (2014) &lt; </w:t>
      </w:r>
      <w:hyperlink r:id="rId12" w:history="1">
        <w:r w:rsidRPr="00A64430">
          <w:rPr>
            <w:rStyle w:val="Hyperlink"/>
            <w:rFonts w:ascii="Arial" w:hAnsi="Arial" w:cs="Arial"/>
            <w:sz w:val="24"/>
            <w:szCs w:val="24"/>
          </w:rPr>
          <w:t>https://core.ac.uk/download/pdf/145040888.pdf</w:t>
        </w:r>
      </w:hyperlink>
      <w:r w:rsidRPr="00A64430">
        <w:rPr>
          <w:rFonts w:ascii="Arial" w:hAnsi="Arial" w:cs="Arial"/>
          <w:sz w:val="24"/>
          <w:szCs w:val="24"/>
        </w:rPr>
        <w:t>&gt; Accessed 11</w:t>
      </w:r>
      <w:r w:rsidRPr="00A64430">
        <w:rPr>
          <w:rFonts w:ascii="Arial" w:hAnsi="Arial" w:cs="Arial"/>
          <w:sz w:val="24"/>
          <w:szCs w:val="24"/>
          <w:vertAlign w:val="superscript"/>
        </w:rPr>
        <w:t>th</w:t>
      </w:r>
      <w:r w:rsidRPr="00A64430">
        <w:rPr>
          <w:rFonts w:ascii="Arial" w:hAnsi="Arial" w:cs="Arial"/>
          <w:sz w:val="24"/>
          <w:szCs w:val="24"/>
        </w:rPr>
        <w:t xml:space="preserve"> July 2019</w:t>
      </w:r>
    </w:p>
    <w:p w14:paraId="23234EDF" w14:textId="77777777" w:rsidR="009F19FF" w:rsidRPr="00B75C2B" w:rsidRDefault="009F19FF" w:rsidP="009F19FF">
      <w:pPr>
        <w:spacing w:line="240" w:lineRule="auto"/>
        <w:rPr>
          <w:rFonts w:ascii="Arial" w:hAnsi="Arial" w:cs="Arial"/>
          <w:sz w:val="24"/>
          <w:szCs w:val="24"/>
        </w:rPr>
      </w:pPr>
      <w:r w:rsidRPr="00B75C2B">
        <w:rPr>
          <w:rFonts w:ascii="Arial" w:hAnsi="Arial" w:cs="Arial"/>
          <w:sz w:val="24"/>
          <w:szCs w:val="24"/>
        </w:rPr>
        <w:t>Graham</w:t>
      </w:r>
      <w:r>
        <w:rPr>
          <w:rFonts w:ascii="Arial" w:hAnsi="Arial" w:cs="Arial"/>
          <w:sz w:val="24"/>
          <w:szCs w:val="24"/>
        </w:rPr>
        <w:t xml:space="preserve">, H., </w:t>
      </w:r>
      <w:r w:rsidRPr="00B75C2B">
        <w:rPr>
          <w:rFonts w:ascii="Arial" w:hAnsi="Arial" w:cs="Arial"/>
          <w:sz w:val="24"/>
          <w:szCs w:val="24"/>
        </w:rPr>
        <w:t>and Lauren G. Kilroy-Ewbank,</w:t>
      </w:r>
      <w:r>
        <w:rPr>
          <w:rFonts w:ascii="Arial" w:hAnsi="Arial" w:cs="Arial"/>
          <w:sz w:val="24"/>
          <w:szCs w:val="24"/>
        </w:rPr>
        <w:t xml:space="preserve"> eds.,</w:t>
      </w:r>
      <w:r w:rsidRPr="00B75C2B">
        <w:rPr>
          <w:rFonts w:ascii="Arial" w:hAnsi="Arial" w:cs="Arial"/>
          <w:sz w:val="24"/>
          <w:szCs w:val="24"/>
        </w:rPr>
        <w:t xml:space="preserve"> </w:t>
      </w:r>
      <w:r w:rsidRPr="00B75C2B">
        <w:rPr>
          <w:rFonts w:ascii="Arial" w:hAnsi="Arial" w:cs="Arial"/>
          <w:i/>
          <w:iCs/>
          <w:sz w:val="24"/>
          <w:szCs w:val="24"/>
        </w:rPr>
        <w:t>Visualizing Sensuous Suffering and Affective Pain in Early Modern Europe and the Spanish Americas</w:t>
      </w:r>
      <w:r>
        <w:rPr>
          <w:rFonts w:ascii="Arial" w:hAnsi="Arial" w:cs="Arial"/>
          <w:sz w:val="24"/>
          <w:szCs w:val="24"/>
        </w:rPr>
        <w:t xml:space="preserve"> </w:t>
      </w:r>
      <w:r w:rsidRPr="00B75C2B">
        <w:rPr>
          <w:rFonts w:ascii="Arial" w:hAnsi="Arial" w:cs="Arial"/>
          <w:sz w:val="24"/>
          <w:szCs w:val="24"/>
        </w:rPr>
        <w:t>(Boston:</w:t>
      </w:r>
      <w:r>
        <w:rPr>
          <w:rFonts w:ascii="Arial" w:hAnsi="Arial" w:cs="Arial"/>
          <w:sz w:val="24"/>
          <w:szCs w:val="24"/>
        </w:rPr>
        <w:t xml:space="preserve"> </w:t>
      </w:r>
      <w:r w:rsidRPr="00B75C2B">
        <w:rPr>
          <w:rFonts w:ascii="Arial" w:hAnsi="Arial" w:cs="Arial"/>
          <w:sz w:val="24"/>
          <w:szCs w:val="24"/>
        </w:rPr>
        <w:t>Brill, 2018)</w:t>
      </w:r>
    </w:p>
    <w:p w14:paraId="1C957936" w14:textId="77777777" w:rsidR="009F19FF" w:rsidRPr="00A01106" w:rsidRDefault="009F19FF" w:rsidP="009F19FF">
      <w:pPr>
        <w:spacing w:line="240" w:lineRule="auto"/>
        <w:rPr>
          <w:rFonts w:ascii="Arial" w:hAnsi="Arial" w:cs="Arial"/>
          <w:sz w:val="24"/>
          <w:szCs w:val="24"/>
        </w:rPr>
      </w:pPr>
      <w:r w:rsidRPr="00A01106">
        <w:rPr>
          <w:rFonts w:ascii="Arial" w:hAnsi="Arial" w:cs="Arial"/>
          <w:sz w:val="24"/>
          <w:szCs w:val="24"/>
        </w:rPr>
        <w:lastRenderedPageBreak/>
        <w:t>Irving-Pease, E</w:t>
      </w:r>
      <w:r>
        <w:rPr>
          <w:rFonts w:ascii="Arial" w:hAnsi="Arial" w:cs="Arial"/>
          <w:sz w:val="24"/>
          <w:szCs w:val="24"/>
        </w:rPr>
        <w:t>.</w:t>
      </w:r>
      <w:r w:rsidRPr="00A01106">
        <w:rPr>
          <w:rFonts w:ascii="Arial" w:hAnsi="Arial" w:cs="Arial"/>
          <w:sz w:val="24"/>
          <w:szCs w:val="24"/>
        </w:rPr>
        <w:t xml:space="preserve"> K.</w:t>
      </w:r>
      <w:r>
        <w:rPr>
          <w:rFonts w:ascii="Arial" w:hAnsi="Arial" w:cs="Arial"/>
          <w:sz w:val="24"/>
          <w:szCs w:val="24"/>
        </w:rPr>
        <w:t>,</w:t>
      </w:r>
      <w:r w:rsidRPr="00A01106">
        <w:rPr>
          <w:rFonts w:ascii="Arial" w:hAnsi="Arial" w:cs="Arial"/>
          <w:sz w:val="24"/>
          <w:szCs w:val="24"/>
        </w:rPr>
        <w:t xml:space="preserve"> Hannah Ryan, Alexandra Jamieson, Evangelos A. Dimopoulos, Greger Larson and Laurent A.F. Frantz, (PDF) Paleogenomics of Animal Domestication, p.5-6. Available from: </w:t>
      </w:r>
      <w:hyperlink r:id="rId13" w:history="1">
        <w:r w:rsidRPr="00A01106">
          <w:rPr>
            <w:rFonts w:ascii="Arial" w:hAnsi="Arial" w:cs="Arial"/>
            <w:sz w:val="24"/>
            <w:szCs w:val="24"/>
          </w:rPr>
          <w:t>https://www.researchgate.net/publication/328211768_Paleogenomics_of_Animal_Domestication</w:t>
        </w:r>
      </w:hyperlink>
      <w:r w:rsidRPr="00A01106">
        <w:rPr>
          <w:rFonts w:ascii="Arial" w:hAnsi="Arial" w:cs="Arial"/>
          <w:sz w:val="24"/>
          <w:szCs w:val="24"/>
        </w:rPr>
        <w:t xml:space="preserve"> </w:t>
      </w:r>
      <w:r>
        <w:rPr>
          <w:rFonts w:ascii="Arial" w:hAnsi="Arial" w:cs="Arial"/>
          <w:sz w:val="24"/>
          <w:szCs w:val="24"/>
        </w:rPr>
        <w:t>A</w:t>
      </w:r>
      <w:r w:rsidRPr="00A01106">
        <w:rPr>
          <w:rFonts w:ascii="Arial" w:hAnsi="Arial" w:cs="Arial"/>
          <w:sz w:val="24"/>
          <w:szCs w:val="24"/>
        </w:rPr>
        <w:t>ccessed 20</w:t>
      </w:r>
      <w:r w:rsidRPr="00A01106">
        <w:rPr>
          <w:rFonts w:ascii="Arial" w:hAnsi="Arial" w:cs="Arial"/>
          <w:sz w:val="24"/>
          <w:szCs w:val="24"/>
          <w:vertAlign w:val="superscript"/>
        </w:rPr>
        <w:t>th</w:t>
      </w:r>
      <w:r>
        <w:rPr>
          <w:rFonts w:ascii="Arial" w:hAnsi="Arial" w:cs="Arial"/>
          <w:sz w:val="24"/>
          <w:szCs w:val="24"/>
        </w:rPr>
        <w:t xml:space="preserve"> </w:t>
      </w:r>
      <w:r w:rsidRPr="00A01106">
        <w:rPr>
          <w:rFonts w:ascii="Arial" w:hAnsi="Arial" w:cs="Arial"/>
          <w:sz w:val="24"/>
          <w:szCs w:val="24"/>
        </w:rPr>
        <w:t>Nov 2018</w:t>
      </w:r>
    </w:p>
    <w:p w14:paraId="2D57C8F0" w14:textId="77777777" w:rsidR="009F19FF" w:rsidRPr="005D46DE" w:rsidRDefault="009F19FF" w:rsidP="009F19FF">
      <w:pPr>
        <w:spacing w:line="240" w:lineRule="auto"/>
        <w:rPr>
          <w:rFonts w:ascii="Arial" w:hAnsi="Arial" w:cs="Arial"/>
          <w:color w:val="00B050"/>
          <w:sz w:val="24"/>
          <w:szCs w:val="24"/>
        </w:rPr>
      </w:pPr>
      <w:r w:rsidRPr="005D46DE">
        <w:rPr>
          <w:rFonts w:ascii="Arial" w:hAnsi="Arial" w:cs="Arial"/>
          <w:sz w:val="24"/>
          <w:szCs w:val="24"/>
        </w:rPr>
        <w:t>Jones</w:t>
      </w:r>
      <w:r>
        <w:rPr>
          <w:rFonts w:ascii="Arial" w:hAnsi="Arial" w:cs="Arial"/>
          <w:sz w:val="24"/>
          <w:szCs w:val="24"/>
        </w:rPr>
        <w:t>, G</w:t>
      </w:r>
      <w:r w:rsidRPr="005D46DE">
        <w:rPr>
          <w:rFonts w:ascii="Arial" w:hAnsi="Arial" w:cs="Arial"/>
          <w:sz w:val="24"/>
          <w:szCs w:val="24"/>
        </w:rPr>
        <w:t xml:space="preserve"> and Thomas Jones trans., </w:t>
      </w:r>
      <w:r w:rsidRPr="005D46DE">
        <w:rPr>
          <w:rFonts w:ascii="Arial" w:hAnsi="Arial" w:cs="Arial"/>
          <w:i/>
          <w:iCs/>
          <w:sz w:val="24"/>
          <w:szCs w:val="24"/>
        </w:rPr>
        <w:t>The Mabinogion</w:t>
      </w:r>
      <w:r w:rsidRPr="005D46DE">
        <w:rPr>
          <w:rFonts w:ascii="Arial" w:hAnsi="Arial" w:cs="Arial"/>
          <w:sz w:val="24"/>
          <w:szCs w:val="24"/>
        </w:rPr>
        <w:t xml:space="preserve"> (London: Everyman Library, 1993)</w:t>
      </w:r>
    </w:p>
    <w:p w14:paraId="1BC45B22" w14:textId="77777777" w:rsidR="009F19FF" w:rsidRPr="00CC6849" w:rsidRDefault="009F19FF" w:rsidP="009F19FF">
      <w:pPr>
        <w:spacing w:line="240" w:lineRule="auto"/>
        <w:rPr>
          <w:rFonts w:ascii="Arial" w:hAnsi="Arial" w:cs="Arial"/>
          <w:color w:val="00B050"/>
          <w:sz w:val="24"/>
          <w:szCs w:val="24"/>
        </w:rPr>
      </w:pPr>
      <w:r w:rsidRPr="00CC6849">
        <w:rPr>
          <w:rFonts w:ascii="Arial" w:hAnsi="Arial" w:cs="Arial"/>
          <w:sz w:val="24"/>
          <w:szCs w:val="24"/>
        </w:rPr>
        <w:t xml:space="preserve">Kaminker, </w:t>
      </w:r>
      <w:r>
        <w:rPr>
          <w:rFonts w:ascii="Arial" w:hAnsi="Arial" w:cs="Arial"/>
          <w:sz w:val="24"/>
          <w:szCs w:val="24"/>
        </w:rPr>
        <w:t xml:space="preserve">M., </w:t>
      </w:r>
      <w:r w:rsidRPr="00CC6849">
        <w:rPr>
          <w:rFonts w:ascii="Arial" w:hAnsi="Arial" w:cs="Arial"/>
          <w:sz w:val="24"/>
          <w:szCs w:val="24"/>
        </w:rPr>
        <w:t xml:space="preserve">‘Pigs and Judaism: Deep Revulsion but a Promising Future’, </w:t>
      </w:r>
      <w:r w:rsidRPr="00CC6849">
        <w:rPr>
          <w:rFonts w:ascii="Arial" w:hAnsi="Arial" w:cs="Arial"/>
          <w:i/>
          <w:iCs/>
          <w:sz w:val="24"/>
          <w:szCs w:val="24"/>
        </w:rPr>
        <w:t>Chabad.org</w:t>
      </w:r>
      <w:r w:rsidRPr="00CC6849">
        <w:rPr>
          <w:rFonts w:ascii="Arial" w:hAnsi="Arial" w:cs="Arial"/>
          <w:sz w:val="24"/>
          <w:szCs w:val="24"/>
        </w:rPr>
        <w:t xml:space="preserve">, &lt; </w:t>
      </w:r>
      <w:hyperlink r:id="rId14" w:history="1">
        <w:r w:rsidRPr="00CC6849">
          <w:rPr>
            <w:rStyle w:val="Hyperlink"/>
            <w:rFonts w:ascii="Arial" w:hAnsi="Arial" w:cs="Arial"/>
            <w:sz w:val="24"/>
            <w:szCs w:val="24"/>
          </w:rPr>
          <w:t>https://www.chabad.org/library/article_cdo/aid/2376474/jewish/Pigs-Judaism.htm</w:t>
        </w:r>
      </w:hyperlink>
      <w:r w:rsidRPr="00CC6849">
        <w:rPr>
          <w:rFonts w:ascii="Arial" w:hAnsi="Arial" w:cs="Arial"/>
          <w:sz w:val="24"/>
          <w:szCs w:val="24"/>
        </w:rPr>
        <w:t>&gt; Accessed 10</w:t>
      </w:r>
      <w:r w:rsidRPr="00CC6849">
        <w:rPr>
          <w:rFonts w:ascii="Arial" w:hAnsi="Arial" w:cs="Arial"/>
          <w:sz w:val="24"/>
          <w:szCs w:val="24"/>
          <w:vertAlign w:val="superscript"/>
        </w:rPr>
        <w:t>th</w:t>
      </w:r>
      <w:r w:rsidRPr="00CC6849">
        <w:rPr>
          <w:rFonts w:ascii="Arial" w:hAnsi="Arial" w:cs="Arial"/>
          <w:sz w:val="24"/>
          <w:szCs w:val="24"/>
        </w:rPr>
        <w:t xml:space="preserve"> July 2019.</w:t>
      </w:r>
    </w:p>
    <w:p w14:paraId="56E8E6D1" w14:textId="47BB434E" w:rsidR="009F19FF" w:rsidRPr="00904A30" w:rsidRDefault="009F19FF" w:rsidP="009F19FF">
      <w:pPr>
        <w:spacing w:line="240" w:lineRule="auto"/>
        <w:rPr>
          <w:rFonts w:ascii="Arial" w:hAnsi="Arial" w:cs="Arial"/>
          <w:sz w:val="24"/>
          <w:szCs w:val="24"/>
        </w:rPr>
      </w:pPr>
      <w:bookmarkStart w:id="25" w:name="_Hlk14122558"/>
      <w:r w:rsidRPr="00904A30">
        <w:rPr>
          <w:rFonts w:ascii="Arial" w:hAnsi="Arial" w:cs="Arial"/>
          <w:sz w:val="24"/>
          <w:szCs w:val="24"/>
        </w:rPr>
        <w:t xml:space="preserve">Lefebure, </w:t>
      </w:r>
      <w:r>
        <w:rPr>
          <w:rFonts w:ascii="Arial" w:hAnsi="Arial" w:cs="Arial"/>
          <w:sz w:val="24"/>
          <w:szCs w:val="24"/>
        </w:rPr>
        <w:t xml:space="preserve">L. D., </w:t>
      </w:r>
      <w:r w:rsidRPr="00904A30">
        <w:rPr>
          <w:rFonts w:ascii="Arial" w:hAnsi="Arial" w:cs="Arial"/>
          <w:sz w:val="24"/>
          <w:szCs w:val="24"/>
        </w:rPr>
        <w:t xml:space="preserve">‘Victims, Violence and the Sacred: The Thought of Rene </w:t>
      </w:r>
      <w:r w:rsidR="00BD1E00">
        <w:rPr>
          <w:rFonts w:ascii="Arial" w:hAnsi="Arial" w:cs="Arial"/>
          <w:sz w:val="24"/>
          <w:szCs w:val="24"/>
        </w:rPr>
        <w:t>G</w:t>
      </w:r>
      <w:r w:rsidRPr="00904A30">
        <w:rPr>
          <w:rFonts w:ascii="Arial" w:hAnsi="Arial" w:cs="Arial"/>
          <w:sz w:val="24"/>
          <w:szCs w:val="24"/>
        </w:rPr>
        <w:t xml:space="preserve">irard, </w:t>
      </w:r>
      <w:r w:rsidRPr="00904A30">
        <w:rPr>
          <w:rFonts w:ascii="Arial" w:hAnsi="Arial" w:cs="Arial"/>
          <w:i/>
          <w:iCs/>
          <w:sz w:val="24"/>
          <w:szCs w:val="24"/>
        </w:rPr>
        <w:t>The Christian Century</w:t>
      </w:r>
      <w:r w:rsidRPr="00904A30">
        <w:rPr>
          <w:rFonts w:ascii="Arial" w:hAnsi="Arial" w:cs="Arial"/>
          <w:sz w:val="24"/>
          <w:szCs w:val="24"/>
        </w:rPr>
        <w:t>, (Dec 11, 1996)</w:t>
      </w:r>
    </w:p>
    <w:p w14:paraId="3FEBB3FF" w14:textId="77777777" w:rsidR="009F19FF" w:rsidRPr="00FA5D2B" w:rsidRDefault="009F19FF" w:rsidP="009F19FF">
      <w:pPr>
        <w:spacing w:line="240" w:lineRule="auto"/>
        <w:rPr>
          <w:rFonts w:ascii="Arial" w:hAnsi="Arial" w:cs="Arial"/>
          <w:sz w:val="24"/>
          <w:szCs w:val="24"/>
        </w:rPr>
      </w:pPr>
      <w:r w:rsidRPr="00FA5D2B">
        <w:rPr>
          <w:rFonts w:ascii="Arial" w:hAnsi="Arial" w:cs="Arial"/>
          <w:sz w:val="24"/>
          <w:szCs w:val="24"/>
        </w:rPr>
        <w:t xml:space="preserve">Lefebure, </w:t>
      </w:r>
      <w:r>
        <w:rPr>
          <w:rFonts w:ascii="Arial" w:hAnsi="Arial" w:cs="Arial"/>
          <w:sz w:val="24"/>
          <w:szCs w:val="24"/>
        </w:rPr>
        <w:t xml:space="preserve">L. D., </w:t>
      </w:r>
      <w:r w:rsidRPr="00FA5D2B">
        <w:rPr>
          <w:rFonts w:ascii="Arial" w:hAnsi="Arial" w:cs="Arial"/>
          <w:sz w:val="24"/>
          <w:szCs w:val="24"/>
        </w:rPr>
        <w:t xml:space="preserve">‘Beyond Scapegoating: A Conversation with Rene Girard and Ewert Cousins’, </w:t>
      </w:r>
      <w:r w:rsidRPr="00FA5D2B">
        <w:rPr>
          <w:rFonts w:ascii="Arial" w:hAnsi="Arial" w:cs="Arial"/>
          <w:i/>
          <w:iCs/>
          <w:sz w:val="24"/>
          <w:szCs w:val="24"/>
        </w:rPr>
        <w:t>Christian Century</w:t>
      </w:r>
      <w:r w:rsidRPr="00FA5D2B">
        <w:rPr>
          <w:rFonts w:ascii="Arial" w:hAnsi="Arial" w:cs="Arial"/>
          <w:sz w:val="24"/>
          <w:szCs w:val="24"/>
        </w:rPr>
        <w:t xml:space="preserve"> (April 8, 1998)</w:t>
      </w:r>
    </w:p>
    <w:p w14:paraId="50650FD5" w14:textId="77777777" w:rsidR="009F19FF" w:rsidRPr="0057363B" w:rsidRDefault="009F19FF" w:rsidP="009F19FF">
      <w:pPr>
        <w:spacing w:line="240" w:lineRule="auto"/>
        <w:rPr>
          <w:rFonts w:ascii="Arial" w:hAnsi="Arial" w:cs="Arial"/>
          <w:sz w:val="24"/>
          <w:szCs w:val="24"/>
        </w:rPr>
      </w:pPr>
      <w:r w:rsidRPr="0057363B">
        <w:rPr>
          <w:rFonts w:ascii="Arial" w:hAnsi="Arial" w:cs="Arial"/>
          <w:sz w:val="24"/>
          <w:szCs w:val="24"/>
        </w:rPr>
        <w:t xml:space="preserve">Marr, </w:t>
      </w:r>
      <w:r>
        <w:rPr>
          <w:rFonts w:ascii="Arial" w:hAnsi="Arial" w:cs="Arial"/>
          <w:sz w:val="24"/>
          <w:szCs w:val="24"/>
        </w:rPr>
        <w:t xml:space="preserve">A., </w:t>
      </w:r>
      <w:r w:rsidRPr="0057363B">
        <w:rPr>
          <w:rFonts w:ascii="Arial" w:hAnsi="Arial" w:cs="Arial"/>
          <w:sz w:val="24"/>
          <w:szCs w:val="24"/>
        </w:rPr>
        <w:t xml:space="preserve">‘Violence and the Kingdom of God: Introducing the Anthropology of Rene Girard’, </w:t>
      </w:r>
      <w:r w:rsidRPr="0057363B">
        <w:rPr>
          <w:rFonts w:ascii="Arial" w:hAnsi="Arial" w:cs="Arial"/>
          <w:i/>
          <w:iCs/>
          <w:sz w:val="24"/>
          <w:szCs w:val="24"/>
        </w:rPr>
        <w:t>Anglican Theological Review</w:t>
      </w:r>
      <w:r w:rsidRPr="0057363B">
        <w:rPr>
          <w:rFonts w:ascii="Arial" w:hAnsi="Arial" w:cs="Arial"/>
          <w:sz w:val="24"/>
          <w:szCs w:val="24"/>
        </w:rPr>
        <w:t>, (no date)</w:t>
      </w:r>
    </w:p>
    <w:p w14:paraId="501D422F" w14:textId="77777777" w:rsidR="009F19FF" w:rsidRDefault="009F19FF" w:rsidP="009F19FF">
      <w:pPr>
        <w:spacing w:line="240" w:lineRule="auto"/>
        <w:rPr>
          <w:rFonts w:ascii="Arial" w:hAnsi="Arial" w:cs="Arial"/>
          <w:sz w:val="24"/>
          <w:szCs w:val="24"/>
        </w:rPr>
      </w:pPr>
      <w:r w:rsidRPr="00C14AF5">
        <w:rPr>
          <w:rFonts w:ascii="Arial" w:hAnsi="Arial" w:cs="Arial"/>
          <w:sz w:val="24"/>
          <w:szCs w:val="24"/>
        </w:rPr>
        <w:t xml:space="preserve">Novak, </w:t>
      </w:r>
      <w:r>
        <w:rPr>
          <w:rFonts w:ascii="Arial" w:hAnsi="Arial" w:cs="Arial"/>
          <w:sz w:val="24"/>
          <w:szCs w:val="24"/>
        </w:rPr>
        <w:t xml:space="preserve">S., </w:t>
      </w:r>
      <w:r w:rsidRPr="00C14AF5">
        <w:rPr>
          <w:rFonts w:ascii="Arial" w:hAnsi="Arial" w:cs="Arial"/>
          <w:sz w:val="24"/>
          <w:szCs w:val="24"/>
        </w:rPr>
        <w:t xml:space="preserve">‘Braying Peasants and the Poet as Prophet: Gower and the People in the “Vox Clamantis”’, </w:t>
      </w:r>
      <w:r w:rsidRPr="00C14AF5">
        <w:rPr>
          <w:rFonts w:ascii="Arial" w:hAnsi="Arial" w:cs="Arial"/>
          <w:i/>
          <w:iCs/>
          <w:sz w:val="24"/>
          <w:szCs w:val="24"/>
        </w:rPr>
        <w:t>Etudes Anglaises</w:t>
      </w:r>
      <w:r w:rsidRPr="00C14AF5">
        <w:rPr>
          <w:rFonts w:ascii="Arial" w:hAnsi="Arial" w:cs="Arial"/>
          <w:sz w:val="24"/>
          <w:szCs w:val="24"/>
        </w:rPr>
        <w:t xml:space="preserve">, Vol. 66 (2013) &lt; </w:t>
      </w:r>
      <w:hyperlink r:id="rId15" w:history="1">
        <w:r w:rsidRPr="00C14AF5">
          <w:rPr>
            <w:rStyle w:val="Hyperlink"/>
            <w:rFonts w:ascii="Arial" w:hAnsi="Arial" w:cs="Arial"/>
            <w:sz w:val="24"/>
            <w:szCs w:val="24"/>
          </w:rPr>
          <w:t>https://www.cairn.info/revue-etudes-anglaises-2013-3-page-311.htm#</w:t>
        </w:r>
      </w:hyperlink>
      <w:r w:rsidRPr="00C14AF5">
        <w:rPr>
          <w:rFonts w:ascii="Arial" w:hAnsi="Arial" w:cs="Arial"/>
          <w:sz w:val="24"/>
          <w:szCs w:val="24"/>
        </w:rPr>
        <w:t xml:space="preserve">&gt; </w:t>
      </w:r>
    </w:p>
    <w:p w14:paraId="0D80DCD2" w14:textId="77777777" w:rsidR="009F19FF" w:rsidRPr="00680FE9" w:rsidRDefault="009F19FF" w:rsidP="009F19FF">
      <w:pPr>
        <w:spacing w:line="240" w:lineRule="auto"/>
        <w:rPr>
          <w:rFonts w:ascii="Arial" w:hAnsi="Arial" w:cs="Arial"/>
          <w:sz w:val="24"/>
          <w:szCs w:val="24"/>
        </w:rPr>
      </w:pPr>
      <w:r w:rsidRPr="00680FE9">
        <w:rPr>
          <w:rFonts w:ascii="Arial" w:hAnsi="Arial" w:cs="Arial"/>
          <w:sz w:val="24"/>
          <w:szCs w:val="24"/>
        </w:rPr>
        <w:t xml:space="preserve">Oldridge, D., </w:t>
      </w:r>
      <w:r w:rsidRPr="00680FE9">
        <w:rPr>
          <w:rFonts w:ascii="Arial" w:hAnsi="Arial" w:cs="Arial"/>
          <w:i/>
          <w:iCs/>
          <w:sz w:val="24"/>
          <w:szCs w:val="24"/>
        </w:rPr>
        <w:t>Strange Histories</w:t>
      </w:r>
      <w:r w:rsidRPr="00680FE9">
        <w:rPr>
          <w:rFonts w:ascii="Arial" w:hAnsi="Arial" w:cs="Arial"/>
          <w:sz w:val="24"/>
          <w:szCs w:val="24"/>
        </w:rPr>
        <w:t xml:space="preserve"> (London: Routledge, 2005)</w:t>
      </w:r>
    </w:p>
    <w:bookmarkEnd w:id="25"/>
    <w:p w14:paraId="23A40C4E" w14:textId="77777777" w:rsidR="009F19FF" w:rsidRPr="002D563E" w:rsidRDefault="009F19FF" w:rsidP="009F19FF">
      <w:pPr>
        <w:spacing w:line="240" w:lineRule="auto"/>
        <w:rPr>
          <w:rFonts w:ascii="Arial" w:hAnsi="Arial" w:cs="Arial"/>
          <w:sz w:val="24"/>
          <w:szCs w:val="24"/>
        </w:rPr>
      </w:pPr>
      <w:r w:rsidRPr="002D563E">
        <w:rPr>
          <w:rFonts w:ascii="Arial" w:hAnsi="Arial" w:cs="Arial"/>
          <w:sz w:val="24"/>
          <w:szCs w:val="24"/>
        </w:rPr>
        <w:t>Osterdiekhoff, G</w:t>
      </w:r>
      <w:r>
        <w:rPr>
          <w:rFonts w:ascii="Arial" w:hAnsi="Arial" w:cs="Arial"/>
          <w:sz w:val="24"/>
          <w:szCs w:val="24"/>
        </w:rPr>
        <w:t>.</w:t>
      </w:r>
      <w:r w:rsidRPr="002D563E">
        <w:rPr>
          <w:rFonts w:ascii="Arial" w:hAnsi="Arial" w:cs="Arial"/>
          <w:sz w:val="24"/>
          <w:szCs w:val="24"/>
        </w:rPr>
        <w:t xml:space="preserve"> W.</w:t>
      </w:r>
      <w:r>
        <w:rPr>
          <w:rFonts w:ascii="Arial" w:hAnsi="Arial" w:cs="Arial"/>
          <w:sz w:val="24"/>
          <w:szCs w:val="24"/>
        </w:rPr>
        <w:t>,</w:t>
      </w:r>
      <w:r w:rsidRPr="002D563E">
        <w:rPr>
          <w:rFonts w:ascii="Arial" w:hAnsi="Arial" w:cs="Arial"/>
          <w:sz w:val="24"/>
          <w:szCs w:val="24"/>
        </w:rPr>
        <w:t xml:space="preserve"> ‘Trials Against Animals: A Contribution on the Developmental Theory of Mind and Rationality’, </w:t>
      </w:r>
      <w:r w:rsidRPr="002D563E">
        <w:rPr>
          <w:rFonts w:ascii="Arial" w:hAnsi="Arial" w:cs="Arial"/>
          <w:i/>
          <w:iCs/>
          <w:sz w:val="24"/>
          <w:szCs w:val="24"/>
        </w:rPr>
        <w:t>Mankind Quarterly</w:t>
      </w:r>
      <w:r w:rsidRPr="002D563E">
        <w:rPr>
          <w:rFonts w:ascii="Arial" w:hAnsi="Arial" w:cs="Arial"/>
          <w:sz w:val="24"/>
          <w:szCs w:val="24"/>
        </w:rPr>
        <w:t>, Vol.9, no, 3-4, (Spring 2009)</w:t>
      </w:r>
    </w:p>
    <w:p w14:paraId="6778BFA9" w14:textId="77777777" w:rsidR="009F19FF" w:rsidRPr="00C31ECD" w:rsidRDefault="009F19FF" w:rsidP="009F19FF">
      <w:pPr>
        <w:spacing w:line="240" w:lineRule="auto"/>
        <w:rPr>
          <w:rFonts w:ascii="Arial" w:hAnsi="Arial" w:cs="Arial"/>
          <w:sz w:val="24"/>
          <w:szCs w:val="24"/>
        </w:rPr>
      </w:pPr>
      <w:r w:rsidRPr="00C31ECD">
        <w:rPr>
          <w:rFonts w:ascii="Arial" w:hAnsi="Arial" w:cs="Arial"/>
          <w:sz w:val="24"/>
          <w:szCs w:val="24"/>
        </w:rPr>
        <w:t xml:space="preserve">Patterson, </w:t>
      </w:r>
      <w:r>
        <w:rPr>
          <w:rFonts w:ascii="Arial" w:hAnsi="Arial" w:cs="Arial"/>
          <w:sz w:val="24"/>
          <w:szCs w:val="24"/>
        </w:rPr>
        <w:t xml:space="preserve">L., </w:t>
      </w:r>
      <w:r w:rsidRPr="00C31ECD">
        <w:rPr>
          <w:rFonts w:ascii="Arial" w:hAnsi="Arial" w:cs="Arial"/>
          <w:sz w:val="24"/>
          <w:szCs w:val="24"/>
        </w:rPr>
        <w:t xml:space="preserve">‘The Miller’s Tale and the Politics of Laughter’, in </w:t>
      </w:r>
      <w:r w:rsidRPr="00C31ECD">
        <w:rPr>
          <w:rFonts w:ascii="Arial" w:hAnsi="Arial" w:cs="Arial"/>
          <w:i/>
          <w:sz w:val="24"/>
          <w:szCs w:val="24"/>
        </w:rPr>
        <w:t>Chaucer and the Subject of History</w:t>
      </w:r>
      <w:r w:rsidRPr="00C31ECD">
        <w:rPr>
          <w:rFonts w:ascii="Arial" w:hAnsi="Arial" w:cs="Arial"/>
          <w:sz w:val="24"/>
          <w:szCs w:val="24"/>
        </w:rPr>
        <w:t xml:space="preserve">, chapter.5, (London: Routledge 1991). </w:t>
      </w:r>
    </w:p>
    <w:p w14:paraId="1E5DA07F" w14:textId="77777777" w:rsidR="009F19FF" w:rsidRPr="003465C8" w:rsidRDefault="009F19FF" w:rsidP="009F19FF">
      <w:pPr>
        <w:spacing w:line="240" w:lineRule="auto"/>
        <w:rPr>
          <w:rFonts w:ascii="Arial" w:hAnsi="Arial" w:cs="Arial"/>
          <w:sz w:val="24"/>
          <w:szCs w:val="24"/>
        </w:rPr>
      </w:pPr>
      <w:r w:rsidRPr="003465C8">
        <w:rPr>
          <w:rFonts w:ascii="Arial" w:hAnsi="Arial" w:cs="Arial"/>
          <w:sz w:val="24"/>
          <w:szCs w:val="24"/>
        </w:rPr>
        <w:t xml:space="preserve">Porck, </w:t>
      </w:r>
      <w:r>
        <w:rPr>
          <w:rFonts w:ascii="Arial" w:hAnsi="Arial" w:cs="Arial"/>
          <w:sz w:val="24"/>
          <w:szCs w:val="24"/>
        </w:rPr>
        <w:t xml:space="preserve">T., </w:t>
      </w:r>
      <w:r w:rsidRPr="003465C8">
        <w:rPr>
          <w:rFonts w:ascii="Arial" w:hAnsi="Arial" w:cs="Arial"/>
          <w:sz w:val="24"/>
          <w:szCs w:val="24"/>
        </w:rPr>
        <w:t xml:space="preserve">‘The Boar Who Would be King: Royal Boar Prophesies in Medieval England’, </w:t>
      </w:r>
      <w:r w:rsidRPr="003465C8">
        <w:rPr>
          <w:rFonts w:ascii="Arial" w:hAnsi="Arial" w:cs="Arial"/>
          <w:i/>
          <w:iCs/>
          <w:sz w:val="24"/>
          <w:szCs w:val="24"/>
        </w:rPr>
        <w:t>Leiden Medievalists Blog</w:t>
      </w:r>
      <w:r w:rsidRPr="003465C8">
        <w:rPr>
          <w:rFonts w:ascii="Arial" w:hAnsi="Arial" w:cs="Arial"/>
          <w:sz w:val="24"/>
          <w:szCs w:val="24"/>
        </w:rPr>
        <w:t xml:space="preserve"> (2018) &lt; </w:t>
      </w:r>
      <w:hyperlink r:id="rId16" w:history="1">
        <w:r w:rsidRPr="003465C8">
          <w:rPr>
            <w:rStyle w:val="Hyperlink"/>
            <w:rFonts w:ascii="Arial" w:hAnsi="Arial" w:cs="Arial"/>
            <w:sz w:val="24"/>
            <w:szCs w:val="24"/>
          </w:rPr>
          <w:t>http://leidenmedievalistsblog.nl/articles/royal-boar-prophecies-in-medieval-england</w:t>
        </w:r>
      </w:hyperlink>
      <w:r w:rsidRPr="003465C8">
        <w:rPr>
          <w:rFonts w:ascii="Arial" w:hAnsi="Arial" w:cs="Arial"/>
          <w:sz w:val="24"/>
          <w:szCs w:val="24"/>
        </w:rPr>
        <w:t>&gt; Accessed 13</w:t>
      </w:r>
      <w:r w:rsidRPr="003465C8">
        <w:rPr>
          <w:rFonts w:ascii="Arial" w:hAnsi="Arial" w:cs="Arial"/>
          <w:sz w:val="24"/>
          <w:szCs w:val="24"/>
          <w:vertAlign w:val="superscript"/>
        </w:rPr>
        <w:t>th</w:t>
      </w:r>
      <w:r w:rsidRPr="003465C8">
        <w:rPr>
          <w:rFonts w:ascii="Arial" w:hAnsi="Arial" w:cs="Arial"/>
          <w:sz w:val="24"/>
          <w:szCs w:val="24"/>
        </w:rPr>
        <w:t xml:space="preserve"> July 2019</w:t>
      </w:r>
    </w:p>
    <w:p w14:paraId="08E2E369" w14:textId="77777777" w:rsidR="009F19FF" w:rsidRPr="00B15A21" w:rsidRDefault="009F19FF" w:rsidP="009F19FF">
      <w:pPr>
        <w:spacing w:line="240" w:lineRule="auto"/>
        <w:rPr>
          <w:rFonts w:ascii="Arial" w:hAnsi="Arial" w:cs="Arial"/>
          <w:sz w:val="24"/>
          <w:szCs w:val="24"/>
        </w:rPr>
      </w:pPr>
      <w:r w:rsidRPr="00B15A21">
        <w:rPr>
          <w:rFonts w:ascii="Arial" w:hAnsi="Arial" w:cs="Arial"/>
          <w:sz w:val="24"/>
          <w:szCs w:val="24"/>
        </w:rPr>
        <w:t>Raynor,</w:t>
      </w:r>
      <w:r>
        <w:rPr>
          <w:rFonts w:ascii="Arial" w:hAnsi="Arial" w:cs="Arial"/>
          <w:sz w:val="24"/>
          <w:szCs w:val="24"/>
        </w:rPr>
        <w:t xml:space="preserve"> </w:t>
      </w:r>
      <w:r w:rsidRPr="00B15A21">
        <w:rPr>
          <w:rFonts w:ascii="Arial" w:hAnsi="Arial" w:cs="Arial"/>
          <w:sz w:val="24"/>
          <w:szCs w:val="24"/>
        </w:rPr>
        <w:t>D J.</w:t>
      </w:r>
      <w:r>
        <w:rPr>
          <w:rFonts w:ascii="Arial" w:hAnsi="Arial" w:cs="Arial"/>
          <w:sz w:val="24"/>
          <w:szCs w:val="24"/>
        </w:rPr>
        <w:t>, trans.,</w:t>
      </w:r>
      <w:r w:rsidRPr="00B15A21">
        <w:rPr>
          <w:rFonts w:ascii="Arial" w:hAnsi="Arial" w:cs="Arial"/>
          <w:sz w:val="24"/>
          <w:szCs w:val="24"/>
        </w:rPr>
        <w:t xml:space="preserve">  ‘Homeric Hymn to Demeter’, </w:t>
      </w:r>
      <w:r w:rsidRPr="00B15A21">
        <w:rPr>
          <w:rFonts w:ascii="Arial" w:hAnsi="Arial" w:cs="Arial"/>
          <w:i/>
          <w:iCs/>
          <w:sz w:val="24"/>
          <w:szCs w:val="24"/>
        </w:rPr>
        <w:t>Grand Valley Review</w:t>
      </w:r>
      <w:r w:rsidRPr="00B15A21">
        <w:rPr>
          <w:rFonts w:ascii="Arial" w:hAnsi="Arial" w:cs="Arial"/>
          <w:sz w:val="24"/>
          <w:szCs w:val="24"/>
        </w:rPr>
        <w:t xml:space="preserve">, Vol. 18, No.1, (1998), 67. &lt; </w:t>
      </w:r>
      <w:hyperlink r:id="rId17" w:history="1">
        <w:r w:rsidRPr="00B15A21">
          <w:rPr>
            <w:rStyle w:val="Hyperlink"/>
            <w:rFonts w:ascii="Arial" w:hAnsi="Arial" w:cs="Arial"/>
            <w:sz w:val="24"/>
            <w:szCs w:val="24"/>
          </w:rPr>
          <w:t>https://core.ac.uk/download/pdf/10687651.pdf?repositoryId=261</w:t>
        </w:r>
      </w:hyperlink>
      <w:r w:rsidRPr="00B15A21">
        <w:rPr>
          <w:rFonts w:ascii="Arial" w:hAnsi="Arial" w:cs="Arial"/>
          <w:sz w:val="24"/>
          <w:szCs w:val="24"/>
        </w:rPr>
        <w:t>&gt; Accessed 11</w:t>
      </w:r>
      <w:r w:rsidRPr="00B15A21">
        <w:rPr>
          <w:rFonts w:ascii="Arial" w:hAnsi="Arial" w:cs="Arial"/>
          <w:sz w:val="24"/>
          <w:szCs w:val="24"/>
          <w:vertAlign w:val="superscript"/>
        </w:rPr>
        <w:t>th</w:t>
      </w:r>
      <w:r w:rsidRPr="00B15A21">
        <w:rPr>
          <w:rFonts w:ascii="Arial" w:hAnsi="Arial" w:cs="Arial"/>
          <w:sz w:val="24"/>
          <w:szCs w:val="24"/>
        </w:rPr>
        <w:t xml:space="preserve"> July 2019</w:t>
      </w:r>
    </w:p>
    <w:p w14:paraId="033ADA43" w14:textId="72BF3AE4" w:rsidR="009F19FF" w:rsidRPr="006A774C" w:rsidRDefault="009F19FF" w:rsidP="009F19FF">
      <w:pPr>
        <w:spacing w:line="240" w:lineRule="auto"/>
        <w:rPr>
          <w:rFonts w:ascii="Arial" w:hAnsi="Arial" w:cs="Arial"/>
          <w:sz w:val="24"/>
          <w:szCs w:val="24"/>
        </w:rPr>
      </w:pPr>
      <w:r w:rsidRPr="006A774C">
        <w:rPr>
          <w:rFonts w:ascii="Arial" w:hAnsi="Arial" w:cs="Arial"/>
          <w:sz w:val="24"/>
          <w:szCs w:val="24"/>
        </w:rPr>
        <w:t xml:space="preserve">Srivastava, </w:t>
      </w:r>
      <w:r>
        <w:rPr>
          <w:rFonts w:ascii="Arial" w:hAnsi="Arial" w:cs="Arial"/>
          <w:sz w:val="24"/>
          <w:szCs w:val="24"/>
        </w:rPr>
        <w:t xml:space="preserve">A., </w:t>
      </w:r>
      <w:r w:rsidR="00BD1E00" w:rsidRPr="006A774C">
        <w:rPr>
          <w:rFonts w:ascii="Arial" w:hAnsi="Arial" w:cs="Arial"/>
          <w:sz w:val="24"/>
          <w:szCs w:val="24"/>
        </w:rPr>
        <w:t>‘” Mean</w:t>
      </w:r>
      <w:r w:rsidRPr="006A774C">
        <w:rPr>
          <w:rFonts w:ascii="Arial" w:hAnsi="Arial" w:cs="Arial"/>
          <w:sz w:val="24"/>
          <w:szCs w:val="24"/>
        </w:rPr>
        <w:t xml:space="preserve">, Dangerous, and Uncontrollable Beasts”: Medieval Animal Trials’, </w:t>
      </w:r>
      <w:r w:rsidRPr="006A774C">
        <w:rPr>
          <w:rFonts w:ascii="Arial" w:hAnsi="Arial" w:cs="Arial"/>
          <w:i/>
          <w:iCs/>
          <w:sz w:val="24"/>
          <w:szCs w:val="24"/>
        </w:rPr>
        <w:t>Mosaic: a Journal for the Interdisciplinary Study of Literature</w:t>
      </w:r>
      <w:r w:rsidRPr="006A774C">
        <w:rPr>
          <w:rFonts w:ascii="Arial" w:hAnsi="Arial" w:cs="Arial"/>
          <w:sz w:val="24"/>
          <w:szCs w:val="24"/>
        </w:rPr>
        <w:t xml:space="preserve"> (Mar 2007) Vol. 40, No. 1</w:t>
      </w:r>
      <w:r w:rsidR="00F618AE">
        <w:rPr>
          <w:rFonts w:ascii="Arial" w:hAnsi="Arial" w:cs="Arial"/>
          <w:sz w:val="24"/>
          <w:szCs w:val="24"/>
        </w:rPr>
        <w:t xml:space="preserve"> </w:t>
      </w:r>
      <w:bookmarkStart w:id="26" w:name="_GoBack"/>
      <w:bookmarkEnd w:id="26"/>
    </w:p>
    <w:p w14:paraId="03D3E8C7" w14:textId="77777777" w:rsidR="009F19FF" w:rsidRPr="006C67B8" w:rsidRDefault="009F19FF" w:rsidP="009F19FF">
      <w:pPr>
        <w:spacing w:line="240" w:lineRule="auto"/>
        <w:rPr>
          <w:rFonts w:ascii="Arial" w:hAnsi="Arial" w:cs="Arial"/>
          <w:sz w:val="24"/>
          <w:szCs w:val="24"/>
        </w:rPr>
      </w:pPr>
      <w:r w:rsidRPr="006C67B8">
        <w:rPr>
          <w:rFonts w:ascii="Arial" w:hAnsi="Arial" w:cs="Arial"/>
          <w:sz w:val="24"/>
          <w:szCs w:val="24"/>
        </w:rPr>
        <w:t xml:space="preserve">Stallsmith, </w:t>
      </w:r>
      <w:r>
        <w:rPr>
          <w:rFonts w:ascii="Arial" w:hAnsi="Arial" w:cs="Arial"/>
          <w:sz w:val="24"/>
          <w:szCs w:val="24"/>
        </w:rPr>
        <w:t xml:space="preserve">A., </w:t>
      </w:r>
      <w:r w:rsidRPr="006C67B8">
        <w:rPr>
          <w:rFonts w:ascii="Arial" w:hAnsi="Arial" w:cs="Arial"/>
          <w:sz w:val="24"/>
          <w:szCs w:val="24"/>
        </w:rPr>
        <w:t xml:space="preserve">‘Interpreting the Athenian Thesmophoria’, </w:t>
      </w:r>
      <w:r w:rsidRPr="006C67B8">
        <w:rPr>
          <w:rFonts w:ascii="Arial" w:hAnsi="Arial" w:cs="Arial"/>
          <w:i/>
          <w:iCs/>
          <w:sz w:val="24"/>
          <w:szCs w:val="24"/>
        </w:rPr>
        <w:t>Classical Bulletin</w:t>
      </w:r>
      <w:r w:rsidRPr="006C67B8">
        <w:rPr>
          <w:rFonts w:ascii="Arial" w:hAnsi="Arial" w:cs="Arial"/>
          <w:sz w:val="24"/>
          <w:szCs w:val="24"/>
        </w:rPr>
        <w:t xml:space="preserve">, Vol. 81, No. 1 (2009), &lt; </w:t>
      </w:r>
      <w:hyperlink r:id="rId18" w:history="1">
        <w:r w:rsidRPr="006C67B8">
          <w:rPr>
            <w:rStyle w:val="Hyperlink"/>
            <w:rFonts w:ascii="Arial" w:hAnsi="Arial" w:cs="Arial"/>
            <w:sz w:val="24"/>
            <w:szCs w:val="24"/>
          </w:rPr>
          <w:t>https://www.academia.edu/2381368/Interpreting_the_Athenian_Thesmophoria</w:t>
        </w:r>
      </w:hyperlink>
      <w:r w:rsidRPr="006C67B8">
        <w:rPr>
          <w:rFonts w:ascii="Arial" w:hAnsi="Arial" w:cs="Arial"/>
          <w:sz w:val="24"/>
          <w:szCs w:val="24"/>
        </w:rPr>
        <w:t>&gt; Accessed 11</w:t>
      </w:r>
      <w:r w:rsidRPr="006C67B8">
        <w:rPr>
          <w:rFonts w:ascii="Arial" w:hAnsi="Arial" w:cs="Arial"/>
          <w:sz w:val="24"/>
          <w:szCs w:val="24"/>
          <w:vertAlign w:val="superscript"/>
        </w:rPr>
        <w:t>th</w:t>
      </w:r>
      <w:r w:rsidRPr="006C67B8">
        <w:rPr>
          <w:rFonts w:ascii="Arial" w:hAnsi="Arial" w:cs="Arial"/>
          <w:sz w:val="24"/>
          <w:szCs w:val="24"/>
        </w:rPr>
        <w:t xml:space="preserve"> July 2019.</w:t>
      </w:r>
    </w:p>
    <w:p w14:paraId="7395C2C1" w14:textId="77777777" w:rsidR="009F19FF" w:rsidRDefault="009F19FF" w:rsidP="009F19FF">
      <w:pPr>
        <w:spacing w:line="240" w:lineRule="auto"/>
        <w:rPr>
          <w:rFonts w:ascii="Arial" w:hAnsi="Arial" w:cs="Arial"/>
          <w:sz w:val="24"/>
          <w:szCs w:val="24"/>
        </w:rPr>
      </w:pPr>
      <w:r>
        <w:rPr>
          <w:rFonts w:ascii="Arial" w:hAnsi="Arial" w:cs="Arial"/>
          <w:sz w:val="24"/>
          <w:szCs w:val="24"/>
        </w:rPr>
        <w:t xml:space="preserve">Steel, K., </w:t>
      </w:r>
      <w:r>
        <w:rPr>
          <w:rFonts w:ascii="Arial" w:hAnsi="Arial" w:cs="Arial"/>
          <w:i/>
          <w:iCs/>
          <w:sz w:val="24"/>
          <w:szCs w:val="24"/>
        </w:rPr>
        <w:t>How to Make a Human: Animals and Violence in the Middle Ages</w:t>
      </w:r>
      <w:r>
        <w:rPr>
          <w:rFonts w:ascii="Arial" w:hAnsi="Arial" w:cs="Arial"/>
          <w:sz w:val="24"/>
          <w:szCs w:val="24"/>
        </w:rPr>
        <w:t xml:space="preserve"> (Columbus: The Ohio State University Press, 2011)</w:t>
      </w:r>
    </w:p>
    <w:p w14:paraId="535D5A3E" w14:textId="77777777" w:rsidR="009F19FF" w:rsidRPr="0044713B" w:rsidRDefault="009F19FF" w:rsidP="009F19FF">
      <w:pPr>
        <w:spacing w:line="240" w:lineRule="auto"/>
        <w:rPr>
          <w:rFonts w:ascii="Arial" w:hAnsi="Arial" w:cs="Arial"/>
          <w:sz w:val="24"/>
          <w:szCs w:val="24"/>
        </w:rPr>
      </w:pPr>
      <w:r w:rsidRPr="0044713B">
        <w:rPr>
          <w:rFonts w:ascii="Arial" w:hAnsi="Arial" w:cs="Arial"/>
          <w:sz w:val="24"/>
          <w:szCs w:val="24"/>
        </w:rPr>
        <w:lastRenderedPageBreak/>
        <w:t xml:space="preserve">Thomas, </w:t>
      </w:r>
      <w:r>
        <w:rPr>
          <w:rFonts w:ascii="Arial" w:hAnsi="Arial" w:cs="Arial"/>
          <w:sz w:val="24"/>
          <w:szCs w:val="24"/>
        </w:rPr>
        <w:t xml:space="preserve">J., </w:t>
      </w:r>
      <w:r w:rsidRPr="0044713B">
        <w:rPr>
          <w:rFonts w:ascii="Arial" w:hAnsi="Arial" w:cs="Arial"/>
          <w:i/>
          <w:iCs/>
          <w:sz w:val="24"/>
          <w:szCs w:val="24"/>
        </w:rPr>
        <w:t>Representation of the Potter in the Middle Kingdom text ‘The Satire of the Trades’</w:t>
      </w:r>
      <w:r w:rsidRPr="0044713B">
        <w:rPr>
          <w:rFonts w:ascii="Arial" w:hAnsi="Arial" w:cs="Arial"/>
          <w:sz w:val="24"/>
          <w:szCs w:val="24"/>
        </w:rPr>
        <w:t xml:space="preserve">, </w:t>
      </w:r>
      <w:r>
        <w:rPr>
          <w:rFonts w:ascii="Arial" w:hAnsi="Arial" w:cs="Arial"/>
          <w:sz w:val="24"/>
          <w:szCs w:val="24"/>
        </w:rPr>
        <w:t xml:space="preserve">undergraduate </w:t>
      </w:r>
      <w:r w:rsidRPr="0044713B">
        <w:rPr>
          <w:rFonts w:ascii="Arial" w:hAnsi="Arial" w:cs="Arial"/>
          <w:sz w:val="24"/>
          <w:szCs w:val="24"/>
        </w:rPr>
        <w:t>dissertation thesis (2018)</w:t>
      </w:r>
    </w:p>
    <w:p w14:paraId="3F5BDC0F" w14:textId="77777777" w:rsidR="009F19FF" w:rsidRPr="006F2465" w:rsidRDefault="009F19FF" w:rsidP="009F19FF">
      <w:pPr>
        <w:spacing w:line="240" w:lineRule="auto"/>
        <w:rPr>
          <w:rFonts w:ascii="Arial" w:eastAsia="Times New Roman" w:hAnsi="Arial" w:cs="Arial"/>
          <w:color w:val="000000"/>
          <w:sz w:val="24"/>
          <w:szCs w:val="24"/>
          <w:lang w:eastAsia="en-GB"/>
        </w:rPr>
      </w:pPr>
      <w:r w:rsidRPr="006F2465">
        <w:rPr>
          <w:rFonts w:ascii="Arial" w:hAnsi="Arial" w:cs="Arial"/>
          <w:sz w:val="24"/>
          <w:szCs w:val="24"/>
        </w:rPr>
        <w:t xml:space="preserve">Ushedo, </w:t>
      </w:r>
      <w:r>
        <w:rPr>
          <w:rFonts w:ascii="Arial" w:hAnsi="Arial" w:cs="Arial"/>
          <w:sz w:val="24"/>
          <w:szCs w:val="24"/>
        </w:rPr>
        <w:t xml:space="preserve">B. O., </w:t>
      </w:r>
      <w:r w:rsidRPr="006F2465">
        <w:rPr>
          <w:rFonts w:ascii="Arial" w:hAnsi="Arial" w:cs="Arial"/>
          <w:sz w:val="24"/>
          <w:szCs w:val="24"/>
        </w:rPr>
        <w:t xml:space="preserve">‘Unloading Guilt: The Innocent Victim as Illustrated by James Baldwin and Rene Girard’, </w:t>
      </w:r>
      <w:r w:rsidRPr="006F2465">
        <w:rPr>
          <w:rFonts w:ascii="Arial" w:hAnsi="Arial" w:cs="Arial"/>
          <w:i/>
          <w:iCs/>
          <w:sz w:val="24"/>
          <w:szCs w:val="24"/>
        </w:rPr>
        <w:t>The Journal of Religious Thoughts</w:t>
      </w:r>
      <w:r w:rsidRPr="006F2465">
        <w:rPr>
          <w:rFonts w:ascii="Arial" w:hAnsi="Arial" w:cs="Arial"/>
          <w:sz w:val="24"/>
          <w:szCs w:val="24"/>
        </w:rPr>
        <w:t xml:space="preserve"> (2001)</w:t>
      </w:r>
    </w:p>
    <w:p w14:paraId="4215F5A1" w14:textId="77777777" w:rsidR="009F19FF" w:rsidRPr="004F6D53" w:rsidRDefault="009F19FF" w:rsidP="009F19FF">
      <w:pPr>
        <w:spacing w:line="240" w:lineRule="auto"/>
        <w:rPr>
          <w:rFonts w:ascii="Arial" w:eastAsia="Times New Roman" w:hAnsi="Arial" w:cs="Arial"/>
          <w:color w:val="000000"/>
          <w:sz w:val="24"/>
          <w:szCs w:val="24"/>
          <w:lang w:eastAsia="en-GB"/>
        </w:rPr>
      </w:pPr>
      <w:r w:rsidRPr="004F6D53">
        <w:rPr>
          <w:rFonts w:ascii="Arial" w:hAnsi="Arial" w:cs="Arial"/>
          <w:sz w:val="24"/>
          <w:szCs w:val="24"/>
        </w:rPr>
        <w:t xml:space="preserve">Watts, </w:t>
      </w:r>
      <w:r>
        <w:rPr>
          <w:rFonts w:ascii="Arial" w:hAnsi="Arial" w:cs="Arial"/>
          <w:sz w:val="24"/>
          <w:szCs w:val="24"/>
        </w:rPr>
        <w:t xml:space="preserve">J., </w:t>
      </w:r>
      <w:r w:rsidRPr="004F6D53">
        <w:rPr>
          <w:rFonts w:ascii="Arial" w:hAnsi="Arial" w:cs="Arial"/>
          <w:i/>
          <w:iCs/>
          <w:sz w:val="24"/>
          <w:szCs w:val="24"/>
        </w:rPr>
        <w:t>The making of Polities: Europe 1300-1500</w:t>
      </w:r>
      <w:r w:rsidRPr="004F6D53">
        <w:rPr>
          <w:rFonts w:ascii="Arial" w:hAnsi="Arial" w:cs="Arial"/>
          <w:sz w:val="24"/>
          <w:szCs w:val="24"/>
        </w:rPr>
        <w:t xml:space="preserve"> (Cambridge: Cambridge University Press, 2009)</w:t>
      </w:r>
    </w:p>
    <w:p w14:paraId="5F7CF495" w14:textId="77777777" w:rsidR="009F19FF" w:rsidRPr="00F628CA" w:rsidRDefault="009F19FF" w:rsidP="009F19FF">
      <w:pPr>
        <w:spacing w:line="240" w:lineRule="auto"/>
        <w:rPr>
          <w:rFonts w:ascii="Arial" w:hAnsi="Arial" w:cs="Arial"/>
          <w:sz w:val="24"/>
          <w:szCs w:val="24"/>
        </w:rPr>
      </w:pPr>
      <w:r w:rsidRPr="00F628CA">
        <w:rPr>
          <w:rFonts w:ascii="Arial" w:eastAsia="Times New Roman" w:hAnsi="Arial" w:cs="Arial"/>
          <w:color w:val="000000"/>
          <w:sz w:val="24"/>
          <w:szCs w:val="24"/>
          <w:lang w:eastAsia="en-GB"/>
        </w:rPr>
        <w:t xml:space="preserve">Wheatley, </w:t>
      </w:r>
      <w:r>
        <w:rPr>
          <w:rFonts w:ascii="Arial" w:eastAsia="Times New Roman" w:hAnsi="Arial" w:cs="Arial"/>
          <w:color w:val="000000"/>
          <w:sz w:val="24"/>
          <w:szCs w:val="24"/>
          <w:lang w:eastAsia="en-GB"/>
        </w:rPr>
        <w:t xml:space="preserve">E., </w:t>
      </w:r>
      <w:r w:rsidRPr="00F628CA">
        <w:rPr>
          <w:rFonts w:ascii="Arial" w:eastAsia="Times New Roman" w:hAnsi="Arial" w:cs="Arial"/>
          <w:color w:val="000000"/>
          <w:sz w:val="24"/>
          <w:szCs w:val="24"/>
          <w:lang w:eastAsia="en-GB"/>
        </w:rPr>
        <w:t xml:space="preserve">‘Murderous sows in Chaucer’s Knight’s Tale and Late Fourteenth-Century France’, </w:t>
      </w:r>
      <w:r w:rsidRPr="00F628CA">
        <w:rPr>
          <w:rFonts w:ascii="Arial" w:eastAsia="Times New Roman" w:hAnsi="Arial" w:cs="Arial"/>
          <w:i/>
          <w:iCs/>
          <w:color w:val="000000"/>
          <w:sz w:val="24"/>
          <w:szCs w:val="24"/>
          <w:lang w:eastAsia="en-GB"/>
        </w:rPr>
        <w:t>The Chaucer Review</w:t>
      </w:r>
      <w:r w:rsidRPr="00F628CA">
        <w:rPr>
          <w:rFonts w:ascii="Arial" w:eastAsia="Times New Roman" w:hAnsi="Arial" w:cs="Arial"/>
          <w:color w:val="000000"/>
          <w:sz w:val="24"/>
          <w:szCs w:val="24"/>
          <w:lang w:eastAsia="en-GB"/>
        </w:rPr>
        <w:t>, Vol. 44, No. 2 (2009).</w:t>
      </w:r>
    </w:p>
    <w:p w14:paraId="57BFE2D3" w14:textId="77777777" w:rsidR="009F19FF" w:rsidRDefault="009F19FF" w:rsidP="009F19FF">
      <w:pPr>
        <w:spacing w:line="240" w:lineRule="auto"/>
        <w:rPr>
          <w:rFonts w:ascii="Arial" w:hAnsi="Arial" w:cs="Arial"/>
          <w:sz w:val="24"/>
          <w:szCs w:val="24"/>
        </w:rPr>
      </w:pPr>
      <w:r w:rsidRPr="00C1350E">
        <w:rPr>
          <w:rFonts w:ascii="Arial" w:hAnsi="Arial" w:cs="Arial"/>
          <w:sz w:val="24"/>
          <w:szCs w:val="24"/>
        </w:rPr>
        <w:t xml:space="preserve">Windling, </w:t>
      </w:r>
      <w:r>
        <w:rPr>
          <w:rFonts w:ascii="Arial" w:hAnsi="Arial" w:cs="Arial"/>
          <w:sz w:val="24"/>
          <w:szCs w:val="24"/>
        </w:rPr>
        <w:t xml:space="preserve">T., ‘The Sacred Pig’, </w:t>
      </w:r>
      <w:r w:rsidRPr="00C1350E">
        <w:rPr>
          <w:rFonts w:ascii="Arial" w:hAnsi="Arial" w:cs="Arial"/>
          <w:i/>
          <w:iCs/>
          <w:color w:val="000000"/>
          <w:sz w:val="24"/>
          <w:szCs w:val="24"/>
          <w:shd w:val="clear" w:color="auto" w:fill="FFFFFF"/>
        </w:rPr>
        <w:t>Notes from a Dartmoor Studio</w:t>
      </w:r>
      <w:r w:rsidRPr="00C1350E">
        <w:rPr>
          <w:rFonts w:ascii="Arial" w:hAnsi="Arial" w:cs="Arial"/>
          <w:i/>
          <w:iCs/>
          <w:color w:val="000000"/>
          <w:sz w:val="24"/>
          <w:szCs w:val="24"/>
        </w:rPr>
        <w:t xml:space="preserve"> </w:t>
      </w:r>
      <w:r w:rsidRPr="00C1350E">
        <w:rPr>
          <w:rFonts w:ascii="Arial" w:hAnsi="Arial" w:cs="Arial"/>
          <w:i/>
          <w:iCs/>
          <w:color w:val="000000"/>
          <w:sz w:val="24"/>
          <w:szCs w:val="24"/>
          <w:shd w:val="clear" w:color="auto" w:fill="FFFFFF"/>
        </w:rPr>
        <w:t>on Folklore, Fairy Tales, Fantasy,</w:t>
      </w:r>
      <w:r w:rsidRPr="00C1350E">
        <w:rPr>
          <w:rFonts w:ascii="Arial" w:hAnsi="Arial" w:cs="Arial"/>
          <w:i/>
          <w:iCs/>
          <w:color w:val="000000"/>
          <w:sz w:val="24"/>
          <w:szCs w:val="24"/>
        </w:rPr>
        <w:t xml:space="preserve"> </w:t>
      </w:r>
      <w:r w:rsidRPr="00C1350E">
        <w:rPr>
          <w:rFonts w:ascii="Arial" w:hAnsi="Arial" w:cs="Arial"/>
          <w:i/>
          <w:iCs/>
          <w:color w:val="000000"/>
          <w:sz w:val="24"/>
          <w:szCs w:val="24"/>
          <w:shd w:val="clear" w:color="auto" w:fill="FFFFFF"/>
        </w:rPr>
        <w:t>Mythic Arts &amp; Mythic Living</w:t>
      </w:r>
      <w:r w:rsidRPr="00C1350E">
        <w:rPr>
          <w:rFonts w:ascii="Arial" w:hAnsi="Arial" w:cs="Arial"/>
          <w:color w:val="000000"/>
          <w:sz w:val="24"/>
          <w:szCs w:val="24"/>
          <w:shd w:val="clear" w:color="auto" w:fill="FFFFFF"/>
        </w:rPr>
        <w:t>,</w:t>
      </w:r>
      <w:r w:rsidRPr="00C1350E">
        <w:rPr>
          <w:rFonts w:ascii="Arial" w:hAnsi="Arial" w:cs="Arial"/>
          <w:sz w:val="24"/>
          <w:szCs w:val="24"/>
        </w:rPr>
        <w:t xml:space="preserve"> </w:t>
      </w:r>
      <w:hyperlink r:id="rId19" w:history="1">
        <w:r w:rsidRPr="00C1350E">
          <w:rPr>
            <w:rStyle w:val="Hyperlink"/>
            <w:rFonts w:ascii="Arial" w:hAnsi="Arial" w:cs="Arial"/>
            <w:sz w:val="24"/>
            <w:szCs w:val="24"/>
          </w:rPr>
          <w:t>https://www.terriwindling.com/blog/2016/02/sacred-pig.html</w:t>
        </w:r>
      </w:hyperlink>
      <w:r w:rsidRPr="00C1350E">
        <w:rPr>
          <w:rFonts w:ascii="Arial" w:hAnsi="Arial" w:cs="Arial"/>
          <w:sz w:val="24"/>
          <w:szCs w:val="24"/>
        </w:rPr>
        <w:t>&gt; Accessed 21</w:t>
      </w:r>
      <w:r w:rsidRPr="00C1350E">
        <w:rPr>
          <w:rFonts w:ascii="Arial" w:hAnsi="Arial" w:cs="Arial"/>
          <w:sz w:val="24"/>
          <w:szCs w:val="24"/>
          <w:vertAlign w:val="superscript"/>
        </w:rPr>
        <w:t>st</w:t>
      </w:r>
      <w:r w:rsidRPr="00C1350E">
        <w:rPr>
          <w:rFonts w:ascii="Arial" w:hAnsi="Arial" w:cs="Arial"/>
          <w:sz w:val="24"/>
          <w:szCs w:val="24"/>
        </w:rPr>
        <w:t xml:space="preserve"> Sept 2018</w:t>
      </w:r>
    </w:p>
    <w:p w14:paraId="776DABAA" w14:textId="77777777" w:rsidR="009F19FF" w:rsidRDefault="009F19FF" w:rsidP="009F19FF">
      <w:pPr>
        <w:spacing w:line="240" w:lineRule="auto"/>
        <w:rPr>
          <w:rFonts w:ascii="Arial" w:hAnsi="Arial" w:cs="Arial"/>
          <w:sz w:val="24"/>
          <w:szCs w:val="24"/>
        </w:rPr>
      </w:pPr>
      <w:r w:rsidRPr="00BD4987">
        <w:rPr>
          <w:rFonts w:ascii="Arial" w:hAnsi="Arial" w:cs="Arial"/>
          <w:sz w:val="24"/>
          <w:szCs w:val="24"/>
        </w:rPr>
        <w:t xml:space="preserve">Yamamoto, </w:t>
      </w:r>
      <w:r>
        <w:rPr>
          <w:rFonts w:ascii="Arial" w:hAnsi="Arial" w:cs="Arial"/>
          <w:sz w:val="24"/>
          <w:szCs w:val="24"/>
        </w:rPr>
        <w:t xml:space="preserve">D., </w:t>
      </w:r>
      <w:r w:rsidRPr="00BD4987">
        <w:rPr>
          <w:rFonts w:ascii="Arial" w:hAnsi="Arial" w:cs="Arial"/>
          <w:i/>
          <w:sz w:val="24"/>
          <w:szCs w:val="24"/>
        </w:rPr>
        <w:t>The Boundaries of the Human in Medieval English Literature</w:t>
      </w:r>
      <w:r w:rsidRPr="00BD4987">
        <w:rPr>
          <w:rFonts w:ascii="Arial" w:hAnsi="Arial" w:cs="Arial"/>
          <w:sz w:val="24"/>
          <w:szCs w:val="24"/>
        </w:rPr>
        <w:t>, (2000), published to Oxford Scholarship Online: Jan 2010</w:t>
      </w:r>
    </w:p>
    <w:p w14:paraId="455F91FE" w14:textId="77777777" w:rsidR="009F19FF" w:rsidRPr="000D5958" w:rsidRDefault="009F19FF" w:rsidP="009F19FF">
      <w:pPr>
        <w:tabs>
          <w:tab w:val="left" w:pos="2054"/>
        </w:tabs>
        <w:spacing w:line="240" w:lineRule="auto"/>
        <w:rPr>
          <w:rFonts w:ascii="Arial" w:hAnsi="Arial" w:cs="Arial"/>
          <w:sz w:val="24"/>
          <w:szCs w:val="24"/>
        </w:rPr>
      </w:pPr>
      <w:r w:rsidRPr="000D5958">
        <w:rPr>
          <w:rFonts w:ascii="Arial" w:hAnsi="Arial" w:cs="Arial"/>
          <w:sz w:val="24"/>
          <w:szCs w:val="24"/>
        </w:rPr>
        <w:t xml:space="preserve">No author cited, </w:t>
      </w:r>
      <w:r w:rsidRPr="000D5958">
        <w:rPr>
          <w:rFonts w:ascii="Arial" w:hAnsi="Arial" w:cs="Arial"/>
          <w:i/>
          <w:iCs/>
          <w:sz w:val="24"/>
          <w:szCs w:val="24"/>
        </w:rPr>
        <w:t>Boars, Pigs and Myths</w:t>
      </w:r>
      <w:r w:rsidRPr="000D5958">
        <w:rPr>
          <w:rFonts w:ascii="Arial" w:hAnsi="Arial" w:cs="Arial"/>
          <w:sz w:val="24"/>
          <w:szCs w:val="24"/>
        </w:rPr>
        <w:t xml:space="preserve">, Meadhall, </w:t>
      </w:r>
      <w:hyperlink r:id="rId20" w:history="1">
        <w:r w:rsidRPr="000D5958">
          <w:rPr>
            <w:rStyle w:val="Hyperlink"/>
            <w:rFonts w:ascii="Arial" w:hAnsi="Arial" w:cs="Arial"/>
            <w:sz w:val="24"/>
            <w:szCs w:val="24"/>
          </w:rPr>
          <w:t>http://meadhall.homestead.com/boarspigsandmyth.html</w:t>
        </w:r>
      </w:hyperlink>
      <w:r w:rsidRPr="000D5958">
        <w:rPr>
          <w:rFonts w:ascii="Arial" w:hAnsi="Arial" w:cs="Arial"/>
          <w:sz w:val="24"/>
          <w:szCs w:val="24"/>
        </w:rPr>
        <w:t>&gt; Accessed 21</w:t>
      </w:r>
      <w:r w:rsidRPr="000D5958">
        <w:rPr>
          <w:rFonts w:ascii="Arial" w:hAnsi="Arial" w:cs="Arial"/>
          <w:sz w:val="24"/>
          <w:szCs w:val="24"/>
          <w:vertAlign w:val="superscript"/>
        </w:rPr>
        <w:t>st</w:t>
      </w:r>
      <w:r w:rsidRPr="000D5958">
        <w:rPr>
          <w:rFonts w:ascii="Arial" w:hAnsi="Arial" w:cs="Arial"/>
          <w:sz w:val="24"/>
          <w:szCs w:val="24"/>
        </w:rPr>
        <w:t xml:space="preserve"> Sept 2018</w:t>
      </w:r>
    </w:p>
    <w:p w14:paraId="7E709336" w14:textId="77777777" w:rsidR="009F19FF" w:rsidRPr="00C14B60" w:rsidRDefault="009F19FF" w:rsidP="009F19FF">
      <w:pPr>
        <w:tabs>
          <w:tab w:val="left" w:pos="2054"/>
        </w:tabs>
        <w:spacing w:line="240" w:lineRule="auto"/>
        <w:rPr>
          <w:rFonts w:ascii="Arial" w:hAnsi="Arial" w:cs="Arial"/>
          <w:sz w:val="24"/>
          <w:szCs w:val="24"/>
        </w:rPr>
      </w:pPr>
      <w:r>
        <w:rPr>
          <w:rFonts w:ascii="Arial" w:hAnsi="Arial" w:cs="Arial"/>
          <w:sz w:val="24"/>
          <w:szCs w:val="24"/>
        </w:rPr>
        <w:t xml:space="preserve">No author cited, </w:t>
      </w:r>
      <w:r w:rsidRPr="00C14B60">
        <w:rPr>
          <w:rFonts w:ascii="Arial" w:hAnsi="Arial" w:cs="Arial"/>
          <w:sz w:val="24"/>
          <w:szCs w:val="24"/>
        </w:rPr>
        <w:t xml:space="preserve">‘Why do Muslim’s Abstain From Pork?’, </w:t>
      </w:r>
      <w:r w:rsidRPr="00C14B60">
        <w:rPr>
          <w:rFonts w:ascii="Arial" w:hAnsi="Arial" w:cs="Arial"/>
          <w:i/>
          <w:iCs/>
          <w:sz w:val="24"/>
          <w:szCs w:val="24"/>
        </w:rPr>
        <w:t>Why Islam.Org?</w:t>
      </w:r>
      <w:r w:rsidRPr="00C14B60">
        <w:rPr>
          <w:rFonts w:ascii="Arial" w:hAnsi="Arial" w:cs="Arial"/>
          <w:sz w:val="24"/>
          <w:szCs w:val="24"/>
        </w:rPr>
        <w:t xml:space="preserve">, </w:t>
      </w:r>
      <w:hyperlink r:id="rId21" w:history="1">
        <w:r w:rsidRPr="00C14B60">
          <w:rPr>
            <w:rStyle w:val="Hyperlink"/>
            <w:rFonts w:ascii="Arial" w:hAnsi="Arial" w:cs="Arial"/>
            <w:sz w:val="24"/>
            <w:szCs w:val="24"/>
          </w:rPr>
          <w:t>https://www.whyislam.org/faqs/restrictions-in-islam/why-do-muslims-abstain-from-pork/</w:t>
        </w:r>
      </w:hyperlink>
      <w:r w:rsidRPr="00C14B60">
        <w:rPr>
          <w:rFonts w:ascii="Arial" w:hAnsi="Arial" w:cs="Arial"/>
          <w:sz w:val="24"/>
          <w:szCs w:val="24"/>
        </w:rPr>
        <w:t>&gt; Accessed 10</w:t>
      </w:r>
      <w:r w:rsidRPr="00C14B60">
        <w:rPr>
          <w:rFonts w:ascii="Arial" w:hAnsi="Arial" w:cs="Arial"/>
          <w:sz w:val="24"/>
          <w:szCs w:val="24"/>
          <w:vertAlign w:val="superscript"/>
        </w:rPr>
        <w:t>th</w:t>
      </w:r>
      <w:r w:rsidRPr="00C14B60">
        <w:rPr>
          <w:rFonts w:ascii="Arial" w:hAnsi="Arial" w:cs="Arial"/>
          <w:sz w:val="24"/>
          <w:szCs w:val="24"/>
        </w:rPr>
        <w:t xml:space="preserve"> July 2019.</w:t>
      </w:r>
    </w:p>
    <w:p w14:paraId="22696EAF" w14:textId="77777777" w:rsidR="001F14E0" w:rsidRDefault="001F14E0"/>
    <w:sectPr w:rsidR="001F14E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2868D0" w14:textId="77777777" w:rsidR="009B50AD" w:rsidRDefault="009B50AD" w:rsidP="0025722F">
      <w:pPr>
        <w:spacing w:after="0" w:line="240" w:lineRule="auto"/>
      </w:pPr>
      <w:r>
        <w:separator/>
      </w:r>
    </w:p>
  </w:endnote>
  <w:endnote w:type="continuationSeparator" w:id="0">
    <w:p w14:paraId="085ABF27" w14:textId="77777777" w:rsidR="009B50AD" w:rsidRDefault="009B50AD" w:rsidP="00257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1772579"/>
      <w:docPartObj>
        <w:docPartGallery w:val="Page Numbers (Bottom of Page)"/>
        <w:docPartUnique/>
      </w:docPartObj>
    </w:sdtPr>
    <w:sdtEndPr>
      <w:rPr>
        <w:noProof/>
      </w:rPr>
    </w:sdtEndPr>
    <w:sdtContent>
      <w:p w14:paraId="282A5C97" w14:textId="2AB4961C" w:rsidR="009F19FF" w:rsidRDefault="009F19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616DF4" w14:textId="77777777" w:rsidR="009F19FF" w:rsidRDefault="009F1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0269B5" w14:textId="77777777" w:rsidR="009B50AD" w:rsidRDefault="009B50AD" w:rsidP="0025722F">
      <w:pPr>
        <w:spacing w:after="0" w:line="240" w:lineRule="auto"/>
      </w:pPr>
      <w:r>
        <w:separator/>
      </w:r>
    </w:p>
  </w:footnote>
  <w:footnote w:type="continuationSeparator" w:id="0">
    <w:p w14:paraId="6A61C664" w14:textId="77777777" w:rsidR="009B50AD" w:rsidRDefault="009B50AD" w:rsidP="0025722F">
      <w:pPr>
        <w:spacing w:after="0" w:line="240" w:lineRule="auto"/>
      </w:pPr>
      <w:r>
        <w:continuationSeparator/>
      </w:r>
    </w:p>
  </w:footnote>
  <w:footnote w:id="1">
    <w:p w14:paraId="1DDEDCC7" w14:textId="77777777" w:rsidR="0025722F" w:rsidRPr="00DC4BB8" w:rsidRDefault="0025722F" w:rsidP="0025722F">
      <w:pPr>
        <w:spacing w:line="240" w:lineRule="auto"/>
        <w:rPr>
          <w:sz w:val="20"/>
          <w:szCs w:val="20"/>
        </w:rPr>
      </w:pPr>
      <w:r>
        <w:rPr>
          <w:rStyle w:val="FootnoteReference"/>
        </w:rPr>
        <w:footnoteRef/>
      </w:r>
      <w:r>
        <w:t xml:space="preserve">  </w:t>
      </w:r>
      <w:r w:rsidRPr="00950090">
        <w:rPr>
          <w:sz w:val="20"/>
          <w:szCs w:val="20"/>
        </w:rPr>
        <w:t>Geoffrey</w:t>
      </w:r>
      <w:r>
        <w:t xml:space="preserve"> </w:t>
      </w:r>
      <w:r w:rsidRPr="00950090">
        <w:rPr>
          <w:sz w:val="20"/>
          <w:szCs w:val="20"/>
        </w:rPr>
        <w:t>Chaucer, ed. Larry D. Benson, ‘The Canterbury Tales’ in</w:t>
      </w:r>
      <w:r w:rsidRPr="00950090">
        <w:rPr>
          <w:i/>
          <w:sz w:val="20"/>
          <w:szCs w:val="20"/>
        </w:rPr>
        <w:t xml:space="preserve"> The Riverside Chaucer</w:t>
      </w:r>
      <w:r w:rsidRPr="00950090">
        <w:rPr>
          <w:sz w:val="20"/>
          <w:szCs w:val="20"/>
        </w:rPr>
        <w:t>, (Oxford: Oxford University Press, 1987)</w:t>
      </w:r>
      <w:r>
        <w:rPr>
          <w:sz w:val="20"/>
          <w:szCs w:val="20"/>
        </w:rPr>
        <w:t>, ‘The Knight’s Tale’,</w:t>
      </w:r>
      <w:r w:rsidRPr="00950090">
        <w:rPr>
          <w:sz w:val="20"/>
          <w:szCs w:val="20"/>
        </w:rPr>
        <w:t xml:space="preserve"> </w:t>
      </w:r>
      <w:r w:rsidRPr="00950090">
        <w:rPr>
          <w:rFonts w:eastAsia="Times New Roman" w:cstheme="minorHAnsi"/>
          <w:color w:val="000000"/>
          <w:sz w:val="20"/>
          <w:szCs w:val="20"/>
          <w:lang w:eastAsia="en-GB"/>
        </w:rPr>
        <w:t>l.2019</w:t>
      </w:r>
      <w:r>
        <w:rPr>
          <w:rFonts w:eastAsia="Times New Roman" w:cstheme="minorHAnsi"/>
          <w:color w:val="000000"/>
          <w:sz w:val="20"/>
          <w:szCs w:val="20"/>
          <w:lang w:eastAsia="en-GB"/>
        </w:rPr>
        <w:t xml:space="preserve">, p.52. This image of pig brutality is ‘drawn’ by the knight as he describes the frescoes in the temple of Mars. It is a temple dedicated to war, but the presence of the murderous sow is indicative of the domestic: in fact, the picture seems at least as concerned with the hellish outcome of chaos. To Wheatley, it is reminiscent of the fresco reported to have been painted on the wall of a church in Falaise that represented the death of an infant that had died as a result of an attack by a sow: the sow had eaten the child’s face as it lay in its cradle, it also represented the subsequent execution of that sow. </w:t>
      </w:r>
      <w:bookmarkStart w:id="3" w:name="_Hlk13489325"/>
      <w:r>
        <w:rPr>
          <w:rFonts w:eastAsia="Times New Roman" w:cstheme="minorHAnsi"/>
          <w:color w:val="000000"/>
          <w:sz w:val="20"/>
          <w:szCs w:val="20"/>
          <w:lang w:eastAsia="en-GB"/>
        </w:rPr>
        <w:t xml:space="preserve">Edward Wheatley, ‘Murderous sows in Chaucer’s Knight’s Tale and Late Fourteenth-Century France’, </w:t>
      </w:r>
      <w:r>
        <w:rPr>
          <w:rFonts w:eastAsia="Times New Roman" w:cstheme="minorHAnsi"/>
          <w:i/>
          <w:iCs/>
          <w:color w:val="000000"/>
          <w:sz w:val="20"/>
          <w:szCs w:val="20"/>
          <w:lang w:eastAsia="en-GB"/>
        </w:rPr>
        <w:t>The Chaucer Review</w:t>
      </w:r>
      <w:r>
        <w:rPr>
          <w:rFonts w:eastAsia="Times New Roman" w:cstheme="minorHAnsi"/>
          <w:color w:val="000000"/>
          <w:sz w:val="20"/>
          <w:szCs w:val="20"/>
          <w:lang w:eastAsia="en-GB"/>
        </w:rPr>
        <w:t>, Vol. 44, No. 2 (2009).</w:t>
      </w:r>
      <w:bookmarkEnd w:id="3"/>
    </w:p>
  </w:footnote>
  <w:footnote w:id="2">
    <w:p w14:paraId="09C86FAD" w14:textId="77777777" w:rsidR="0025722F" w:rsidRPr="0087156F" w:rsidRDefault="0025722F" w:rsidP="0025722F">
      <w:pPr>
        <w:spacing w:line="240" w:lineRule="auto"/>
        <w:rPr>
          <w:rFonts w:cstheme="minorHAnsi"/>
          <w:sz w:val="24"/>
          <w:szCs w:val="24"/>
        </w:rPr>
      </w:pPr>
      <w:r>
        <w:rPr>
          <w:rStyle w:val="FootnoteReference"/>
        </w:rPr>
        <w:footnoteRef/>
      </w:r>
      <w:r>
        <w:t xml:space="preserve"> </w:t>
      </w:r>
      <w:bookmarkStart w:id="5" w:name="_Hlk13260043"/>
      <w:r w:rsidRPr="003934C5">
        <w:rPr>
          <w:sz w:val="20"/>
          <w:szCs w:val="20"/>
        </w:rPr>
        <w:t xml:space="preserve">Evan K. Irving-Pease, Hannah Ryan, Alexandra Jamieson, Evangelos A. Dimopoulos, Greger Larson and Laurent A.F. Frantz, (PDF) Paleogenomics of Animal Domestication, p.5-6. Available from: </w:t>
      </w:r>
      <w:hyperlink r:id="rId1" w:history="1">
        <w:r w:rsidRPr="003934C5">
          <w:rPr>
            <w:sz w:val="20"/>
            <w:szCs w:val="20"/>
          </w:rPr>
          <w:t>https://www.researchgate.net/publication/328211768_Paleogenomics_of_Animal_Domestication</w:t>
        </w:r>
      </w:hyperlink>
      <w:r w:rsidRPr="003934C5">
        <w:rPr>
          <w:sz w:val="20"/>
          <w:szCs w:val="20"/>
        </w:rPr>
        <w:t xml:space="preserve"> [accessed Nov 20 2018]</w:t>
      </w:r>
      <w:r w:rsidRPr="00B93236">
        <w:rPr>
          <w:rFonts w:eastAsia="Times New Roman" w:cstheme="minorHAnsi"/>
          <w:sz w:val="24"/>
          <w:szCs w:val="24"/>
          <w:lang w:eastAsia="en-GB"/>
        </w:rPr>
        <w:t xml:space="preserve"> </w:t>
      </w:r>
      <w:bookmarkEnd w:id="5"/>
    </w:p>
  </w:footnote>
  <w:footnote w:id="3">
    <w:p w14:paraId="6970E7DB" w14:textId="77777777" w:rsidR="0025722F" w:rsidRDefault="0025722F" w:rsidP="0025722F">
      <w:pPr>
        <w:pStyle w:val="FootnoteText"/>
      </w:pPr>
      <w:r>
        <w:rPr>
          <w:rStyle w:val="FootnoteReference"/>
        </w:rPr>
        <w:footnoteRef/>
      </w:r>
      <w:r>
        <w:t xml:space="preserve"> Ibid., p.4-5 The commensal pathway describes a domestication where ‘attraction occurred as wild animals were drawn to food sources available on the margins of human occupation—such as refuse scavenging (e.g. wolves and wild boars)...[they were]…subjected to subtle selection favouring individuals who were more adapted to exploit the human niche…ultimately leading to a full domestic partnership’</w:t>
      </w:r>
    </w:p>
  </w:footnote>
  <w:footnote w:id="4">
    <w:p w14:paraId="2B7BBC9D" w14:textId="77777777" w:rsidR="0025722F" w:rsidRPr="003934C5" w:rsidRDefault="0025722F" w:rsidP="0025722F">
      <w:pPr>
        <w:tabs>
          <w:tab w:val="left" w:pos="2054"/>
        </w:tabs>
        <w:spacing w:line="240" w:lineRule="auto"/>
        <w:rPr>
          <w:sz w:val="20"/>
          <w:szCs w:val="20"/>
        </w:rPr>
      </w:pPr>
      <w:r>
        <w:rPr>
          <w:rStyle w:val="FootnoteReference"/>
        </w:rPr>
        <w:footnoteRef/>
      </w:r>
      <w:r>
        <w:t xml:space="preserve"> </w:t>
      </w:r>
      <w:r w:rsidRPr="003934C5">
        <w:rPr>
          <w:sz w:val="20"/>
          <w:szCs w:val="20"/>
        </w:rPr>
        <w:t xml:space="preserve">Ibid., p.7, see also Juliet </w:t>
      </w:r>
      <w:proofErr w:type="spellStart"/>
      <w:r w:rsidRPr="003934C5">
        <w:rPr>
          <w:sz w:val="20"/>
          <w:szCs w:val="20"/>
        </w:rPr>
        <w:t>Clutton</w:t>
      </w:r>
      <w:proofErr w:type="spellEnd"/>
      <w:r w:rsidRPr="003934C5">
        <w:rPr>
          <w:sz w:val="20"/>
          <w:szCs w:val="20"/>
        </w:rPr>
        <w:t xml:space="preserve">-Brock, Chapter 2, ‘The Unnatural World’, in Animals and Human Society, Aubrey Manning and James </w:t>
      </w:r>
      <w:proofErr w:type="spellStart"/>
      <w:r w:rsidRPr="003934C5">
        <w:rPr>
          <w:sz w:val="20"/>
          <w:szCs w:val="20"/>
        </w:rPr>
        <w:t>Serpell</w:t>
      </w:r>
      <w:proofErr w:type="spellEnd"/>
      <w:r w:rsidRPr="003934C5">
        <w:rPr>
          <w:sz w:val="20"/>
          <w:szCs w:val="20"/>
        </w:rPr>
        <w:t xml:space="preserve"> eds., (London: Routledge, 1994), p.27 and  further, </w:t>
      </w:r>
      <w:r>
        <w:rPr>
          <w:sz w:val="20"/>
          <w:szCs w:val="20"/>
        </w:rPr>
        <w:t xml:space="preserve">see </w:t>
      </w:r>
      <w:r w:rsidRPr="003934C5">
        <w:rPr>
          <w:sz w:val="20"/>
          <w:szCs w:val="20"/>
        </w:rPr>
        <w:t>White</w:t>
      </w:r>
      <w:r>
        <w:rPr>
          <w:sz w:val="20"/>
          <w:szCs w:val="20"/>
        </w:rPr>
        <w:t xml:space="preserve"> who</w:t>
      </w:r>
      <w:r w:rsidRPr="003934C5">
        <w:rPr>
          <w:sz w:val="20"/>
          <w:szCs w:val="20"/>
        </w:rPr>
        <w:t xml:space="preserve"> notes </w:t>
      </w:r>
      <w:r>
        <w:rPr>
          <w:sz w:val="20"/>
          <w:szCs w:val="20"/>
        </w:rPr>
        <w:t xml:space="preserve">that it was </w:t>
      </w:r>
      <w:r w:rsidRPr="003934C5">
        <w:rPr>
          <w:sz w:val="20"/>
          <w:szCs w:val="20"/>
        </w:rPr>
        <w:t xml:space="preserve">longer still before </w:t>
      </w:r>
      <w:r>
        <w:rPr>
          <w:sz w:val="20"/>
          <w:szCs w:val="20"/>
        </w:rPr>
        <w:t>pigs</w:t>
      </w:r>
      <w:r w:rsidRPr="003934C5">
        <w:rPr>
          <w:sz w:val="20"/>
          <w:szCs w:val="20"/>
        </w:rPr>
        <w:t xml:space="preserve"> were ‘true farm animals</w:t>
      </w:r>
      <w:r>
        <w:rPr>
          <w:sz w:val="20"/>
          <w:szCs w:val="20"/>
        </w:rPr>
        <w:t xml:space="preserve"> </w:t>
      </w:r>
      <w:r w:rsidRPr="003934C5">
        <w:rPr>
          <w:sz w:val="20"/>
          <w:szCs w:val="20"/>
        </w:rPr>
        <w:t>-</w:t>
      </w:r>
      <w:r>
        <w:rPr>
          <w:sz w:val="20"/>
          <w:szCs w:val="20"/>
        </w:rPr>
        <w:t xml:space="preserve"> </w:t>
      </w:r>
      <w:r w:rsidRPr="003934C5">
        <w:rPr>
          <w:sz w:val="20"/>
          <w:szCs w:val="20"/>
        </w:rPr>
        <w:t xml:space="preserve">a transition they achieved around eight thousand years ago’. Sam White, ‘From Globalized Pig Breeds to Capitalist Pigs: A Study in Animal Cultures and Evolutionary History’, Environmental History, Vol. 16, No. 1 (JANUARY 2011), 95-6. Accessed: 2nd July 2019 </w:t>
      </w:r>
    </w:p>
    <w:p w14:paraId="44FF96C5" w14:textId="77777777" w:rsidR="0025722F" w:rsidRPr="0087156F" w:rsidRDefault="0025722F" w:rsidP="0025722F">
      <w:pPr>
        <w:pStyle w:val="FootnoteText"/>
      </w:pPr>
    </w:p>
  </w:footnote>
  <w:footnote w:id="5">
    <w:p w14:paraId="1C47E533" w14:textId="77777777" w:rsidR="0025722F" w:rsidRPr="004A54D1" w:rsidRDefault="0025722F" w:rsidP="0025722F">
      <w:pPr>
        <w:spacing w:line="240" w:lineRule="auto"/>
        <w:rPr>
          <w:rFonts w:ascii="Arial" w:hAnsi="Arial" w:cs="Arial"/>
          <w:b/>
          <w:bCs/>
          <w:sz w:val="24"/>
          <w:szCs w:val="24"/>
        </w:rPr>
      </w:pPr>
      <w:r>
        <w:rPr>
          <w:rStyle w:val="FootnoteReference"/>
        </w:rPr>
        <w:footnoteRef/>
      </w:r>
      <w:r>
        <w:t xml:space="preserve"> </w:t>
      </w:r>
      <w:r w:rsidRPr="00251790">
        <w:rPr>
          <w:sz w:val="20"/>
          <w:szCs w:val="20"/>
        </w:rPr>
        <w:t xml:space="preserve">Quotes: </w:t>
      </w:r>
      <w:r>
        <w:rPr>
          <w:sz w:val="20"/>
          <w:szCs w:val="20"/>
        </w:rPr>
        <w:t xml:space="preserve">the </w:t>
      </w:r>
      <w:r w:rsidRPr="00251790">
        <w:rPr>
          <w:sz w:val="20"/>
          <w:szCs w:val="20"/>
        </w:rPr>
        <w:t xml:space="preserve">first </w:t>
      </w:r>
      <w:r w:rsidRPr="00251790">
        <w:rPr>
          <w:rFonts w:cstheme="minorHAnsi"/>
          <w:sz w:val="20"/>
          <w:szCs w:val="20"/>
        </w:rPr>
        <w:t xml:space="preserve">Karl Steel, </w:t>
      </w:r>
      <w:r w:rsidRPr="00251790">
        <w:rPr>
          <w:rFonts w:cstheme="minorHAnsi"/>
          <w:i/>
          <w:iCs/>
          <w:sz w:val="20"/>
          <w:szCs w:val="20"/>
        </w:rPr>
        <w:t>How to Make a Human: Animals and Violence in the Middle Ages</w:t>
      </w:r>
      <w:r w:rsidRPr="00251790">
        <w:rPr>
          <w:rFonts w:cstheme="minorHAnsi"/>
          <w:sz w:val="20"/>
          <w:szCs w:val="20"/>
        </w:rPr>
        <w:t xml:space="preserve"> (Columbus: The Ohio State University Press, 2011)</w:t>
      </w:r>
      <w:r>
        <w:rPr>
          <w:rFonts w:cstheme="minorHAnsi"/>
          <w:sz w:val="20"/>
          <w:szCs w:val="20"/>
        </w:rPr>
        <w:t>, p.24, the second is Aristotle quoted by Brad Bolman, ‘</w:t>
      </w:r>
      <w:r w:rsidRPr="00251790">
        <w:rPr>
          <w:rFonts w:cstheme="minorHAnsi"/>
          <w:sz w:val="20"/>
          <w:szCs w:val="20"/>
        </w:rPr>
        <w:t>The Pigs That Therefore We Are: Anatomy, Biology, and Transplantation</w:t>
      </w:r>
      <w:r>
        <w:rPr>
          <w:rFonts w:cstheme="minorHAnsi"/>
          <w:sz w:val="20"/>
          <w:szCs w:val="20"/>
        </w:rPr>
        <w:t>’</w:t>
      </w:r>
      <w:r w:rsidRPr="00251790">
        <w:rPr>
          <w:rFonts w:cstheme="minorHAnsi"/>
          <w:sz w:val="20"/>
          <w:szCs w:val="20"/>
        </w:rPr>
        <w:t xml:space="preserve">, </w:t>
      </w:r>
      <w:r>
        <w:rPr>
          <w:rFonts w:cstheme="minorHAnsi"/>
          <w:sz w:val="20"/>
          <w:szCs w:val="20"/>
        </w:rPr>
        <w:t>(</w:t>
      </w:r>
      <w:r w:rsidRPr="00251790">
        <w:rPr>
          <w:rFonts w:cstheme="minorHAnsi"/>
          <w:sz w:val="20"/>
          <w:szCs w:val="20"/>
        </w:rPr>
        <w:t>August 9, 2013</w:t>
      </w:r>
      <w:r>
        <w:rPr>
          <w:rFonts w:cstheme="minorHAnsi"/>
          <w:sz w:val="20"/>
          <w:szCs w:val="20"/>
        </w:rPr>
        <w:t xml:space="preserve">), 1 </w:t>
      </w:r>
      <w:r w:rsidRPr="004D2CE9">
        <w:rPr>
          <w:rFonts w:cstheme="minorHAnsi"/>
          <w:sz w:val="20"/>
          <w:szCs w:val="20"/>
        </w:rPr>
        <w:t>&lt;</w:t>
      </w:r>
      <w:r w:rsidRPr="004D2CE9">
        <w:rPr>
          <w:sz w:val="20"/>
          <w:szCs w:val="20"/>
        </w:rPr>
        <w:t xml:space="preserve"> </w:t>
      </w:r>
      <w:hyperlink r:id="rId2" w:history="1">
        <w:r w:rsidRPr="004D2CE9">
          <w:rPr>
            <w:rStyle w:val="Hyperlink"/>
            <w:sz w:val="20"/>
            <w:szCs w:val="20"/>
          </w:rPr>
          <w:t>https://ocw.mit.edu/courses/science-technology-and-society/sts-330-history-and-anthropology-of-medicine-and-biology-spring-2013/assignments/MITSTS_330S13_BolmModePigs.pdf</w:t>
        </w:r>
      </w:hyperlink>
      <w:r w:rsidRPr="004D2CE9">
        <w:rPr>
          <w:sz w:val="20"/>
          <w:szCs w:val="20"/>
        </w:rPr>
        <w:t>&gt; Accessed 28</w:t>
      </w:r>
      <w:r w:rsidRPr="004D2CE9">
        <w:rPr>
          <w:sz w:val="20"/>
          <w:szCs w:val="20"/>
          <w:vertAlign w:val="superscript"/>
        </w:rPr>
        <w:t>th</w:t>
      </w:r>
      <w:r w:rsidRPr="004D2CE9">
        <w:rPr>
          <w:sz w:val="20"/>
          <w:szCs w:val="20"/>
        </w:rPr>
        <w:t xml:space="preserve"> June 2019</w:t>
      </w:r>
      <w:r>
        <w:t xml:space="preserve"> </w:t>
      </w:r>
    </w:p>
  </w:footnote>
  <w:footnote w:id="6">
    <w:p w14:paraId="0D30A302" w14:textId="77777777" w:rsidR="0025722F" w:rsidRPr="00DD27EF" w:rsidRDefault="0025722F" w:rsidP="0025722F">
      <w:pPr>
        <w:tabs>
          <w:tab w:val="left" w:pos="2054"/>
        </w:tabs>
        <w:spacing w:line="240" w:lineRule="auto"/>
        <w:rPr>
          <w:sz w:val="20"/>
          <w:szCs w:val="20"/>
        </w:rPr>
      </w:pPr>
      <w:r>
        <w:rPr>
          <w:rStyle w:val="FootnoteReference"/>
        </w:rPr>
        <w:footnoteRef/>
      </w:r>
      <w:r>
        <w:t xml:space="preserve"> </w:t>
      </w:r>
      <w:r w:rsidRPr="00C604BF">
        <w:rPr>
          <w:sz w:val="20"/>
          <w:szCs w:val="20"/>
        </w:rPr>
        <w:t xml:space="preserve">A point also made by </w:t>
      </w:r>
      <w:bookmarkStart w:id="7" w:name="_Hlk13260263"/>
      <w:r w:rsidRPr="00C604BF">
        <w:rPr>
          <w:sz w:val="20"/>
          <w:szCs w:val="20"/>
        </w:rPr>
        <w:t xml:space="preserve">Susan Anderson, </w:t>
      </w:r>
      <w:r w:rsidRPr="002651C9">
        <w:rPr>
          <w:i/>
          <w:iCs/>
          <w:sz w:val="20"/>
          <w:szCs w:val="20"/>
        </w:rPr>
        <w:t>Mirrors and Fears: Humans in the Bestiary</w:t>
      </w:r>
      <w:r w:rsidRPr="00C604BF">
        <w:rPr>
          <w:sz w:val="20"/>
          <w:szCs w:val="20"/>
        </w:rPr>
        <w:t>, Arizona State University, May 2014,</w:t>
      </w:r>
      <w:hyperlink r:id="rId3" w:history="1">
        <w:r w:rsidRPr="00847A2B">
          <w:rPr>
            <w:rStyle w:val="Hyperlink"/>
            <w:sz w:val="20"/>
            <w:szCs w:val="20"/>
          </w:rPr>
          <w:t>https://repository.asu.edu/attachments/135098/content/Anderson_asu_0010N_13956.pdf</w:t>
        </w:r>
      </w:hyperlink>
      <w:r w:rsidRPr="00C604BF">
        <w:rPr>
          <w:sz w:val="20"/>
          <w:szCs w:val="20"/>
        </w:rPr>
        <w:t xml:space="preserve">   Accessed </w:t>
      </w:r>
      <w:r>
        <w:rPr>
          <w:sz w:val="20"/>
          <w:szCs w:val="20"/>
        </w:rPr>
        <w:t>12</w:t>
      </w:r>
      <w:r w:rsidRPr="00090EF9">
        <w:rPr>
          <w:sz w:val="20"/>
          <w:szCs w:val="20"/>
          <w:vertAlign w:val="superscript"/>
        </w:rPr>
        <w:t>th</w:t>
      </w:r>
      <w:r>
        <w:rPr>
          <w:sz w:val="20"/>
          <w:szCs w:val="20"/>
        </w:rPr>
        <w:t xml:space="preserve"> Oct 2018</w:t>
      </w:r>
      <w:r w:rsidRPr="00C604BF">
        <w:rPr>
          <w:sz w:val="20"/>
          <w:szCs w:val="20"/>
        </w:rPr>
        <w:t>.</w:t>
      </w:r>
      <w:bookmarkEnd w:id="7"/>
    </w:p>
  </w:footnote>
  <w:footnote w:id="7">
    <w:p w14:paraId="1DEA3029" w14:textId="77777777" w:rsidR="0025722F" w:rsidRPr="00AC5067" w:rsidRDefault="0025722F" w:rsidP="0025722F">
      <w:pPr>
        <w:spacing w:line="240" w:lineRule="auto"/>
        <w:rPr>
          <w:rFonts w:ascii="Arial" w:hAnsi="Arial" w:cs="Arial"/>
        </w:rPr>
      </w:pPr>
      <w:r>
        <w:rPr>
          <w:rStyle w:val="FootnoteReference"/>
        </w:rPr>
        <w:footnoteRef/>
      </w:r>
      <w:r>
        <w:t xml:space="preserve"> </w:t>
      </w:r>
      <w:r w:rsidRPr="00AC5067">
        <w:rPr>
          <w:rFonts w:cstheme="minorHAnsi"/>
          <w:sz w:val="20"/>
          <w:szCs w:val="20"/>
        </w:rPr>
        <w:t xml:space="preserve">E.P. Evans, </w:t>
      </w:r>
      <w:r w:rsidRPr="00AC5067">
        <w:rPr>
          <w:rFonts w:cstheme="minorHAnsi"/>
          <w:i/>
          <w:iCs/>
          <w:sz w:val="20"/>
          <w:szCs w:val="20"/>
        </w:rPr>
        <w:t>The Criminal Prosecution and Capital Punishment of Animals</w:t>
      </w:r>
      <w:r w:rsidRPr="00AC5067">
        <w:rPr>
          <w:rFonts w:cstheme="minorHAnsi"/>
          <w:sz w:val="20"/>
          <w:szCs w:val="20"/>
        </w:rPr>
        <w:t xml:space="preserve"> (London: Faber and Faber, 1906)</w:t>
      </w:r>
    </w:p>
  </w:footnote>
  <w:footnote w:id="8">
    <w:p w14:paraId="3C4663B8" w14:textId="77777777" w:rsidR="0025722F" w:rsidRPr="00AC5067" w:rsidRDefault="0025722F" w:rsidP="0025722F">
      <w:pPr>
        <w:spacing w:line="240" w:lineRule="auto"/>
        <w:rPr>
          <w:rFonts w:cstheme="minorHAnsi"/>
          <w:sz w:val="20"/>
          <w:szCs w:val="20"/>
        </w:rPr>
      </w:pPr>
      <w:r>
        <w:rPr>
          <w:rStyle w:val="FootnoteReference"/>
        </w:rPr>
        <w:footnoteRef/>
      </w:r>
      <w:r>
        <w:t xml:space="preserve"> Rene Girard</w:t>
      </w:r>
      <w:r w:rsidRPr="00AC5067">
        <w:rPr>
          <w:rFonts w:cstheme="minorHAnsi"/>
          <w:sz w:val="20"/>
          <w:szCs w:val="20"/>
        </w:rPr>
        <w:t xml:space="preserve">, </w:t>
      </w:r>
      <w:r w:rsidRPr="00AC5067">
        <w:rPr>
          <w:rFonts w:cstheme="minorHAnsi"/>
          <w:i/>
          <w:iCs/>
          <w:sz w:val="20"/>
          <w:szCs w:val="20"/>
        </w:rPr>
        <w:t>The Scapegoat</w:t>
      </w:r>
      <w:r w:rsidRPr="00AC5067">
        <w:rPr>
          <w:rFonts w:cstheme="minorHAnsi"/>
          <w:sz w:val="20"/>
          <w:szCs w:val="20"/>
        </w:rPr>
        <w:t xml:space="preserve"> (Baltimore: The John Hopkins University Press, 1982 (1986))</w:t>
      </w:r>
    </w:p>
    <w:p w14:paraId="736C66FA" w14:textId="77777777" w:rsidR="0025722F" w:rsidRPr="00184D66" w:rsidRDefault="0025722F" w:rsidP="0025722F">
      <w:pPr>
        <w:spacing w:line="240" w:lineRule="auto"/>
        <w:rPr>
          <w:rFonts w:ascii="Arial" w:hAnsi="Arial" w:cs="Arial"/>
        </w:rPr>
      </w:pPr>
    </w:p>
    <w:p w14:paraId="20B77C8F" w14:textId="77777777" w:rsidR="0025722F" w:rsidRDefault="0025722F" w:rsidP="0025722F">
      <w:pPr>
        <w:pStyle w:val="FootnoteText"/>
      </w:pPr>
    </w:p>
  </w:footnote>
  <w:footnote w:id="9">
    <w:p w14:paraId="3A32379E" w14:textId="77777777" w:rsidR="0025722F" w:rsidRDefault="0025722F" w:rsidP="0025722F">
      <w:pPr>
        <w:pStyle w:val="FootnoteText"/>
      </w:pPr>
      <w:r>
        <w:rPr>
          <w:rStyle w:val="FootnoteReference"/>
        </w:rPr>
        <w:footnoteRef/>
      </w:r>
      <w:r>
        <w:t xml:space="preserve"> Ceridwen status within the Welsh myth cycles must be noted as contested however, most versions of </w:t>
      </w:r>
      <w:r>
        <w:rPr>
          <w:i/>
          <w:iCs/>
        </w:rPr>
        <w:t>T</w:t>
      </w:r>
      <w:r w:rsidRPr="008E2FD4">
        <w:rPr>
          <w:i/>
          <w:iCs/>
        </w:rPr>
        <w:t>he</w:t>
      </w:r>
      <w:r>
        <w:t xml:space="preserve"> </w:t>
      </w:r>
      <w:r w:rsidRPr="008E2FD4">
        <w:rPr>
          <w:i/>
          <w:iCs/>
        </w:rPr>
        <w:t>Mabinogion</w:t>
      </w:r>
      <w:r>
        <w:t xml:space="preserve"> omit her, since despite reference to her predate </w:t>
      </w:r>
      <w:r>
        <w:rPr>
          <w:i/>
          <w:iCs/>
        </w:rPr>
        <w:t>The Mabinogion</w:t>
      </w:r>
      <w:r>
        <w:t>,</w:t>
      </w:r>
      <w:r>
        <w:rPr>
          <w:i/>
          <w:iCs/>
        </w:rPr>
        <w:t xml:space="preserve"> </w:t>
      </w:r>
      <w:r>
        <w:t>perhaps going back as far as the 9</w:t>
      </w:r>
      <w:r w:rsidRPr="008E2FD4">
        <w:rPr>
          <w:vertAlign w:val="superscript"/>
        </w:rPr>
        <w:t>th</w:t>
      </w:r>
      <w:r>
        <w:t xml:space="preserve"> century, her defining story is in the </w:t>
      </w:r>
      <w:r>
        <w:rPr>
          <w:i/>
          <w:iCs/>
        </w:rPr>
        <w:t>History of Taliesin</w:t>
      </w:r>
      <w:r>
        <w:t>, which is a later medieval text. &lt;</w:t>
      </w:r>
      <w:hyperlink r:id="rId4" w:history="1">
        <w:r>
          <w:rPr>
            <w:rStyle w:val="Hyperlink"/>
          </w:rPr>
          <w:t>https://en.wikipedia.org/wiki/Ceridwen</w:t>
        </w:r>
      </w:hyperlink>
      <w:r>
        <w:t>&gt; Accessed 11</w:t>
      </w:r>
      <w:r w:rsidRPr="002433CE">
        <w:rPr>
          <w:vertAlign w:val="superscript"/>
        </w:rPr>
        <w:t>th</w:t>
      </w:r>
      <w:r>
        <w:t xml:space="preserve"> July 2019.  Edward Davies notes </w:t>
      </w:r>
      <w:proofErr w:type="spellStart"/>
      <w:r>
        <w:t>Ceridwen’s</w:t>
      </w:r>
      <w:proofErr w:type="spellEnd"/>
      <w:r>
        <w:t xml:space="preserve"> daughter </w:t>
      </w:r>
      <w:proofErr w:type="spellStart"/>
      <w:r>
        <w:t>Creirwy</w:t>
      </w:r>
      <w:proofErr w:type="spellEnd"/>
      <w:r>
        <w:t xml:space="preserve"> to be aligned to with </w:t>
      </w:r>
      <w:proofErr w:type="spellStart"/>
      <w:r>
        <w:t>Prosperine</w:t>
      </w:r>
      <w:proofErr w:type="spellEnd"/>
      <w:r>
        <w:t xml:space="preserve"> (and so, Persephone) and Ceridwen, therefore, is a Celtic Demeter. &lt;</w:t>
      </w:r>
      <w:hyperlink r:id="rId5" w:history="1">
        <w:r>
          <w:rPr>
            <w:rStyle w:val="Hyperlink"/>
          </w:rPr>
          <w:t>https://en.wikipedia.org/wiki/Creirwy</w:t>
        </w:r>
      </w:hyperlink>
      <w:r>
        <w:t>&gt; Accessed 11</w:t>
      </w:r>
      <w:r w:rsidRPr="008E0272">
        <w:rPr>
          <w:vertAlign w:val="superscript"/>
        </w:rPr>
        <w:t>th</w:t>
      </w:r>
      <w:r>
        <w:t xml:space="preserve"> July 2019</w:t>
      </w:r>
    </w:p>
  </w:footnote>
  <w:footnote w:id="10">
    <w:p w14:paraId="338C6EAF" w14:textId="77777777" w:rsidR="0025722F" w:rsidRDefault="0025722F" w:rsidP="0025722F">
      <w:pPr>
        <w:pStyle w:val="FootnoteText"/>
      </w:pPr>
      <w:r>
        <w:rPr>
          <w:rStyle w:val="FootnoteReference"/>
        </w:rPr>
        <w:footnoteRef/>
      </w:r>
      <w:r>
        <w:t xml:space="preserve"> </w:t>
      </w:r>
      <w:bookmarkStart w:id="8" w:name="_Hlk13829560"/>
      <w:r>
        <w:t xml:space="preserve">Grant Goodwin, </w:t>
      </w:r>
      <w:r w:rsidRPr="00B72F41">
        <w:rPr>
          <w:i/>
          <w:iCs/>
        </w:rPr>
        <w:t>‘” Why Persephone?” Investing the Unique Position of Persephone as a Dying God(ess)Offering Hope for the Afterlife’</w:t>
      </w:r>
      <w:r>
        <w:t>, Thesis for a Masters in Classics, Rhodes University (2014), p.7. &lt;</w:t>
      </w:r>
      <w:r w:rsidRPr="00E51F5D">
        <w:t xml:space="preserve"> </w:t>
      </w:r>
      <w:hyperlink r:id="rId6" w:history="1">
        <w:r>
          <w:rPr>
            <w:rStyle w:val="Hyperlink"/>
          </w:rPr>
          <w:t>https://core.ac.uk/download/pdf/145040888.pdf</w:t>
        </w:r>
      </w:hyperlink>
      <w:r>
        <w:t>&gt; Accessed 11</w:t>
      </w:r>
      <w:r w:rsidRPr="00E51F5D">
        <w:rPr>
          <w:vertAlign w:val="superscript"/>
        </w:rPr>
        <w:t>th</w:t>
      </w:r>
      <w:r>
        <w:t xml:space="preserve"> July 2019</w:t>
      </w:r>
    </w:p>
    <w:bookmarkEnd w:id="8"/>
  </w:footnote>
  <w:footnote w:id="11">
    <w:p w14:paraId="2D7EF196" w14:textId="77777777" w:rsidR="0025722F" w:rsidRPr="00A34A0B" w:rsidRDefault="0025722F" w:rsidP="0025722F">
      <w:pPr>
        <w:pStyle w:val="FootnoteText"/>
      </w:pPr>
      <w:r>
        <w:rPr>
          <w:rStyle w:val="FootnoteReference"/>
        </w:rPr>
        <w:footnoteRef/>
      </w:r>
      <w:r>
        <w:t xml:space="preserve"> Translation: </w:t>
      </w:r>
      <w:bookmarkStart w:id="9" w:name="_Hlk13829652"/>
      <w:r>
        <w:t xml:space="preserve">Diane J. Raynor, </w:t>
      </w:r>
      <w:r w:rsidRPr="00A34A0B">
        <w:t>‘</w:t>
      </w:r>
      <w:r w:rsidRPr="00A34A0B">
        <w:rPr>
          <w:rFonts w:cstheme="minorHAnsi"/>
        </w:rPr>
        <w:t>Homeric Hymn to Demeter</w:t>
      </w:r>
      <w:r>
        <w:rPr>
          <w:rFonts w:cstheme="minorHAnsi"/>
        </w:rPr>
        <w:t xml:space="preserve">’, </w:t>
      </w:r>
      <w:r>
        <w:rPr>
          <w:rFonts w:cstheme="minorHAnsi"/>
          <w:i/>
          <w:iCs/>
        </w:rPr>
        <w:t>Grand Valley Review</w:t>
      </w:r>
      <w:r>
        <w:rPr>
          <w:rFonts w:cstheme="minorHAnsi"/>
        </w:rPr>
        <w:t>, Vol. 18, No.1, (1998), 67. &lt;</w:t>
      </w:r>
      <w:r w:rsidRPr="00A34A0B">
        <w:t xml:space="preserve"> </w:t>
      </w:r>
      <w:hyperlink r:id="rId7" w:history="1">
        <w:r>
          <w:rPr>
            <w:rStyle w:val="Hyperlink"/>
          </w:rPr>
          <w:t>https://core.ac.uk/download/pdf/10687651.pdf?repositoryId=261</w:t>
        </w:r>
      </w:hyperlink>
      <w:r>
        <w:t>&gt; Accessed 11</w:t>
      </w:r>
      <w:r w:rsidRPr="00A34A0B">
        <w:rPr>
          <w:vertAlign w:val="superscript"/>
        </w:rPr>
        <w:t>th</w:t>
      </w:r>
      <w:r>
        <w:t xml:space="preserve"> July 2019</w:t>
      </w:r>
      <w:bookmarkEnd w:id="9"/>
    </w:p>
  </w:footnote>
  <w:footnote w:id="12">
    <w:p w14:paraId="7A06E24D" w14:textId="77777777" w:rsidR="0025722F" w:rsidRDefault="0025722F" w:rsidP="0025722F">
      <w:pPr>
        <w:pStyle w:val="FootnoteText"/>
      </w:pPr>
      <w:r>
        <w:rPr>
          <w:rStyle w:val="FootnoteReference"/>
        </w:rPr>
        <w:footnoteRef/>
      </w:r>
      <w:r>
        <w:t xml:space="preserve"> Grant, p.14</w:t>
      </w:r>
    </w:p>
  </w:footnote>
  <w:footnote w:id="13">
    <w:p w14:paraId="7524A9DE" w14:textId="77777777" w:rsidR="0025722F" w:rsidRDefault="0025722F" w:rsidP="0025722F">
      <w:pPr>
        <w:pStyle w:val="FootnoteText"/>
      </w:pPr>
      <w:r>
        <w:rPr>
          <w:rStyle w:val="FootnoteReference"/>
        </w:rPr>
        <w:footnoteRef/>
      </w:r>
      <w:r>
        <w:t xml:space="preserve"> Ibid., p.10</w:t>
      </w:r>
    </w:p>
  </w:footnote>
  <w:footnote w:id="14">
    <w:p w14:paraId="1A959A45" w14:textId="77777777" w:rsidR="0025722F" w:rsidRPr="00E542EA" w:rsidRDefault="0025722F" w:rsidP="0025722F">
      <w:pPr>
        <w:pStyle w:val="FootnoteText"/>
      </w:pPr>
      <w:r>
        <w:rPr>
          <w:rStyle w:val="FootnoteReference"/>
        </w:rPr>
        <w:footnoteRef/>
      </w:r>
      <w:r>
        <w:t xml:space="preserve"> </w:t>
      </w:r>
      <w:bookmarkStart w:id="10" w:name="_Hlk13829747"/>
      <w:r>
        <w:t xml:space="preserve">Allaire Stallsmith, ‘Interpreting the Athenian Thesmophoria’, </w:t>
      </w:r>
      <w:r>
        <w:rPr>
          <w:i/>
          <w:iCs/>
        </w:rPr>
        <w:t>Classical Bulletin</w:t>
      </w:r>
      <w:r>
        <w:t>, Vol. 81, No. 1 (2009), 1 &lt;</w:t>
      </w:r>
      <w:r w:rsidRPr="008D0615">
        <w:t xml:space="preserve"> </w:t>
      </w:r>
      <w:hyperlink r:id="rId8" w:history="1">
        <w:r>
          <w:rPr>
            <w:rStyle w:val="Hyperlink"/>
          </w:rPr>
          <w:t>https://www.academia.edu/2381368/Interpreting_the_Athenian_Thesmophoria</w:t>
        </w:r>
      </w:hyperlink>
      <w:r>
        <w:t>&gt; Accessed 11</w:t>
      </w:r>
      <w:r w:rsidRPr="008D0615">
        <w:rPr>
          <w:vertAlign w:val="superscript"/>
        </w:rPr>
        <w:t>th</w:t>
      </w:r>
      <w:r>
        <w:t xml:space="preserve"> July 2019.</w:t>
      </w:r>
      <w:bookmarkEnd w:id="10"/>
    </w:p>
  </w:footnote>
  <w:footnote w:id="15">
    <w:p w14:paraId="784BFCD7" w14:textId="77777777" w:rsidR="0025722F" w:rsidRPr="00AE1A1A" w:rsidRDefault="0025722F" w:rsidP="0025722F">
      <w:pPr>
        <w:pStyle w:val="FootnoteText"/>
      </w:pPr>
      <w:r>
        <w:rPr>
          <w:rStyle w:val="FootnoteReference"/>
        </w:rPr>
        <w:footnoteRef/>
      </w:r>
      <w:r>
        <w:t xml:space="preserve"> Lucian’s </w:t>
      </w:r>
      <w:r>
        <w:rPr>
          <w:i/>
          <w:iCs/>
        </w:rPr>
        <w:t>Dialogues of Courtesans</w:t>
      </w:r>
      <w:r>
        <w:t>, quoted in Stallsmith, 3.</w:t>
      </w:r>
    </w:p>
  </w:footnote>
  <w:footnote w:id="16">
    <w:p w14:paraId="162FB1A7" w14:textId="77777777" w:rsidR="0025722F" w:rsidRDefault="0025722F" w:rsidP="0025722F">
      <w:pPr>
        <w:pStyle w:val="FootnoteText"/>
      </w:pPr>
      <w:r>
        <w:rPr>
          <w:rStyle w:val="FootnoteReference"/>
        </w:rPr>
        <w:footnoteRef/>
      </w:r>
      <w:r>
        <w:t xml:space="preserve"> Ibid., 4. </w:t>
      </w:r>
    </w:p>
    <w:p w14:paraId="3EBF1CB9" w14:textId="77777777" w:rsidR="0025722F" w:rsidRDefault="0025722F" w:rsidP="0025722F">
      <w:pPr>
        <w:pStyle w:val="FootnoteText"/>
      </w:pPr>
      <w:r w:rsidRPr="00125443">
        <w:t>Sir James George Frazer attributes to Demeter the Corn-Mother/Corn-Maiden folkloric traditions and rituals concerned with sowing, midwinter and harvest, that were (at least as he was writing in the 1920s) scattered across Northern Europe, includi</w:t>
      </w:r>
      <w:r>
        <w:t>ng</w:t>
      </w:r>
      <w:r w:rsidRPr="00125443">
        <w:t xml:space="preserve"> Ireland and Wales. The Corn-Mother is both mother (goddess) and spirit of the corn: she is alive in the corn, and is further personified as various Corn-spirit animals, including the Corn-spirit Pig, Sow or Boar. The Corn-spirit Pig is ‘</w:t>
      </w:r>
      <w:r w:rsidRPr="00125443">
        <w:rPr>
          <w:color w:val="000020"/>
          <w:shd w:val="clear" w:color="auto" w:fill="FFFFFF"/>
        </w:rPr>
        <w:t xml:space="preserve">immanent in the last sheaf’ harvested, and various forms of ritual concerning this sheaf and its reaper appear. Its reaper is named Corn-Sow and treated accordingly, with differing amounts of violence, from name-calling to, pseudo violence to actual violence (and perhaps, anecdotally, death in far earlier incarnations). The last sheaf seems most commonly to have been incorporated into a bread or cake corn-sow, displayed for some time and then either distributed to eat or, more often, broken into the first seed sown the next season. Thus, the corn-sow is both feared and revered as a separate entity, and then conquered and consumed, one way or another, back into the community. Interesting in relation to Girard’s Scapegoat that will be explored later. From Sir James George Frazer, </w:t>
      </w:r>
      <w:r w:rsidRPr="00125443">
        <w:rPr>
          <w:rFonts w:cstheme="minorHAnsi"/>
          <w:i/>
          <w:iCs/>
        </w:rPr>
        <w:t>The Golden Bough</w:t>
      </w:r>
      <w:r w:rsidRPr="00125443">
        <w:rPr>
          <w:rFonts w:cstheme="minorHAnsi"/>
        </w:rPr>
        <w:t xml:space="preserve">, (1922) viewed online on Bartleby.com, </w:t>
      </w:r>
      <w:hyperlink r:id="rId9" w:history="1">
        <w:r w:rsidRPr="00125443">
          <w:rPr>
            <w:rStyle w:val="Hyperlink"/>
            <w:rFonts w:cstheme="minorHAnsi"/>
          </w:rPr>
          <w:t>https://www.bartleby.com/196/113.html</w:t>
        </w:r>
      </w:hyperlink>
      <w:r w:rsidRPr="00125443">
        <w:rPr>
          <w:rFonts w:cstheme="minorHAnsi"/>
        </w:rPr>
        <w:t xml:space="preserve"> </w:t>
      </w:r>
      <w:r w:rsidRPr="00125443">
        <w:t>Accessed 30</w:t>
      </w:r>
      <w:r w:rsidRPr="00125443">
        <w:rPr>
          <w:vertAlign w:val="superscript"/>
        </w:rPr>
        <w:t>th</w:t>
      </w:r>
      <w:r w:rsidRPr="00125443">
        <w:t xml:space="preserve"> Sept 2018. S</w:t>
      </w:r>
      <w:r w:rsidRPr="00125443">
        <w:rPr>
          <w:rFonts w:cstheme="minorHAnsi"/>
        </w:rPr>
        <w:t>ee Ch. 45 ‘Corn-Mother and Corn-Maiden in N. Europe’ and Ch.48. ‘The Corn-Spirit as an Animal’, subsection 9. ‘The Corn-Spirit as a Pig (Boar or Sow)’.</w:t>
      </w:r>
      <w:r w:rsidRPr="00125443">
        <w:t xml:space="preserve"> </w:t>
      </w:r>
      <w:r>
        <w:t xml:space="preserve"> See also: </w:t>
      </w:r>
      <w:r w:rsidRPr="00D04D9B">
        <w:rPr>
          <w:rFonts w:cstheme="minorHAnsi"/>
        </w:rPr>
        <w:t xml:space="preserve">Terri </w:t>
      </w:r>
      <w:proofErr w:type="spellStart"/>
      <w:r w:rsidRPr="00D04D9B">
        <w:rPr>
          <w:rFonts w:cstheme="minorHAnsi"/>
        </w:rPr>
        <w:t>Windling</w:t>
      </w:r>
      <w:proofErr w:type="spellEnd"/>
      <w:r w:rsidRPr="00D04D9B">
        <w:rPr>
          <w:rFonts w:cstheme="minorHAnsi"/>
        </w:rPr>
        <w:t xml:space="preserve">, </w:t>
      </w:r>
      <w:r>
        <w:rPr>
          <w:rFonts w:cstheme="minorHAnsi"/>
        </w:rPr>
        <w:t xml:space="preserve">‘The Sacred Pig’, </w:t>
      </w:r>
      <w:r>
        <w:rPr>
          <w:rFonts w:cstheme="minorHAnsi"/>
          <w:i/>
          <w:iCs/>
          <w:color w:val="000000"/>
          <w:shd w:val="clear" w:color="auto" w:fill="FFFFFF"/>
        </w:rPr>
        <w:t>N</w:t>
      </w:r>
      <w:r w:rsidRPr="00025742">
        <w:rPr>
          <w:rFonts w:cstheme="minorHAnsi"/>
          <w:i/>
          <w:iCs/>
          <w:color w:val="000000"/>
          <w:shd w:val="clear" w:color="auto" w:fill="FFFFFF"/>
        </w:rPr>
        <w:t xml:space="preserve">otes from a Dartmoor </w:t>
      </w:r>
      <w:r>
        <w:rPr>
          <w:rFonts w:cstheme="minorHAnsi"/>
          <w:i/>
          <w:iCs/>
          <w:color w:val="000000"/>
          <w:shd w:val="clear" w:color="auto" w:fill="FFFFFF"/>
        </w:rPr>
        <w:t>S</w:t>
      </w:r>
      <w:r w:rsidRPr="00025742">
        <w:rPr>
          <w:rFonts w:cstheme="minorHAnsi"/>
          <w:i/>
          <w:iCs/>
          <w:color w:val="000000"/>
          <w:shd w:val="clear" w:color="auto" w:fill="FFFFFF"/>
        </w:rPr>
        <w:t>tudio</w:t>
      </w:r>
      <w:r w:rsidRPr="00025742">
        <w:rPr>
          <w:rFonts w:cstheme="minorHAnsi"/>
          <w:i/>
          <w:iCs/>
          <w:color w:val="000000"/>
        </w:rPr>
        <w:t xml:space="preserve"> </w:t>
      </w:r>
      <w:r w:rsidRPr="00025742">
        <w:rPr>
          <w:rFonts w:cstheme="minorHAnsi"/>
          <w:i/>
          <w:iCs/>
          <w:color w:val="000000"/>
          <w:shd w:val="clear" w:color="auto" w:fill="FFFFFF"/>
        </w:rPr>
        <w:t xml:space="preserve">on </w:t>
      </w:r>
      <w:r>
        <w:rPr>
          <w:rFonts w:cstheme="minorHAnsi"/>
          <w:i/>
          <w:iCs/>
          <w:color w:val="000000"/>
          <w:shd w:val="clear" w:color="auto" w:fill="FFFFFF"/>
        </w:rPr>
        <w:t>F</w:t>
      </w:r>
      <w:r w:rsidRPr="00025742">
        <w:rPr>
          <w:rFonts w:cstheme="minorHAnsi"/>
          <w:i/>
          <w:iCs/>
          <w:color w:val="000000"/>
          <w:shd w:val="clear" w:color="auto" w:fill="FFFFFF"/>
        </w:rPr>
        <w:t xml:space="preserve">olklore, </w:t>
      </w:r>
      <w:r>
        <w:rPr>
          <w:rFonts w:cstheme="minorHAnsi"/>
          <w:i/>
          <w:iCs/>
          <w:color w:val="000000"/>
          <w:shd w:val="clear" w:color="auto" w:fill="FFFFFF"/>
        </w:rPr>
        <w:t>F</w:t>
      </w:r>
      <w:r w:rsidRPr="00025742">
        <w:rPr>
          <w:rFonts w:cstheme="minorHAnsi"/>
          <w:i/>
          <w:iCs/>
          <w:color w:val="000000"/>
          <w:shd w:val="clear" w:color="auto" w:fill="FFFFFF"/>
        </w:rPr>
        <w:t xml:space="preserve">airy </w:t>
      </w:r>
      <w:r>
        <w:rPr>
          <w:rFonts w:cstheme="minorHAnsi"/>
          <w:i/>
          <w:iCs/>
          <w:color w:val="000000"/>
          <w:shd w:val="clear" w:color="auto" w:fill="FFFFFF"/>
        </w:rPr>
        <w:t>T</w:t>
      </w:r>
      <w:r w:rsidRPr="00025742">
        <w:rPr>
          <w:rFonts w:cstheme="minorHAnsi"/>
          <w:i/>
          <w:iCs/>
          <w:color w:val="000000"/>
          <w:shd w:val="clear" w:color="auto" w:fill="FFFFFF"/>
        </w:rPr>
        <w:t xml:space="preserve">ales, </w:t>
      </w:r>
      <w:r>
        <w:rPr>
          <w:rFonts w:cstheme="minorHAnsi"/>
          <w:i/>
          <w:iCs/>
          <w:color w:val="000000"/>
          <w:shd w:val="clear" w:color="auto" w:fill="FFFFFF"/>
        </w:rPr>
        <w:t>F</w:t>
      </w:r>
      <w:r w:rsidRPr="00025742">
        <w:rPr>
          <w:rFonts w:cstheme="minorHAnsi"/>
          <w:i/>
          <w:iCs/>
          <w:color w:val="000000"/>
          <w:shd w:val="clear" w:color="auto" w:fill="FFFFFF"/>
        </w:rPr>
        <w:t>antasy,</w:t>
      </w:r>
      <w:r w:rsidRPr="00025742">
        <w:rPr>
          <w:rFonts w:cstheme="minorHAnsi"/>
          <w:i/>
          <w:iCs/>
          <w:color w:val="000000"/>
        </w:rPr>
        <w:t xml:space="preserve"> </w:t>
      </w:r>
      <w:r>
        <w:rPr>
          <w:rFonts w:cstheme="minorHAnsi"/>
          <w:i/>
          <w:iCs/>
          <w:color w:val="000000"/>
          <w:shd w:val="clear" w:color="auto" w:fill="FFFFFF"/>
        </w:rPr>
        <w:t>M</w:t>
      </w:r>
      <w:r w:rsidRPr="00025742">
        <w:rPr>
          <w:rFonts w:cstheme="minorHAnsi"/>
          <w:i/>
          <w:iCs/>
          <w:color w:val="000000"/>
          <w:shd w:val="clear" w:color="auto" w:fill="FFFFFF"/>
        </w:rPr>
        <w:t xml:space="preserve">ythic </w:t>
      </w:r>
      <w:r>
        <w:rPr>
          <w:rFonts w:cstheme="minorHAnsi"/>
          <w:i/>
          <w:iCs/>
          <w:color w:val="000000"/>
          <w:shd w:val="clear" w:color="auto" w:fill="FFFFFF"/>
        </w:rPr>
        <w:t>A</w:t>
      </w:r>
      <w:r w:rsidRPr="00025742">
        <w:rPr>
          <w:rFonts w:cstheme="minorHAnsi"/>
          <w:i/>
          <w:iCs/>
          <w:color w:val="000000"/>
          <w:shd w:val="clear" w:color="auto" w:fill="FFFFFF"/>
        </w:rPr>
        <w:t xml:space="preserve">rts &amp; </w:t>
      </w:r>
      <w:r>
        <w:rPr>
          <w:rFonts w:cstheme="minorHAnsi"/>
          <w:i/>
          <w:iCs/>
          <w:color w:val="000000"/>
          <w:shd w:val="clear" w:color="auto" w:fill="FFFFFF"/>
        </w:rPr>
        <w:t>M</w:t>
      </w:r>
      <w:r w:rsidRPr="00025742">
        <w:rPr>
          <w:rFonts w:cstheme="minorHAnsi"/>
          <w:i/>
          <w:iCs/>
          <w:color w:val="000000"/>
          <w:shd w:val="clear" w:color="auto" w:fill="FFFFFF"/>
        </w:rPr>
        <w:t xml:space="preserve">ythic </w:t>
      </w:r>
      <w:r>
        <w:rPr>
          <w:rFonts w:cstheme="minorHAnsi"/>
          <w:i/>
          <w:iCs/>
          <w:color w:val="000000"/>
          <w:shd w:val="clear" w:color="auto" w:fill="FFFFFF"/>
        </w:rPr>
        <w:t>L</w:t>
      </w:r>
      <w:r w:rsidRPr="00025742">
        <w:rPr>
          <w:rFonts w:cstheme="minorHAnsi"/>
          <w:i/>
          <w:iCs/>
          <w:color w:val="000000"/>
          <w:shd w:val="clear" w:color="auto" w:fill="FFFFFF"/>
        </w:rPr>
        <w:t>iving</w:t>
      </w:r>
      <w:r w:rsidRPr="00D04D9B">
        <w:rPr>
          <w:rFonts w:cstheme="minorHAnsi"/>
          <w:color w:val="000000"/>
          <w:shd w:val="clear" w:color="auto" w:fill="FFFFFF"/>
        </w:rPr>
        <w:t>,</w:t>
      </w:r>
      <w:r w:rsidRPr="00D04D9B">
        <w:rPr>
          <w:rFonts w:cstheme="minorHAnsi"/>
        </w:rPr>
        <w:t xml:space="preserve"> </w:t>
      </w:r>
      <w:hyperlink r:id="rId10" w:history="1">
        <w:r w:rsidRPr="00D04D9B">
          <w:rPr>
            <w:rStyle w:val="Hyperlink"/>
            <w:rFonts w:cstheme="minorHAnsi"/>
          </w:rPr>
          <w:t>https://www.terriwindling.com/blog/2016/02/sacred-pig.html</w:t>
        </w:r>
      </w:hyperlink>
      <w:r>
        <w:rPr>
          <w:rFonts w:cstheme="minorHAnsi"/>
        </w:rPr>
        <w:t>&gt; Accessed 21</w:t>
      </w:r>
      <w:r w:rsidRPr="00D37CB1">
        <w:rPr>
          <w:rFonts w:cstheme="minorHAnsi"/>
          <w:vertAlign w:val="superscript"/>
        </w:rPr>
        <w:t>st</w:t>
      </w:r>
      <w:r>
        <w:rPr>
          <w:rFonts w:cstheme="minorHAnsi"/>
        </w:rPr>
        <w:t xml:space="preserve"> Sept 2018 and N</w:t>
      </w:r>
      <w:r w:rsidRPr="00025742">
        <w:rPr>
          <w:rFonts w:cstheme="minorHAnsi"/>
        </w:rPr>
        <w:t>o author cited</w:t>
      </w:r>
      <w:r>
        <w:rPr>
          <w:rFonts w:cstheme="minorHAnsi"/>
        </w:rPr>
        <w:t>,</w:t>
      </w:r>
      <w:r w:rsidRPr="00025742">
        <w:rPr>
          <w:rFonts w:cstheme="minorHAnsi"/>
        </w:rPr>
        <w:t xml:space="preserve"> </w:t>
      </w:r>
      <w:r w:rsidRPr="00025742">
        <w:rPr>
          <w:rFonts w:cstheme="minorHAnsi"/>
          <w:i/>
          <w:iCs/>
        </w:rPr>
        <w:t>Boars,</w:t>
      </w:r>
      <w:r w:rsidRPr="00025742">
        <w:rPr>
          <w:rFonts w:ascii="Arial" w:hAnsi="Arial" w:cs="Arial"/>
          <w:i/>
          <w:iCs/>
        </w:rPr>
        <w:t xml:space="preserve"> </w:t>
      </w:r>
      <w:r w:rsidRPr="00025742">
        <w:rPr>
          <w:rFonts w:cstheme="minorHAnsi"/>
          <w:i/>
          <w:iCs/>
        </w:rPr>
        <w:t>Pigs and Myths</w:t>
      </w:r>
      <w:r w:rsidRPr="00025742">
        <w:rPr>
          <w:rFonts w:cstheme="minorHAnsi"/>
        </w:rPr>
        <w:t xml:space="preserve">, </w:t>
      </w:r>
      <w:proofErr w:type="spellStart"/>
      <w:r w:rsidRPr="00025742">
        <w:rPr>
          <w:rFonts w:cstheme="minorHAnsi"/>
        </w:rPr>
        <w:t>Meadhall</w:t>
      </w:r>
      <w:proofErr w:type="spellEnd"/>
      <w:r w:rsidRPr="00025742">
        <w:rPr>
          <w:rFonts w:cstheme="minorHAnsi"/>
        </w:rPr>
        <w:t xml:space="preserve">, </w:t>
      </w:r>
      <w:hyperlink r:id="rId11" w:history="1">
        <w:r w:rsidRPr="00847A2B">
          <w:rPr>
            <w:rStyle w:val="Hyperlink"/>
            <w:rFonts w:cstheme="minorHAnsi"/>
          </w:rPr>
          <w:t>http://meadhall.homestead.com/boarspigsandmyth.html</w:t>
        </w:r>
      </w:hyperlink>
      <w:r>
        <w:rPr>
          <w:rFonts w:cstheme="minorHAnsi"/>
        </w:rPr>
        <w:t>&gt; Accessed 21</w:t>
      </w:r>
      <w:r w:rsidRPr="00025742">
        <w:rPr>
          <w:rFonts w:cstheme="minorHAnsi"/>
          <w:vertAlign w:val="superscript"/>
        </w:rPr>
        <w:t>st</w:t>
      </w:r>
      <w:r>
        <w:rPr>
          <w:rFonts w:cstheme="minorHAnsi"/>
        </w:rPr>
        <w:t xml:space="preserve"> Sept 2018.</w:t>
      </w:r>
    </w:p>
  </w:footnote>
  <w:footnote w:id="17">
    <w:p w14:paraId="44BDC2DE" w14:textId="77777777" w:rsidR="0025722F" w:rsidRPr="00C37ECA" w:rsidRDefault="0025722F" w:rsidP="0025722F">
      <w:pPr>
        <w:spacing w:line="240" w:lineRule="auto"/>
        <w:rPr>
          <w:rFonts w:cstheme="minorHAnsi"/>
          <w:sz w:val="20"/>
          <w:szCs w:val="20"/>
        </w:rPr>
      </w:pPr>
      <w:r>
        <w:rPr>
          <w:rStyle w:val="FootnoteReference"/>
        </w:rPr>
        <w:footnoteRef/>
      </w:r>
      <w:r>
        <w:t xml:space="preserve"> </w:t>
      </w:r>
      <w:r>
        <w:rPr>
          <w:rFonts w:cstheme="minorHAnsi"/>
          <w:sz w:val="20"/>
          <w:szCs w:val="20"/>
        </w:rPr>
        <w:t xml:space="preserve">For pigs from the underworld in Welsh myth see branch four of Gwyn Jones and Thomas Jones trans., </w:t>
      </w:r>
      <w:r>
        <w:rPr>
          <w:rFonts w:cstheme="minorHAnsi"/>
          <w:i/>
          <w:iCs/>
          <w:sz w:val="20"/>
          <w:szCs w:val="20"/>
        </w:rPr>
        <w:t>The Mabinogion</w:t>
      </w:r>
      <w:r>
        <w:rPr>
          <w:rFonts w:cstheme="minorHAnsi"/>
          <w:sz w:val="20"/>
          <w:szCs w:val="20"/>
        </w:rPr>
        <w:t xml:space="preserve"> (London: Everyman Library, 1993) p.48. The underworld is better described as the otherworld, it was separate yet alongside the mortal world. Often lakes were the gateway, one of the associations of Ceridwen to the underworld, as she is from Llyn </w:t>
      </w:r>
      <w:proofErr w:type="spellStart"/>
      <w:r>
        <w:rPr>
          <w:rFonts w:cstheme="minorHAnsi"/>
          <w:sz w:val="20"/>
          <w:szCs w:val="20"/>
        </w:rPr>
        <w:t>Tegid</w:t>
      </w:r>
      <w:proofErr w:type="spellEnd"/>
      <w:r>
        <w:rPr>
          <w:rFonts w:cstheme="minorHAnsi"/>
          <w:sz w:val="20"/>
          <w:szCs w:val="20"/>
        </w:rPr>
        <w:t xml:space="preserve"> (</w:t>
      </w:r>
      <w:proofErr w:type="spellStart"/>
      <w:r>
        <w:rPr>
          <w:rFonts w:cstheme="minorHAnsi"/>
          <w:sz w:val="20"/>
          <w:szCs w:val="20"/>
        </w:rPr>
        <w:t>Bala</w:t>
      </w:r>
      <w:proofErr w:type="spellEnd"/>
      <w:r>
        <w:rPr>
          <w:rFonts w:cstheme="minorHAnsi"/>
          <w:sz w:val="20"/>
          <w:szCs w:val="20"/>
        </w:rPr>
        <w:t xml:space="preserve"> Lake). </w:t>
      </w:r>
    </w:p>
  </w:footnote>
  <w:footnote w:id="18">
    <w:p w14:paraId="3EE99A70" w14:textId="77777777" w:rsidR="0025722F" w:rsidRDefault="0025722F" w:rsidP="0025722F">
      <w:pPr>
        <w:spacing w:line="240" w:lineRule="auto"/>
      </w:pPr>
      <w:r>
        <w:rPr>
          <w:rStyle w:val="FootnoteReference"/>
        </w:rPr>
        <w:footnoteRef/>
      </w:r>
      <w:r>
        <w:t xml:space="preserve"> </w:t>
      </w:r>
      <w:r w:rsidRPr="003306DE">
        <w:rPr>
          <w:sz w:val="20"/>
          <w:szCs w:val="20"/>
        </w:rPr>
        <w:t xml:space="preserve">Mendy Kaminker, ‘Pigs and Judaism: Deep Revulsion but a Promising Future’, </w:t>
      </w:r>
      <w:r w:rsidRPr="003306DE">
        <w:rPr>
          <w:i/>
          <w:iCs/>
          <w:sz w:val="20"/>
          <w:szCs w:val="20"/>
        </w:rPr>
        <w:t>Chabad.org</w:t>
      </w:r>
      <w:r w:rsidRPr="003306DE">
        <w:rPr>
          <w:sz w:val="20"/>
          <w:szCs w:val="20"/>
        </w:rPr>
        <w:t xml:space="preserve">, &lt; </w:t>
      </w:r>
      <w:hyperlink r:id="rId12" w:history="1">
        <w:r w:rsidRPr="003306DE">
          <w:rPr>
            <w:rStyle w:val="Hyperlink"/>
            <w:sz w:val="20"/>
            <w:szCs w:val="20"/>
          </w:rPr>
          <w:t>https://www.chabad.org/library/article_cdo/aid/2376474/jewish/Pigs-Judaism.htm</w:t>
        </w:r>
      </w:hyperlink>
      <w:r w:rsidRPr="003306DE">
        <w:rPr>
          <w:sz w:val="20"/>
          <w:szCs w:val="20"/>
        </w:rPr>
        <w:t>&gt; Accessed 10</w:t>
      </w:r>
      <w:r w:rsidRPr="003306DE">
        <w:rPr>
          <w:sz w:val="20"/>
          <w:szCs w:val="20"/>
          <w:vertAlign w:val="superscript"/>
        </w:rPr>
        <w:t>th</w:t>
      </w:r>
      <w:r w:rsidRPr="003306DE">
        <w:rPr>
          <w:sz w:val="20"/>
          <w:szCs w:val="20"/>
        </w:rPr>
        <w:t xml:space="preserve"> July 2019. ‘Why do Muslim’s Abstain From Pork?’, </w:t>
      </w:r>
      <w:r w:rsidRPr="003306DE">
        <w:rPr>
          <w:i/>
          <w:iCs/>
          <w:sz w:val="20"/>
          <w:szCs w:val="20"/>
        </w:rPr>
        <w:t>Why Islam.Org?</w:t>
      </w:r>
      <w:r w:rsidRPr="003306DE">
        <w:rPr>
          <w:sz w:val="20"/>
          <w:szCs w:val="20"/>
        </w:rPr>
        <w:t xml:space="preserve">, </w:t>
      </w:r>
      <w:hyperlink r:id="rId13" w:history="1">
        <w:r w:rsidRPr="003306DE">
          <w:rPr>
            <w:rStyle w:val="Hyperlink"/>
            <w:sz w:val="20"/>
            <w:szCs w:val="20"/>
          </w:rPr>
          <w:t>https://www.whyislam.org/faqs/restrictions-in-islam/why-do-muslims-abstain-from-pork/</w:t>
        </w:r>
      </w:hyperlink>
      <w:r w:rsidRPr="003306DE">
        <w:rPr>
          <w:sz w:val="20"/>
          <w:szCs w:val="20"/>
        </w:rPr>
        <w:t>&gt; Accessed 10</w:t>
      </w:r>
      <w:r w:rsidRPr="003306DE">
        <w:rPr>
          <w:sz w:val="20"/>
          <w:szCs w:val="20"/>
          <w:vertAlign w:val="superscript"/>
        </w:rPr>
        <w:t>th</w:t>
      </w:r>
      <w:r w:rsidRPr="003306DE">
        <w:rPr>
          <w:sz w:val="20"/>
          <w:szCs w:val="20"/>
        </w:rPr>
        <w:t xml:space="preserve"> July 2019.</w:t>
      </w:r>
      <w:r>
        <w:t xml:space="preserve"> </w:t>
      </w:r>
    </w:p>
    <w:p w14:paraId="22D681B9" w14:textId="77777777" w:rsidR="0025722F" w:rsidRPr="00EA11A7" w:rsidRDefault="0025722F" w:rsidP="0025722F">
      <w:pPr>
        <w:spacing w:line="240" w:lineRule="auto"/>
        <w:rPr>
          <w:rFonts w:cstheme="minorHAnsi"/>
          <w:sz w:val="20"/>
          <w:szCs w:val="20"/>
        </w:rPr>
      </w:pPr>
      <w:r w:rsidRPr="00CD1998">
        <w:rPr>
          <w:rFonts w:cstheme="minorHAnsi"/>
          <w:sz w:val="20"/>
          <w:szCs w:val="20"/>
        </w:rPr>
        <w:t xml:space="preserve">Jessica Thomas, </w:t>
      </w:r>
      <w:r w:rsidRPr="002B13FB">
        <w:rPr>
          <w:rFonts w:cstheme="minorHAnsi"/>
          <w:i/>
          <w:iCs/>
          <w:sz w:val="20"/>
          <w:szCs w:val="20"/>
        </w:rPr>
        <w:t>Representation of the Potter in the Middle Kingdom text ‘The Satire of the Trades’</w:t>
      </w:r>
      <w:r w:rsidRPr="00CD1998">
        <w:rPr>
          <w:rFonts w:cstheme="minorHAnsi"/>
          <w:sz w:val="20"/>
          <w:szCs w:val="20"/>
        </w:rPr>
        <w:t xml:space="preserve">, </w:t>
      </w:r>
      <w:r>
        <w:rPr>
          <w:rFonts w:cstheme="minorHAnsi"/>
          <w:sz w:val="20"/>
          <w:szCs w:val="20"/>
        </w:rPr>
        <w:t xml:space="preserve">undergraduate </w:t>
      </w:r>
      <w:r w:rsidRPr="00CD1998">
        <w:rPr>
          <w:rFonts w:cstheme="minorHAnsi"/>
          <w:sz w:val="20"/>
          <w:szCs w:val="20"/>
        </w:rPr>
        <w:t>dissertation thesis (2018)</w:t>
      </w:r>
      <w:r>
        <w:rPr>
          <w:rFonts w:cstheme="minorHAnsi"/>
          <w:sz w:val="20"/>
          <w:szCs w:val="20"/>
        </w:rPr>
        <w:t>, p.21. Additionally, the god Seth ‘takes the form of a black boar and destroys the eye of Horus’ ‘the eye [being]…the symbol of all good and holy things in a sound and undamaged condition’. Ibid., p.22</w:t>
      </w:r>
    </w:p>
  </w:footnote>
  <w:footnote w:id="19">
    <w:p w14:paraId="1A3B512E" w14:textId="77777777" w:rsidR="0025722F" w:rsidRPr="00780E55" w:rsidRDefault="0025722F" w:rsidP="0025722F">
      <w:pPr>
        <w:spacing w:line="240" w:lineRule="auto"/>
        <w:rPr>
          <w:rFonts w:cstheme="minorHAnsi"/>
        </w:rPr>
      </w:pPr>
      <w:r>
        <w:rPr>
          <w:rStyle w:val="FootnoteReference"/>
        </w:rPr>
        <w:footnoteRef/>
      </w:r>
      <w:r>
        <w:t xml:space="preserve"> </w:t>
      </w:r>
      <w:r w:rsidRPr="00780E55">
        <w:rPr>
          <w:rFonts w:cstheme="minorHAnsi"/>
          <w:i/>
          <w:iCs/>
          <w:sz w:val="20"/>
          <w:szCs w:val="20"/>
        </w:rPr>
        <w:t>Boars,</w:t>
      </w:r>
      <w:r w:rsidRPr="00780E55">
        <w:rPr>
          <w:rFonts w:ascii="Arial" w:hAnsi="Arial" w:cs="Arial"/>
          <w:i/>
          <w:iCs/>
          <w:sz w:val="20"/>
          <w:szCs w:val="20"/>
        </w:rPr>
        <w:t xml:space="preserve"> </w:t>
      </w:r>
      <w:r w:rsidRPr="00780E55">
        <w:rPr>
          <w:rFonts w:cstheme="minorHAnsi"/>
          <w:i/>
          <w:iCs/>
          <w:sz w:val="20"/>
          <w:szCs w:val="20"/>
        </w:rPr>
        <w:t>Pigs and Myths</w:t>
      </w:r>
      <w:r w:rsidRPr="00780E55">
        <w:rPr>
          <w:rFonts w:cstheme="minorHAnsi"/>
          <w:sz w:val="20"/>
          <w:szCs w:val="20"/>
        </w:rPr>
        <w:t>, which also uses Mark:5 to demonstrate this.    In a similar vein, D</w:t>
      </w:r>
      <w:r w:rsidRPr="00780E55">
        <w:rPr>
          <w:sz w:val="20"/>
          <w:szCs w:val="20"/>
        </w:rPr>
        <w:t xml:space="preserve">emons in medieval and early Renaissance plays/cycles, were received simultaneously as ‘an inversion of religion in sacrilege, desecration, or sorcery’ and yet also </w:t>
      </w:r>
      <w:r>
        <w:rPr>
          <w:sz w:val="20"/>
          <w:szCs w:val="20"/>
        </w:rPr>
        <w:t xml:space="preserve">as </w:t>
      </w:r>
      <w:r w:rsidRPr="00780E55">
        <w:rPr>
          <w:sz w:val="20"/>
          <w:szCs w:val="20"/>
        </w:rPr>
        <w:t>a ‘staging</w:t>
      </w:r>
      <w:r>
        <w:rPr>
          <w:sz w:val="20"/>
          <w:szCs w:val="20"/>
        </w:rPr>
        <w:t xml:space="preserve"> [of]</w:t>
      </w:r>
      <w:r w:rsidRPr="00780E55">
        <w:rPr>
          <w:sz w:val="20"/>
          <w:szCs w:val="20"/>
        </w:rPr>
        <w:t xml:space="preserve"> the sacred’. In John D. </w:t>
      </w:r>
      <w:r w:rsidRPr="00780E55">
        <w:rPr>
          <w:rFonts w:cstheme="minorHAnsi"/>
          <w:sz w:val="20"/>
          <w:szCs w:val="20"/>
        </w:rPr>
        <w:t xml:space="preserve">Cox, </w:t>
      </w:r>
      <w:r w:rsidRPr="00780E55">
        <w:rPr>
          <w:rFonts w:cstheme="minorHAnsi"/>
          <w:i/>
          <w:iCs/>
          <w:sz w:val="20"/>
          <w:szCs w:val="20"/>
        </w:rPr>
        <w:t>The Devil and the Sacred in English Drama, 1350-1642</w:t>
      </w:r>
      <w:r w:rsidRPr="00780E55">
        <w:rPr>
          <w:rFonts w:cstheme="minorHAnsi"/>
          <w:sz w:val="20"/>
          <w:szCs w:val="20"/>
        </w:rPr>
        <w:t xml:space="preserve"> (Cambridge: Cambridge University Press, 2000), the first quote p. 11, the second p.5</w:t>
      </w:r>
    </w:p>
  </w:footnote>
  <w:footnote w:id="20">
    <w:p w14:paraId="70A60350" w14:textId="77777777" w:rsidR="0025722F" w:rsidRDefault="0025722F" w:rsidP="0025722F">
      <w:pPr>
        <w:pStyle w:val="FootnoteText"/>
      </w:pPr>
      <w:r>
        <w:rPr>
          <w:rStyle w:val="FootnoteReference"/>
        </w:rPr>
        <w:footnoteRef/>
      </w:r>
      <w:r>
        <w:t xml:space="preserve"> </w:t>
      </w:r>
      <w:r w:rsidRPr="006B79A4">
        <w:rPr>
          <w:rFonts w:cstheme="minorHAnsi"/>
          <w:shd w:val="clear" w:color="auto" w:fill="FFFFFF"/>
        </w:rPr>
        <w:t xml:space="preserve">Dr Marc Barton, ‘Claudius Galen’, </w:t>
      </w:r>
      <w:r w:rsidRPr="006B79A4">
        <w:rPr>
          <w:rFonts w:cstheme="minorHAnsi"/>
          <w:i/>
          <w:iCs/>
          <w:shd w:val="clear" w:color="auto" w:fill="FFFFFF"/>
        </w:rPr>
        <w:t>Past Medical History</w:t>
      </w:r>
      <w:r w:rsidRPr="006B79A4">
        <w:rPr>
          <w:rFonts w:cstheme="minorHAnsi"/>
          <w:shd w:val="clear" w:color="auto" w:fill="FFFFFF"/>
        </w:rPr>
        <w:t>, (Dec 2016) &lt;</w:t>
      </w:r>
      <w:r w:rsidRPr="006B79A4">
        <w:rPr>
          <w:rFonts w:cstheme="minorHAnsi"/>
        </w:rPr>
        <w:t xml:space="preserve"> </w:t>
      </w:r>
      <w:hyperlink r:id="rId14" w:history="1">
        <w:r w:rsidRPr="006B79A4">
          <w:rPr>
            <w:rStyle w:val="Hyperlink"/>
            <w:rFonts w:cstheme="minorHAnsi"/>
            <w:shd w:val="clear" w:color="auto" w:fill="FFFFFF"/>
          </w:rPr>
          <w:t>www.pastmedicalhistory.co.uk/claudius-galen/</w:t>
        </w:r>
      </w:hyperlink>
      <w:r w:rsidRPr="006B79A4">
        <w:rPr>
          <w:rFonts w:cstheme="minorHAnsi"/>
          <w:shd w:val="clear" w:color="auto" w:fill="FFFFFF"/>
        </w:rPr>
        <w:t>&gt; Accessed 6</w:t>
      </w:r>
      <w:r w:rsidRPr="006B79A4">
        <w:rPr>
          <w:rFonts w:cstheme="minorHAnsi"/>
          <w:shd w:val="clear" w:color="auto" w:fill="FFFFFF"/>
          <w:vertAlign w:val="superscript"/>
        </w:rPr>
        <w:t>th</w:t>
      </w:r>
      <w:r w:rsidRPr="006B79A4">
        <w:rPr>
          <w:rFonts w:cstheme="minorHAnsi"/>
          <w:shd w:val="clear" w:color="auto" w:fill="FFFFFF"/>
        </w:rPr>
        <w:t xml:space="preserve"> July 2019.</w:t>
      </w:r>
    </w:p>
  </w:footnote>
  <w:footnote w:id="21">
    <w:p w14:paraId="2BD9F758" w14:textId="77777777" w:rsidR="0025722F" w:rsidRDefault="0025722F" w:rsidP="0025722F">
      <w:pPr>
        <w:pStyle w:val="FootnoteText"/>
      </w:pPr>
      <w:r>
        <w:rPr>
          <w:rStyle w:val="FootnoteReference"/>
        </w:rPr>
        <w:footnoteRef/>
      </w:r>
      <w:r>
        <w:t xml:space="preserve"> See Bolman, 5-6. Bolman also notes that Galen is not choosing the pig for its direct (internal) similarity to man, which is interesting in light of Aristotle’s insight regarding the similarity, some four hundred years earlier.</w:t>
      </w:r>
    </w:p>
  </w:footnote>
  <w:footnote w:id="22">
    <w:p w14:paraId="63F2B85E" w14:textId="77777777" w:rsidR="0025722F" w:rsidRDefault="0025722F" w:rsidP="0025722F">
      <w:pPr>
        <w:pStyle w:val="FootnoteText"/>
      </w:pPr>
      <w:r>
        <w:rPr>
          <w:rStyle w:val="FootnoteReference"/>
        </w:rPr>
        <w:footnoteRef/>
      </w:r>
      <w:r>
        <w:t xml:space="preserve"> Ibid., 5 and 8</w:t>
      </w:r>
    </w:p>
  </w:footnote>
  <w:footnote w:id="23">
    <w:p w14:paraId="7197E056" w14:textId="77777777" w:rsidR="0025722F" w:rsidRDefault="0025722F" w:rsidP="0025722F">
      <w:pPr>
        <w:pStyle w:val="FootnoteText"/>
      </w:pPr>
      <w:r>
        <w:rPr>
          <w:rStyle w:val="FootnoteReference"/>
        </w:rPr>
        <w:footnoteRef/>
      </w:r>
      <w:r>
        <w:t xml:space="preserve"> Ibid., 7</w:t>
      </w:r>
    </w:p>
  </w:footnote>
  <w:footnote w:id="24">
    <w:p w14:paraId="6A863C8C" w14:textId="77777777" w:rsidR="0025722F" w:rsidRDefault="0025722F" w:rsidP="0025722F">
      <w:pPr>
        <w:pStyle w:val="FootnoteText"/>
      </w:pPr>
      <w:r>
        <w:rPr>
          <w:rStyle w:val="FootnoteReference"/>
        </w:rPr>
        <w:footnoteRef/>
      </w:r>
      <w:r>
        <w:t xml:space="preserve"> Ibid., 8</w:t>
      </w:r>
    </w:p>
  </w:footnote>
  <w:footnote w:id="25">
    <w:p w14:paraId="3ACDCA0F" w14:textId="77777777" w:rsidR="0025722F" w:rsidRDefault="0025722F" w:rsidP="0025722F">
      <w:pPr>
        <w:pStyle w:val="FootnoteText"/>
      </w:pPr>
      <w:r>
        <w:rPr>
          <w:rStyle w:val="FootnoteReference"/>
        </w:rPr>
        <w:footnoteRef/>
      </w:r>
      <w:r>
        <w:t xml:space="preserve"> Ibid., p.18</w:t>
      </w:r>
    </w:p>
  </w:footnote>
  <w:footnote w:id="26">
    <w:p w14:paraId="03CD7D51" w14:textId="77777777" w:rsidR="0025722F" w:rsidRPr="00EE3204" w:rsidRDefault="0025722F" w:rsidP="0025722F">
      <w:pPr>
        <w:spacing w:line="240" w:lineRule="auto"/>
        <w:rPr>
          <w:rFonts w:ascii="Arial" w:hAnsi="Arial" w:cs="Arial"/>
        </w:rPr>
      </w:pPr>
      <w:r>
        <w:rPr>
          <w:rStyle w:val="FootnoteReference"/>
        </w:rPr>
        <w:footnoteRef/>
      </w:r>
      <w:r>
        <w:t xml:space="preserve"> See </w:t>
      </w:r>
      <w:r w:rsidRPr="001211C6">
        <w:rPr>
          <w:rFonts w:cstheme="minorHAnsi"/>
          <w:sz w:val="20"/>
          <w:szCs w:val="20"/>
        </w:rPr>
        <w:t xml:space="preserve">Michel Foucault, </w:t>
      </w:r>
      <w:r w:rsidRPr="001211C6">
        <w:rPr>
          <w:rFonts w:cstheme="minorHAnsi"/>
          <w:i/>
          <w:iCs/>
          <w:sz w:val="20"/>
          <w:szCs w:val="20"/>
        </w:rPr>
        <w:t>The Order of Things</w:t>
      </w:r>
      <w:r w:rsidRPr="001211C6">
        <w:rPr>
          <w:rFonts w:cstheme="minorHAnsi"/>
          <w:sz w:val="20"/>
          <w:szCs w:val="20"/>
        </w:rPr>
        <w:t xml:space="preserve"> (London: Routledge, 1970)</w:t>
      </w:r>
    </w:p>
  </w:footnote>
  <w:footnote w:id="27">
    <w:p w14:paraId="7D4D340F" w14:textId="77777777" w:rsidR="0025722F" w:rsidRDefault="0025722F" w:rsidP="0025722F">
      <w:pPr>
        <w:pStyle w:val="FootnoteText"/>
      </w:pPr>
      <w:r>
        <w:rPr>
          <w:rStyle w:val="FootnoteReference"/>
        </w:rPr>
        <w:footnoteRef/>
      </w:r>
      <w:r>
        <w:t xml:space="preserve"> See Dorothy Yamamoto, Chapter 1, ‘The Bestiary: Establishing Ground Rules’, </w:t>
      </w:r>
      <w:r>
        <w:rPr>
          <w:i/>
        </w:rPr>
        <w:t>The Boundaries of the Human in Medieval English Literature</w:t>
      </w:r>
      <w:r>
        <w:t>, (2000), published to Oxford Scholarship Online: Jan 2010, pp 20-21, and Foucault, p.17</w:t>
      </w:r>
    </w:p>
  </w:footnote>
  <w:footnote w:id="28">
    <w:p w14:paraId="15D32707" w14:textId="77777777" w:rsidR="0025722F" w:rsidRDefault="0025722F" w:rsidP="0025722F">
      <w:pPr>
        <w:pStyle w:val="FootnoteText"/>
      </w:pPr>
      <w:r>
        <w:rPr>
          <w:rStyle w:val="FootnoteReference"/>
        </w:rPr>
        <w:footnoteRef/>
      </w:r>
      <w:r>
        <w:t xml:space="preserve"> Ibid,. P.24</w:t>
      </w:r>
    </w:p>
  </w:footnote>
  <w:footnote w:id="29">
    <w:p w14:paraId="608CE985" w14:textId="77777777" w:rsidR="0025722F" w:rsidRDefault="0025722F" w:rsidP="0025722F">
      <w:pPr>
        <w:pStyle w:val="FootnoteText"/>
      </w:pPr>
      <w:r>
        <w:rPr>
          <w:rStyle w:val="FootnoteReference"/>
        </w:rPr>
        <w:footnoteRef/>
      </w:r>
      <w:r>
        <w:t xml:space="preserve"> Ibid,. p.24-25</w:t>
      </w:r>
    </w:p>
  </w:footnote>
  <w:footnote w:id="30">
    <w:p w14:paraId="18E77314" w14:textId="77777777" w:rsidR="0025722F" w:rsidRDefault="0025722F" w:rsidP="0025722F">
      <w:pPr>
        <w:pStyle w:val="FootnoteText"/>
      </w:pPr>
      <w:r>
        <w:rPr>
          <w:rStyle w:val="FootnoteReference"/>
        </w:rPr>
        <w:footnoteRef/>
      </w:r>
      <w:r>
        <w:t xml:space="preserve"> Ibid,. p.26 Articulated in the Renaissance by Paracelsus who claimed it was not </w:t>
      </w:r>
      <w:proofErr w:type="gramStart"/>
      <w:r>
        <w:t>‘”God’s</w:t>
      </w:r>
      <w:proofErr w:type="gramEnd"/>
      <w:r>
        <w:t xml:space="preserve"> will that what he creates for man’s benefit…should remain hidden’”</w:t>
      </w:r>
    </w:p>
  </w:footnote>
  <w:footnote w:id="31">
    <w:p w14:paraId="02367EFE" w14:textId="77777777" w:rsidR="0025722F" w:rsidRPr="0019152F" w:rsidRDefault="0025722F" w:rsidP="0025722F">
      <w:pPr>
        <w:pStyle w:val="FootnoteText"/>
      </w:pPr>
      <w:r>
        <w:rPr>
          <w:rStyle w:val="FootnoteReference"/>
        </w:rPr>
        <w:footnoteRef/>
      </w:r>
      <w:r>
        <w:t xml:space="preserve"> Ibid., p.35</w:t>
      </w:r>
    </w:p>
  </w:footnote>
  <w:footnote w:id="32">
    <w:p w14:paraId="7FB276A4" w14:textId="77777777" w:rsidR="0025722F" w:rsidRPr="005B5415" w:rsidRDefault="0025722F" w:rsidP="0025722F">
      <w:pPr>
        <w:pStyle w:val="FootnoteText"/>
      </w:pPr>
      <w:r>
        <w:rPr>
          <w:rStyle w:val="FootnoteReference"/>
        </w:rPr>
        <w:footnoteRef/>
      </w:r>
      <w:r>
        <w:t xml:space="preserve"> </w:t>
      </w:r>
      <w:proofErr w:type="spellStart"/>
      <w:r w:rsidRPr="00D85518">
        <w:rPr>
          <w:rFonts w:cstheme="minorHAnsi"/>
          <w:bCs/>
        </w:rPr>
        <w:t>Quilligan</w:t>
      </w:r>
      <w:proofErr w:type="spellEnd"/>
      <w:r w:rsidRPr="00D85518">
        <w:rPr>
          <w:rFonts w:cstheme="minorHAnsi"/>
          <w:bCs/>
        </w:rPr>
        <w:t xml:space="preserve"> </w:t>
      </w:r>
      <w:r>
        <w:rPr>
          <w:rFonts w:cstheme="minorHAnsi"/>
          <w:bCs/>
        </w:rPr>
        <w:t xml:space="preserve">describes </w:t>
      </w:r>
      <w:r w:rsidRPr="00D85518">
        <w:rPr>
          <w:rFonts w:cstheme="minorHAnsi"/>
          <w:bCs/>
        </w:rPr>
        <w:t>a ‘language sensed in terms of a nearly physical presence’</w:t>
      </w:r>
      <w:r>
        <w:rPr>
          <w:rFonts w:cstheme="minorHAnsi"/>
          <w:bCs/>
        </w:rPr>
        <w:t xml:space="preserve">, and that there is equivalent power in the thing that is named and the name itself. </w:t>
      </w:r>
      <w:r>
        <w:t xml:space="preserve">Maureen </w:t>
      </w:r>
      <w:proofErr w:type="spellStart"/>
      <w:r>
        <w:t>Quilligan</w:t>
      </w:r>
      <w:proofErr w:type="spellEnd"/>
      <w:r>
        <w:t xml:space="preserve">, </w:t>
      </w:r>
      <w:r>
        <w:rPr>
          <w:i/>
          <w:iCs/>
        </w:rPr>
        <w:t>The Language of Allegory: Defining the Genre</w:t>
      </w:r>
      <w:r>
        <w:t xml:space="preserve"> (London: Cornell University Press, 1979) p.156</w:t>
      </w:r>
    </w:p>
  </w:footnote>
  <w:footnote w:id="33">
    <w:p w14:paraId="7C7E5D66" w14:textId="77777777" w:rsidR="0025722F" w:rsidRDefault="0025722F" w:rsidP="0025722F">
      <w:pPr>
        <w:pStyle w:val="FootnoteText"/>
      </w:pPr>
      <w:r>
        <w:rPr>
          <w:rStyle w:val="FootnoteReference"/>
        </w:rPr>
        <w:footnoteRef/>
      </w:r>
      <w:r>
        <w:t xml:space="preserve"> Yamamoto,</w:t>
      </w:r>
      <w:r>
        <w:rPr>
          <w:i/>
        </w:rPr>
        <w:t xml:space="preserve"> </w:t>
      </w:r>
      <w:r>
        <w:t>p. 12</w:t>
      </w:r>
    </w:p>
  </w:footnote>
  <w:footnote w:id="34">
    <w:p w14:paraId="16D21183" w14:textId="77777777" w:rsidR="0025722F" w:rsidRDefault="0025722F" w:rsidP="0025722F">
      <w:pPr>
        <w:pStyle w:val="FootnoteText"/>
      </w:pPr>
      <w:r>
        <w:rPr>
          <w:rStyle w:val="FootnoteReference"/>
        </w:rPr>
        <w:footnoteRef/>
      </w:r>
      <w:r>
        <w:t xml:space="preserve"> Ibid., pp.19-20</w:t>
      </w:r>
    </w:p>
  </w:footnote>
  <w:footnote w:id="35">
    <w:p w14:paraId="13F68105" w14:textId="77777777" w:rsidR="0025722F" w:rsidRDefault="0025722F" w:rsidP="0025722F">
      <w:pPr>
        <w:pStyle w:val="FootnoteText"/>
      </w:pPr>
      <w:r>
        <w:rPr>
          <w:rStyle w:val="FootnoteReference"/>
        </w:rPr>
        <w:footnoteRef/>
      </w:r>
      <w:r>
        <w:t xml:space="preserve"> Ibid., pp. 24-25</w:t>
      </w:r>
    </w:p>
  </w:footnote>
  <w:footnote w:id="36">
    <w:p w14:paraId="72C059A8" w14:textId="77777777" w:rsidR="0025722F" w:rsidRDefault="0025722F" w:rsidP="0025722F">
      <w:pPr>
        <w:pStyle w:val="FootnoteText"/>
      </w:pPr>
      <w:r>
        <w:rPr>
          <w:rStyle w:val="FootnoteReference"/>
        </w:rPr>
        <w:footnoteRef/>
      </w:r>
      <w:r>
        <w:t xml:space="preserve"> Steel, p.21</w:t>
      </w:r>
    </w:p>
  </w:footnote>
  <w:footnote w:id="37">
    <w:p w14:paraId="583C6EC0" w14:textId="77777777" w:rsidR="0025722F" w:rsidRPr="00956D5A" w:rsidRDefault="0025722F" w:rsidP="0025722F">
      <w:pPr>
        <w:pStyle w:val="FootnoteText"/>
      </w:pPr>
      <w:r>
        <w:rPr>
          <w:rStyle w:val="FootnoteReference"/>
        </w:rPr>
        <w:footnoteRef/>
      </w:r>
      <w:bookmarkStart w:id="12" w:name="_Hlk13651543"/>
      <w:r>
        <w:t>Yamamoto,</w:t>
      </w:r>
      <w:bookmarkEnd w:id="12"/>
      <w:r>
        <w:rPr>
          <w:i/>
        </w:rPr>
        <w:t xml:space="preserve"> </w:t>
      </w:r>
      <w:r>
        <w:t xml:space="preserve">p. 12. This a question and answer that is the premise of Steel’s </w:t>
      </w:r>
      <w:r>
        <w:rPr>
          <w:i/>
          <w:iCs/>
        </w:rPr>
        <w:t>How to Make a Human</w:t>
      </w:r>
      <w:r>
        <w:t>, p.12 refers to Yamamoto.</w:t>
      </w:r>
    </w:p>
  </w:footnote>
  <w:footnote w:id="38">
    <w:p w14:paraId="2171AB2C" w14:textId="77777777" w:rsidR="0025722F" w:rsidRDefault="0025722F" w:rsidP="0025722F">
      <w:pPr>
        <w:pStyle w:val="FootnoteText"/>
      </w:pPr>
      <w:r>
        <w:rPr>
          <w:rStyle w:val="FootnoteReference"/>
        </w:rPr>
        <w:footnoteRef/>
      </w:r>
      <w:r>
        <w:t xml:space="preserve"> Anderson., p.1</w:t>
      </w:r>
    </w:p>
  </w:footnote>
  <w:footnote w:id="39">
    <w:p w14:paraId="20C06E49" w14:textId="77777777" w:rsidR="0025722F" w:rsidRDefault="0025722F" w:rsidP="0025722F">
      <w:pPr>
        <w:pStyle w:val="FootnoteText"/>
      </w:pPr>
      <w:r>
        <w:rPr>
          <w:rStyle w:val="FootnoteReference"/>
        </w:rPr>
        <w:footnoteRef/>
      </w:r>
      <w:r>
        <w:t xml:space="preserve"> Ibid., p.39</w:t>
      </w:r>
    </w:p>
  </w:footnote>
  <w:footnote w:id="40">
    <w:p w14:paraId="11539BF2" w14:textId="77777777" w:rsidR="0025722F" w:rsidRDefault="0025722F" w:rsidP="0025722F">
      <w:pPr>
        <w:pStyle w:val="FootnoteText"/>
      </w:pPr>
      <w:r>
        <w:rPr>
          <w:rStyle w:val="FootnoteReference"/>
        </w:rPr>
        <w:footnoteRef/>
      </w:r>
      <w:r>
        <w:t xml:space="preserve"> See The Ashmolean Bestiary: The Boar &lt;</w:t>
      </w:r>
      <w:r w:rsidRPr="00E56A4E">
        <w:t xml:space="preserve"> </w:t>
      </w:r>
      <w:hyperlink r:id="rId15" w:history="1">
        <w:r>
          <w:rPr>
            <w:rStyle w:val="Hyperlink"/>
          </w:rPr>
          <w:t>http://bestiary.ca/beasts/beast197.htm</w:t>
        </w:r>
      </w:hyperlink>
      <w:r>
        <w:t>&gt; Accessed 11</w:t>
      </w:r>
      <w:r w:rsidRPr="00E56A4E">
        <w:rPr>
          <w:vertAlign w:val="superscript"/>
        </w:rPr>
        <w:t>th</w:t>
      </w:r>
      <w:r>
        <w:t xml:space="preserve"> July 2019. Additionally, Steel notes it a ‘medieval commonplace’ that the boar’s ferocity and strength meant it was ‘understood as the devil’ Steel, pp.191-92 </w:t>
      </w:r>
    </w:p>
  </w:footnote>
  <w:footnote w:id="41">
    <w:p w14:paraId="4F9259F2" w14:textId="77777777" w:rsidR="0025722F" w:rsidRDefault="0025722F" w:rsidP="0025722F">
      <w:pPr>
        <w:pStyle w:val="FootnoteText"/>
      </w:pPr>
      <w:r>
        <w:rPr>
          <w:rStyle w:val="FootnoteReference"/>
        </w:rPr>
        <w:footnoteRef/>
      </w:r>
      <w:r>
        <w:t xml:space="preserve"> For similar, see Steel, p. 203</w:t>
      </w:r>
    </w:p>
  </w:footnote>
  <w:footnote w:id="42">
    <w:p w14:paraId="3C917A3F" w14:textId="77777777" w:rsidR="0025722F" w:rsidRPr="00BE1374" w:rsidRDefault="0025722F" w:rsidP="0025722F">
      <w:pPr>
        <w:pStyle w:val="FootnoteText"/>
      </w:pPr>
      <w:r>
        <w:rPr>
          <w:rStyle w:val="FootnoteReference"/>
        </w:rPr>
        <w:footnoteRef/>
      </w:r>
      <w:r>
        <w:t xml:space="preserve"> Much of the following owes a debt to Steel’s analysis of a similar aspect of another battle between Arthur and a ferocious/giant boar, in a lesser-known mid fifteenth-century text </w:t>
      </w:r>
      <w:r>
        <w:rPr>
          <w:i/>
          <w:iCs/>
        </w:rPr>
        <w:t>The Avowyng of Arthur</w:t>
      </w:r>
      <w:r>
        <w:t>. Steel, pp.189-203</w:t>
      </w:r>
    </w:p>
  </w:footnote>
  <w:footnote w:id="43">
    <w:p w14:paraId="340B9ADB" w14:textId="77777777" w:rsidR="0025722F" w:rsidRPr="00BD08C5" w:rsidRDefault="0025722F" w:rsidP="0025722F">
      <w:pPr>
        <w:pStyle w:val="FootnoteText"/>
      </w:pPr>
      <w:r>
        <w:rPr>
          <w:rStyle w:val="FootnoteReference"/>
        </w:rPr>
        <w:footnoteRef/>
      </w:r>
      <w:r>
        <w:t xml:space="preserve"> Quotes: Culhwch – Jones, p.80, Arthur – Thijs Porck, ‘The Boar Who Would be King: Royal Boar Prophesies in Medieval England’, </w:t>
      </w:r>
      <w:r w:rsidRPr="00BD08C5">
        <w:rPr>
          <w:i/>
          <w:iCs/>
        </w:rPr>
        <w:t>Leiden Medievalists Blog</w:t>
      </w:r>
      <w:r>
        <w:t xml:space="preserve"> (2018) &lt;</w:t>
      </w:r>
      <w:r w:rsidRPr="00BD08C5">
        <w:t xml:space="preserve"> </w:t>
      </w:r>
      <w:hyperlink r:id="rId16" w:history="1">
        <w:r>
          <w:rPr>
            <w:rStyle w:val="Hyperlink"/>
          </w:rPr>
          <w:t>http://leidenmedievalistsblog.nl/articles/royal-boar-prophecies-in-medieval-england</w:t>
        </w:r>
      </w:hyperlink>
      <w:r>
        <w:t>&gt; Accessed 13</w:t>
      </w:r>
      <w:r w:rsidRPr="00BD08C5">
        <w:rPr>
          <w:vertAlign w:val="superscript"/>
        </w:rPr>
        <w:t>th</w:t>
      </w:r>
      <w:r>
        <w:t xml:space="preserve"> July 2019, and </w:t>
      </w:r>
      <w:r w:rsidRPr="00B76BAC">
        <w:rPr>
          <w:rFonts w:cstheme="minorHAnsi"/>
        </w:rPr>
        <w:t>Twrch Trwyth</w:t>
      </w:r>
      <w:r>
        <w:rPr>
          <w:rFonts w:cstheme="minorHAnsi"/>
        </w:rPr>
        <w:t xml:space="preserve"> – Jones, p. 109</w:t>
      </w:r>
    </w:p>
  </w:footnote>
  <w:footnote w:id="44">
    <w:p w14:paraId="3C40807A" w14:textId="77777777" w:rsidR="0025722F" w:rsidRDefault="0025722F" w:rsidP="0025722F">
      <w:pPr>
        <w:pStyle w:val="FootnoteText"/>
      </w:pPr>
      <w:r>
        <w:rPr>
          <w:rStyle w:val="FootnoteReference"/>
        </w:rPr>
        <w:footnoteRef/>
      </w:r>
      <w:r>
        <w:t xml:space="preserve"> Jones, p.111</w:t>
      </w:r>
    </w:p>
  </w:footnote>
  <w:footnote w:id="45">
    <w:p w14:paraId="118D95A6" w14:textId="77777777" w:rsidR="0025722F" w:rsidRDefault="0025722F" w:rsidP="0025722F">
      <w:pPr>
        <w:pStyle w:val="FootnoteText"/>
      </w:pPr>
      <w:r>
        <w:rPr>
          <w:rStyle w:val="FootnoteReference"/>
        </w:rPr>
        <w:footnoteRef/>
      </w:r>
      <w:r>
        <w:t xml:space="preserve"> Ibid., p. 110</w:t>
      </w:r>
    </w:p>
  </w:footnote>
  <w:footnote w:id="46">
    <w:p w14:paraId="7FB2C629" w14:textId="77777777" w:rsidR="0025722F" w:rsidRPr="00325A35" w:rsidRDefault="0025722F" w:rsidP="0025722F">
      <w:pPr>
        <w:pStyle w:val="FootnoteText"/>
      </w:pPr>
      <w:r>
        <w:rPr>
          <w:rStyle w:val="FootnoteReference"/>
        </w:rPr>
        <w:footnoteRef/>
      </w:r>
      <w:r>
        <w:t xml:space="preserve"> See Steel, p. 202 who says of the Arthur in the </w:t>
      </w:r>
      <w:r>
        <w:rPr>
          <w:i/>
          <w:iCs/>
        </w:rPr>
        <w:t>Avowyng</w:t>
      </w:r>
      <w:r>
        <w:t>, that ‘he is already “</w:t>
      </w:r>
      <w:proofErr w:type="spellStart"/>
      <w:r>
        <w:t>oure</w:t>
      </w:r>
      <w:proofErr w:type="spellEnd"/>
      <w:r>
        <w:t xml:space="preserve"> </w:t>
      </w:r>
      <w:proofErr w:type="spellStart"/>
      <w:r>
        <w:t>Kinge</w:t>
      </w:r>
      <w:proofErr w:type="spellEnd"/>
      <w:r>
        <w:t>”…and…incarnates the status quo’, he is the law of the land, but that had the boar won ‘It could claim the structural position of the human for itself and relegate Arthur and the knights to animality’ and have ‘the right to law’.</w:t>
      </w:r>
    </w:p>
  </w:footnote>
  <w:footnote w:id="47">
    <w:p w14:paraId="08691054" w14:textId="77777777" w:rsidR="0025722F" w:rsidRDefault="0025722F" w:rsidP="0025722F">
      <w:pPr>
        <w:pStyle w:val="FootnoteText"/>
      </w:pPr>
      <w:r>
        <w:rPr>
          <w:rStyle w:val="FootnoteReference"/>
        </w:rPr>
        <w:footnoteRef/>
      </w:r>
      <w:r>
        <w:t xml:space="preserve"> Steel, p. 203.  In essence here, the threat suppressed is that </w:t>
      </w:r>
      <w:r w:rsidRPr="00B2172B">
        <w:rPr>
          <w:rFonts w:cstheme="minorHAnsi"/>
        </w:rPr>
        <w:t>Twrch Trwyth will not now rise on two legs, look to the heavens and gain speech, reason and rule.</w:t>
      </w:r>
      <w:r>
        <w:rPr>
          <w:rFonts w:cstheme="minorHAnsi"/>
        </w:rPr>
        <w:t xml:space="preserve"> </w:t>
      </w:r>
      <w:r w:rsidRPr="00A8351F">
        <w:rPr>
          <w:rFonts w:cstheme="minorHAnsi"/>
        </w:rPr>
        <w:t>Unlike the pigs of Animal Farm</w:t>
      </w:r>
      <w:r>
        <w:rPr>
          <w:rFonts w:cstheme="minorHAnsi"/>
        </w:rPr>
        <w:t>,</w:t>
      </w:r>
      <w:r w:rsidRPr="00A8351F">
        <w:rPr>
          <w:rFonts w:cstheme="minorHAnsi"/>
        </w:rPr>
        <w:t xml:space="preserve"> who were</w:t>
      </w:r>
      <w:r>
        <w:rPr>
          <w:rFonts w:cstheme="minorHAnsi"/>
        </w:rPr>
        <w:t>,</w:t>
      </w:r>
      <w:r w:rsidRPr="00A8351F">
        <w:rPr>
          <w:rFonts w:cstheme="minorHAnsi"/>
        </w:rPr>
        <w:t xml:space="preserve"> </w:t>
      </w:r>
      <w:r>
        <w:rPr>
          <w:rFonts w:cstheme="minorHAnsi"/>
        </w:rPr>
        <w:t>by the</w:t>
      </w:r>
      <w:r w:rsidRPr="00A8351F">
        <w:rPr>
          <w:rFonts w:cstheme="minorHAnsi"/>
        </w:rPr>
        <w:t xml:space="preserve"> end</w:t>
      </w:r>
      <w:r>
        <w:rPr>
          <w:rFonts w:cstheme="minorHAnsi"/>
        </w:rPr>
        <w:t xml:space="preserve"> of the novel,</w:t>
      </w:r>
      <w:r w:rsidRPr="00A8351F">
        <w:rPr>
          <w:rFonts w:cstheme="minorHAnsi"/>
        </w:rPr>
        <w:t xml:space="preserve"> indistinguishable from humans.</w:t>
      </w:r>
    </w:p>
  </w:footnote>
  <w:footnote w:id="48">
    <w:p w14:paraId="41A41CB0" w14:textId="77777777" w:rsidR="0025722F" w:rsidRDefault="0025722F" w:rsidP="0025722F">
      <w:pPr>
        <w:pStyle w:val="FootnoteText"/>
      </w:pPr>
      <w:r>
        <w:rPr>
          <w:rStyle w:val="FootnoteReference"/>
        </w:rPr>
        <w:footnoteRef/>
      </w:r>
      <w:r>
        <w:t xml:space="preserve"> Jones, p. 112</w:t>
      </w:r>
    </w:p>
  </w:footnote>
  <w:footnote w:id="49">
    <w:p w14:paraId="4FED724A" w14:textId="77777777" w:rsidR="0025722F" w:rsidRPr="00C83E7E" w:rsidRDefault="0025722F" w:rsidP="0025722F">
      <w:pPr>
        <w:tabs>
          <w:tab w:val="left" w:pos="2054"/>
        </w:tabs>
        <w:spacing w:line="240" w:lineRule="auto"/>
        <w:rPr>
          <w:sz w:val="20"/>
          <w:szCs w:val="20"/>
        </w:rPr>
      </w:pPr>
      <w:r>
        <w:rPr>
          <w:rStyle w:val="FootnoteReference"/>
        </w:rPr>
        <w:footnoteRef/>
      </w:r>
      <w:r>
        <w:t xml:space="preserve"> </w:t>
      </w:r>
      <w:bookmarkStart w:id="15" w:name="_Hlk13954544"/>
      <w:r w:rsidRPr="00C83E7E">
        <w:rPr>
          <w:sz w:val="20"/>
          <w:szCs w:val="20"/>
        </w:rPr>
        <w:t xml:space="preserve">Piers Beirnes, </w:t>
      </w:r>
      <w:r w:rsidRPr="00C83E7E">
        <w:rPr>
          <w:i/>
          <w:iCs/>
          <w:sz w:val="20"/>
          <w:szCs w:val="20"/>
        </w:rPr>
        <w:t>The Law is an Ass: Reading E P Evans’ ‘The Medieval Prosecution and Capital Punishment of Animals’</w:t>
      </w:r>
      <w:r w:rsidRPr="00C83E7E">
        <w:rPr>
          <w:sz w:val="20"/>
          <w:szCs w:val="20"/>
        </w:rPr>
        <w:t xml:space="preserve"> (Cambridge: The White Horse Press, 1994) </w:t>
      </w:r>
      <w:bookmarkEnd w:id="15"/>
      <w:r w:rsidRPr="00C83E7E">
        <w:rPr>
          <w:sz w:val="20"/>
          <w:szCs w:val="20"/>
        </w:rPr>
        <w:t xml:space="preserve">p.32 notes ‘Until the end of the sixteenth century, pigs vastly outnumbered all other species of animal subjected to prosecution’. He admits the limits of the small amount of data left from the period but goes on to offer analysis. In </w:t>
      </w:r>
      <w:bookmarkStart w:id="16" w:name="_Hlk13954613"/>
      <w:r w:rsidRPr="00C83E7E">
        <w:rPr>
          <w:sz w:val="20"/>
          <w:szCs w:val="20"/>
        </w:rPr>
        <w:t xml:space="preserve">Piers Beirnes, ‘A note on the facticity of animal trials in early modern Britain; or, the curious prosecution of farmer Carter’s dog for murder’, </w:t>
      </w:r>
      <w:r w:rsidRPr="00C83E7E">
        <w:rPr>
          <w:i/>
          <w:iCs/>
          <w:sz w:val="20"/>
          <w:szCs w:val="20"/>
        </w:rPr>
        <w:t>Crime, Law and Social Change</w:t>
      </w:r>
      <w:r w:rsidRPr="00C83E7E">
        <w:rPr>
          <w:sz w:val="20"/>
          <w:szCs w:val="20"/>
        </w:rPr>
        <w:t xml:space="preserve"> (2011), Published online: Springer Science+Business Media B.V. &lt;</w:t>
      </w:r>
      <w:hyperlink r:id="rId17" w:history="1">
        <w:r w:rsidRPr="00C83E7E">
          <w:rPr>
            <w:rStyle w:val="Hyperlink"/>
            <w:sz w:val="20"/>
            <w:szCs w:val="20"/>
          </w:rPr>
          <w:t>https://link-springer-com.ezproxy.uwtsd.ac.uk/content/pdf/10.1007%</w:t>
        </w:r>
        <w:r w:rsidRPr="00C83E7E">
          <w:rPr>
            <w:rStyle w:val="Hyperlink"/>
            <w:sz w:val="20"/>
            <w:szCs w:val="20"/>
          </w:rPr>
          <w:t>2</w:t>
        </w:r>
        <w:r w:rsidRPr="00C83E7E">
          <w:rPr>
            <w:rStyle w:val="Hyperlink"/>
            <w:sz w:val="20"/>
            <w:szCs w:val="20"/>
          </w:rPr>
          <w:t>Fs10611-011-9291-8.pdf</w:t>
        </w:r>
      </w:hyperlink>
      <w:r w:rsidRPr="00C83E7E">
        <w:rPr>
          <w:sz w:val="20"/>
          <w:szCs w:val="20"/>
        </w:rPr>
        <w:t>&gt; Accessed 13</w:t>
      </w:r>
      <w:r w:rsidRPr="00C83E7E">
        <w:rPr>
          <w:sz w:val="20"/>
          <w:szCs w:val="20"/>
          <w:vertAlign w:val="superscript"/>
        </w:rPr>
        <w:t>th</w:t>
      </w:r>
      <w:r w:rsidRPr="00C83E7E">
        <w:rPr>
          <w:sz w:val="20"/>
          <w:szCs w:val="20"/>
        </w:rPr>
        <w:t xml:space="preserve"> Nov 2018</w:t>
      </w:r>
      <w:bookmarkEnd w:id="16"/>
      <w:r w:rsidRPr="00C83E7E">
        <w:rPr>
          <w:sz w:val="20"/>
          <w:szCs w:val="20"/>
        </w:rPr>
        <w:t xml:space="preserve">, he worries more specifically whether ‘the presence of doubtful or </w:t>
      </w:r>
      <w:proofErr w:type="spellStart"/>
      <w:r w:rsidRPr="00C83E7E">
        <w:rPr>
          <w:sz w:val="20"/>
          <w:szCs w:val="20"/>
        </w:rPr>
        <w:t>nonexistent</w:t>
      </w:r>
      <w:proofErr w:type="spellEnd"/>
      <w:r w:rsidRPr="00C83E7E">
        <w:rPr>
          <w:sz w:val="20"/>
          <w:szCs w:val="20"/>
        </w:rPr>
        <w:t xml:space="preserve"> cases’ made Evans’ work ‘less profound’, p.370, whilst </w:t>
      </w:r>
      <w:bookmarkStart w:id="17" w:name="_Hlk13954704"/>
      <w:proofErr w:type="spellStart"/>
      <w:r w:rsidRPr="00C83E7E">
        <w:rPr>
          <w:sz w:val="20"/>
          <w:szCs w:val="20"/>
        </w:rPr>
        <w:t>Anila</w:t>
      </w:r>
      <w:proofErr w:type="spellEnd"/>
      <w:r w:rsidRPr="00C83E7E">
        <w:rPr>
          <w:sz w:val="20"/>
          <w:szCs w:val="20"/>
        </w:rPr>
        <w:t xml:space="preserve"> Srivastava, ‘”Mean, Dangerous, and Uncontrollable Beasts”: Medieval Animal Trials’,  </w:t>
      </w:r>
      <w:r w:rsidRPr="00C83E7E">
        <w:rPr>
          <w:i/>
          <w:iCs/>
          <w:sz w:val="20"/>
          <w:szCs w:val="20"/>
        </w:rPr>
        <w:t>Mosaic: a Journal for the Interdisciplinary Study of Literature</w:t>
      </w:r>
      <w:r w:rsidRPr="00C83E7E">
        <w:rPr>
          <w:sz w:val="20"/>
          <w:szCs w:val="20"/>
        </w:rPr>
        <w:t xml:space="preserve"> (Mar 2007) Vol. 40, No. 1</w:t>
      </w:r>
      <w:bookmarkEnd w:id="17"/>
      <w:r w:rsidRPr="00C83E7E">
        <w:rPr>
          <w:sz w:val="20"/>
          <w:szCs w:val="20"/>
        </w:rPr>
        <w:t>, p.3, is critical of Evans’ lack of ‘contemporary rigour in sourcing and citing’ but considers him ‘a genuine polymath’ overly criticised otherwise.</w:t>
      </w:r>
    </w:p>
    <w:p w14:paraId="63465F5E" w14:textId="77777777" w:rsidR="0025722F" w:rsidRDefault="0025722F" w:rsidP="0025722F">
      <w:pPr>
        <w:pStyle w:val="FootnoteText"/>
      </w:pPr>
    </w:p>
  </w:footnote>
  <w:footnote w:id="50">
    <w:p w14:paraId="1DC574DD" w14:textId="77777777" w:rsidR="0025722F" w:rsidRPr="00952A34" w:rsidRDefault="0025722F" w:rsidP="0025722F">
      <w:pPr>
        <w:tabs>
          <w:tab w:val="left" w:pos="2054"/>
        </w:tabs>
        <w:spacing w:line="240" w:lineRule="auto"/>
        <w:rPr>
          <w:rFonts w:cstheme="minorHAnsi"/>
          <w:sz w:val="20"/>
          <w:szCs w:val="20"/>
        </w:rPr>
      </w:pPr>
      <w:r>
        <w:rPr>
          <w:rStyle w:val="FootnoteReference"/>
        </w:rPr>
        <w:footnoteRef/>
      </w:r>
      <w:r>
        <w:t xml:space="preserve"> </w:t>
      </w:r>
      <w:r w:rsidRPr="0029258B">
        <w:rPr>
          <w:sz w:val="20"/>
          <w:szCs w:val="20"/>
        </w:rPr>
        <w:t xml:space="preserve">Beirnes, </w:t>
      </w:r>
      <w:r w:rsidRPr="0029258B">
        <w:rPr>
          <w:i/>
          <w:iCs/>
          <w:sz w:val="20"/>
          <w:szCs w:val="20"/>
        </w:rPr>
        <w:t>The Law is an Ass</w:t>
      </w:r>
      <w:r w:rsidRPr="0029258B">
        <w:rPr>
          <w:sz w:val="20"/>
          <w:szCs w:val="20"/>
        </w:rPr>
        <w:t xml:space="preserve">, p.43 </w:t>
      </w:r>
      <w:r>
        <w:rPr>
          <w:sz w:val="20"/>
          <w:szCs w:val="20"/>
        </w:rPr>
        <w:t xml:space="preserve">It is true that Evans sees man’s progress as evolutionary in the sense of moving from a natural state of ‘brutishness and barbarism’ along a continuum until reaching modern man: in many ways reflective of the medieval/early modern understanding of the human ability to develop as they acquire (increasingly actively) the knowledge the world can reveal to them, and this clearly does reduce other chronological and geographical societies. However, although he expresses a sense of the ridiculous concerning the trials, he does not attribute this to a lower level of intelligence in Medieval and Renaissance humans, but to their understanding. </w:t>
      </w:r>
      <w:r w:rsidRPr="0029258B">
        <w:rPr>
          <w:sz w:val="20"/>
          <w:szCs w:val="20"/>
        </w:rPr>
        <w:t>Later work, in other disciplines still tries to apply such theories</w:t>
      </w:r>
      <w:r>
        <w:rPr>
          <w:sz w:val="20"/>
          <w:szCs w:val="20"/>
        </w:rPr>
        <w:t xml:space="preserve"> in a more reductive way</w:t>
      </w:r>
      <w:r w:rsidRPr="0029258B">
        <w:rPr>
          <w:sz w:val="20"/>
          <w:szCs w:val="20"/>
        </w:rPr>
        <w:t xml:space="preserve">, for example, see </w:t>
      </w:r>
      <w:r w:rsidRPr="0029258B">
        <w:rPr>
          <w:rFonts w:cstheme="minorHAnsi"/>
          <w:sz w:val="20"/>
          <w:szCs w:val="20"/>
        </w:rPr>
        <w:t xml:space="preserve">Georg, W. Osterdiekhoff, ‘Trials Against Animals: A Contribution on the Developmental Theory of Mind and Rationality’, </w:t>
      </w:r>
      <w:r w:rsidRPr="0029258B">
        <w:rPr>
          <w:rFonts w:cstheme="minorHAnsi"/>
          <w:i/>
          <w:iCs/>
          <w:sz w:val="20"/>
          <w:szCs w:val="20"/>
        </w:rPr>
        <w:t>Mankind Quarterly</w:t>
      </w:r>
      <w:r w:rsidRPr="0029258B">
        <w:rPr>
          <w:rFonts w:cstheme="minorHAnsi"/>
          <w:sz w:val="20"/>
          <w:szCs w:val="20"/>
        </w:rPr>
        <w:t xml:space="preserve">, Vol.9, no, 3-4, (Spring 2009) who applies developmental psychology and cognitive structures </w:t>
      </w:r>
      <w:r>
        <w:rPr>
          <w:rFonts w:cstheme="minorHAnsi"/>
          <w:sz w:val="20"/>
          <w:szCs w:val="20"/>
        </w:rPr>
        <w:t>to</w:t>
      </w:r>
      <w:r w:rsidRPr="0029258B">
        <w:rPr>
          <w:rFonts w:cstheme="minorHAnsi"/>
          <w:sz w:val="20"/>
          <w:szCs w:val="20"/>
        </w:rPr>
        <w:t xml:space="preserve"> </w:t>
      </w:r>
      <w:r>
        <w:rPr>
          <w:rFonts w:cstheme="minorHAnsi"/>
          <w:sz w:val="20"/>
          <w:szCs w:val="20"/>
        </w:rPr>
        <w:t xml:space="preserve">understand these </w:t>
      </w:r>
      <w:r w:rsidRPr="0029258B">
        <w:rPr>
          <w:rFonts w:cstheme="minorHAnsi"/>
          <w:sz w:val="20"/>
          <w:szCs w:val="20"/>
        </w:rPr>
        <w:t>animal trials</w:t>
      </w:r>
      <w:r>
        <w:rPr>
          <w:rFonts w:cstheme="minorHAnsi"/>
          <w:sz w:val="20"/>
          <w:szCs w:val="20"/>
        </w:rPr>
        <w:t>, by a</w:t>
      </w:r>
      <w:r w:rsidRPr="0029258B">
        <w:rPr>
          <w:rFonts w:cstheme="minorHAnsi"/>
          <w:sz w:val="20"/>
          <w:szCs w:val="20"/>
        </w:rPr>
        <w:t>ligning the cognitive stages of the modern 10-year-old child, the ‘primitive’ adult and, eventually also Schizophrenics and drug-users.</w:t>
      </w:r>
      <w:r>
        <w:t xml:space="preserve"> </w:t>
      </w:r>
    </w:p>
  </w:footnote>
  <w:footnote w:id="51">
    <w:p w14:paraId="3B210259" w14:textId="77777777" w:rsidR="0025722F" w:rsidRDefault="0025722F" w:rsidP="0025722F">
      <w:pPr>
        <w:pStyle w:val="FootnoteText"/>
      </w:pPr>
      <w:r>
        <w:rPr>
          <w:rStyle w:val="FootnoteReference"/>
        </w:rPr>
        <w:footnoteRef/>
      </w:r>
      <w:r>
        <w:t xml:space="preserve"> Evans, p.172</w:t>
      </w:r>
    </w:p>
  </w:footnote>
  <w:footnote w:id="52">
    <w:p w14:paraId="7C63F5C8" w14:textId="77777777" w:rsidR="0025722F" w:rsidRDefault="0025722F" w:rsidP="0025722F">
      <w:pPr>
        <w:pStyle w:val="FootnoteText"/>
      </w:pPr>
      <w:r>
        <w:rPr>
          <w:rStyle w:val="FootnoteReference"/>
        </w:rPr>
        <w:footnoteRef/>
      </w:r>
      <w:r>
        <w:t xml:space="preserve"> Ibid., p.173</w:t>
      </w:r>
    </w:p>
  </w:footnote>
  <w:footnote w:id="53">
    <w:p w14:paraId="21D8F79D" w14:textId="77777777" w:rsidR="0025722F" w:rsidRDefault="0025722F" w:rsidP="0025722F">
      <w:pPr>
        <w:pStyle w:val="FootnoteText"/>
      </w:pPr>
      <w:r>
        <w:rPr>
          <w:rStyle w:val="FootnoteReference"/>
        </w:rPr>
        <w:footnoteRef/>
      </w:r>
      <w:r>
        <w:t xml:space="preserve"> Ibid., p. 174 and p.6</w:t>
      </w:r>
    </w:p>
  </w:footnote>
  <w:footnote w:id="54">
    <w:p w14:paraId="1BA0028D" w14:textId="77777777" w:rsidR="0025722F" w:rsidRDefault="0025722F" w:rsidP="0025722F">
      <w:pPr>
        <w:pStyle w:val="FootnoteText"/>
      </w:pPr>
      <w:r>
        <w:rPr>
          <w:rStyle w:val="FootnoteReference"/>
        </w:rPr>
        <w:footnoteRef/>
      </w:r>
      <w:r>
        <w:t xml:space="preserve"> Ibid., p. 31</w:t>
      </w:r>
    </w:p>
  </w:footnote>
  <w:footnote w:id="55">
    <w:p w14:paraId="648E9DC2" w14:textId="77777777" w:rsidR="0025722F" w:rsidRDefault="0025722F" w:rsidP="0025722F">
      <w:pPr>
        <w:pStyle w:val="FootnoteText"/>
      </w:pPr>
      <w:r>
        <w:rPr>
          <w:rStyle w:val="FootnoteReference"/>
        </w:rPr>
        <w:footnoteRef/>
      </w:r>
      <w:r>
        <w:t xml:space="preserve"> Ibid., p. 36</w:t>
      </w:r>
    </w:p>
  </w:footnote>
  <w:footnote w:id="56">
    <w:p w14:paraId="4E4700B4" w14:textId="77777777" w:rsidR="0025722F" w:rsidRDefault="0025722F" w:rsidP="0025722F">
      <w:pPr>
        <w:pStyle w:val="FootnoteText"/>
      </w:pPr>
      <w:r>
        <w:rPr>
          <w:rStyle w:val="FootnoteReference"/>
        </w:rPr>
        <w:footnoteRef/>
      </w:r>
      <w:r>
        <w:t xml:space="preserve">  </w:t>
      </w:r>
      <w:r w:rsidRPr="00607BB3">
        <w:t>Darren</w:t>
      </w:r>
      <w:r>
        <w:t xml:space="preserve"> </w:t>
      </w:r>
      <w:r w:rsidRPr="00607BB3">
        <w:rPr>
          <w:rFonts w:cstheme="minorHAnsi"/>
        </w:rPr>
        <w:t xml:space="preserve">Oldridge, </w:t>
      </w:r>
      <w:r w:rsidRPr="00607BB3">
        <w:rPr>
          <w:rFonts w:cstheme="minorHAnsi"/>
          <w:i/>
          <w:iCs/>
        </w:rPr>
        <w:t>Strange Histories</w:t>
      </w:r>
      <w:r w:rsidRPr="00607BB3">
        <w:rPr>
          <w:rFonts w:cstheme="minorHAnsi"/>
        </w:rPr>
        <w:t xml:space="preserve"> (London: Routledge, 2005)</w:t>
      </w:r>
      <w:r>
        <w:rPr>
          <w:rFonts w:cstheme="minorHAnsi"/>
        </w:rPr>
        <w:t xml:space="preserve">, p. 42, and in Evans, </w:t>
      </w:r>
      <w:r>
        <w:t xml:space="preserve">Nicholas Humphrey in his foreword, </w:t>
      </w:r>
      <w:proofErr w:type="spellStart"/>
      <w:r>
        <w:t>p.xxv</w:t>
      </w:r>
      <w:proofErr w:type="spellEnd"/>
    </w:p>
  </w:footnote>
  <w:footnote w:id="57">
    <w:p w14:paraId="14F2E271" w14:textId="77777777" w:rsidR="0025722F" w:rsidRDefault="0025722F" w:rsidP="0025722F">
      <w:pPr>
        <w:pStyle w:val="FootnoteText"/>
      </w:pPr>
      <w:r>
        <w:rPr>
          <w:rStyle w:val="FootnoteReference"/>
        </w:rPr>
        <w:footnoteRef/>
      </w:r>
      <w:r>
        <w:t xml:space="preserve"> Oldridge, p.43</w:t>
      </w:r>
    </w:p>
  </w:footnote>
  <w:footnote w:id="58">
    <w:p w14:paraId="44E5D5DA" w14:textId="77777777" w:rsidR="0025722F" w:rsidRPr="00680FE9" w:rsidRDefault="0025722F" w:rsidP="0025722F">
      <w:pPr>
        <w:spacing w:line="240" w:lineRule="auto"/>
        <w:rPr>
          <w:rFonts w:ascii="Arial" w:hAnsi="Arial" w:cs="Arial"/>
          <w:sz w:val="24"/>
          <w:szCs w:val="24"/>
        </w:rPr>
      </w:pPr>
      <w:r>
        <w:rPr>
          <w:rStyle w:val="FootnoteReference"/>
        </w:rPr>
        <w:footnoteRef/>
      </w:r>
      <w:r>
        <w:t xml:space="preserve"> </w:t>
      </w:r>
      <w:r>
        <w:rPr>
          <w:rFonts w:cstheme="minorHAnsi"/>
          <w:sz w:val="20"/>
          <w:szCs w:val="20"/>
        </w:rPr>
        <w:t>Srivastava, p.7</w:t>
      </w:r>
    </w:p>
    <w:p w14:paraId="4049ED01" w14:textId="77777777" w:rsidR="0025722F" w:rsidRDefault="0025722F" w:rsidP="0025722F">
      <w:pPr>
        <w:pStyle w:val="FootnoteText"/>
      </w:pPr>
    </w:p>
  </w:footnote>
  <w:footnote w:id="59">
    <w:p w14:paraId="6F160CE9" w14:textId="77777777" w:rsidR="0025722F" w:rsidRPr="00256DB9" w:rsidRDefault="0025722F" w:rsidP="0025722F">
      <w:pPr>
        <w:pStyle w:val="FootnoteText"/>
      </w:pPr>
      <w:r>
        <w:rPr>
          <w:rStyle w:val="FootnoteReference"/>
        </w:rPr>
        <w:footnoteRef/>
      </w:r>
      <w:r>
        <w:t xml:space="preserve"> </w:t>
      </w:r>
      <w:bookmarkStart w:id="18" w:name="_Hlk14190472"/>
      <w:r>
        <w:t xml:space="preserve">Benedict O </w:t>
      </w:r>
      <w:r>
        <w:t xml:space="preserve">Ushedo, ‘Unloading Guilt: The Innocent Victim as Illustrated by James Baldwin and Rene Girard’, </w:t>
      </w:r>
      <w:r>
        <w:rPr>
          <w:i/>
          <w:iCs/>
        </w:rPr>
        <w:t>The Journal of Religious Thoughts</w:t>
      </w:r>
      <w:r>
        <w:t xml:space="preserve"> (2001) </w:t>
      </w:r>
      <w:bookmarkEnd w:id="18"/>
      <w:r>
        <w:t>133</w:t>
      </w:r>
    </w:p>
  </w:footnote>
  <w:footnote w:id="60">
    <w:p w14:paraId="3BFA46C6" w14:textId="77777777" w:rsidR="0025722F" w:rsidRPr="00391E8F" w:rsidRDefault="0025722F" w:rsidP="0025722F">
      <w:pPr>
        <w:pStyle w:val="FootnoteText"/>
      </w:pPr>
      <w:r>
        <w:rPr>
          <w:rStyle w:val="FootnoteReference"/>
        </w:rPr>
        <w:footnoteRef/>
      </w:r>
      <w:r>
        <w:t xml:space="preserve"> Leo D. Lefebure, ‘Beyond Scapegoating: A Conversation with Rene Girard and Ewert Cousins’, </w:t>
      </w:r>
      <w:r>
        <w:rPr>
          <w:i/>
          <w:iCs/>
        </w:rPr>
        <w:t>Christian Century</w:t>
      </w:r>
      <w:r>
        <w:t xml:space="preserve"> (April 8, 1998), 372</w:t>
      </w:r>
    </w:p>
  </w:footnote>
  <w:footnote w:id="61">
    <w:p w14:paraId="0B79E4C9" w14:textId="77777777" w:rsidR="0025722F" w:rsidRDefault="0025722F" w:rsidP="0025722F">
      <w:pPr>
        <w:pStyle w:val="FootnoteText"/>
      </w:pPr>
      <w:r>
        <w:rPr>
          <w:rStyle w:val="FootnoteReference"/>
        </w:rPr>
        <w:footnoteRef/>
      </w:r>
      <w:r>
        <w:t xml:space="preserve"> ? Evans</w:t>
      </w:r>
    </w:p>
  </w:footnote>
  <w:footnote w:id="62">
    <w:p w14:paraId="5E4AB81A" w14:textId="77777777" w:rsidR="0025722F" w:rsidRPr="00ED4B23" w:rsidRDefault="0025722F" w:rsidP="0025722F">
      <w:pPr>
        <w:spacing w:line="240" w:lineRule="auto"/>
        <w:rPr>
          <w:rFonts w:ascii="Arial" w:hAnsi="Arial" w:cs="Arial"/>
          <w:sz w:val="20"/>
          <w:szCs w:val="20"/>
        </w:rPr>
      </w:pPr>
      <w:r>
        <w:rPr>
          <w:rStyle w:val="FootnoteReference"/>
        </w:rPr>
        <w:footnoteRef/>
      </w:r>
      <w:r>
        <w:t xml:space="preserve"> Rene </w:t>
      </w:r>
      <w:r w:rsidRPr="00ED4B23">
        <w:rPr>
          <w:rFonts w:cstheme="minorHAnsi"/>
          <w:sz w:val="20"/>
          <w:szCs w:val="20"/>
        </w:rPr>
        <w:t xml:space="preserve">Girard, </w:t>
      </w:r>
      <w:r w:rsidRPr="00ED4B23">
        <w:rPr>
          <w:rFonts w:cstheme="minorHAnsi"/>
          <w:i/>
          <w:iCs/>
          <w:sz w:val="20"/>
          <w:szCs w:val="20"/>
        </w:rPr>
        <w:t>Violence and the Sacred</w:t>
      </w:r>
      <w:r w:rsidRPr="00ED4B23">
        <w:rPr>
          <w:rFonts w:cstheme="minorHAnsi"/>
          <w:sz w:val="20"/>
          <w:szCs w:val="20"/>
        </w:rPr>
        <w:t xml:space="preserve"> (London: The John Hopkins University Press, 1972 (1977 English Translation))</w:t>
      </w:r>
      <w:r>
        <w:rPr>
          <w:rFonts w:cstheme="minorHAnsi"/>
          <w:sz w:val="20"/>
          <w:szCs w:val="20"/>
        </w:rPr>
        <w:t>, p. 273. Girard describes it as ‘the ritual performance[s]…cathartic value’</w:t>
      </w:r>
    </w:p>
  </w:footnote>
  <w:footnote w:id="63">
    <w:p w14:paraId="7385A96A" w14:textId="77777777" w:rsidR="0025722F" w:rsidRPr="00ED4B23" w:rsidRDefault="0025722F" w:rsidP="0025722F">
      <w:pPr>
        <w:spacing w:line="240" w:lineRule="auto"/>
        <w:rPr>
          <w:rFonts w:ascii="Arial" w:hAnsi="Arial" w:cs="Arial"/>
          <w:sz w:val="20"/>
          <w:szCs w:val="20"/>
        </w:rPr>
      </w:pPr>
      <w:r w:rsidRPr="00ED4B23">
        <w:rPr>
          <w:rStyle w:val="FootnoteReference"/>
          <w:sz w:val="20"/>
          <w:szCs w:val="20"/>
        </w:rPr>
        <w:footnoteRef/>
      </w:r>
      <w:r w:rsidRPr="00ED4B23">
        <w:rPr>
          <w:sz w:val="20"/>
          <w:szCs w:val="20"/>
        </w:rPr>
        <w:t xml:space="preserve"> Rene Girard, </w:t>
      </w:r>
      <w:r w:rsidRPr="00ED4B23">
        <w:rPr>
          <w:rFonts w:cstheme="minorHAnsi"/>
          <w:i/>
          <w:iCs/>
          <w:sz w:val="20"/>
          <w:szCs w:val="20"/>
        </w:rPr>
        <w:t>Things Hidden Since the Foundation of the World</w:t>
      </w:r>
      <w:r w:rsidRPr="00ED4B23">
        <w:rPr>
          <w:rFonts w:cstheme="minorHAnsi"/>
          <w:sz w:val="20"/>
          <w:szCs w:val="20"/>
        </w:rPr>
        <w:t xml:space="preserve"> (London: The Athlone Press, 1978 (1987 English Translation)), p. 148</w:t>
      </w:r>
    </w:p>
  </w:footnote>
  <w:footnote w:id="64">
    <w:p w14:paraId="69C13DE4" w14:textId="77777777" w:rsidR="0025722F" w:rsidRPr="00ED4B23" w:rsidRDefault="0025722F" w:rsidP="0025722F">
      <w:pPr>
        <w:pStyle w:val="FootnoteText"/>
      </w:pPr>
      <w:r w:rsidRPr="00ED4B23">
        <w:rPr>
          <w:rStyle w:val="FootnoteReference"/>
        </w:rPr>
        <w:footnoteRef/>
      </w:r>
      <w:r w:rsidRPr="00ED4B23">
        <w:t xml:space="preserve"> </w:t>
      </w:r>
      <w:bookmarkStart w:id="19" w:name="_Hlk14188924"/>
      <w:r w:rsidRPr="00ED4B23">
        <w:t xml:space="preserve">Leo D Lefebure, ‘Victims, Violence and the Sacred: The Thought of Rene Girard, </w:t>
      </w:r>
      <w:r w:rsidRPr="00ED4B23">
        <w:rPr>
          <w:i/>
          <w:iCs/>
        </w:rPr>
        <w:t>The Christian Century</w:t>
      </w:r>
      <w:r w:rsidRPr="00ED4B23">
        <w:t xml:space="preserve">, (Dec 11, 1996) </w:t>
      </w:r>
      <w:bookmarkEnd w:id="19"/>
      <w:r w:rsidRPr="00ED4B23">
        <w:t xml:space="preserve">1227.  </w:t>
      </w:r>
      <w:bookmarkStart w:id="20" w:name="_Hlk14190208"/>
      <w:r w:rsidRPr="00ED4B23">
        <w:t xml:space="preserve">Andrew Marr, ‘Violence and the Kingdom of God: Introducing the Anthropology of Rene Girard’, </w:t>
      </w:r>
      <w:r w:rsidRPr="00ED4B23">
        <w:rPr>
          <w:i/>
          <w:iCs/>
        </w:rPr>
        <w:t>Anglican Theological Review</w:t>
      </w:r>
      <w:r w:rsidRPr="00ED4B23">
        <w:t xml:space="preserve">, (no date) </w:t>
      </w:r>
      <w:bookmarkEnd w:id="20"/>
      <w:r w:rsidRPr="00ED4B23">
        <w:t xml:space="preserve">591 puts it another way: ‘In order for collective violence to stabilize a society, it is essential that </w:t>
      </w:r>
      <w:r w:rsidRPr="00ED4B23">
        <w:rPr>
          <w:i/>
          <w:iCs/>
        </w:rPr>
        <w:t>nobody</w:t>
      </w:r>
      <w:r w:rsidRPr="00ED4B23">
        <w:t xml:space="preserve"> suffer a moral hangover as a result of the event.</w:t>
      </w:r>
      <w:r>
        <w:t xml:space="preserve"> And Girard</w:t>
      </w:r>
      <w:r w:rsidRPr="00ED4B23">
        <w:t>, p.170</w:t>
      </w:r>
      <w:r>
        <w:t>.</w:t>
      </w:r>
    </w:p>
  </w:footnote>
  <w:footnote w:id="65">
    <w:p w14:paraId="357053BB" w14:textId="77777777" w:rsidR="0025722F" w:rsidRPr="00ED4B23" w:rsidRDefault="0025722F" w:rsidP="0025722F">
      <w:pPr>
        <w:pStyle w:val="FootnoteText"/>
      </w:pPr>
      <w:r w:rsidRPr="00ED4B23">
        <w:rPr>
          <w:rStyle w:val="FootnoteReference"/>
        </w:rPr>
        <w:footnoteRef/>
      </w:r>
      <w:r w:rsidRPr="00ED4B23">
        <w:t xml:space="preserve"> Leo D. Lefebure, ‘Beyond Scapegoating: A Conversation with Rene Girard and Ewert Cousins’, </w:t>
      </w:r>
      <w:r w:rsidRPr="00ED4B23">
        <w:rPr>
          <w:i/>
          <w:iCs/>
        </w:rPr>
        <w:t>Christian Century</w:t>
      </w:r>
      <w:r w:rsidRPr="00ED4B23">
        <w:t xml:space="preserve"> (April 1998), 372 and 373 </w:t>
      </w:r>
    </w:p>
  </w:footnote>
  <w:footnote w:id="66">
    <w:p w14:paraId="31490919" w14:textId="77777777" w:rsidR="0025722F" w:rsidRPr="004953F0" w:rsidRDefault="0025722F" w:rsidP="0025722F">
      <w:pPr>
        <w:pStyle w:val="FootnoteText"/>
      </w:pPr>
      <w:r>
        <w:rPr>
          <w:rStyle w:val="FootnoteReference"/>
        </w:rPr>
        <w:footnoteRef/>
      </w:r>
      <w:r>
        <w:t xml:space="preserve"> </w:t>
      </w:r>
      <w:r w:rsidRPr="004953F0">
        <w:t xml:space="preserve">Girard, </w:t>
      </w:r>
      <w:r w:rsidRPr="004953F0">
        <w:rPr>
          <w:i/>
          <w:iCs/>
        </w:rPr>
        <w:t>Violence</w:t>
      </w:r>
      <w:r w:rsidRPr="004953F0">
        <w:t>, pp. 272-73</w:t>
      </w:r>
    </w:p>
  </w:footnote>
  <w:footnote w:id="67">
    <w:p w14:paraId="59EEC797" w14:textId="77777777" w:rsidR="0025722F" w:rsidRDefault="0025722F" w:rsidP="0025722F">
      <w:pPr>
        <w:pStyle w:val="FootnoteText"/>
      </w:pPr>
      <w:r>
        <w:rPr>
          <w:rStyle w:val="FootnoteReference"/>
        </w:rPr>
        <w:footnoteRef/>
      </w:r>
      <w:r>
        <w:t xml:space="preserve"> Ibid., p. 160-61</w:t>
      </w:r>
    </w:p>
  </w:footnote>
  <w:footnote w:id="68">
    <w:p w14:paraId="386BDEF2" w14:textId="77777777" w:rsidR="0025722F" w:rsidRDefault="0025722F" w:rsidP="0025722F">
      <w:pPr>
        <w:pStyle w:val="FootnoteText"/>
      </w:pPr>
      <w:r>
        <w:rPr>
          <w:rStyle w:val="FootnoteReference"/>
        </w:rPr>
        <w:footnoteRef/>
      </w:r>
      <w:r>
        <w:t xml:space="preserve"> Ibid., p. 271</w:t>
      </w:r>
    </w:p>
  </w:footnote>
  <w:footnote w:id="69">
    <w:p w14:paraId="1D54C3C1" w14:textId="77777777" w:rsidR="0025722F" w:rsidRDefault="0025722F" w:rsidP="0025722F">
      <w:pPr>
        <w:pStyle w:val="FootnoteText"/>
      </w:pPr>
      <w:r>
        <w:rPr>
          <w:rStyle w:val="FootnoteReference"/>
        </w:rPr>
        <w:footnoteRef/>
      </w:r>
      <w:r>
        <w:t xml:space="preserve"> Ibid., p. 272</w:t>
      </w:r>
    </w:p>
  </w:footnote>
  <w:footnote w:id="70">
    <w:p w14:paraId="57E694C9" w14:textId="77777777" w:rsidR="0025722F" w:rsidRDefault="0025722F" w:rsidP="0025722F">
      <w:pPr>
        <w:pStyle w:val="FootnoteText"/>
      </w:pPr>
      <w:r>
        <w:rPr>
          <w:rStyle w:val="FootnoteReference"/>
        </w:rPr>
        <w:footnoteRef/>
      </w:r>
      <w:r>
        <w:t xml:space="preserve"> Allie Terry-Fritsch, </w:t>
      </w:r>
      <w:bookmarkStart w:id="21" w:name="_Hlk14292467"/>
      <w:r>
        <w:t xml:space="preserve">Heather Graham and Lauren G. Kilroy-Ewbank, eds., </w:t>
      </w:r>
      <w:r>
        <w:rPr>
          <w:i/>
          <w:iCs/>
        </w:rPr>
        <w:t>Visualizing Sensuous Suffering and Affective Pain in Early Modern Europe and the Spanish Americas</w:t>
      </w:r>
      <w:r>
        <w:t xml:space="preserve">, Chapter 2 </w:t>
      </w:r>
      <w:proofErr w:type="gramStart"/>
      <w:r>
        <w:t>‘ Animal</w:t>
      </w:r>
      <w:proofErr w:type="gramEnd"/>
      <w:r>
        <w:t xml:space="preserve"> Trials, Humiliation Rituals, and the Sensuous Suffering of Criminal Offenders in Late Medieval and Early Modern Europe (</w:t>
      </w:r>
      <w:proofErr w:type="spellStart"/>
      <w:r>
        <w:t>Boston:Brill</w:t>
      </w:r>
      <w:proofErr w:type="spellEnd"/>
      <w:r>
        <w:t>, 2018)</w:t>
      </w:r>
      <w:bookmarkEnd w:id="21"/>
      <w:r>
        <w:t xml:space="preserve"> p.70</w:t>
      </w:r>
    </w:p>
  </w:footnote>
  <w:footnote w:id="71">
    <w:p w14:paraId="43E6BC69" w14:textId="77777777" w:rsidR="0025722F" w:rsidRDefault="0025722F" w:rsidP="0025722F">
      <w:pPr>
        <w:pStyle w:val="FootnoteText"/>
      </w:pPr>
      <w:r>
        <w:rPr>
          <w:rStyle w:val="FootnoteReference"/>
        </w:rPr>
        <w:footnoteRef/>
      </w:r>
      <w:r>
        <w:t xml:space="preserve"> Ibid., p. 55</w:t>
      </w:r>
    </w:p>
  </w:footnote>
  <w:footnote w:id="72">
    <w:p w14:paraId="05D6D660" w14:textId="77777777" w:rsidR="0025722F" w:rsidRDefault="0025722F" w:rsidP="0025722F">
      <w:pPr>
        <w:pStyle w:val="FootnoteText"/>
      </w:pPr>
      <w:r>
        <w:rPr>
          <w:rStyle w:val="FootnoteReference"/>
        </w:rPr>
        <w:footnoteRef/>
      </w:r>
      <w:r>
        <w:t xml:space="preserve"> Ibid., p. 66</w:t>
      </w:r>
    </w:p>
  </w:footnote>
  <w:footnote w:id="73">
    <w:p w14:paraId="1DEAC644" w14:textId="77777777" w:rsidR="0025722F" w:rsidRDefault="0025722F" w:rsidP="0025722F">
      <w:pPr>
        <w:pStyle w:val="FootnoteText"/>
      </w:pPr>
      <w:r>
        <w:rPr>
          <w:rStyle w:val="FootnoteReference"/>
        </w:rPr>
        <w:footnoteRef/>
      </w:r>
      <w:r>
        <w:t xml:space="preserve"> Ibid., p.68-69</w:t>
      </w:r>
    </w:p>
  </w:footnote>
  <w:footnote w:id="74">
    <w:p w14:paraId="52C4EAAE" w14:textId="77777777" w:rsidR="0025722F" w:rsidRPr="00BF0011" w:rsidRDefault="0025722F" w:rsidP="0025722F">
      <w:pPr>
        <w:spacing w:line="240" w:lineRule="auto"/>
        <w:rPr>
          <w:rFonts w:eastAsia="Times New Roman" w:cstheme="minorHAnsi"/>
          <w:color w:val="000000"/>
          <w:lang w:eastAsia="en-GB"/>
        </w:rPr>
      </w:pPr>
      <w:r>
        <w:rPr>
          <w:rStyle w:val="FootnoteReference"/>
        </w:rPr>
        <w:footnoteRef/>
      </w:r>
      <w:r>
        <w:t xml:space="preserve"> </w:t>
      </w:r>
      <w:r w:rsidRPr="00BF0011">
        <w:rPr>
          <w:rFonts w:cstheme="minorHAnsi"/>
          <w:sz w:val="20"/>
          <w:szCs w:val="20"/>
        </w:rPr>
        <w:t xml:space="preserve">Beryl Rowland, </w:t>
      </w:r>
      <w:r w:rsidRPr="00BF0011">
        <w:rPr>
          <w:rFonts w:cstheme="minorHAnsi"/>
          <w:i/>
          <w:iCs/>
          <w:sz w:val="20"/>
          <w:szCs w:val="20"/>
        </w:rPr>
        <w:t>Animals with Human Faces</w:t>
      </w:r>
      <w:r w:rsidRPr="00BF0011">
        <w:rPr>
          <w:rFonts w:cstheme="minorHAnsi"/>
          <w:sz w:val="20"/>
          <w:szCs w:val="20"/>
        </w:rPr>
        <w:t xml:space="preserve"> (Knoxville: University of Tennessee Press, 1973)</w:t>
      </w:r>
      <w:r>
        <w:rPr>
          <w:rFonts w:cstheme="minorHAnsi"/>
          <w:sz w:val="20"/>
          <w:szCs w:val="20"/>
        </w:rPr>
        <w:t xml:space="preserve"> p</w:t>
      </w:r>
      <w:r>
        <w:t>.</w:t>
      </w:r>
      <w:r w:rsidRPr="00BF0011">
        <w:rPr>
          <w:sz w:val="20"/>
          <w:szCs w:val="20"/>
        </w:rPr>
        <w:t>38</w:t>
      </w:r>
    </w:p>
  </w:footnote>
  <w:footnote w:id="75">
    <w:p w14:paraId="676BF617" w14:textId="77777777" w:rsidR="0025722F" w:rsidRDefault="0025722F" w:rsidP="0025722F">
      <w:pPr>
        <w:pStyle w:val="FootnoteText"/>
      </w:pPr>
      <w:r>
        <w:rPr>
          <w:rStyle w:val="FootnoteReference"/>
        </w:rPr>
        <w:footnoteRef/>
      </w:r>
      <w:r>
        <w:t xml:space="preserve"> See Terry-Fritsch, p.67</w:t>
      </w:r>
    </w:p>
  </w:footnote>
  <w:footnote w:id="76">
    <w:p w14:paraId="33CCCB3D" w14:textId="77777777" w:rsidR="0025722F" w:rsidRPr="000B4B99" w:rsidRDefault="0025722F" w:rsidP="0025722F">
      <w:pPr>
        <w:pStyle w:val="FootnoteText"/>
        <w:rPr>
          <w:rFonts w:cstheme="minorHAnsi"/>
        </w:rPr>
      </w:pPr>
      <w:r>
        <w:rPr>
          <w:rStyle w:val="FootnoteReference"/>
        </w:rPr>
        <w:footnoteRef/>
      </w:r>
      <w:r>
        <w:t xml:space="preserve"> </w:t>
      </w:r>
      <w:r w:rsidRPr="000B4B99">
        <w:rPr>
          <w:rFonts w:cstheme="minorHAnsi"/>
        </w:rPr>
        <w:t xml:space="preserve">Lee Patterson, ‘The Miller’s Tale and the Politics of Laughter’, in </w:t>
      </w:r>
      <w:r w:rsidRPr="000B4B99">
        <w:rPr>
          <w:rFonts w:cstheme="minorHAnsi"/>
          <w:i/>
        </w:rPr>
        <w:t>Chaucer and the Subject of History</w:t>
      </w:r>
      <w:r w:rsidRPr="000B4B99">
        <w:rPr>
          <w:rFonts w:cstheme="minorHAnsi"/>
        </w:rPr>
        <w:t>, chapter.5, (London: Routledge 1991).</w:t>
      </w:r>
      <w:r>
        <w:rPr>
          <w:rFonts w:cstheme="minorHAnsi"/>
        </w:rPr>
        <w:t xml:space="preserve"> P.266</w:t>
      </w:r>
    </w:p>
  </w:footnote>
  <w:footnote w:id="77">
    <w:p w14:paraId="529DB8CD" w14:textId="77777777" w:rsidR="0025722F" w:rsidRPr="00D467D3" w:rsidRDefault="0025722F" w:rsidP="0025722F">
      <w:pPr>
        <w:spacing w:line="240" w:lineRule="auto"/>
        <w:rPr>
          <w:rFonts w:ascii="Arial" w:hAnsi="Arial" w:cs="Arial"/>
          <w:sz w:val="20"/>
          <w:szCs w:val="20"/>
        </w:rPr>
      </w:pPr>
      <w:r>
        <w:rPr>
          <w:rStyle w:val="FootnoteReference"/>
        </w:rPr>
        <w:footnoteRef/>
      </w:r>
      <w:r>
        <w:t xml:space="preserve"> </w:t>
      </w:r>
      <w:r w:rsidRPr="00D467D3">
        <w:rPr>
          <w:sz w:val="20"/>
          <w:szCs w:val="20"/>
        </w:rPr>
        <w:t>This bestialised and demonised group were both members of the third estate and the body of artisans, merchants and clerks, who had risen in their estate but not quite joined another estate, since this was inconceivable in Medieval society. Gower reduces them to peasantry for the sake of his arguments. They are accused of mindless violence and greed, as you would expect from those named ‘pig’, but in fact they were under incredibly straightened circumstances. A</w:t>
      </w:r>
      <w:r w:rsidRPr="00D467D3">
        <w:rPr>
          <w:rFonts w:cstheme="minorHAnsi"/>
          <w:sz w:val="20"/>
          <w:szCs w:val="20"/>
        </w:rPr>
        <w:t xml:space="preserve">s Watts notes, ‘the new taxation of the 1370s and the poll taxes of 1377-81’ (believed to be raised for ‘a coven of traitors around the King’) led to the 1381 Uprising. </w:t>
      </w:r>
      <w:bookmarkStart w:id="22" w:name="_Hlk14450161"/>
      <w:r w:rsidRPr="00D467D3">
        <w:rPr>
          <w:rFonts w:cstheme="minorHAnsi"/>
          <w:sz w:val="20"/>
          <w:szCs w:val="20"/>
        </w:rPr>
        <w:t xml:space="preserve">John Watts, </w:t>
      </w:r>
      <w:r w:rsidRPr="00D467D3">
        <w:rPr>
          <w:rFonts w:cstheme="minorHAnsi"/>
          <w:i/>
          <w:iCs/>
          <w:sz w:val="20"/>
          <w:szCs w:val="20"/>
        </w:rPr>
        <w:t>The making of Polities: Europe 1300-1500</w:t>
      </w:r>
      <w:r w:rsidRPr="00D467D3">
        <w:rPr>
          <w:rFonts w:cstheme="minorHAnsi"/>
          <w:sz w:val="20"/>
          <w:szCs w:val="20"/>
        </w:rPr>
        <w:t xml:space="preserve"> (Cambridge: Cambridge University Press, 2009) </w:t>
      </w:r>
      <w:bookmarkEnd w:id="22"/>
      <w:r w:rsidRPr="00D467D3">
        <w:rPr>
          <w:rFonts w:cstheme="minorHAnsi"/>
          <w:sz w:val="20"/>
          <w:szCs w:val="20"/>
        </w:rPr>
        <w:t>p.276</w:t>
      </w:r>
    </w:p>
  </w:footnote>
  <w:footnote w:id="78">
    <w:p w14:paraId="07C781EB" w14:textId="77777777" w:rsidR="0025722F" w:rsidRDefault="0025722F" w:rsidP="0025722F">
      <w:pPr>
        <w:spacing w:line="240" w:lineRule="auto"/>
      </w:pPr>
      <w:r>
        <w:rPr>
          <w:rStyle w:val="FootnoteReference"/>
        </w:rPr>
        <w:footnoteRef/>
      </w:r>
      <w:r>
        <w:t xml:space="preserve"> </w:t>
      </w:r>
      <w:bookmarkStart w:id="23" w:name="_Hlk14450227"/>
      <w:r w:rsidRPr="00430B2A">
        <w:rPr>
          <w:rFonts w:cstheme="minorHAnsi"/>
          <w:sz w:val="20"/>
          <w:szCs w:val="20"/>
        </w:rPr>
        <w:t xml:space="preserve">Sarah Novak, ‘Braying Peasants and the Poet as Prophet: Gower and the People in the “Vox Clamantis”’, </w:t>
      </w:r>
      <w:r w:rsidRPr="00430B2A">
        <w:rPr>
          <w:rFonts w:cstheme="minorHAnsi"/>
          <w:i/>
          <w:iCs/>
          <w:sz w:val="20"/>
          <w:szCs w:val="20"/>
        </w:rPr>
        <w:t>Etudes Anglaises</w:t>
      </w:r>
      <w:r w:rsidRPr="00430B2A">
        <w:rPr>
          <w:rFonts w:cstheme="minorHAnsi"/>
          <w:sz w:val="20"/>
          <w:szCs w:val="20"/>
        </w:rPr>
        <w:t xml:space="preserve">, Vol. 66 (2013) &lt; </w:t>
      </w:r>
      <w:hyperlink r:id="rId18" w:history="1">
        <w:r w:rsidRPr="00430B2A">
          <w:rPr>
            <w:rStyle w:val="Hyperlink"/>
            <w:rFonts w:cstheme="minorHAnsi"/>
            <w:sz w:val="20"/>
            <w:szCs w:val="20"/>
          </w:rPr>
          <w:t>https://www.cairn.info/revue-etudes-anglaises-2013-3-page-311.htm#</w:t>
        </w:r>
      </w:hyperlink>
      <w:r w:rsidRPr="00430B2A">
        <w:rPr>
          <w:rFonts w:cstheme="minorHAnsi"/>
          <w:sz w:val="20"/>
          <w:szCs w:val="20"/>
        </w:rPr>
        <w:t>&gt;</w:t>
      </w:r>
      <w:r>
        <w:t xml:space="preserve"> </w:t>
      </w:r>
    </w:p>
    <w:bookmarkEnd w:id="23"/>
  </w:footnote>
  <w:footnote w:id="79">
    <w:p w14:paraId="0BCFC800" w14:textId="77777777" w:rsidR="0025722F" w:rsidRDefault="0025722F" w:rsidP="0025722F">
      <w:pPr>
        <w:pStyle w:val="FootnoteText"/>
      </w:pPr>
      <w:r>
        <w:rPr>
          <w:rStyle w:val="FootnoteReference"/>
        </w:rPr>
        <w:footnoteRef/>
      </w:r>
      <w:r>
        <w:t xml:space="preserve"> Patterson, p.273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AwNDa0NDM0szQ1NTZV0lEKTi0uzszPAykwrAUAKFY2xywAAAA="/>
  </w:docVars>
  <w:rsids>
    <w:rsidRoot w:val="00C053EC"/>
    <w:rsid w:val="00017235"/>
    <w:rsid w:val="00083ECE"/>
    <w:rsid w:val="000C7E56"/>
    <w:rsid w:val="000D138D"/>
    <w:rsid w:val="000F004E"/>
    <w:rsid w:val="001238BA"/>
    <w:rsid w:val="001421A0"/>
    <w:rsid w:val="00197875"/>
    <w:rsid w:val="001B5B38"/>
    <w:rsid w:val="001F14E0"/>
    <w:rsid w:val="0025722F"/>
    <w:rsid w:val="002D72CE"/>
    <w:rsid w:val="002E79A1"/>
    <w:rsid w:val="00326614"/>
    <w:rsid w:val="003B0D5A"/>
    <w:rsid w:val="003D2993"/>
    <w:rsid w:val="00403C72"/>
    <w:rsid w:val="004177D0"/>
    <w:rsid w:val="00490213"/>
    <w:rsid w:val="004A6B2F"/>
    <w:rsid w:val="004D1FD0"/>
    <w:rsid w:val="004D350C"/>
    <w:rsid w:val="00555E94"/>
    <w:rsid w:val="005A49A7"/>
    <w:rsid w:val="0060544E"/>
    <w:rsid w:val="0061141C"/>
    <w:rsid w:val="0068596A"/>
    <w:rsid w:val="006C75A5"/>
    <w:rsid w:val="006D61DD"/>
    <w:rsid w:val="006F0E1B"/>
    <w:rsid w:val="00705D48"/>
    <w:rsid w:val="007549C2"/>
    <w:rsid w:val="007D71E6"/>
    <w:rsid w:val="007E0E01"/>
    <w:rsid w:val="008438AD"/>
    <w:rsid w:val="008754AF"/>
    <w:rsid w:val="008A4BC3"/>
    <w:rsid w:val="009441B4"/>
    <w:rsid w:val="00945121"/>
    <w:rsid w:val="009B50AD"/>
    <w:rsid w:val="009E5978"/>
    <w:rsid w:val="009F19FF"/>
    <w:rsid w:val="00A5440D"/>
    <w:rsid w:val="00A75204"/>
    <w:rsid w:val="00AD625D"/>
    <w:rsid w:val="00B137EB"/>
    <w:rsid w:val="00BC3F2D"/>
    <w:rsid w:val="00BD1E00"/>
    <w:rsid w:val="00C02114"/>
    <w:rsid w:val="00C053EC"/>
    <w:rsid w:val="00C20746"/>
    <w:rsid w:val="00C42F9D"/>
    <w:rsid w:val="00CA4031"/>
    <w:rsid w:val="00CC2C66"/>
    <w:rsid w:val="00D0771B"/>
    <w:rsid w:val="00D52654"/>
    <w:rsid w:val="00E70430"/>
    <w:rsid w:val="00E80C65"/>
    <w:rsid w:val="00EA6BB9"/>
    <w:rsid w:val="00F1476A"/>
    <w:rsid w:val="00F618AE"/>
    <w:rsid w:val="00F82F27"/>
    <w:rsid w:val="00F957A8"/>
    <w:rsid w:val="00FB12D9"/>
    <w:rsid w:val="00FB5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90D39C7"/>
  <w15:chartTrackingRefBased/>
  <w15:docId w15:val="{0BB70539-B8ED-4F5C-9040-BE55CC2C4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722F"/>
  </w:style>
  <w:style w:type="paragraph" w:styleId="Heading1">
    <w:name w:val="heading 1"/>
    <w:basedOn w:val="Normal"/>
    <w:link w:val="Heading1Char"/>
    <w:uiPriority w:val="9"/>
    <w:qFormat/>
    <w:rsid w:val="0025722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572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572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22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25722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5722F"/>
    <w:rPr>
      <w:rFonts w:asciiTheme="majorHAnsi" w:eastAsiaTheme="majorEastAsia" w:hAnsiTheme="majorHAnsi" w:cstheme="majorBidi"/>
      <w:color w:val="1F3763" w:themeColor="accent1" w:themeShade="7F"/>
      <w:sz w:val="24"/>
      <w:szCs w:val="24"/>
    </w:rPr>
  </w:style>
  <w:style w:type="character" w:customStyle="1" w:styleId="BalloonTextChar">
    <w:name w:val="Balloon Text Char"/>
    <w:basedOn w:val="DefaultParagraphFont"/>
    <w:link w:val="BalloonText"/>
    <w:uiPriority w:val="99"/>
    <w:semiHidden/>
    <w:rsid w:val="0025722F"/>
    <w:rPr>
      <w:rFonts w:ascii="Segoe UI" w:hAnsi="Segoe UI" w:cs="Segoe UI"/>
      <w:sz w:val="18"/>
      <w:szCs w:val="18"/>
    </w:rPr>
  </w:style>
  <w:style w:type="paragraph" w:styleId="BalloonText">
    <w:name w:val="Balloon Text"/>
    <w:basedOn w:val="Normal"/>
    <w:link w:val="BalloonTextChar"/>
    <w:uiPriority w:val="99"/>
    <w:semiHidden/>
    <w:unhideWhenUsed/>
    <w:rsid w:val="0025722F"/>
    <w:pPr>
      <w:spacing w:after="0" w:line="240" w:lineRule="auto"/>
    </w:pPr>
    <w:rPr>
      <w:rFonts w:ascii="Segoe UI" w:hAnsi="Segoe UI" w:cs="Segoe UI"/>
      <w:sz w:val="18"/>
      <w:szCs w:val="18"/>
    </w:rPr>
  </w:style>
  <w:style w:type="character" w:customStyle="1" w:styleId="BalloonTextChar1">
    <w:name w:val="Balloon Text Char1"/>
    <w:basedOn w:val="DefaultParagraphFont"/>
    <w:uiPriority w:val="99"/>
    <w:semiHidden/>
    <w:rsid w:val="0025722F"/>
    <w:rPr>
      <w:rFonts w:ascii="Segoe UI" w:hAnsi="Segoe UI" w:cs="Segoe UI"/>
      <w:sz w:val="18"/>
      <w:szCs w:val="18"/>
    </w:rPr>
  </w:style>
  <w:style w:type="character" w:customStyle="1" w:styleId="FootnoteTextChar">
    <w:name w:val="Footnote Text Char"/>
    <w:basedOn w:val="DefaultParagraphFont"/>
    <w:link w:val="FootnoteText"/>
    <w:uiPriority w:val="99"/>
    <w:semiHidden/>
    <w:rsid w:val="0025722F"/>
    <w:rPr>
      <w:sz w:val="20"/>
      <w:szCs w:val="20"/>
    </w:rPr>
  </w:style>
  <w:style w:type="paragraph" w:styleId="FootnoteText">
    <w:name w:val="footnote text"/>
    <w:basedOn w:val="Normal"/>
    <w:link w:val="FootnoteTextChar"/>
    <w:uiPriority w:val="99"/>
    <w:semiHidden/>
    <w:unhideWhenUsed/>
    <w:rsid w:val="0025722F"/>
    <w:pPr>
      <w:spacing w:after="0" w:line="240" w:lineRule="auto"/>
    </w:pPr>
    <w:rPr>
      <w:sz w:val="20"/>
      <w:szCs w:val="20"/>
    </w:rPr>
  </w:style>
  <w:style w:type="character" w:customStyle="1" w:styleId="FootnoteTextChar1">
    <w:name w:val="Footnote Text Char1"/>
    <w:basedOn w:val="DefaultParagraphFont"/>
    <w:uiPriority w:val="99"/>
    <w:semiHidden/>
    <w:rsid w:val="0025722F"/>
    <w:rPr>
      <w:sz w:val="20"/>
      <w:szCs w:val="20"/>
    </w:rPr>
  </w:style>
  <w:style w:type="character" w:styleId="FollowedHyperlink">
    <w:name w:val="FollowedHyperlink"/>
    <w:basedOn w:val="DefaultParagraphFont"/>
    <w:uiPriority w:val="99"/>
    <w:semiHidden/>
    <w:unhideWhenUsed/>
    <w:rsid w:val="0025722F"/>
    <w:rPr>
      <w:color w:val="954F72" w:themeColor="followedHyperlink"/>
      <w:u w:val="single"/>
    </w:rPr>
  </w:style>
  <w:style w:type="character" w:styleId="UnresolvedMention">
    <w:name w:val="Unresolved Mention"/>
    <w:basedOn w:val="DefaultParagraphFont"/>
    <w:uiPriority w:val="99"/>
    <w:semiHidden/>
    <w:unhideWhenUsed/>
    <w:rsid w:val="0025722F"/>
    <w:rPr>
      <w:color w:val="605E5C"/>
      <w:shd w:val="clear" w:color="auto" w:fill="E1DFDD"/>
    </w:rPr>
  </w:style>
  <w:style w:type="character" w:styleId="FootnoteReference">
    <w:name w:val="footnote reference"/>
    <w:basedOn w:val="DefaultParagraphFont"/>
    <w:uiPriority w:val="99"/>
    <w:semiHidden/>
    <w:unhideWhenUsed/>
    <w:rsid w:val="0025722F"/>
    <w:rPr>
      <w:vertAlign w:val="superscript"/>
    </w:rPr>
  </w:style>
  <w:style w:type="character" w:styleId="Hyperlink">
    <w:name w:val="Hyperlink"/>
    <w:basedOn w:val="DefaultParagraphFont"/>
    <w:uiPriority w:val="99"/>
    <w:unhideWhenUsed/>
    <w:rsid w:val="0025722F"/>
    <w:rPr>
      <w:color w:val="0000FF"/>
      <w:u w:val="single"/>
    </w:rPr>
  </w:style>
  <w:style w:type="character" w:styleId="Emphasis">
    <w:name w:val="Emphasis"/>
    <w:basedOn w:val="DefaultParagraphFont"/>
    <w:uiPriority w:val="20"/>
    <w:qFormat/>
    <w:rsid w:val="0025722F"/>
    <w:rPr>
      <w:i/>
      <w:iCs/>
    </w:rPr>
  </w:style>
  <w:style w:type="paragraph" w:styleId="Header">
    <w:name w:val="header"/>
    <w:basedOn w:val="Normal"/>
    <w:link w:val="HeaderChar"/>
    <w:uiPriority w:val="99"/>
    <w:unhideWhenUsed/>
    <w:rsid w:val="009F1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9FF"/>
  </w:style>
  <w:style w:type="paragraph" w:styleId="Footer">
    <w:name w:val="footer"/>
    <w:basedOn w:val="Normal"/>
    <w:link w:val="FooterChar"/>
    <w:uiPriority w:val="99"/>
    <w:unhideWhenUsed/>
    <w:rsid w:val="009F1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9FF"/>
  </w:style>
  <w:style w:type="paragraph" w:styleId="NormalWeb">
    <w:name w:val="Normal (Web)"/>
    <w:basedOn w:val="Normal"/>
    <w:unhideWhenUsed/>
    <w:rsid w:val="006C75A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astmedicalhistory.co.uk/claudius-galen/" TargetMode="External"/><Relationship Id="rId13" Type="http://schemas.openxmlformats.org/officeDocument/2006/relationships/hyperlink" Target="https://www.researchgate.net/publication/328211768_Paleogenomics_of_Animal_Domestication" TargetMode="External"/><Relationship Id="rId18" Type="http://schemas.openxmlformats.org/officeDocument/2006/relationships/hyperlink" Target="https://www.academia.edu/2381368/Interpreting_the_Athenian_Thesmophoria" TargetMode="External"/><Relationship Id="rId3" Type="http://schemas.openxmlformats.org/officeDocument/2006/relationships/webSettings" Target="webSettings.xml"/><Relationship Id="rId21" Type="http://schemas.openxmlformats.org/officeDocument/2006/relationships/hyperlink" Target="https://www.whyislam.org/faqs/restrictions-in-islam/why-do-muslims-abstain-from-pork/" TargetMode="External"/><Relationship Id="rId7" Type="http://schemas.openxmlformats.org/officeDocument/2006/relationships/hyperlink" Target="https://repository.asu.edu/attachments/135098/content/Anderson_asu_0010N_13956.pdf" TargetMode="External"/><Relationship Id="rId12" Type="http://schemas.openxmlformats.org/officeDocument/2006/relationships/hyperlink" Target="https://core.ac.uk/download/pdf/145040888.pdf" TargetMode="External"/><Relationship Id="rId17" Type="http://schemas.openxmlformats.org/officeDocument/2006/relationships/hyperlink" Target="https://core.ac.uk/download/pdf/10687651.pdf?repositoryId=261" TargetMode="External"/><Relationship Id="rId2" Type="http://schemas.openxmlformats.org/officeDocument/2006/relationships/settings" Target="settings.xml"/><Relationship Id="rId16" Type="http://schemas.openxmlformats.org/officeDocument/2006/relationships/hyperlink" Target="http://leidenmedievalistsblog.nl/articles/royal-boar-prophecies-in-medieval-england" TargetMode="External"/><Relationship Id="rId20" Type="http://schemas.openxmlformats.org/officeDocument/2006/relationships/hyperlink" Target="http://meadhall.homestead.com/boarspigsandmyth.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artleby.com/196/113.html"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cairn.info/revue-etudes-anglaises-2013-3-page-311.htm" TargetMode="External"/><Relationship Id="rId23" Type="http://schemas.openxmlformats.org/officeDocument/2006/relationships/fontTable" Target="fontTable.xml"/><Relationship Id="rId10" Type="http://schemas.openxmlformats.org/officeDocument/2006/relationships/hyperlink" Target="https://ocw.mit.edu/courses/science-technology-and-society/sts-330-history-and-anthropology-of-medicine-and-biology-spring-2013/assignments/MITSTS_330S13_BolmModePigs.pdf%20" TargetMode="External"/><Relationship Id="rId19" Type="http://schemas.openxmlformats.org/officeDocument/2006/relationships/hyperlink" Target="https://www.terriwindling.com/blog/2016/02/sacred-pig.html" TargetMode="External"/><Relationship Id="rId4" Type="http://schemas.openxmlformats.org/officeDocument/2006/relationships/footnotes" Target="footnotes.xml"/><Relationship Id="rId9" Type="http://schemas.openxmlformats.org/officeDocument/2006/relationships/hyperlink" Target="https://link-springer-com.ezproxy.uwtsd.ac.uk/content/pdf/10.1007%2Fs10611-011-9291-8.pdf" TargetMode="External"/><Relationship Id="rId14" Type="http://schemas.openxmlformats.org/officeDocument/2006/relationships/hyperlink" Target="https://www.chabad.org/library/article_cdo/aid/2376474/jewish/Pigs-Judaism.htm" TargetMode="External"/><Relationship Id="rId22"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www.academia.edu/2381368/Interpreting_the_Athenian_Thesmophoria" TargetMode="External"/><Relationship Id="rId13" Type="http://schemas.openxmlformats.org/officeDocument/2006/relationships/hyperlink" Target="https://www.whyislam.org/faqs/restrictions-in-islam/why-do-muslims-abstain-from-pork/" TargetMode="External"/><Relationship Id="rId18" Type="http://schemas.openxmlformats.org/officeDocument/2006/relationships/hyperlink" Target="https://www.cairn.info/revue-etudes-anglaises-2013-3-page-311.htm" TargetMode="External"/><Relationship Id="rId3" Type="http://schemas.openxmlformats.org/officeDocument/2006/relationships/hyperlink" Target="https://repository.asu.edu/attachments/135098/content/Anderson_asu_0010N_13956.pdf" TargetMode="External"/><Relationship Id="rId7" Type="http://schemas.openxmlformats.org/officeDocument/2006/relationships/hyperlink" Target="https://core.ac.uk/download/pdf/10687651.pdf?repositoryId=261" TargetMode="External"/><Relationship Id="rId12" Type="http://schemas.openxmlformats.org/officeDocument/2006/relationships/hyperlink" Target="https://www.chabad.org/library/article_cdo/aid/2376474/jewish/Pigs-Judaism.htm" TargetMode="External"/><Relationship Id="rId17" Type="http://schemas.openxmlformats.org/officeDocument/2006/relationships/hyperlink" Target="https://link-springer-com.ezproxy.uwtsd.ac.uk/content/pdf/10.1007%2Fs10611-011-9291-8.pdf" TargetMode="External"/><Relationship Id="rId2" Type="http://schemas.openxmlformats.org/officeDocument/2006/relationships/hyperlink" Target="https://ocw.mit.edu/courses/science-technology-and-society/sts-330-history-and-anthropology-of-medicine-and-biology-spring-2013/assignments/MITSTS_330S13_BolmModePigs.pdf" TargetMode="External"/><Relationship Id="rId16" Type="http://schemas.openxmlformats.org/officeDocument/2006/relationships/hyperlink" Target="http://leidenmedievalistsblog.nl/articles/royal-boar-prophecies-in-medieval-england" TargetMode="External"/><Relationship Id="rId1" Type="http://schemas.openxmlformats.org/officeDocument/2006/relationships/hyperlink" Target="https://www.researchgate.net/publication/328211768_Paleogenomics_of_Animal_Domestication" TargetMode="External"/><Relationship Id="rId6" Type="http://schemas.openxmlformats.org/officeDocument/2006/relationships/hyperlink" Target="https://core.ac.uk/download/pdf/145040888.pdf" TargetMode="External"/><Relationship Id="rId11" Type="http://schemas.openxmlformats.org/officeDocument/2006/relationships/hyperlink" Target="http://meadhall.homestead.com/boarspigsandmyth.html" TargetMode="External"/><Relationship Id="rId5" Type="http://schemas.openxmlformats.org/officeDocument/2006/relationships/hyperlink" Target="https://en.wikipedia.org/wiki/Creirwy" TargetMode="External"/><Relationship Id="rId15" Type="http://schemas.openxmlformats.org/officeDocument/2006/relationships/hyperlink" Target="http://bestiary.ca/beasts/beast197.htm" TargetMode="External"/><Relationship Id="rId10" Type="http://schemas.openxmlformats.org/officeDocument/2006/relationships/hyperlink" Target="https://www.terriwindling.com/blog/2016/02/sacred-pig.html" TargetMode="External"/><Relationship Id="rId4" Type="http://schemas.openxmlformats.org/officeDocument/2006/relationships/hyperlink" Target="https://en.wikipedia.org/wiki/Ceridwen" TargetMode="External"/><Relationship Id="rId9" Type="http://schemas.openxmlformats.org/officeDocument/2006/relationships/hyperlink" Target="https://www.bartleby.com/196/113.html" TargetMode="External"/><Relationship Id="rId14" Type="http://schemas.openxmlformats.org/officeDocument/2006/relationships/hyperlink" Target="http://www.pastmedicalhistory.co.uk/claudius-ga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6773</Words>
  <Characters>35155</Characters>
  <Application>Microsoft Office Word</Application>
  <DocSecurity>0</DocSecurity>
  <Lines>524</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dc:creator>
  <cp:keywords/>
  <dc:description/>
  <cp:lastModifiedBy>Annie Thomas</cp:lastModifiedBy>
  <cp:revision>2</cp:revision>
  <dcterms:created xsi:type="dcterms:W3CDTF">2019-07-19T17:00:00Z</dcterms:created>
  <dcterms:modified xsi:type="dcterms:W3CDTF">2019-07-19T17:00:00Z</dcterms:modified>
</cp:coreProperties>
</file>