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1B612" w14:textId="2ECEB944" w:rsidR="006868C5" w:rsidRDefault="005D0A0C" w:rsidP="005D0A0C">
      <w:pPr>
        <w:jc w:val="center"/>
      </w:pPr>
      <w:bookmarkStart w:id="0" w:name="_Hlk152252491"/>
      <w:bookmarkStart w:id="1" w:name="_Hlk152252701"/>
      <w:bookmarkEnd w:id="0"/>
      <w:r>
        <w:rPr>
          <w:noProof/>
        </w:rPr>
        <w:drawing>
          <wp:inline distT="0" distB="0" distL="0" distR="0" wp14:anchorId="3E7BB1D0" wp14:editId="2A615A45">
            <wp:extent cx="2311400" cy="925857"/>
            <wp:effectExtent l="0" t="0" r="0" b="0"/>
            <wp:docPr id="1392438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438772" name="Picture 2"/>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313717" cy="926785"/>
                    </a:xfrm>
                    <a:prstGeom prst="rect">
                      <a:avLst/>
                    </a:prstGeom>
                    <a:noFill/>
                  </pic:spPr>
                </pic:pic>
              </a:graphicData>
            </a:graphic>
          </wp:inline>
        </w:drawing>
      </w:r>
    </w:p>
    <w:p w14:paraId="4BA6350D" w14:textId="424E1B46" w:rsidR="005D0A0C" w:rsidRDefault="005D0A0C" w:rsidP="005D0A0C">
      <w:pPr>
        <w:jc w:val="center"/>
      </w:pPr>
    </w:p>
    <w:p w14:paraId="49792751" w14:textId="43117770" w:rsidR="005D0A0C" w:rsidRPr="008772B4" w:rsidRDefault="008772B4" w:rsidP="008772B4">
      <w:pPr>
        <w:jc w:val="center"/>
        <w:rPr>
          <w:b/>
          <w:bCs/>
          <w:sz w:val="52"/>
          <w:szCs w:val="52"/>
        </w:rPr>
      </w:pPr>
      <w:r w:rsidRPr="008772B4">
        <w:rPr>
          <w:b/>
          <w:bCs/>
          <w:sz w:val="52"/>
          <w:szCs w:val="52"/>
        </w:rPr>
        <w:t>COMMUNITY ENGAGEMENT</w:t>
      </w:r>
    </w:p>
    <w:p w14:paraId="722A7DF6" w14:textId="632F2CF1" w:rsidR="005D0A0C" w:rsidRDefault="005D0A0C" w:rsidP="005D0A0C">
      <w:pPr>
        <w:jc w:val="center"/>
        <w:rPr>
          <w:b/>
          <w:bCs/>
          <w:sz w:val="36"/>
          <w:szCs w:val="36"/>
        </w:rPr>
      </w:pPr>
    </w:p>
    <w:p w14:paraId="3F6DF960" w14:textId="5D056358" w:rsidR="008772B4" w:rsidRDefault="008772B4" w:rsidP="008772B4">
      <w:pPr>
        <w:jc w:val="center"/>
        <w:rPr>
          <w:b/>
          <w:bCs/>
          <w:sz w:val="36"/>
          <w:szCs w:val="36"/>
        </w:rPr>
      </w:pPr>
      <w:r w:rsidRPr="005D0A0C">
        <w:rPr>
          <w:b/>
          <w:bCs/>
          <w:sz w:val="36"/>
          <w:szCs w:val="36"/>
        </w:rPr>
        <w:t xml:space="preserve">Part </w:t>
      </w:r>
      <w:r w:rsidR="00071615">
        <w:rPr>
          <w:b/>
          <w:bCs/>
          <w:sz w:val="36"/>
          <w:szCs w:val="36"/>
        </w:rPr>
        <w:t>1</w:t>
      </w:r>
    </w:p>
    <w:p w14:paraId="23DC0D04" w14:textId="4BEC28C5" w:rsidR="005D0A0C" w:rsidRDefault="005D0A0C" w:rsidP="005D0A0C">
      <w:pPr>
        <w:jc w:val="center"/>
        <w:rPr>
          <w:b/>
          <w:bCs/>
          <w:sz w:val="36"/>
          <w:szCs w:val="36"/>
        </w:rPr>
      </w:pPr>
    </w:p>
    <w:p w14:paraId="3DE4F0FF" w14:textId="77777777" w:rsidR="005D0A0C" w:rsidRPr="005D0A0C" w:rsidRDefault="005D0A0C" w:rsidP="005D0A0C">
      <w:pPr>
        <w:jc w:val="center"/>
        <w:rPr>
          <w:b/>
          <w:bCs/>
          <w:sz w:val="36"/>
          <w:szCs w:val="36"/>
        </w:rPr>
      </w:pPr>
    </w:p>
    <w:p w14:paraId="28BB2B06" w14:textId="7BF46F53" w:rsidR="005D0A0C" w:rsidRPr="005D0A0C" w:rsidRDefault="005D0A0C" w:rsidP="005D0A0C">
      <w:pPr>
        <w:jc w:val="center"/>
        <w:rPr>
          <w:sz w:val="36"/>
          <w:szCs w:val="36"/>
        </w:rPr>
      </w:pPr>
      <w:r w:rsidRPr="005D0A0C">
        <w:rPr>
          <w:sz w:val="36"/>
          <w:szCs w:val="36"/>
        </w:rPr>
        <w:t>Student Name</w:t>
      </w:r>
      <w:r>
        <w:rPr>
          <w:sz w:val="36"/>
          <w:szCs w:val="36"/>
        </w:rPr>
        <w:t xml:space="preserve">: Claudiu Maran </w:t>
      </w:r>
    </w:p>
    <w:p w14:paraId="2F6E5A3A" w14:textId="6B5FAF46" w:rsidR="005D0A0C" w:rsidRPr="005D0A0C" w:rsidRDefault="005D0A0C" w:rsidP="005D0A0C">
      <w:pPr>
        <w:jc w:val="center"/>
        <w:rPr>
          <w:sz w:val="36"/>
          <w:szCs w:val="36"/>
        </w:rPr>
      </w:pPr>
      <w:r w:rsidRPr="005D0A0C">
        <w:rPr>
          <w:sz w:val="36"/>
          <w:szCs w:val="36"/>
        </w:rPr>
        <w:t>Student ID</w:t>
      </w:r>
      <w:r>
        <w:rPr>
          <w:sz w:val="36"/>
          <w:szCs w:val="36"/>
        </w:rPr>
        <w:t>:2215043</w:t>
      </w:r>
    </w:p>
    <w:p w14:paraId="37881CC4" w14:textId="18C76A7D" w:rsidR="005D0A0C" w:rsidRPr="005D0A0C" w:rsidRDefault="005D0A0C" w:rsidP="005D0A0C">
      <w:pPr>
        <w:jc w:val="center"/>
        <w:rPr>
          <w:sz w:val="36"/>
          <w:szCs w:val="36"/>
        </w:rPr>
      </w:pPr>
      <w:r w:rsidRPr="005D0A0C">
        <w:rPr>
          <w:sz w:val="36"/>
          <w:szCs w:val="36"/>
        </w:rPr>
        <w:t>Module Lecturer’s Name</w:t>
      </w:r>
      <w:r>
        <w:rPr>
          <w:sz w:val="36"/>
          <w:szCs w:val="36"/>
        </w:rPr>
        <w:t>:Akash Puranik</w:t>
      </w:r>
    </w:p>
    <w:p w14:paraId="0E0B10FE" w14:textId="1D6C51DF" w:rsidR="005D0A0C" w:rsidRDefault="005D0A0C" w:rsidP="005D0A0C">
      <w:pPr>
        <w:jc w:val="center"/>
      </w:pPr>
    </w:p>
    <w:p w14:paraId="5F8D9EAB" w14:textId="570CEAF9" w:rsidR="005D0A0C" w:rsidRDefault="005D0A0C" w:rsidP="005D0A0C">
      <w:pPr>
        <w:jc w:val="center"/>
      </w:pPr>
    </w:p>
    <w:p w14:paraId="259F3F08" w14:textId="6941D0F3" w:rsidR="005D0A0C" w:rsidRDefault="005D0A0C" w:rsidP="005D0A0C">
      <w:pPr>
        <w:jc w:val="center"/>
      </w:pPr>
    </w:p>
    <w:p w14:paraId="1CF9D937" w14:textId="380ECBC7" w:rsidR="005D0A0C" w:rsidRDefault="005D0A0C" w:rsidP="005D0A0C">
      <w:pPr>
        <w:jc w:val="center"/>
      </w:pPr>
    </w:p>
    <w:p w14:paraId="2AAC5EFF" w14:textId="31C51DFA" w:rsidR="005D0A0C" w:rsidRDefault="005D0A0C" w:rsidP="005D0A0C">
      <w:pPr>
        <w:jc w:val="center"/>
      </w:pPr>
    </w:p>
    <w:p w14:paraId="721BC247" w14:textId="2DF9226B" w:rsidR="005D0A0C" w:rsidRDefault="005D0A0C" w:rsidP="005D0A0C">
      <w:pPr>
        <w:jc w:val="center"/>
      </w:pPr>
    </w:p>
    <w:p w14:paraId="49AA29D4" w14:textId="20138462" w:rsidR="005D0A0C" w:rsidRDefault="005D0A0C" w:rsidP="005D0A0C">
      <w:pPr>
        <w:jc w:val="center"/>
      </w:pPr>
    </w:p>
    <w:p w14:paraId="27CA5954" w14:textId="18D1A80F" w:rsidR="005D0A0C" w:rsidRDefault="005D0A0C" w:rsidP="005D0A0C">
      <w:pPr>
        <w:jc w:val="center"/>
      </w:pPr>
    </w:p>
    <w:p w14:paraId="3E29184C" w14:textId="4995F513" w:rsidR="005D0A0C" w:rsidRDefault="005D0A0C" w:rsidP="005D0A0C">
      <w:pPr>
        <w:jc w:val="center"/>
      </w:pPr>
    </w:p>
    <w:p w14:paraId="18E7AF19" w14:textId="0B3519B8" w:rsidR="005D0A0C" w:rsidRDefault="005D0A0C" w:rsidP="005D0A0C">
      <w:pPr>
        <w:jc w:val="center"/>
      </w:pPr>
    </w:p>
    <w:p w14:paraId="0F284DD6" w14:textId="183EC1BE" w:rsidR="005D0A0C" w:rsidRDefault="005D0A0C" w:rsidP="005D0A0C">
      <w:pPr>
        <w:jc w:val="center"/>
      </w:pPr>
    </w:p>
    <w:p w14:paraId="3A9B55F0" w14:textId="743CAFB3" w:rsidR="005D0A0C" w:rsidRDefault="005D0A0C" w:rsidP="005D0A0C">
      <w:pPr>
        <w:jc w:val="center"/>
      </w:pPr>
    </w:p>
    <w:p w14:paraId="572D6C39" w14:textId="049DACD7" w:rsidR="005D0A0C" w:rsidRDefault="005D0A0C" w:rsidP="005D0A0C">
      <w:pPr>
        <w:jc w:val="center"/>
      </w:pPr>
    </w:p>
    <w:p w14:paraId="2FFC5753" w14:textId="7EAECCDC" w:rsidR="005D0A0C" w:rsidRDefault="005D0A0C" w:rsidP="005D0A0C">
      <w:pPr>
        <w:jc w:val="center"/>
      </w:pPr>
    </w:p>
    <w:bookmarkEnd w:id="1"/>
    <w:p w14:paraId="1977FDC4" w14:textId="2B4EFB75" w:rsidR="005D0A0C" w:rsidRDefault="005D0A0C" w:rsidP="005D0A0C">
      <w:pPr>
        <w:jc w:val="center"/>
      </w:pPr>
    </w:p>
    <w:sdt>
      <w:sdtPr>
        <w:rPr>
          <w:rFonts w:ascii="Times New Roman" w:eastAsiaTheme="minorHAnsi" w:hAnsi="Times New Roman" w:cstheme="minorBidi"/>
          <w:color w:val="auto"/>
          <w:kern w:val="2"/>
          <w:sz w:val="24"/>
          <w:szCs w:val="22"/>
          <w:lang w:val="en-GB"/>
          <w14:ligatures w14:val="standardContextual"/>
        </w:rPr>
        <w:id w:val="-345404643"/>
        <w:docPartObj>
          <w:docPartGallery w:val="Table of Contents"/>
          <w:docPartUnique/>
        </w:docPartObj>
      </w:sdtPr>
      <w:sdtEndPr>
        <w:rPr>
          <w:rFonts w:asciiTheme="minorHAnsi" w:hAnsiTheme="minorHAnsi"/>
          <w:b/>
          <w:bCs/>
          <w:noProof/>
          <w:kern w:val="0"/>
          <w:sz w:val="22"/>
          <w14:ligatures w14:val="none"/>
        </w:rPr>
      </w:sdtEndPr>
      <w:sdtContent>
        <w:p w14:paraId="1E852336" w14:textId="77777777" w:rsidR="005D0A0C" w:rsidRPr="00D278CE" w:rsidRDefault="005D0A0C" w:rsidP="005D0A0C">
          <w:pPr>
            <w:pStyle w:val="TOCHeading"/>
            <w:rPr>
              <w:rFonts w:ascii="Times New Roman" w:hAnsi="Times New Roman" w:cs="Times New Roman"/>
              <w:b/>
              <w:bCs/>
              <w:color w:val="000000" w:themeColor="text1"/>
            </w:rPr>
          </w:pPr>
          <w:r w:rsidRPr="00D278CE">
            <w:rPr>
              <w:rFonts w:ascii="Times New Roman" w:hAnsi="Times New Roman" w:cs="Times New Roman"/>
              <w:b/>
              <w:bCs/>
              <w:color w:val="000000" w:themeColor="text1"/>
              <w:sz w:val="28"/>
              <w:szCs w:val="28"/>
            </w:rPr>
            <w:t>Table of Contents</w:t>
          </w:r>
          <w:r>
            <w:fldChar w:fldCharType="begin"/>
          </w:r>
          <w:r>
            <w:instrText xml:space="preserve"> TOC \o "1-3" \h \z \u </w:instrText>
          </w:r>
          <w:r>
            <w:fldChar w:fldCharType="separate"/>
          </w:r>
        </w:p>
        <w:p w14:paraId="74A4A42F" w14:textId="77777777" w:rsidR="005D0A0C" w:rsidRDefault="00EB39CB" w:rsidP="005D0A0C">
          <w:pPr>
            <w:pStyle w:val="TOC1"/>
            <w:tabs>
              <w:tab w:val="right" w:leader="dot" w:pos="9350"/>
            </w:tabs>
            <w:rPr>
              <w:rFonts w:asciiTheme="minorHAnsi" w:eastAsiaTheme="minorEastAsia" w:hAnsiTheme="minorHAnsi"/>
              <w:noProof/>
              <w:sz w:val="22"/>
            </w:rPr>
          </w:pPr>
          <w:hyperlink w:anchor="_Toc152155054" w:history="1">
            <w:r w:rsidR="005D0A0C" w:rsidRPr="00496411">
              <w:rPr>
                <w:rStyle w:val="Hyperlink"/>
                <w:noProof/>
              </w:rPr>
              <w:t>Introduction</w:t>
            </w:r>
            <w:r w:rsidR="005D0A0C">
              <w:rPr>
                <w:noProof/>
                <w:webHidden/>
              </w:rPr>
              <w:tab/>
            </w:r>
            <w:r w:rsidR="005D0A0C">
              <w:rPr>
                <w:noProof/>
                <w:webHidden/>
              </w:rPr>
              <w:fldChar w:fldCharType="begin"/>
            </w:r>
            <w:r w:rsidR="005D0A0C">
              <w:rPr>
                <w:noProof/>
                <w:webHidden/>
              </w:rPr>
              <w:instrText xml:space="preserve"> PAGEREF _Toc152155054 \h </w:instrText>
            </w:r>
            <w:r w:rsidR="005D0A0C">
              <w:rPr>
                <w:noProof/>
                <w:webHidden/>
              </w:rPr>
            </w:r>
            <w:r w:rsidR="005D0A0C">
              <w:rPr>
                <w:noProof/>
                <w:webHidden/>
              </w:rPr>
              <w:fldChar w:fldCharType="separate"/>
            </w:r>
            <w:r w:rsidR="005D0A0C">
              <w:rPr>
                <w:noProof/>
                <w:webHidden/>
              </w:rPr>
              <w:t>3</w:t>
            </w:r>
            <w:r w:rsidR="005D0A0C">
              <w:rPr>
                <w:noProof/>
                <w:webHidden/>
              </w:rPr>
              <w:fldChar w:fldCharType="end"/>
            </w:r>
          </w:hyperlink>
        </w:p>
        <w:p w14:paraId="6B3B898C" w14:textId="77777777" w:rsidR="005D0A0C" w:rsidRDefault="00EB39CB" w:rsidP="005D0A0C">
          <w:pPr>
            <w:pStyle w:val="TOC1"/>
            <w:tabs>
              <w:tab w:val="right" w:leader="dot" w:pos="9350"/>
            </w:tabs>
            <w:rPr>
              <w:rFonts w:asciiTheme="minorHAnsi" w:eastAsiaTheme="minorEastAsia" w:hAnsiTheme="minorHAnsi"/>
              <w:noProof/>
              <w:sz w:val="22"/>
            </w:rPr>
          </w:pPr>
          <w:hyperlink w:anchor="_Toc152155055" w:history="1">
            <w:r w:rsidR="005D0A0C" w:rsidRPr="00496411">
              <w:rPr>
                <w:rStyle w:val="Hyperlink"/>
                <w:noProof/>
              </w:rPr>
              <w:t>The Body</w:t>
            </w:r>
            <w:r w:rsidR="005D0A0C">
              <w:rPr>
                <w:noProof/>
                <w:webHidden/>
              </w:rPr>
              <w:tab/>
            </w:r>
            <w:r w:rsidR="005D0A0C">
              <w:rPr>
                <w:noProof/>
                <w:webHidden/>
              </w:rPr>
              <w:fldChar w:fldCharType="begin"/>
            </w:r>
            <w:r w:rsidR="005D0A0C">
              <w:rPr>
                <w:noProof/>
                <w:webHidden/>
              </w:rPr>
              <w:instrText xml:space="preserve"> PAGEREF _Toc152155055 \h </w:instrText>
            </w:r>
            <w:r w:rsidR="005D0A0C">
              <w:rPr>
                <w:noProof/>
                <w:webHidden/>
              </w:rPr>
            </w:r>
            <w:r w:rsidR="005D0A0C">
              <w:rPr>
                <w:noProof/>
                <w:webHidden/>
              </w:rPr>
              <w:fldChar w:fldCharType="separate"/>
            </w:r>
            <w:r w:rsidR="005D0A0C">
              <w:rPr>
                <w:noProof/>
                <w:webHidden/>
              </w:rPr>
              <w:t>4</w:t>
            </w:r>
            <w:r w:rsidR="005D0A0C">
              <w:rPr>
                <w:noProof/>
                <w:webHidden/>
              </w:rPr>
              <w:fldChar w:fldCharType="end"/>
            </w:r>
          </w:hyperlink>
        </w:p>
        <w:p w14:paraId="66189E0B" w14:textId="77777777" w:rsidR="005D0A0C" w:rsidRDefault="00EB39CB" w:rsidP="005D0A0C">
          <w:pPr>
            <w:pStyle w:val="TOC1"/>
            <w:tabs>
              <w:tab w:val="right" w:leader="dot" w:pos="9350"/>
            </w:tabs>
            <w:rPr>
              <w:rFonts w:asciiTheme="minorHAnsi" w:eastAsiaTheme="minorEastAsia" w:hAnsiTheme="minorHAnsi"/>
              <w:noProof/>
              <w:sz w:val="22"/>
            </w:rPr>
          </w:pPr>
          <w:hyperlink w:anchor="_Toc152155056" w:history="1">
            <w:r w:rsidR="005D0A0C" w:rsidRPr="00496411">
              <w:rPr>
                <w:rStyle w:val="Hyperlink"/>
                <w:noProof/>
              </w:rPr>
              <w:t>Conclusion</w:t>
            </w:r>
            <w:r w:rsidR="005D0A0C">
              <w:rPr>
                <w:noProof/>
                <w:webHidden/>
              </w:rPr>
              <w:tab/>
            </w:r>
            <w:r w:rsidR="005D0A0C">
              <w:rPr>
                <w:noProof/>
                <w:webHidden/>
              </w:rPr>
              <w:fldChar w:fldCharType="begin"/>
            </w:r>
            <w:r w:rsidR="005D0A0C">
              <w:rPr>
                <w:noProof/>
                <w:webHidden/>
              </w:rPr>
              <w:instrText xml:space="preserve"> PAGEREF _Toc152155056 \h </w:instrText>
            </w:r>
            <w:r w:rsidR="005D0A0C">
              <w:rPr>
                <w:noProof/>
                <w:webHidden/>
              </w:rPr>
            </w:r>
            <w:r w:rsidR="005D0A0C">
              <w:rPr>
                <w:noProof/>
                <w:webHidden/>
              </w:rPr>
              <w:fldChar w:fldCharType="separate"/>
            </w:r>
            <w:r w:rsidR="005D0A0C">
              <w:rPr>
                <w:noProof/>
                <w:webHidden/>
              </w:rPr>
              <w:t>14</w:t>
            </w:r>
            <w:r w:rsidR="005D0A0C">
              <w:rPr>
                <w:noProof/>
                <w:webHidden/>
              </w:rPr>
              <w:fldChar w:fldCharType="end"/>
            </w:r>
          </w:hyperlink>
        </w:p>
        <w:p w14:paraId="5973F246" w14:textId="77777777" w:rsidR="005D0A0C" w:rsidRDefault="00EB39CB" w:rsidP="005D0A0C">
          <w:pPr>
            <w:pStyle w:val="TOC1"/>
            <w:tabs>
              <w:tab w:val="right" w:leader="dot" w:pos="9350"/>
            </w:tabs>
            <w:rPr>
              <w:rFonts w:asciiTheme="minorHAnsi" w:eastAsiaTheme="minorEastAsia" w:hAnsiTheme="minorHAnsi"/>
              <w:noProof/>
              <w:sz w:val="22"/>
            </w:rPr>
          </w:pPr>
          <w:hyperlink w:anchor="_Toc152155057" w:history="1">
            <w:r w:rsidR="005D0A0C" w:rsidRPr="00496411">
              <w:rPr>
                <w:rStyle w:val="Hyperlink"/>
                <w:noProof/>
              </w:rPr>
              <w:t>References</w:t>
            </w:r>
            <w:r w:rsidR="005D0A0C">
              <w:rPr>
                <w:noProof/>
                <w:webHidden/>
              </w:rPr>
              <w:tab/>
            </w:r>
            <w:r w:rsidR="005D0A0C">
              <w:rPr>
                <w:noProof/>
                <w:webHidden/>
              </w:rPr>
              <w:fldChar w:fldCharType="begin"/>
            </w:r>
            <w:r w:rsidR="005D0A0C">
              <w:rPr>
                <w:noProof/>
                <w:webHidden/>
              </w:rPr>
              <w:instrText xml:space="preserve"> PAGEREF _Toc152155057 \h </w:instrText>
            </w:r>
            <w:r w:rsidR="005D0A0C">
              <w:rPr>
                <w:noProof/>
                <w:webHidden/>
              </w:rPr>
            </w:r>
            <w:r w:rsidR="005D0A0C">
              <w:rPr>
                <w:noProof/>
                <w:webHidden/>
              </w:rPr>
              <w:fldChar w:fldCharType="separate"/>
            </w:r>
            <w:r w:rsidR="005D0A0C">
              <w:rPr>
                <w:noProof/>
                <w:webHidden/>
              </w:rPr>
              <w:t>15</w:t>
            </w:r>
            <w:r w:rsidR="005D0A0C">
              <w:rPr>
                <w:noProof/>
                <w:webHidden/>
              </w:rPr>
              <w:fldChar w:fldCharType="end"/>
            </w:r>
          </w:hyperlink>
        </w:p>
        <w:p w14:paraId="50223EF2" w14:textId="77777777" w:rsidR="005D0A0C" w:rsidRDefault="005D0A0C" w:rsidP="005D0A0C">
          <w:pPr>
            <w:rPr>
              <w:b/>
              <w:bCs/>
              <w:noProof/>
            </w:rPr>
          </w:pPr>
          <w:r>
            <w:rPr>
              <w:b/>
              <w:bCs/>
              <w:noProof/>
            </w:rPr>
            <w:fldChar w:fldCharType="end"/>
          </w:r>
        </w:p>
      </w:sdtContent>
    </w:sdt>
    <w:p w14:paraId="10117446" w14:textId="1AED33FE" w:rsidR="005D0A0C" w:rsidRDefault="005D0A0C" w:rsidP="005D0A0C">
      <w:pPr>
        <w:jc w:val="center"/>
      </w:pPr>
    </w:p>
    <w:p w14:paraId="18F047C1" w14:textId="54FD7E98" w:rsidR="005D0A0C" w:rsidRDefault="005D0A0C" w:rsidP="005D0A0C">
      <w:pPr>
        <w:jc w:val="center"/>
      </w:pPr>
    </w:p>
    <w:p w14:paraId="1BEE7200" w14:textId="2598293E" w:rsidR="005D0A0C" w:rsidRDefault="005D0A0C" w:rsidP="005D0A0C">
      <w:pPr>
        <w:jc w:val="center"/>
      </w:pPr>
    </w:p>
    <w:p w14:paraId="503D9673" w14:textId="77777777" w:rsidR="005D0A0C" w:rsidRPr="00D278CE" w:rsidRDefault="005D0A0C" w:rsidP="005D0A0C">
      <w:pPr>
        <w:rPr>
          <w:b/>
          <w:sz w:val="28"/>
          <w:szCs w:val="28"/>
        </w:rPr>
      </w:pPr>
      <w:bookmarkStart w:id="2" w:name="_Toc152155053"/>
      <w:r w:rsidRPr="00D278CE">
        <w:rPr>
          <w:b/>
          <w:sz w:val="28"/>
          <w:szCs w:val="28"/>
        </w:rPr>
        <w:t>Table of Figures</w:t>
      </w:r>
      <w:bookmarkEnd w:id="2"/>
      <w:r w:rsidRPr="00D278CE">
        <w:rPr>
          <w:b/>
          <w:sz w:val="28"/>
          <w:szCs w:val="28"/>
        </w:rPr>
        <w:t xml:space="preserve"> </w:t>
      </w:r>
    </w:p>
    <w:p w14:paraId="65C19FD4" w14:textId="77777777" w:rsidR="005D0A0C" w:rsidRPr="00F71269" w:rsidRDefault="005D0A0C" w:rsidP="005D0A0C">
      <w:pPr>
        <w:pStyle w:val="TableofFigures"/>
        <w:tabs>
          <w:tab w:val="right" w:leader="dot" w:pos="9350"/>
        </w:tabs>
        <w:rPr>
          <w:rFonts w:asciiTheme="minorHAnsi" w:eastAsiaTheme="minorEastAsia" w:hAnsiTheme="minorHAnsi"/>
          <w:noProof/>
          <w:sz w:val="22"/>
        </w:rPr>
      </w:pPr>
      <w:r>
        <w:rPr>
          <w:b/>
          <w:bCs/>
        </w:rPr>
        <w:fldChar w:fldCharType="begin"/>
      </w:r>
      <w:r>
        <w:rPr>
          <w:b/>
          <w:bCs/>
        </w:rPr>
        <w:instrText xml:space="preserve"> TOC \h \z \c "Figure" </w:instrText>
      </w:r>
      <w:r>
        <w:rPr>
          <w:b/>
          <w:bCs/>
        </w:rPr>
        <w:fldChar w:fldCharType="separate"/>
      </w:r>
      <w:hyperlink w:anchor="_Toc152154517" w:history="1">
        <w:r w:rsidRPr="00F71269">
          <w:rPr>
            <w:rStyle w:val="Hyperlink"/>
            <w:noProof/>
          </w:rPr>
          <w:t>Figure 1:(The Golden Hill community garden in Bristol. Photograph: Adrian Sherratt/Alamy)</w:t>
        </w:r>
        <w:r w:rsidRPr="00F71269">
          <w:rPr>
            <w:noProof/>
            <w:webHidden/>
          </w:rPr>
          <w:tab/>
        </w:r>
        <w:r w:rsidRPr="00F71269">
          <w:rPr>
            <w:noProof/>
            <w:webHidden/>
          </w:rPr>
          <w:fldChar w:fldCharType="begin"/>
        </w:r>
        <w:r w:rsidRPr="00F71269">
          <w:rPr>
            <w:noProof/>
            <w:webHidden/>
          </w:rPr>
          <w:instrText xml:space="preserve"> PAGEREF _Toc152154517 \h </w:instrText>
        </w:r>
        <w:r w:rsidRPr="00F71269">
          <w:rPr>
            <w:noProof/>
            <w:webHidden/>
          </w:rPr>
        </w:r>
        <w:r w:rsidRPr="00F71269">
          <w:rPr>
            <w:noProof/>
            <w:webHidden/>
          </w:rPr>
          <w:fldChar w:fldCharType="separate"/>
        </w:r>
        <w:r w:rsidRPr="00F71269">
          <w:rPr>
            <w:noProof/>
            <w:webHidden/>
          </w:rPr>
          <w:t>4</w:t>
        </w:r>
        <w:r w:rsidRPr="00F71269">
          <w:rPr>
            <w:noProof/>
            <w:webHidden/>
          </w:rPr>
          <w:fldChar w:fldCharType="end"/>
        </w:r>
      </w:hyperlink>
    </w:p>
    <w:p w14:paraId="501D70FD" w14:textId="77777777" w:rsidR="005D0A0C" w:rsidRPr="00F71269" w:rsidRDefault="00EB39CB" w:rsidP="005D0A0C">
      <w:pPr>
        <w:pStyle w:val="TableofFigures"/>
        <w:tabs>
          <w:tab w:val="right" w:leader="dot" w:pos="9350"/>
        </w:tabs>
        <w:rPr>
          <w:rFonts w:asciiTheme="minorHAnsi" w:eastAsiaTheme="minorEastAsia" w:hAnsiTheme="minorHAnsi"/>
          <w:noProof/>
          <w:sz w:val="22"/>
        </w:rPr>
      </w:pPr>
      <w:hyperlink w:anchor="_Toc152154518" w:history="1">
        <w:r w:rsidR="005D0A0C" w:rsidRPr="00F71269">
          <w:rPr>
            <w:rStyle w:val="Hyperlink"/>
            <w:noProof/>
          </w:rPr>
          <w:t>Figure 2:( Use of social media in community service)</w:t>
        </w:r>
        <w:r w:rsidR="005D0A0C" w:rsidRPr="00F71269">
          <w:rPr>
            <w:noProof/>
            <w:webHidden/>
          </w:rPr>
          <w:tab/>
        </w:r>
        <w:r w:rsidR="005D0A0C" w:rsidRPr="00F71269">
          <w:rPr>
            <w:noProof/>
            <w:webHidden/>
          </w:rPr>
          <w:fldChar w:fldCharType="begin"/>
        </w:r>
        <w:r w:rsidR="005D0A0C" w:rsidRPr="00F71269">
          <w:rPr>
            <w:noProof/>
            <w:webHidden/>
          </w:rPr>
          <w:instrText xml:space="preserve"> PAGEREF _Toc152154518 \h </w:instrText>
        </w:r>
        <w:r w:rsidR="005D0A0C" w:rsidRPr="00F71269">
          <w:rPr>
            <w:noProof/>
            <w:webHidden/>
          </w:rPr>
        </w:r>
        <w:r w:rsidR="005D0A0C" w:rsidRPr="00F71269">
          <w:rPr>
            <w:noProof/>
            <w:webHidden/>
          </w:rPr>
          <w:fldChar w:fldCharType="separate"/>
        </w:r>
        <w:r w:rsidR="005D0A0C" w:rsidRPr="00F71269">
          <w:rPr>
            <w:noProof/>
            <w:webHidden/>
          </w:rPr>
          <w:t>7</w:t>
        </w:r>
        <w:r w:rsidR="005D0A0C" w:rsidRPr="00F71269">
          <w:rPr>
            <w:noProof/>
            <w:webHidden/>
          </w:rPr>
          <w:fldChar w:fldCharType="end"/>
        </w:r>
      </w:hyperlink>
    </w:p>
    <w:p w14:paraId="1484861C" w14:textId="77777777" w:rsidR="005D0A0C" w:rsidRPr="00F71269" w:rsidRDefault="00EB39CB" w:rsidP="005D0A0C">
      <w:pPr>
        <w:pStyle w:val="TableofFigures"/>
        <w:tabs>
          <w:tab w:val="right" w:leader="dot" w:pos="9350"/>
        </w:tabs>
        <w:rPr>
          <w:rFonts w:asciiTheme="minorHAnsi" w:eastAsiaTheme="minorEastAsia" w:hAnsiTheme="minorHAnsi"/>
          <w:noProof/>
          <w:sz w:val="22"/>
        </w:rPr>
      </w:pPr>
      <w:hyperlink w:anchor="_Toc152154519" w:history="1">
        <w:r w:rsidR="005D0A0C" w:rsidRPr="00F71269">
          <w:rPr>
            <w:rStyle w:val="Hyperlink"/>
            <w:noProof/>
          </w:rPr>
          <w:t>Figure 3:(Community engagement in Goldenhill Garden)</w:t>
        </w:r>
        <w:r w:rsidR="005D0A0C" w:rsidRPr="00F71269">
          <w:rPr>
            <w:noProof/>
            <w:webHidden/>
          </w:rPr>
          <w:tab/>
        </w:r>
        <w:r w:rsidR="005D0A0C" w:rsidRPr="00F71269">
          <w:rPr>
            <w:noProof/>
            <w:webHidden/>
          </w:rPr>
          <w:fldChar w:fldCharType="begin"/>
        </w:r>
        <w:r w:rsidR="005D0A0C" w:rsidRPr="00F71269">
          <w:rPr>
            <w:noProof/>
            <w:webHidden/>
          </w:rPr>
          <w:instrText xml:space="preserve"> PAGEREF _Toc152154519 \h </w:instrText>
        </w:r>
        <w:r w:rsidR="005D0A0C" w:rsidRPr="00F71269">
          <w:rPr>
            <w:noProof/>
            <w:webHidden/>
          </w:rPr>
        </w:r>
        <w:r w:rsidR="005D0A0C" w:rsidRPr="00F71269">
          <w:rPr>
            <w:noProof/>
            <w:webHidden/>
          </w:rPr>
          <w:fldChar w:fldCharType="separate"/>
        </w:r>
        <w:r w:rsidR="005D0A0C" w:rsidRPr="00F71269">
          <w:rPr>
            <w:noProof/>
            <w:webHidden/>
          </w:rPr>
          <w:t>10</w:t>
        </w:r>
        <w:r w:rsidR="005D0A0C" w:rsidRPr="00F71269">
          <w:rPr>
            <w:noProof/>
            <w:webHidden/>
          </w:rPr>
          <w:fldChar w:fldCharType="end"/>
        </w:r>
      </w:hyperlink>
    </w:p>
    <w:p w14:paraId="3B199EBD" w14:textId="77777777" w:rsidR="005D0A0C" w:rsidRDefault="00EB39CB" w:rsidP="005D0A0C">
      <w:pPr>
        <w:pStyle w:val="TableofFigures"/>
        <w:tabs>
          <w:tab w:val="right" w:leader="dot" w:pos="9350"/>
        </w:tabs>
        <w:rPr>
          <w:rFonts w:asciiTheme="minorHAnsi" w:eastAsiaTheme="minorEastAsia" w:hAnsiTheme="minorHAnsi"/>
          <w:noProof/>
          <w:sz w:val="22"/>
        </w:rPr>
      </w:pPr>
      <w:hyperlink w:anchor="_Toc152154520" w:history="1">
        <w:r w:rsidR="005D0A0C" w:rsidRPr="00F71269">
          <w:rPr>
            <w:rStyle w:val="Hyperlink"/>
            <w:noProof/>
          </w:rPr>
          <w:t>Figure 4:(Gardeners chatting at the Golden Hill community garden in Bristol Photograph: Adrian Sherratt/Alamy)</w:t>
        </w:r>
        <w:r w:rsidR="005D0A0C" w:rsidRPr="00F71269">
          <w:rPr>
            <w:noProof/>
            <w:webHidden/>
          </w:rPr>
          <w:tab/>
        </w:r>
        <w:r w:rsidR="005D0A0C" w:rsidRPr="00F71269">
          <w:rPr>
            <w:noProof/>
            <w:webHidden/>
          </w:rPr>
          <w:fldChar w:fldCharType="begin"/>
        </w:r>
        <w:r w:rsidR="005D0A0C" w:rsidRPr="00F71269">
          <w:rPr>
            <w:noProof/>
            <w:webHidden/>
          </w:rPr>
          <w:instrText xml:space="preserve"> PAGEREF _Toc152154520 \h </w:instrText>
        </w:r>
        <w:r w:rsidR="005D0A0C" w:rsidRPr="00F71269">
          <w:rPr>
            <w:noProof/>
            <w:webHidden/>
          </w:rPr>
        </w:r>
        <w:r w:rsidR="005D0A0C" w:rsidRPr="00F71269">
          <w:rPr>
            <w:noProof/>
            <w:webHidden/>
          </w:rPr>
          <w:fldChar w:fldCharType="separate"/>
        </w:r>
        <w:r w:rsidR="005D0A0C" w:rsidRPr="00F71269">
          <w:rPr>
            <w:noProof/>
            <w:webHidden/>
          </w:rPr>
          <w:t>12</w:t>
        </w:r>
        <w:r w:rsidR="005D0A0C" w:rsidRPr="00F71269">
          <w:rPr>
            <w:noProof/>
            <w:webHidden/>
          </w:rPr>
          <w:fldChar w:fldCharType="end"/>
        </w:r>
      </w:hyperlink>
    </w:p>
    <w:p w14:paraId="5972EEB0" w14:textId="5B84D2FF" w:rsidR="005D0A0C" w:rsidRDefault="005D0A0C" w:rsidP="005D0A0C">
      <w:pPr>
        <w:jc w:val="center"/>
        <w:rPr>
          <w:b/>
          <w:bCs/>
        </w:rPr>
      </w:pPr>
      <w:r>
        <w:rPr>
          <w:b/>
          <w:bCs/>
        </w:rPr>
        <w:fldChar w:fldCharType="end"/>
      </w:r>
    </w:p>
    <w:p w14:paraId="119F686A" w14:textId="2B7573F0" w:rsidR="005D0A0C" w:rsidRDefault="005D0A0C" w:rsidP="005D0A0C">
      <w:pPr>
        <w:jc w:val="center"/>
        <w:rPr>
          <w:b/>
          <w:bCs/>
        </w:rPr>
      </w:pPr>
    </w:p>
    <w:p w14:paraId="53ED9853" w14:textId="5CF995B2" w:rsidR="005D0A0C" w:rsidRDefault="005D0A0C" w:rsidP="005D0A0C">
      <w:pPr>
        <w:jc w:val="center"/>
        <w:rPr>
          <w:b/>
          <w:bCs/>
        </w:rPr>
      </w:pPr>
    </w:p>
    <w:p w14:paraId="6DF0BCEE" w14:textId="478CEC8C" w:rsidR="005D0A0C" w:rsidRDefault="005D0A0C" w:rsidP="005D0A0C">
      <w:pPr>
        <w:jc w:val="center"/>
        <w:rPr>
          <w:b/>
          <w:bCs/>
        </w:rPr>
      </w:pPr>
    </w:p>
    <w:p w14:paraId="045B9AE5" w14:textId="4951E31C" w:rsidR="005D0A0C" w:rsidRDefault="005D0A0C" w:rsidP="005D0A0C">
      <w:pPr>
        <w:jc w:val="center"/>
        <w:rPr>
          <w:b/>
          <w:bCs/>
        </w:rPr>
      </w:pPr>
    </w:p>
    <w:p w14:paraId="6582918C" w14:textId="5D1682AC" w:rsidR="005D0A0C" w:rsidRDefault="005D0A0C" w:rsidP="005D0A0C">
      <w:pPr>
        <w:jc w:val="center"/>
        <w:rPr>
          <w:b/>
          <w:bCs/>
        </w:rPr>
      </w:pPr>
    </w:p>
    <w:p w14:paraId="439FE005" w14:textId="6761E9FE" w:rsidR="005D0A0C" w:rsidRDefault="005D0A0C" w:rsidP="005D0A0C">
      <w:pPr>
        <w:jc w:val="center"/>
        <w:rPr>
          <w:b/>
          <w:bCs/>
        </w:rPr>
      </w:pPr>
    </w:p>
    <w:p w14:paraId="325AAEBC" w14:textId="5BEE26A1" w:rsidR="005D0A0C" w:rsidRDefault="005D0A0C" w:rsidP="005D0A0C">
      <w:pPr>
        <w:jc w:val="center"/>
        <w:rPr>
          <w:b/>
          <w:bCs/>
        </w:rPr>
      </w:pPr>
    </w:p>
    <w:p w14:paraId="5A4CE180" w14:textId="5273E4BC" w:rsidR="005D0A0C" w:rsidRDefault="005D0A0C" w:rsidP="005D0A0C">
      <w:pPr>
        <w:jc w:val="center"/>
        <w:rPr>
          <w:b/>
          <w:bCs/>
        </w:rPr>
      </w:pPr>
    </w:p>
    <w:p w14:paraId="431AD617" w14:textId="7794095E" w:rsidR="005D0A0C" w:rsidRDefault="005D0A0C" w:rsidP="005D0A0C">
      <w:pPr>
        <w:jc w:val="center"/>
        <w:rPr>
          <w:b/>
          <w:bCs/>
        </w:rPr>
      </w:pPr>
    </w:p>
    <w:p w14:paraId="05385343" w14:textId="5CDEEB68" w:rsidR="005D0A0C" w:rsidRDefault="005D0A0C" w:rsidP="005D0A0C">
      <w:pPr>
        <w:jc w:val="center"/>
        <w:rPr>
          <w:b/>
          <w:bCs/>
        </w:rPr>
      </w:pPr>
    </w:p>
    <w:p w14:paraId="6EF9EC37" w14:textId="04E7E85B" w:rsidR="005D0A0C" w:rsidRDefault="005D0A0C" w:rsidP="005D0A0C">
      <w:pPr>
        <w:jc w:val="center"/>
        <w:rPr>
          <w:b/>
          <w:bCs/>
        </w:rPr>
      </w:pPr>
    </w:p>
    <w:p w14:paraId="4FC98D9A" w14:textId="024A1CAC" w:rsidR="005D0A0C" w:rsidRDefault="005D0A0C" w:rsidP="005D0A0C">
      <w:pPr>
        <w:jc w:val="center"/>
        <w:rPr>
          <w:b/>
          <w:bCs/>
        </w:rPr>
      </w:pPr>
    </w:p>
    <w:p w14:paraId="703AB026" w14:textId="16848E75" w:rsidR="005D0A0C" w:rsidRDefault="005D0A0C" w:rsidP="005D0A0C">
      <w:pPr>
        <w:jc w:val="center"/>
        <w:rPr>
          <w:b/>
          <w:bCs/>
        </w:rPr>
      </w:pPr>
    </w:p>
    <w:p w14:paraId="7659D13A" w14:textId="6EBC9D25" w:rsidR="005D0A0C" w:rsidRDefault="005D0A0C" w:rsidP="005D0A0C">
      <w:pPr>
        <w:jc w:val="center"/>
        <w:rPr>
          <w:b/>
          <w:bCs/>
        </w:rPr>
      </w:pPr>
    </w:p>
    <w:p w14:paraId="0518486B" w14:textId="5EFF3479" w:rsidR="005D0A0C" w:rsidRPr="008918FC" w:rsidRDefault="005D0A0C" w:rsidP="005D0A0C">
      <w:pPr>
        <w:pStyle w:val="Heading1"/>
        <w:rPr>
          <w:b/>
          <w:bCs/>
        </w:rPr>
      </w:pPr>
      <w:bookmarkStart w:id="3" w:name="_Toc152155054"/>
      <w:r w:rsidRPr="008918FC">
        <w:rPr>
          <w:b/>
          <w:bCs/>
        </w:rPr>
        <w:lastRenderedPageBreak/>
        <w:t>Introduction</w:t>
      </w:r>
      <w:bookmarkEnd w:id="3"/>
    </w:p>
    <w:p w14:paraId="7F8CED21" w14:textId="5C720FC3" w:rsidR="005D0A0C" w:rsidRDefault="005D0A0C" w:rsidP="005D0A0C"/>
    <w:p w14:paraId="1ED38096" w14:textId="32F8BEAE" w:rsidR="005D0A0C" w:rsidRDefault="005D0A0C" w:rsidP="005D0A0C"/>
    <w:p w14:paraId="0BB7D7EE" w14:textId="26E37A36" w:rsidR="005D0A0C" w:rsidRDefault="005D0A0C" w:rsidP="005D0A0C"/>
    <w:p w14:paraId="7FD43EA8" w14:textId="77777777" w:rsidR="005D0A0C" w:rsidRPr="007C55AA" w:rsidRDefault="005D0A0C" w:rsidP="005D0A0C">
      <w:pPr>
        <w:rPr>
          <w:sz w:val="24"/>
          <w:szCs w:val="24"/>
        </w:rPr>
      </w:pPr>
    </w:p>
    <w:p w14:paraId="0F9EF223" w14:textId="77777777" w:rsidR="005D0A0C" w:rsidRPr="007C55AA" w:rsidRDefault="005D0A0C" w:rsidP="005D0A0C">
      <w:pPr>
        <w:rPr>
          <w:b/>
          <w:bCs/>
          <w:sz w:val="24"/>
          <w:szCs w:val="24"/>
        </w:rPr>
      </w:pPr>
      <w:r w:rsidRPr="007C55AA">
        <w:rPr>
          <w:sz w:val="24"/>
          <w:szCs w:val="24"/>
        </w:rPr>
        <w:t>One of the most important tools for encouraging cooperation between local government and citizens is the Local Authority Community Engagement Process. Analysing this process's importance as examining it is equally important, highlighting its function in inclusive governance. How community engagement can take many forms, from old-fashioned town hall meetings to cutting-edge online resources. Prioritising comprehension of these interactions' efficacy will guarantee that different viewpoints are taken into account during the decision-making process. By using a comprehensive approach, one can hope to find areas of success, and ultimately help strengthen the bonds between the community and the government for more inclusive and responsive local governance. In the UK, community gardens are growing more and more prevalent. The Royal Horticultural Society supports this idea and according to Kay Clark, the director of the RHS community gardening programme, the Golden Hill community garden in Horfield, Bristol, is a thriving, sustainable area that strengthens ties within the community via activities, education, and gardening.</w:t>
      </w:r>
    </w:p>
    <w:p w14:paraId="54E5970A" w14:textId="6D537BEF" w:rsidR="005D0A0C" w:rsidRDefault="005D0A0C" w:rsidP="005D0A0C"/>
    <w:p w14:paraId="36C66B33" w14:textId="750B423D" w:rsidR="008918FC" w:rsidRDefault="008918FC" w:rsidP="005D0A0C"/>
    <w:p w14:paraId="4BF91FA3" w14:textId="2F3F8543" w:rsidR="008918FC" w:rsidRDefault="008918FC" w:rsidP="005D0A0C"/>
    <w:p w14:paraId="32E81509" w14:textId="0C7BCEDE" w:rsidR="008918FC" w:rsidRDefault="008918FC" w:rsidP="005D0A0C"/>
    <w:p w14:paraId="04BBD0E7" w14:textId="3449CE83" w:rsidR="008918FC" w:rsidRDefault="008918FC" w:rsidP="005D0A0C"/>
    <w:p w14:paraId="0E8451F5" w14:textId="0548D9BB" w:rsidR="008918FC" w:rsidRDefault="008918FC" w:rsidP="005D0A0C"/>
    <w:p w14:paraId="56D59779" w14:textId="5B20F42B" w:rsidR="008918FC" w:rsidRDefault="008918FC" w:rsidP="005D0A0C"/>
    <w:p w14:paraId="1A43EF17" w14:textId="3B37F430" w:rsidR="008918FC" w:rsidRDefault="008918FC" w:rsidP="005D0A0C"/>
    <w:p w14:paraId="6C9F9D11" w14:textId="425987E4" w:rsidR="008918FC" w:rsidRDefault="008918FC" w:rsidP="005D0A0C"/>
    <w:p w14:paraId="7FBF1343" w14:textId="6052DE95" w:rsidR="008918FC" w:rsidRDefault="008918FC" w:rsidP="005D0A0C"/>
    <w:p w14:paraId="6631F409" w14:textId="256BEB6B" w:rsidR="008918FC" w:rsidRDefault="008918FC" w:rsidP="005D0A0C"/>
    <w:p w14:paraId="38331BCC" w14:textId="1BBE363B" w:rsidR="008918FC" w:rsidRDefault="008918FC" w:rsidP="005D0A0C"/>
    <w:p w14:paraId="6B333618" w14:textId="26AF2D8F" w:rsidR="008918FC" w:rsidRDefault="008918FC" w:rsidP="005D0A0C"/>
    <w:p w14:paraId="29737DB9" w14:textId="4EAAF394" w:rsidR="008918FC" w:rsidRDefault="008918FC" w:rsidP="005D0A0C"/>
    <w:p w14:paraId="0F4F58A6" w14:textId="720890A6" w:rsidR="008918FC" w:rsidRDefault="008918FC" w:rsidP="005D0A0C"/>
    <w:p w14:paraId="4DA220EC" w14:textId="5FD5D7DF" w:rsidR="008918FC" w:rsidRDefault="008918FC" w:rsidP="005D0A0C"/>
    <w:p w14:paraId="29C7738F" w14:textId="63A8FDDA" w:rsidR="008918FC" w:rsidRDefault="008918FC" w:rsidP="005D0A0C"/>
    <w:p w14:paraId="651F8A48" w14:textId="0608D030" w:rsidR="008918FC" w:rsidRDefault="008918FC" w:rsidP="005D0A0C"/>
    <w:p w14:paraId="568E8638" w14:textId="14117973" w:rsidR="008918FC" w:rsidRPr="008918FC" w:rsidRDefault="008918FC" w:rsidP="008918FC">
      <w:pPr>
        <w:pStyle w:val="Heading1"/>
        <w:rPr>
          <w:b/>
          <w:bCs/>
        </w:rPr>
      </w:pPr>
      <w:bookmarkStart w:id="4" w:name="_Toc152155055"/>
      <w:r w:rsidRPr="008918FC">
        <w:rPr>
          <w:b/>
          <w:bCs/>
        </w:rPr>
        <w:t>The Body</w:t>
      </w:r>
      <w:bookmarkEnd w:id="4"/>
      <w:r w:rsidRPr="008918FC">
        <w:rPr>
          <w:b/>
          <w:bCs/>
        </w:rPr>
        <w:t xml:space="preserve"> </w:t>
      </w:r>
    </w:p>
    <w:p w14:paraId="7D6CF230" w14:textId="77777777" w:rsidR="008918FC" w:rsidRPr="008918FC" w:rsidRDefault="008918FC" w:rsidP="008918FC"/>
    <w:p w14:paraId="34BFED28" w14:textId="1651D781" w:rsidR="008918FC" w:rsidRPr="007C55AA" w:rsidRDefault="008918FC" w:rsidP="008918FC">
      <w:pPr>
        <w:rPr>
          <w:sz w:val="24"/>
          <w:szCs w:val="24"/>
          <w:shd w:val="clear" w:color="auto" w:fill="FFFFFF"/>
        </w:rPr>
      </w:pPr>
      <w:r w:rsidRPr="007C55AA">
        <w:rPr>
          <w:sz w:val="24"/>
          <w:szCs w:val="24"/>
        </w:rPr>
        <w:t xml:space="preserve">In the UK, the movement for community gardens has grown into a powerful force, propelled by goals of financial sustainability, social impact, and self-sufficiency. This study explores the journey of Golden Hill, a 2015-recognised community engagement. Examining the project, best practices, stakeholder involvement, and the tactical application of social media for community engagement are the main points of interest. Furthermore, the study explores the promotion of intercultural integration, acceptance of diversity, and the proactive function of community engagement practitioners </w:t>
      </w:r>
      <w:r w:rsidRPr="007C55AA">
        <w:rPr>
          <w:sz w:val="24"/>
          <w:szCs w:val="24"/>
          <w:shd w:val="clear" w:color="auto" w:fill="FFFFFF"/>
        </w:rPr>
        <w:t xml:space="preserve">(Ferreira et al., 2020). </w:t>
      </w:r>
      <w:r w:rsidRPr="007C55AA">
        <w:rPr>
          <w:sz w:val="24"/>
          <w:szCs w:val="24"/>
        </w:rPr>
        <w:t xml:space="preserve">I have thoroughly examined the existing status of community participation as the recently elected Community participation Officer for the local council, and I have pinpointed the main areas that require improvement. To improve community engagement, this report addresses common problems such as social deprivation, insecurity, crime, lack of recreational facilities, discrimination, and environmental concerns. It also offers insights into the council's current actions </w:t>
      </w:r>
      <w:r w:rsidRPr="007C55AA">
        <w:rPr>
          <w:sz w:val="24"/>
          <w:szCs w:val="24"/>
          <w:shd w:val="clear" w:color="auto" w:fill="FFFFFF"/>
        </w:rPr>
        <w:t xml:space="preserve">(Kapoor et al., 2018). </w:t>
      </w:r>
    </w:p>
    <w:p w14:paraId="5CC531B9" w14:textId="77777777" w:rsidR="008918FC" w:rsidRDefault="008918FC" w:rsidP="008918FC">
      <w:pPr>
        <w:rPr>
          <w:shd w:val="clear" w:color="auto" w:fill="FFFFFF"/>
        </w:rPr>
      </w:pPr>
    </w:p>
    <w:p w14:paraId="481528D0" w14:textId="6ECB8AED" w:rsidR="008918FC" w:rsidRDefault="008918FC" w:rsidP="008918FC">
      <w:pPr>
        <w:rPr>
          <w:shd w:val="clear" w:color="auto" w:fill="FFFFFF"/>
        </w:rPr>
      </w:pPr>
    </w:p>
    <w:p w14:paraId="119D9E5C" w14:textId="66D0F76D" w:rsidR="008918FC" w:rsidRDefault="008918FC" w:rsidP="008918FC">
      <w:pPr>
        <w:rPr>
          <w:shd w:val="clear" w:color="auto" w:fill="FFFFFF"/>
        </w:rPr>
      </w:pPr>
    </w:p>
    <w:p w14:paraId="79B0FFCA" w14:textId="77777777" w:rsidR="008918FC" w:rsidRPr="002651AE" w:rsidRDefault="008918FC" w:rsidP="008918FC">
      <w:pPr>
        <w:rPr>
          <w:shd w:val="clear" w:color="auto" w:fill="FFFFFF"/>
        </w:rPr>
      </w:pPr>
    </w:p>
    <w:p w14:paraId="41F9F711" w14:textId="77777777" w:rsidR="008918FC" w:rsidRDefault="008918FC" w:rsidP="008918FC">
      <w:pPr>
        <w:keepNext/>
        <w:jc w:val="center"/>
      </w:pPr>
      <w:r w:rsidRPr="007801F2">
        <w:rPr>
          <w:noProof/>
        </w:rPr>
        <w:drawing>
          <wp:inline distT="0" distB="0" distL="0" distR="0" wp14:anchorId="4495F9DE" wp14:editId="489F864D">
            <wp:extent cx="4990040" cy="3318164"/>
            <wp:effectExtent l="0" t="0" r="1270" b="0"/>
            <wp:docPr id="361183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183907" name=""/>
                    <pic:cNvPicPr/>
                  </pic:nvPicPr>
                  <pic:blipFill>
                    <a:blip r:embed="rId8"/>
                    <a:stretch>
                      <a:fillRect/>
                    </a:stretch>
                  </pic:blipFill>
                  <pic:spPr>
                    <a:xfrm>
                      <a:off x="0" y="0"/>
                      <a:ext cx="5003197" cy="3326913"/>
                    </a:xfrm>
                    <a:prstGeom prst="rect">
                      <a:avLst/>
                    </a:prstGeom>
                  </pic:spPr>
                </pic:pic>
              </a:graphicData>
            </a:graphic>
          </wp:inline>
        </w:drawing>
      </w:r>
    </w:p>
    <w:p w14:paraId="2D88115B" w14:textId="77777777" w:rsidR="008918FC" w:rsidRPr="007801F2" w:rsidRDefault="008918FC" w:rsidP="008918FC">
      <w:pPr>
        <w:pStyle w:val="Caption"/>
        <w:spacing w:after="0"/>
        <w:jc w:val="center"/>
        <w:rPr>
          <w:b/>
          <w:bCs/>
          <w:i w:val="0"/>
          <w:iCs w:val="0"/>
          <w:color w:val="000000" w:themeColor="text1"/>
        </w:rPr>
      </w:pPr>
      <w:bookmarkStart w:id="5" w:name="_Toc152154517"/>
      <w:r w:rsidRPr="007801F2">
        <w:rPr>
          <w:b/>
          <w:bCs/>
          <w:i w:val="0"/>
          <w:iCs w:val="0"/>
          <w:color w:val="000000" w:themeColor="text1"/>
        </w:rPr>
        <w:t xml:space="preserve">Figure </w:t>
      </w:r>
      <w:r w:rsidRPr="007801F2">
        <w:rPr>
          <w:b/>
          <w:bCs/>
          <w:i w:val="0"/>
          <w:iCs w:val="0"/>
          <w:color w:val="000000" w:themeColor="text1"/>
        </w:rPr>
        <w:fldChar w:fldCharType="begin"/>
      </w:r>
      <w:r w:rsidRPr="007801F2">
        <w:rPr>
          <w:b/>
          <w:bCs/>
          <w:i w:val="0"/>
          <w:iCs w:val="0"/>
          <w:color w:val="000000" w:themeColor="text1"/>
        </w:rPr>
        <w:instrText xml:space="preserve"> SEQ Figure \* ARABIC </w:instrText>
      </w:r>
      <w:r w:rsidRPr="007801F2">
        <w:rPr>
          <w:b/>
          <w:bCs/>
          <w:i w:val="0"/>
          <w:iCs w:val="0"/>
          <w:color w:val="000000" w:themeColor="text1"/>
        </w:rPr>
        <w:fldChar w:fldCharType="separate"/>
      </w:r>
      <w:r w:rsidRPr="007801F2">
        <w:rPr>
          <w:b/>
          <w:bCs/>
          <w:i w:val="0"/>
          <w:iCs w:val="0"/>
          <w:noProof/>
          <w:color w:val="000000" w:themeColor="text1"/>
        </w:rPr>
        <w:t>1</w:t>
      </w:r>
      <w:r w:rsidRPr="007801F2">
        <w:rPr>
          <w:b/>
          <w:bCs/>
          <w:i w:val="0"/>
          <w:iCs w:val="0"/>
          <w:color w:val="000000" w:themeColor="text1"/>
        </w:rPr>
        <w:fldChar w:fldCharType="end"/>
      </w:r>
      <w:r w:rsidRPr="007801F2">
        <w:rPr>
          <w:b/>
          <w:bCs/>
          <w:i w:val="0"/>
          <w:iCs w:val="0"/>
          <w:color w:val="000000" w:themeColor="text1"/>
        </w:rPr>
        <w:t>:(The Golden Hill community garden in Bristol. Photograph: Adrian Sherratt/Alamy)</w:t>
      </w:r>
      <w:bookmarkEnd w:id="5"/>
    </w:p>
    <w:p w14:paraId="20816FE8" w14:textId="738BEF9B" w:rsidR="008918FC" w:rsidRPr="007C55AA" w:rsidRDefault="008918FC" w:rsidP="007C55AA">
      <w:pPr>
        <w:spacing w:after="0"/>
        <w:jc w:val="center"/>
        <w:rPr>
          <w:b/>
          <w:bCs/>
          <w:color w:val="000000" w:themeColor="text1"/>
          <w:sz w:val="18"/>
          <w:szCs w:val="18"/>
        </w:rPr>
      </w:pPr>
      <w:r w:rsidRPr="007801F2">
        <w:rPr>
          <w:b/>
          <w:bCs/>
          <w:color w:val="000000" w:themeColor="text1"/>
          <w:sz w:val="18"/>
          <w:szCs w:val="18"/>
        </w:rPr>
        <w:t>(Source: The Guardian</w:t>
      </w:r>
    </w:p>
    <w:p w14:paraId="3B3468D5" w14:textId="77777777" w:rsidR="008918FC" w:rsidRPr="007C55AA" w:rsidRDefault="008918FC" w:rsidP="008918FC">
      <w:pPr>
        <w:rPr>
          <w:b/>
          <w:bCs/>
          <w:sz w:val="24"/>
          <w:szCs w:val="24"/>
        </w:rPr>
      </w:pPr>
      <w:r w:rsidRPr="007C55AA">
        <w:rPr>
          <w:b/>
          <w:bCs/>
          <w:sz w:val="24"/>
          <w:szCs w:val="24"/>
        </w:rPr>
        <w:lastRenderedPageBreak/>
        <w:t>Golden Hill: An Example of a Sustainable Community</w:t>
      </w:r>
    </w:p>
    <w:p w14:paraId="64A68905" w14:textId="77777777" w:rsidR="008918FC" w:rsidRPr="007C55AA" w:rsidRDefault="008918FC" w:rsidP="008918FC">
      <w:pPr>
        <w:rPr>
          <w:sz w:val="24"/>
          <w:szCs w:val="24"/>
          <w:shd w:val="clear" w:color="auto" w:fill="FFFFFF"/>
        </w:rPr>
      </w:pPr>
      <w:r w:rsidRPr="007C55AA">
        <w:rPr>
          <w:sz w:val="24"/>
          <w:szCs w:val="24"/>
        </w:rPr>
        <w:t xml:space="preserve">Golden Hill has always aimed for financial stability and self-sufficiency. The initiative was started as a community garden to unite locals to grow their food, exchange gardening expertise, and encourage sustainability. An important turning point was reached in 2015 when the initiative became a recognised community-interest corporation and was in line with social business principles </w:t>
      </w:r>
      <w:r w:rsidRPr="007C55AA">
        <w:rPr>
          <w:sz w:val="24"/>
          <w:szCs w:val="24"/>
          <w:shd w:val="clear" w:color="auto" w:fill="FFFFFF"/>
        </w:rPr>
        <w:t xml:space="preserve">(Thaler and Levin-Keitel, 2016). </w:t>
      </w:r>
    </w:p>
    <w:p w14:paraId="63E37642" w14:textId="77777777" w:rsidR="008918FC" w:rsidRPr="007C55AA" w:rsidRDefault="008918FC" w:rsidP="008918FC">
      <w:pPr>
        <w:rPr>
          <w:b/>
          <w:bCs/>
          <w:sz w:val="24"/>
          <w:szCs w:val="24"/>
        </w:rPr>
      </w:pPr>
      <w:r w:rsidRPr="007C55AA">
        <w:rPr>
          <w:b/>
          <w:bCs/>
          <w:sz w:val="24"/>
          <w:szCs w:val="24"/>
        </w:rPr>
        <w:t>Community-Based Method:</w:t>
      </w:r>
    </w:p>
    <w:p w14:paraId="283C9BF8" w14:textId="77777777" w:rsidR="008918FC" w:rsidRPr="007C55AA" w:rsidRDefault="008918FC" w:rsidP="008918FC">
      <w:pPr>
        <w:rPr>
          <w:sz w:val="24"/>
          <w:szCs w:val="24"/>
        </w:rPr>
      </w:pPr>
      <w:r w:rsidRPr="007C55AA">
        <w:rPr>
          <w:sz w:val="24"/>
          <w:szCs w:val="24"/>
        </w:rPr>
        <w:t>The community-led approach at Golden Hill is the foundation of its success. By actively participating in decision-making processes, residents make sure that the project satisfies the community's requirements and preferences.</w:t>
      </w:r>
    </w:p>
    <w:p w14:paraId="38383257" w14:textId="77777777" w:rsidR="008918FC" w:rsidRPr="007C55AA" w:rsidRDefault="008918FC" w:rsidP="008918FC">
      <w:pPr>
        <w:rPr>
          <w:b/>
          <w:bCs/>
          <w:sz w:val="24"/>
          <w:szCs w:val="24"/>
        </w:rPr>
      </w:pPr>
      <w:r w:rsidRPr="007C55AA">
        <w:rPr>
          <w:b/>
          <w:bCs/>
          <w:sz w:val="24"/>
          <w:szCs w:val="24"/>
        </w:rPr>
        <w:t>Acknowledgement as a Social Enterprise:</w:t>
      </w:r>
    </w:p>
    <w:p w14:paraId="5EF004C0" w14:textId="77777777" w:rsidR="008918FC" w:rsidRPr="007C55AA" w:rsidRDefault="008918FC" w:rsidP="008918FC">
      <w:pPr>
        <w:rPr>
          <w:sz w:val="24"/>
          <w:szCs w:val="24"/>
        </w:rPr>
      </w:pPr>
      <w:r w:rsidRPr="007C55AA">
        <w:rPr>
          <w:sz w:val="24"/>
          <w:szCs w:val="24"/>
        </w:rPr>
        <w:t>A corporation's dedication to social impact is demonstrated by its designation as a community-interest company. With this designation, Golden Hill can strike a balance between community benefit and financial viability.</w:t>
      </w:r>
    </w:p>
    <w:p w14:paraId="38F32F17" w14:textId="77777777" w:rsidR="008918FC" w:rsidRPr="007C55AA" w:rsidRDefault="008918FC" w:rsidP="008918FC">
      <w:pPr>
        <w:rPr>
          <w:sz w:val="24"/>
          <w:szCs w:val="24"/>
        </w:rPr>
      </w:pPr>
      <w:r w:rsidRPr="007C55AA">
        <w:rPr>
          <w:b/>
          <w:bCs/>
          <w:sz w:val="24"/>
          <w:szCs w:val="24"/>
        </w:rPr>
        <w:t>Model of Finance:</w:t>
      </w:r>
    </w:p>
    <w:p w14:paraId="64624A10" w14:textId="77777777" w:rsidR="008918FC" w:rsidRPr="007C55AA" w:rsidRDefault="008918FC" w:rsidP="008918FC">
      <w:pPr>
        <w:rPr>
          <w:sz w:val="24"/>
          <w:szCs w:val="24"/>
        </w:rPr>
      </w:pPr>
      <w:r w:rsidRPr="007C55AA">
        <w:rPr>
          <w:sz w:val="24"/>
          <w:szCs w:val="24"/>
        </w:rPr>
        <w:t>The financing approach includes modest monthly donations from Friends of Golden Hill, occasional grants for pilot projects, minor fundraising events, and earnings from educational programming. The use of various funding sources improves financial stability.</w:t>
      </w:r>
    </w:p>
    <w:p w14:paraId="29C0374F" w14:textId="77777777" w:rsidR="008918FC" w:rsidRPr="007C55AA" w:rsidRDefault="008918FC" w:rsidP="008918FC">
      <w:pPr>
        <w:rPr>
          <w:b/>
          <w:bCs/>
          <w:sz w:val="24"/>
          <w:szCs w:val="24"/>
        </w:rPr>
      </w:pPr>
      <w:r w:rsidRPr="007C55AA">
        <w:rPr>
          <w:b/>
          <w:bCs/>
          <w:sz w:val="24"/>
          <w:szCs w:val="24"/>
        </w:rPr>
        <w:t>Operational Openness:</w:t>
      </w:r>
    </w:p>
    <w:p w14:paraId="4E168FF7" w14:textId="77777777" w:rsidR="008918FC" w:rsidRPr="007C55AA" w:rsidRDefault="008918FC" w:rsidP="008918FC">
      <w:pPr>
        <w:rPr>
          <w:sz w:val="24"/>
          <w:szCs w:val="24"/>
        </w:rPr>
      </w:pPr>
      <w:r w:rsidRPr="007C55AA">
        <w:rPr>
          <w:sz w:val="24"/>
          <w:szCs w:val="24"/>
        </w:rPr>
        <w:t>Community trust is increased by openness in project activity, fundraising, and financial dealings. Accountability is promoted by regular updates on the use of funds.</w:t>
      </w:r>
    </w:p>
    <w:p w14:paraId="5D1DEE31" w14:textId="77777777" w:rsidR="008918FC" w:rsidRPr="007C55AA" w:rsidRDefault="008918FC" w:rsidP="008918FC">
      <w:pPr>
        <w:rPr>
          <w:b/>
          <w:bCs/>
          <w:sz w:val="24"/>
          <w:szCs w:val="24"/>
        </w:rPr>
      </w:pPr>
      <w:r w:rsidRPr="007C55AA">
        <w:rPr>
          <w:b/>
          <w:bCs/>
          <w:sz w:val="24"/>
          <w:szCs w:val="24"/>
        </w:rPr>
        <w:t>Engagement of Stakeholders:</w:t>
      </w:r>
    </w:p>
    <w:p w14:paraId="6047AFE1" w14:textId="77777777" w:rsidR="008918FC" w:rsidRPr="007C55AA" w:rsidRDefault="008918FC" w:rsidP="008918FC">
      <w:pPr>
        <w:rPr>
          <w:sz w:val="24"/>
          <w:szCs w:val="24"/>
        </w:rPr>
      </w:pPr>
      <w:r w:rsidRPr="007C55AA">
        <w:rPr>
          <w:sz w:val="24"/>
          <w:szCs w:val="24"/>
        </w:rPr>
        <w:t>The success of Golden Hill Community Garden is largely dependent on the involvement of its stakeholders. Businesses participate through sponsorships and partnerships, while the local government supplies resources and regulatory support. Donations from Friends of Golden Hill, a significant contributor, provide financial stability. Educational establishments use cooperative programmes to improve community learning. The community's active participation is essential for promoting a sense of shared accountability and ownership. Maintaining open lines of communication and working together with these varied stakeholders fosters a dynamic ecology that makes Golden Hill a thriving centre where common objectives and teamwork propel sustainable community growth.</w:t>
      </w:r>
    </w:p>
    <w:p w14:paraId="503D175B" w14:textId="77777777" w:rsidR="008918FC" w:rsidRPr="007C55AA" w:rsidRDefault="008918FC" w:rsidP="008918FC">
      <w:pPr>
        <w:rPr>
          <w:b/>
          <w:bCs/>
          <w:sz w:val="24"/>
          <w:szCs w:val="24"/>
        </w:rPr>
      </w:pPr>
      <w:r w:rsidRPr="007C55AA">
        <w:rPr>
          <w:b/>
          <w:bCs/>
          <w:sz w:val="24"/>
          <w:szCs w:val="24"/>
        </w:rPr>
        <w:t>Building Connections:</w:t>
      </w:r>
    </w:p>
    <w:p w14:paraId="52B5EBE7" w14:textId="77777777" w:rsidR="008918FC" w:rsidRPr="007C55AA" w:rsidRDefault="008918FC" w:rsidP="008918FC">
      <w:pPr>
        <w:rPr>
          <w:sz w:val="24"/>
          <w:szCs w:val="24"/>
          <w:shd w:val="clear" w:color="auto" w:fill="FFFFFF"/>
        </w:rPr>
      </w:pPr>
      <w:r w:rsidRPr="007C55AA">
        <w:rPr>
          <w:sz w:val="24"/>
          <w:szCs w:val="24"/>
        </w:rPr>
        <w:t xml:space="preserve">The project's active participation in decision-making has helped to forge strong bonds with community people which is why the stakeholder's support is a must. Expanded support and resources are ensured through collaboration with educational institutions and local authorities </w:t>
      </w:r>
      <w:r w:rsidRPr="007C55AA">
        <w:rPr>
          <w:sz w:val="24"/>
          <w:szCs w:val="24"/>
          <w:shd w:val="clear" w:color="auto" w:fill="FFFFFF"/>
        </w:rPr>
        <w:t>(Ledwith, 2020). </w:t>
      </w:r>
    </w:p>
    <w:p w14:paraId="3A27BAFE" w14:textId="213D84F5" w:rsidR="008918FC" w:rsidRDefault="008918FC" w:rsidP="005D0A0C"/>
    <w:p w14:paraId="5658CAF6" w14:textId="77777777" w:rsidR="008918FC" w:rsidRPr="003B3CCE" w:rsidRDefault="008918FC" w:rsidP="008918FC">
      <w:pPr>
        <w:rPr>
          <w:b/>
          <w:bCs/>
          <w:sz w:val="24"/>
          <w:szCs w:val="24"/>
        </w:rPr>
      </w:pPr>
      <w:r w:rsidRPr="003B3CCE">
        <w:rPr>
          <w:b/>
          <w:bCs/>
          <w:sz w:val="24"/>
          <w:szCs w:val="24"/>
        </w:rPr>
        <w:lastRenderedPageBreak/>
        <w:t>Proper Engagement Strategies:</w:t>
      </w:r>
    </w:p>
    <w:p w14:paraId="276F292C" w14:textId="77777777" w:rsidR="008918FC" w:rsidRPr="003B3CCE" w:rsidRDefault="008918FC" w:rsidP="008918FC">
      <w:pPr>
        <w:rPr>
          <w:sz w:val="24"/>
          <w:szCs w:val="24"/>
        </w:rPr>
      </w:pPr>
      <w:r w:rsidRPr="003B3CCE">
        <w:rPr>
          <w:sz w:val="24"/>
          <w:szCs w:val="24"/>
        </w:rPr>
        <w:t>Through small monthly payments, the people of Golden Hill engage stakeholders; local authorities may be involved in regulatory compliance and strategic planning. Educational establishments might contribute by way of cooperative initiatives.</w:t>
      </w:r>
    </w:p>
    <w:p w14:paraId="6E8B3361" w14:textId="77777777" w:rsidR="008918FC" w:rsidRPr="003B3CCE" w:rsidRDefault="008918FC" w:rsidP="008918FC">
      <w:pPr>
        <w:rPr>
          <w:b/>
          <w:bCs/>
          <w:sz w:val="24"/>
          <w:szCs w:val="24"/>
        </w:rPr>
      </w:pPr>
      <w:r w:rsidRPr="003B3CCE">
        <w:rPr>
          <w:b/>
          <w:bCs/>
          <w:sz w:val="24"/>
          <w:szCs w:val="24"/>
        </w:rPr>
        <w:t>Social Media Techniques for Garden Development in Goldenhill to Involve the Community:</w:t>
      </w:r>
    </w:p>
    <w:p w14:paraId="6D3F0B7E" w14:textId="77777777" w:rsidR="008918FC" w:rsidRPr="003B3CCE" w:rsidRDefault="008918FC" w:rsidP="008918FC">
      <w:pPr>
        <w:rPr>
          <w:sz w:val="24"/>
          <w:szCs w:val="24"/>
        </w:rPr>
      </w:pPr>
      <w:r w:rsidRPr="003B3CCE">
        <w:rPr>
          <w:sz w:val="24"/>
          <w:szCs w:val="24"/>
        </w:rPr>
        <w:t>Using social media platforms to promote connectedness, information sharing, and community building becomes a potent tool in the context of garden development and community participation in Goldenhill, UK. To foster a flourishing and enduring garden project, Goldenhill inhabitants' outreach, communication, and collaboration can be improved through the smart use of social media.</w:t>
      </w:r>
    </w:p>
    <w:p w14:paraId="26A8D956" w14:textId="77777777" w:rsidR="008918FC" w:rsidRPr="003B3CCE" w:rsidRDefault="008918FC" w:rsidP="008918FC">
      <w:pPr>
        <w:rPr>
          <w:sz w:val="24"/>
          <w:szCs w:val="24"/>
          <w:shd w:val="clear" w:color="auto" w:fill="FFFFFF"/>
        </w:rPr>
      </w:pPr>
      <w:r w:rsidRPr="003B3CCE">
        <w:rPr>
          <w:sz w:val="24"/>
          <w:szCs w:val="24"/>
        </w:rPr>
        <w:t xml:space="preserve">Making use of well-known social media sites for outreach, such as Facebook, Instagram, and Twitter. Facebook is used for community news and events, Instagram is used to present the garden visually, and Twitter is used for announcements and real-time interaction. Each channel has a distinct function </w:t>
      </w:r>
      <w:r w:rsidRPr="003B3CCE">
        <w:rPr>
          <w:sz w:val="24"/>
          <w:szCs w:val="24"/>
          <w:shd w:val="clear" w:color="auto" w:fill="FFFFFF"/>
        </w:rPr>
        <w:t xml:space="preserve">(Cheng, 2018). </w:t>
      </w:r>
    </w:p>
    <w:p w14:paraId="36A675C2" w14:textId="77777777" w:rsidR="008918FC" w:rsidRPr="003B3CCE" w:rsidRDefault="008918FC" w:rsidP="008918FC">
      <w:pPr>
        <w:rPr>
          <w:sz w:val="24"/>
          <w:szCs w:val="24"/>
        </w:rPr>
      </w:pPr>
    </w:p>
    <w:p w14:paraId="2B007230" w14:textId="77777777" w:rsidR="008918FC" w:rsidRDefault="008918FC" w:rsidP="008918FC">
      <w:pPr>
        <w:keepNext/>
        <w:jc w:val="center"/>
      </w:pPr>
      <w:r>
        <w:rPr>
          <w:noProof/>
        </w:rPr>
        <w:drawing>
          <wp:inline distT="0" distB="0" distL="0" distR="0" wp14:anchorId="295B0167" wp14:editId="23518C7C">
            <wp:extent cx="3311236" cy="2483429"/>
            <wp:effectExtent l="0" t="0" r="3810" b="0"/>
            <wp:docPr id="17414944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494427"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325218" cy="2493915"/>
                    </a:xfrm>
                    <a:prstGeom prst="rect">
                      <a:avLst/>
                    </a:prstGeom>
                    <a:noFill/>
                  </pic:spPr>
                </pic:pic>
              </a:graphicData>
            </a:graphic>
          </wp:inline>
        </w:drawing>
      </w:r>
    </w:p>
    <w:p w14:paraId="4B2965B1" w14:textId="77777777" w:rsidR="008918FC" w:rsidRPr="00B85D7D" w:rsidRDefault="008918FC" w:rsidP="008918FC">
      <w:pPr>
        <w:pStyle w:val="Caption"/>
        <w:spacing w:after="0"/>
        <w:jc w:val="center"/>
        <w:rPr>
          <w:b/>
          <w:bCs/>
          <w:i w:val="0"/>
          <w:iCs w:val="0"/>
          <w:color w:val="000000" w:themeColor="text1"/>
        </w:rPr>
      </w:pPr>
      <w:bookmarkStart w:id="6" w:name="_Toc152154518"/>
      <w:r w:rsidRPr="00B85D7D">
        <w:rPr>
          <w:b/>
          <w:bCs/>
          <w:i w:val="0"/>
          <w:iCs w:val="0"/>
          <w:color w:val="000000" w:themeColor="text1"/>
        </w:rPr>
        <w:t xml:space="preserve">Figure </w:t>
      </w:r>
      <w:r w:rsidRPr="00B85D7D">
        <w:rPr>
          <w:b/>
          <w:bCs/>
          <w:i w:val="0"/>
          <w:iCs w:val="0"/>
          <w:color w:val="000000" w:themeColor="text1"/>
        </w:rPr>
        <w:fldChar w:fldCharType="begin"/>
      </w:r>
      <w:r w:rsidRPr="00B85D7D">
        <w:rPr>
          <w:b/>
          <w:bCs/>
          <w:i w:val="0"/>
          <w:iCs w:val="0"/>
          <w:color w:val="000000" w:themeColor="text1"/>
        </w:rPr>
        <w:instrText xml:space="preserve"> SEQ Figure \* ARABIC </w:instrText>
      </w:r>
      <w:r w:rsidRPr="00B85D7D">
        <w:rPr>
          <w:b/>
          <w:bCs/>
          <w:i w:val="0"/>
          <w:iCs w:val="0"/>
          <w:color w:val="000000" w:themeColor="text1"/>
        </w:rPr>
        <w:fldChar w:fldCharType="separate"/>
      </w:r>
      <w:r>
        <w:rPr>
          <w:b/>
          <w:bCs/>
          <w:i w:val="0"/>
          <w:iCs w:val="0"/>
          <w:noProof/>
          <w:color w:val="000000" w:themeColor="text1"/>
        </w:rPr>
        <w:t>2</w:t>
      </w:r>
      <w:r w:rsidRPr="00B85D7D">
        <w:rPr>
          <w:b/>
          <w:bCs/>
          <w:i w:val="0"/>
          <w:iCs w:val="0"/>
          <w:color w:val="000000" w:themeColor="text1"/>
        </w:rPr>
        <w:fldChar w:fldCharType="end"/>
      </w:r>
      <w:r w:rsidRPr="00B85D7D">
        <w:rPr>
          <w:b/>
          <w:bCs/>
          <w:i w:val="0"/>
          <w:iCs w:val="0"/>
          <w:color w:val="000000" w:themeColor="text1"/>
        </w:rPr>
        <w:t xml:space="preserve">:( </w:t>
      </w:r>
      <w:r>
        <w:rPr>
          <w:b/>
          <w:bCs/>
          <w:i w:val="0"/>
          <w:iCs w:val="0"/>
          <w:color w:val="000000" w:themeColor="text1"/>
        </w:rPr>
        <w:t>U</w:t>
      </w:r>
      <w:r w:rsidRPr="00B85D7D">
        <w:rPr>
          <w:b/>
          <w:bCs/>
          <w:i w:val="0"/>
          <w:iCs w:val="0"/>
          <w:color w:val="000000" w:themeColor="text1"/>
        </w:rPr>
        <w:t>se of social media in community service)</w:t>
      </w:r>
      <w:bookmarkEnd w:id="6"/>
    </w:p>
    <w:p w14:paraId="0E2F115E" w14:textId="77777777" w:rsidR="008918FC" w:rsidRPr="00B85D7D" w:rsidRDefault="008918FC" w:rsidP="008918FC">
      <w:pPr>
        <w:spacing w:after="0"/>
        <w:jc w:val="center"/>
        <w:rPr>
          <w:b/>
          <w:bCs/>
          <w:color w:val="000000" w:themeColor="text1"/>
          <w:sz w:val="18"/>
          <w:szCs w:val="18"/>
        </w:rPr>
      </w:pPr>
      <w:r w:rsidRPr="00B85D7D">
        <w:rPr>
          <w:b/>
          <w:bCs/>
          <w:color w:val="000000" w:themeColor="text1"/>
          <w:sz w:val="18"/>
          <w:szCs w:val="18"/>
        </w:rPr>
        <w:t>(Source: Research Gate)</w:t>
      </w:r>
    </w:p>
    <w:p w14:paraId="3EBA035D" w14:textId="77777777" w:rsidR="008918FC" w:rsidRPr="003B3CCE" w:rsidRDefault="008918FC" w:rsidP="008918FC">
      <w:pPr>
        <w:rPr>
          <w:b/>
          <w:bCs/>
          <w:sz w:val="24"/>
          <w:szCs w:val="24"/>
        </w:rPr>
      </w:pPr>
      <w:r w:rsidRPr="003B3CCE">
        <w:rPr>
          <w:b/>
          <w:bCs/>
          <w:sz w:val="24"/>
          <w:szCs w:val="24"/>
        </w:rPr>
        <w:t>Content Planning:</w:t>
      </w:r>
    </w:p>
    <w:p w14:paraId="011FD3D1" w14:textId="77777777" w:rsidR="008918FC" w:rsidRPr="003B3CCE" w:rsidRDefault="008918FC" w:rsidP="008918FC">
      <w:pPr>
        <w:rPr>
          <w:sz w:val="24"/>
          <w:szCs w:val="24"/>
        </w:rPr>
      </w:pPr>
      <w:r w:rsidRPr="003B3CCE">
        <w:rPr>
          <w:sz w:val="24"/>
          <w:szCs w:val="24"/>
        </w:rPr>
        <w:t>Developing a content plan that incorporates both artistic and professional components. The audience can be engaged with regular updates on gardening advice, project developments, and success stories. Images of products or instructional events are examples of visual content that improves the storytelling element.</w:t>
      </w:r>
    </w:p>
    <w:p w14:paraId="3D0DA1E9" w14:textId="77777777" w:rsidR="008918FC" w:rsidRPr="003B3CCE" w:rsidRDefault="008918FC" w:rsidP="008918FC">
      <w:pPr>
        <w:rPr>
          <w:b/>
          <w:bCs/>
          <w:sz w:val="24"/>
          <w:szCs w:val="24"/>
        </w:rPr>
      </w:pPr>
      <w:r w:rsidRPr="003B3CCE">
        <w:rPr>
          <w:b/>
          <w:bCs/>
          <w:sz w:val="24"/>
          <w:szCs w:val="24"/>
        </w:rPr>
        <w:t>Social Competencies:</w:t>
      </w:r>
    </w:p>
    <w:p w14:paraId="4F094F32" w14:textId="77777777" w:rsidR="008918FC" w:rsidRPr="003B3CCE" w:rsidRDefault="008918FC" w:rsidP="008918FC">
      <w:pPr>
        <w:rPr>
          <w:sz w:val="24"/>
          <w:szCs w:val="24"/>
          <w:shd w:val="clear" w:color="auto" w:fill="FFFFFF"/>
        </w:rPr>
      </w:pPr>
      <w:r w:rsidRPr="003B3CCE">
        <w:rPr>
          <w:sz w:val="24"/>
          <w:szCs w:val="24"/>
        </w:rPr>
        <w:t xml:space="preserve">Effective communication skills are essential for community engagement professionals to address questions, concerns, and comments. A friendly tone that encourages open communication and a sense of community is the idea </w:t>
      </w:r>
      <w:r w:rsidRPr="003B3CCE">
        <w:rPr>
          <w:sz w:val="24"/>
          <w:szCs w:val="24"/>
          <w:shd w:val="clear" w:color="auto" w:fill="FFFFFF"/>
        </w:rPr>
        <w:t xml:space="preserve">(Quick and Bryson, 2016). </w:t>
      </w:r>
    </w:p>
    <w:p w14:paraId="33301784" w14:textId="77777777" w:rsidR="008918FC" w:rsidRPr="003B3CCE" w:rsidRDefault="008918FC" w:rsidP="008918FC">
      <w:pPr>
        <w:rPr>
          <w:b/>
          <w:bCs/>
          <w:sz w:val="24"/>
          <w:szCs w:val="24"/>
        </w:rPr>
      </w:pPr>
      <w:r w:rsidRPr="003B3CCE">
        <w:rPr>
          <w:b/>
          <w:bCs/>
          <w:sz w:val="24"/>
          <w:szCs w:val="24"/>
        </w:rPr>
        <w:lastRenderedPageBreak/>
        <w:t>Engaging Marketing Campaigns:</w:t>
      </w:r>
    </w:p>
    <w:p w14:paraId="57030170" w14:textId="77777777" w:rsidR="008918FC" w:rsidRPr="003B3CCE" w:rsidRDefault="008918FC" w:rsidP="008918FC">
      <w:pPr>
        <w:rPr>
          <w:sz w:val="24"/>
          <w:szCs w:val="24"/>
        </w:rPr>
      </w:pPr>
      <w:r w:rsidRPr="003B3CCE">
        <w:rPr>
          <w:sz w:val="24"/>
          <w:szCs w:val="24"/>
        </w:rPr>
        <w:t>Starting an interactive initiative, like Q&amp;A sessions with experts or gardening challenges. This fosters engagement and a feeling of community among those involved.</w:t>
      </w:r>
    </w:p>
    <w:p w14:paraId="1A404F97" w14:textId="77777777" w:rsidR="00C45F38" w:rsidRPr="003B3CCE" w:rsidRDefault="00C45F38" w:rsidP="00C45F38">
      <w:pPr>
        <w:rPr>
          <w:b/>
          <w:bCs/>
          <w:sz w:val="24"/>
          <w:szCs w:val="24"/>
        </w:rPr>
      </w:pPr>
      <w:r w:rsidRPr="003B3CCE">
        <w:rPr>
          <w:b/>
          <w:bCs/>
          <w:sz w:val="24"/>
          <w:szCs w:val="24"/>
        </w:rPr>
        <w:t>Choice of Platform:</w:t>
      </w:r>
    </w:p>
    <w:p w14:paraId="303A10A0" w14:textId="77777777" w:rsidR="00C45F38" w:rsidRPr="003B3CCE" w:rsidRDefault="00C45F38" w:rsidP="00C45F38">
      <w:pPr>
        <w:rPr>
          <w:sz w:val="24"/>
          <w:szCs w:val="24"/>
        </w:rPr>
      </w:pPr>
      <w:r w:rsidRPr="003B3CCE">
        <w:rPr>
          <w:sz w:val="24"/>
          <w:szCs w:val="24"/>
        </w:rPr>
        <w:t>To reach a varied audience, pick well-known social media sites like Facebook, Instagram, and Twitter. These platforms offer distinctive features to accommodate various modes of involvement.</w:t>
      </w:r>
    </w:p>
    <w:p w14:paraId="42C59318" w14:textId="77777777" w:rsidR="00C45F38" w:rsidRPr="003B3CCE" w:rsidRDefault="00C45F38" w:rsidP="00C45F38">
      <w:pPr>
        <w:rPr>
          <w:b/>
          <w:bCs/>
          <w:sz w:val="24"/>
          <w:szCs w:val="24"/>
        </w:rPr>
      </w:pPr>
      <w:r w:rsidRPr="003B3CCE">
        <w:rPr>
          <w:b/>
          <w:bCs/>
          <w:sz w:val="24"/>
          <w:szCs w:val="24"/>
        </w:rPr>
        <w:t>News from the Community:</w:t>
      </w:r>
    </w:p>
    <w:p w14:paraId="30A8E2B3" w14:textId="77777777" w:rsidR="00C45F38" w:rsidRPr="003B3CCE" w:rsidRDefault="00C45F38" w:rsidP="00C45F38">
      <w:pPr>
        <w:rPr>
          <w:sz w:val="24"/>
          <w:szCs w:val="24"/>
        </w:rPr>
      </w:pPr>
      <w:r w:rsidRPr="003B3CCE">
        <w:rPr>
          <w:sz w:val="24"/>
          <w:szCs w:val="24"/>
        </w:rPr>
        <w:t>Posting frequent updates about garden activity, planned events, and significant announcements on Facebook. Establish a vibrant community group where locals may interact, exchange stories, and pose inquiries.</w:t>
      </w:r>
    </w:p>
    <w:p w14:paraId="186044FB" w14:textId="77777777" w:rsidR="00C45F38" w:rsidRPr="003B3CCE" w:rsidRDefault="00C45F38" w:rsidP="00C45F38">
      <w:pPr>
        <w:rPr>
          <w:b/>
          <w:bCs/>
          <w:sz w:val="24"/>
          <w:szCs w:val="24"/>
        </w:rPr>
      </w:pPr>
      <w:r w:rsidRPr="003B3CCE">
        <w:rPr>
          <w:b/>
          <w:bCs/>
          <w:sz w:val="24"/>
          <w:szCs w:val="24"/>
        </w:rPr>
        <w:t>Using Instagram to Tell Visual Stories:</w:t>
      </w:r>
    </w:p>
    <w:p w14:paraId="40430A0E" w14:textId="77777777" w:rsidR="00C45F38" w:rsidRPr="003B3CCE" w:rsidRDefault="00C45F38" w:rsidP="00C45F38">
      <w:pPr>
        <w:rPr>
          <w:sz w:val="24"/>
          <w:szCs w:val="24"/>
        </w:rPr>
      </w:pPr>
      <w:r w:rsidRPr="003B3CCE">
        <w:rPr>
          <w:sz w:val="24"/>
          <w:szCs w:val="24"/>
        </w:rPr>
        <w:t>Using Instagram to tell stories visually. Send eye-catching pictures of the garden's development from sowing seeds to harvesting. Use Instagram Stories to get behind-the-scenes looks and real-time updates.</w:t>
      </w:r>
    </w:p>
    <w:p w14:paraId="037432BB" w14:textId="77777777" w:rsidR="00C45F38" w:rsidRPr="003B3CCE" w:rsidRDefault="00C45F38" w:rsidP="00C45F38">
      <w:pPr>
        <w:rPr>
          <w:b/>
          <w:bCs/>
          <w:sz w:val="24"/>
          <w:szCs w:val="24"/>
        </w:rPr>
      </w:pPr>
      <w:r w:rsidRPr="003B3CCE">
        <w:rPr>
          <w:b/>
          <w:bCs/>
          <w:sz w:val="24"/>
          <w:szCs w:val="24"/>
        </w:rPr>
        <w:t>Twitter Real-Time Engagement:</w:t>
      </w:r>
    </w:p>
    <w:p w14:paraId="1BCAD7DF" w14:textId="77777777" w:rsidR="00C45F38" w:rsidRPr="003B3CCE" w:rsidRDefault="00C45F38" w:rsidP="00C45F38">
      <w:pPr>
        <w:rPr>
          <w:sz w:val="24"/>
          <w:szCs w:val="24"/>
        </w:rPr>
      </w:pPr>
      <w:r w:rsidRPr="003B3CCE">
        <w:rPr>
          <w:sz w:val="24"/>
          <w:szCs w:val="24"/>
        </w:rPr>
        <w:t>Twitter can function as a medium for instantaneous interaction. Tweet about events that are happening, gardening advice, and local highlights. Make use of pertinent hashtags to raise awareness and encourage community involvement.</w:t>
      </w:r>
    </w:p>
    <w:p w14:paraId="440B599F" w14:textId="77777777" w:rsidR="00C45F38" w:rsidRPr="003B3CCE" w:rsidRDefault="00C45F38" w:rsidP="00C45F38">
      <w:pPr>
        <w:rPr>
          <w:b/>
          <w:bCs/>
          <w:sz w:val="24"/>
          <w:szCs w:val="24"/>
        </w:rPr>
      </w:pPr>
      <w:r w:rsidRPr="003B3CCE">
        <w:rPr>
          <w:b/>
          <w:bCs/>
          <w:sz w:val="24"/>
          <w:szCs w:val="24"/>
        </w:rPr>
        <w:t>Ads that are Interactive:</w:t>
      </w:r>
    </w:p>
    <w:p w14:paraId="0279F5B8" w14:textId="77777777" w:rsidR="00C45F38" w:rsidRPr="003B3CCE" w:rsidRDefault="00C45F38" w:rsidP="00C45F38">
      <w:pPr>
        <w:rPr>
          <w:sz w:val="24"/>
          <w:szCs w:val="24"/>
        </w:rPr>
      </w:pPr>
      <w:r w:rsidRPr="003B3CCE">
        <w:rPr>
          <w:sz w:val="24"/>
          <w:szCs w:val="24"/>
        </w:rPr>
        <w:t>Start an interactive programme like gardening challenges, where locals may use a specific hashtag to discuss their gardening accomplishments. This encourages a spirit of camaraderie and friendly rivalry.</w:t>
      </w:r>
    </w:p>
    <w:p w14:paraId="3AA17E1A" w14:textId="77777777" w:rsidR="00C45F38" w:rsidRPr="003B3CCE" w:rsidRDefault="00C45F38" w:rsidP="00C45F38">
      <w:pPr>
        <w:rPr>
          <w:b/>
          <w:bCs/>
          <w:sz w:val="24"/>
          <w:szCs w:val="24"/>
        </w:rPr>
      </w:pPr>
      <w:r w:rsidRPr="003B3CCE">
        <w:rPr>
          <w:b/>
          <w:bCs/>
          <w:sz w:val="24"/>
          <w:szCs w:val="24"/>
        </w:rPr>
        <w:t>Instructional Webcasts:</w:t>
      </w:r>
    </w:p>
    <w:p w14:paraId="606F7CF7" w14:textId="77777777" w:rsidR="00C45F38" w:rsidRPr="003B3CCE" w:rsidRDefault="00C45F38" w:rsidP="00C45F38">
      <w:pPr>
        <w:rPr>
          <w:sz w:val="24"/>
          <w:szCs w:val="24"/>
          <w:shd w:val="clear" w:color="auto" w:fill="FFFFFF"/>
        </w:rPr>
      </w:pPr>
      <w:r w:rsidRPr="003B3CCE">
        <w:rPr>
          <w:sz w:val="24"/>
          <w:szCs w:val="24"/>
        </w:rPr>
        <w:t xml:space="preserve">Using sites like Facebook Live, provide in-person instructional webinars on subjects like plant maintenance, composting, and sustainable gardening techniques. Invite people in the community to share their stories and pose questions </w:t>
      </w:r>
      <w:r w:rsidRPr="003B3CCE">
        <w:rPr>
          <w:sz w:val="24"/>
          <w:szCs w:val="24"/>
          <w:shd w:val="clear" w:color="auto" w:fill="FFFFFF"/>
        </w:rPr>
        <w:t xml:space="preserve">(Thoma et al., 2018). </w:t>
      </w:r>
    </w:p>
    <w:p w14:paraId="46C5D2D8" w14:textId="77777777" w:rsidR="00C45F38" w:rsidRPr="003B3CCE" w:rsidRDefault="00C45F38" w:rsidP="00C45F38">
      <w:pPr>
        <w:rPr>
          <w:b/>
          <w:bCs/>
          <w:sz w:val="24"/>
          <w:szCs w:val="24"/>
        </w:rPr>
      </w:pPr>
      <w:r w:rsidRPr="003B3CCE">
        <w:rPr>
          <w:b/>
          <w:bCs/>
          <w:sz w:val="24"/>
          <w:szCs w:val="24"/>
        </w:rPr>
        <w:t>Group Pinterest Board Collaboration:</w:t>
      </w:r>
    </w:p>
    <w:p w14:paraId="2E36751F" w14:textId="77777777" w:rsidR="00C45F38" w:rsidRPr="003B3CCE" w:rsidRDefault="00C45F38" w:rsidP="00C45F38">
      <w:pPr>
        <w:rPr>
          <w:sz w:val="24"/>
          <w:szCs w:val="24"/>
        </w:rPr>
      </w:pPr>
      <w:r w:rsidRPr="003B3CCE">
        <w:rPr>
          <w:sz w:val="24"/>
          <w:szCs w:val="24"/>
        </w:rPr>
        <w:t>Making cooperative Pinterest boards so locals can share ideas, advice, and do-it-yourself projects related to gardening. The community's creative involvement in the garden project is enhanced by this collaboration space.</w:t>
      </w:r>
    </w:p>
    <w:p w14:paraId="762F067F" w14:textId="77777777" w:rsidR="00C45F38" w:rsidRPr="003B3CCE" w:rsidRDefault="00C45F38" w:rsidP="00C45F38">
      <w:pPr>
        <w:rPr>
          <w:b/>
          <w:bCs/>
          <w:sz w:val="24"/>
          <w:szCs w:val="24"/>
        </w:rPr>
      </w:pPr>
      <w:r w:rsidRPr="003B3CCE">
        <w:rPr>
          <w:b/>
          <w:bCs/>
          <w:sz w:val="24"/>
          <w:szCs w:val="24"/>
        </w:rPr>
        <w:t>Surveys of the Community:</w:t>
      </w:r>
    </w:p>
    <w:p w14:paraId="6ED97220" w14:textId="4D24C3ED" w:rsidR="00C45F38" w:rsidRDefault="00C45F38" w:rsidP="005D0A0C">
      <w:r w:rsidRPr="003B3CCE">
        <w:rPr>
          <w:sz w:val="24"/>
          <w:szCs w:val="24"/>
        </w:rPr>
        <w:t>Conducting community surveys on preferred gardening practices, garden features, and future community events using social media channels. This guarantees that the project is in line with the requirements and interests of the people living in Goldenhill</w:t>
      </w:r>
      <w:r>
        <w:t>.</w:t>
      </w:r>
    </w:p>
    <w:p w14:paraId="2203EFFE" w14:textId="77777777" w:rsidR="00C45F38" w:rsidRPr="003B3CCE" w:rsidRDefault="00C45F38" w:rsidP="00C45F38">
      <w:pPr>
        <w:rPr>
          <w:b/>
          <w:bCs/>
          <w:sz w:val="24"/>
          <w:szCs w:val="24"/>
        </w:rPr>
      </w:pPr>
      <w:r w:rsidRPr="003B3CCE">
        <w:rPr>
          <w:b/>
          <w:bCs/>
          <w:sz w:val="24"/>
          <w:szCs w:val="24"/>
        </w:rPr>
        <w:lastRenderedPageBreak/>
        <w:t>Event Promotion:</w:t>
      </w:r>
    </w:p>
    <w:p w14:paraId="0C1AB061" w14:textId="77777777" w:rsidR="00C45F38" w:rsidRPr="003B3CCE" w:rsidRDefault="00C45F38" w:rsidP="00C45F38">
      <w:pPr>
        <w:rPr>
          <w:sz w:val="24"/>
          <w:szCs w:val="24"/>
        </w:rPr>
      </w:pPr>
      <w:r w:rsidRPr="003B3CCE">
        <w:rPr>
          <w:sz w:val="24"/>
          <w:szCs w:val="24"/>
        </w:rPr>
        <w:t>Using social media to advertise workshops, festivals, and events centred around gardens. Use Facebook's event capabilities to control attendance and create buzz.</w:t>
      </w:r>
    </w:p>
    <w:p w14:paraId="76ED2930" w14:textId="77777777" w:rsidR="00C45F38" w:rsidRPr="003B3CCE" w:rsidRDefault="00C45F38" w:rsidP="00C45F38">
      <w:pPr>
        <w:rPr>
          <w:sz w:val="24"/>
          <w:szCs w:val="24"/>
        </w:rPr>
      </w:pPr>
      <w:r w:rsidRPr="003B3CCE">
        <w:rPr>
          <w:sz w:val="24"/>
          <w:szCs w:val="24"/>
        </w:rPr>
        <w:t>The goal of using social media to involve the community in Goldenhill Garden development should be to create an online environment that reflects the excitement, inclusivity, and teamwork of the actual garden. When combined with engaging content, regular and genuine connections may turn social media into vibrant hubs that increase the Goldenhill Garden project's sustainability and success.</w:t>
      </w:r>
    </w:p>
    <w:p w14:paraId="3B1F04DA" w14:textId="77777777" w:rsidR="00C45F38" w:rsidRPr="003B3CCE" w:rsidRDefault="00C45F38" w:rsidP="00C45F38">
      <w:pPr>
        <w:rPr>
          <w:b/>
          <w:bCs/>
          <w:sz w:val="24"/>
          <w:szCs w:val="24"/>
        </w:rPr>
      </w:pPr>
      <w:r w:rsidRPr="003B3CCE">
        <w:rPr>
          <w:b/>
          <w:bCs/>
          <w:sz w:val="24"/>
          <w:szCs w:val="24"/>
        </w:rPr>
        <w:t>Multiculturalism and Sociocultural Integration:</w:t>
      </w:r>
    </w:p>
    <w:p w14:paraId="3009E5DB" w14:textId="77777777" w:rsidR="00C45F38" w:rsidRPr="003B3CCE" w:rsidRDefault="00C45F38" w:rsidP="00C45F38">
      <w:pPr>
        <w:rPr>
          <w:sz w:val="24"/>
          <w:szCs w:val="24"/>
        </w:rPr>
      </w:pPr>
      <w:r w:rsidRPr="003B3CCE">
        <w:rPr>
          <w:sz w:val="24"/>
          <w:szCs w:val="24"/>
        </w:rPr>
        <w:t>Developing community-wide programmes that address a range of interests while taking age, cultural background, and ability levels into account. Activities that encourage active involvement are inclusive events like gardening seminars or multicultural festivals.</w:t>
      </w:r>
    </w:p>
    <w:p w14:paraId="5055365D" w14:textId="77777777" w:rsidR="00C45F38" w:rsidRPr="003B3CCE" w:rsidRDefault="00C45F38" w:rsidP="00C45F38">
      <w:pPr>
        <w:rPr>
          <w:b/>
          <w:bCs/>
          <w:sz w:val="24"/>
          <w:szCs w:val="24"/>
        </w:rPr>
      </w:pPr>
      <w:r w:rsidRPr="003B3CCE">
        <w:rPr>
          <w:b/>
          <w:bCs/>
          <w:sz w:val="24"/>
          <w:szCs w:val="24"/>
        </w:rPr>
        <w:t>Collaboration and Diversities:</w:t>
      </w:r>
    </w:p>
    <w:p w14:paraId="70136274" w14:textId="77777777" w:rsidR="00C45F38" w:rsidRPr="003B3CCE" w:rsidRDefault="00C45F38" w:rsidP="00C45F38">
      <w:pPr>
        <w:rPr>
          <w:sz w:val="24"/>
          <w:szCs w:val="24"/>
        </w:rPr>
      </w:pPr>
      <w:r w:rsidRPr="003B3CCE">
        <w:rPr>
          <w:sz w:val="24"/>
          <w:szCs w:val="24"/>
        </w:rPr>
        <w:t>Actively solicit community members' opinions on project choices. Form a broad committee with members from various backgrounds. Encourage cross-cultural interactions through gardening activities and common practices.</w:t>
      </w:r>
    </w:p>
    <w:p w14:paraId="6DE8ABC9" w14:textId="77777777" w:rsidR="00C45F38" w:rsidRPr="003B3CCE" w:rsidRDefault="00C45F38" w:rsidP="00C45F38">
      <w:pPr>
        <w:rPr>
          <w:b/>
          <w:bCs/>
          <w:sz w:val="24"/>
          <w:szCs w:val="24"/>
        </w:rPr>
      </w:pPr>
      <w:r w:rsidRPr="003B3CCE">
        <w:rPr>
          <w:b/>
          <w:bCs/>
          <w:sz w:val="24"/>
          <w:szCs w:val="24"/>
        </w:rPr>
        <w:t>Initiatives for Inclusion:</w:t>
      </w:r>
    </w:p>
    <w:p w14:paraId="12133396" w14:textId="77777777" w:rsidR="00C45F38" w:rsidRPr="003B3CCE" w:rsidRDefault="00C45F38" w:rsidP="00C45F38">
      <w:pPr>
        <w:rPr>
          <w:sz w:val="24"/>
          <w:szCs w:val="24"/>
        </w:rPr>
      </w:pPr>
      <w:r w:rsidRPr="003B3CCE">
        <w:rPr>
          <w:sz w:val="24"/>
          <w:szCs w:val="24"/>
        </w:rPr>
        <w:t>Creating programmes to guarantee that everyone, regardless of physical ability, can utilise the garden. Think of ramps for wheelchairs, higher beds, and inclusive signs.</w:t>
      </w:r>
    </w:p>
    <w:p w14:paraId="293655C0" w14:textId="77777777" w:rsidR="007C55AA" w:rsidRPr="003B3CCE" w:rsidRDefault="007C55AA" w:rsidP="007C55AA">
      <w:pPr>
        <w:rPr>
          <w:b/>
          <w:bCs/>
          <w:sz w:val="24"/>
          <w:szCs w:val="24"/>
        </w:rPr>
      </w:pPr>
      <w:r w:rsidRPr="003B3CCE">
        <w:rPr>
          <w:b/>
          <w:bCs/>
          <w:sz w:val="24"/>
          <w:szCs w:val="24"/>
        </w:rPr>
        <w:t>Practitioners of Proactive Community Engagement:</w:t>
      </w:r>
    </w:p>
    <w:p w14:paraId="24847FB1" w14:textId="77777777" w:rsidR="007C55AA" w:rsidRPr="003B3CCE" w:rsidRDefault="007C55AA" w:rsidP="007C55AA">
      <w:pPr>
        <w:rPr>
          <w:sz w:val="24"/>
          <w:szCs w:val="24"/>
        </w:rPr>
      </w:pPr>
      <w:r w:rsidRPr="003B3CCE">
        <w:rPr>
          <w:sz w:val="24"/>
          <w:szCs w:val="24"/>
        </w:rPr>
        <w:t>Practitioners of community engagement are essential in informing the local population about the internal and external elements that affect community development. Information about environmentally-friendly gardening techniques, the advantages of community involvement, and the influence on the environment are all included in this.</w:t>
      </w:r>
    </w:p>
    <w:p w14:paraId="534CC1FF" w14:textId="77777777" w:rsidR="007C55AA" w:rsidRPr="003B3CCE" w:rsidRDefault="007C55AA" w:rsidP="007C55AA">
      <w:pPr>
        <w:rPr>
          <w:b/>
          <w:bCs/>
          <w:sz w:val="24"/>
          <w:szCs w:val="24"/>
        </w:rPr>
      </w:pPr>
      <w:r w:rsidRPr="003B3CCE">
        <w:rPr>
          <w:b/>
          <w:bCs/>
          <w:sz w:val="24"/>
          <w:szCs w:val="24"/>
        </w:rPr>
        <w:t>A proactive approach:</w:t>
      </w:r>
    </w:p>
    <w:p w14:paraId="42BB2515" w14:textId="77777777" w:rsidR="007C55AA" w:rsidRPr="003B3CCE" w:rsidRDefault="007C55AA" w:rsidP="007C55AA">
      <w:pPr>
        <w:rPr>
          <w:sz w:val="24"/>
          <w:szCs w:val="24"/>
        </w:rPr>
      </w:pPr>
      <w:r w:rsidRPr="003B3CCE">
        <w:rPr>
          <w:sz w:val="24"/>
          <w:szCs w:val="24"/>
        </w:rPr>
        <w:t>Taking a proactive approach by gauging the requirements of the community, resolving possible issues, and regularly updating stakeholders on the project's status and objectives. This guarantees educated and involved community members.</w:t>
      </w:r>
    </w:p>
    <w:p w14:paraId="5039616E" w14:textId="77777777" w:rsidR="007C55AA" w:rsidRPr="003B3CCE" w:rsidRDefault="007C55AA" w:rsidP="007C55AA">
      <w:pPr>
        <w:rPr>
          <w:b/>
          <w:bCs/>
          <w:sz w:val="24"/>
          <w:szCs w:val="24"/>
        </w:rPr>
      </w:pPr>
      <w:r w:rsidRPr="003B3CCE">
        <w:rPr>
          <w:b/>
          <w:bCs/>
          <w:sz w:val="24"/>
          <w:szCs w:val="24"/>
        </w:rPr>
        <w:t>Flexibility and Creativity:</w:t>
      </w:r>
    </w:p>
    <w:p w14:paraId="445B87DC" w14:textId="77777777" w:rsidR="007C55AA" w:rsidRPr="003B3CCE" w:rsidRDefault="007C55AA" w:rsidP="007C55AA">
      <w:pPr>
        <w:rPr>
          <w:sz w:val="24"/>
          <w:szCs w:val="24"/>
        </w:rPr>
      </w:pPr>
      <w:r w:rsidRPr="003B3CCE">
        <w:rPr>
          <w:sz w:val="24"/>
          <w:szCs w:val="24"/>
        </w:rPr>
        <w:t xml:space="preserve">When it comes to community participation strategies, remain creative and flexible. Accept new technologies, evaluate how community dynamics are changing, and modify strategies as necessary. The success of community-led projects in the UK is exemplified by the Golden Hill community garden project. Through the adoption of optimal methodologies, efficient engagement of stakeholders, use of social media for outreach, and emphasis on sociocultural integration, Golden Hill has blossomed into a flourishing centre for sustainable community development. Community engagement practitioners have played a crucial part in creating a resilient and inclusive community by being proactive in raising awareness. </w:t>
      </w:r>
      <w:r w:rsidRPr="003B3CCE">
        <w:rPr>
          <w:sz w:val="24"/>
          <w:szCs w:val="24"/>
        </w:rPr>
        <w:lastRenderedPageBreak/>
        <w:t xml:space="preserve">Future community initiatives might draw inspiration from the Golden Hill model, which highlights the value of comprehensive and cooperative methods of community engagement </w:t>
      </w:r>
      <w:r w:rsidRPr="003B3CCE">
        <w:rPr>
          <w:sz w:val="24"/>
          <w:szCs w:val="24"/>
          <w:shd w:val="clear" w:color="auto" w:fill="FFFFFF"/>
        </w:rPr>
        <w:t xml:space="preserve">(Christensen and McQuestin, 2019). </w:t>
      </w:r>
    </w:p>
    <w:p w14:paraId="32CDFAFA" w14:textId="77777777" w:rsidR="007C55AA" w:rsidRDefault="007C55AA" w:rsidP="007C55AA">
      <w:pPr>
        <w:keepNext/>
        <w:jc w:val="center"/>
      </w:pPr>
    </w:p>
    <w:p w14:paraId="6B8ACDC0" w14:textId="77777777" w:rsidR="007C55AA" w:rsidRDefault="007C55AA" w:rsidP="007C55AA">
      <w:pPr>
        <w:keepNext/>
        <w:jc w:val="center"/>
      </w:pPr>
    </w:p>
    <w:p w14:paraId="7E4DBF7F" w14:textId="2322079D" w:rsidR="007C55AA" w:rsidRDefault="007C55AA" w:rsidP="007C55AA">
      <w:pPr>
        <w:keepNext/>
        <w:jc w:val="center"/>
      </w:pPr>
      <w:r w:rsidRPr="006C0120">
        <w:rPr>
          <w:b/>
          <w:bCs/>
          <w:noProof/>
        </w:rPr>
        <w:drawing>
          <wp:inline distT="0" distB="0" distL="0" distR="0" wp14:anchorId="1E44D28D" wp14:editId="514E33D4">
            <wp:extent cx="4430110" cy="2721962"/>
            <wp:effectExtent l="0" t="0" r="8890" b="2540"/>
            <wp:docPr id="1785625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625840" name=""/>
                    <pic:cNvPicPr/>
                  </pic:nvPicPr>
                  <pic:blipFill>
                    <a:blip r:embed="rId10"/>
                    <a:stretch>
                      <a:fillRect/>
                    </a:stretch>
                  </pic:blipFill>
                  <pic:spPr>
                    <a:xfrm>
                      <a:off x="0" y="0"/>
                      <a:ext cx="4433717" cy="2724178"/>
                    </a:xfrm>
                    <a:prstGeom prst="rect">
                      <a:avLst/>
                    </a:prstGeom>
                  </pic:spPr>
                </pic:pic>
              </a:graphicData>
            </a:graphic>
          </wp:inline>
        </w:drawing>
      </w:r>
    </w:p>
    <w:p w14:paraId="07B86C18" w14:textId="77777777" w:rsidR="007C55AA" w:rsidRPr="006C0120" w:rsidRDefault="007C55AA" w:rsidP="007C55AA">
      <w:pPr>
        <w:pStyle w:val="Caption"/>
        <w:spacing w:after="0"/>
        <w:jc w:val="center"/>
        <w:rPr>
          <w:b/>
          <w:bCs/>
          <w:i w:val="0"/>
          <w:iCs w:val="0"/>
          <w:color w:val="000000" w:themeColor="text1"/>
        </w:rPr>
      </w:pPr>
      <w:bookmarkStart w:id="7" w:name="_Toc152154519"/>
      <w:r w:rsidRPr="006C0120">
        <w:rPr>
          <w:b/>
          <w:bCs/>
          <w:i w:val="0"/>
          <w:iCs w:val="0"/>
          <w:color w:val="000000" w:themeColor="text1"/>
        </w:rPr>
        <w:t xml:space="preserve">Figure </w:t>
      </w:r>
      <w:r w:rsidRPr="006C0120">
        <w:rPr>
          <w:b/>
          <w:bCs/>
          <w:i w:val="0"/>
          <w:iCs w:val="0"/>
          <w:color w:val="000000" w:themeColor="text1"/>
        </w:rPr>
        <w:fldChar w:fldCharType="begin"/>
      </w:r>
      <w:r w:rsidRPr="006C0120">
        <w:rPr>
          <w:b/>
          <w:bCs/>
          <w:i w:val="0"/>
          <w:iCs w:val="0"/>
          <w:color w:val="000000" w:themeColor="text1"/>
        </w:rPr>
        <w:instrText xml:space="preserve"> SEQ Figure \* ARABIC </w:instrText>
      </w:r>
      <w:r w:rsidRPr="006C0120">
        <w:rPr>
          <w:b/>
          <w:bCs/>
          <w:i w:val="0"/>
          <w:iCs w:val="0"/>
          <w:color w:val="000000" w:themeColor="text1"/>
        </w:rPr>
        <w:fldChar w:fldCharType="separate"/>
      </w:r>
      <w:r>
        <w:rPr>
          <w:b/>
          <w:bCs/>
          <w:i w:val="0"/>
          <w:iCs w:val="0"/>
          <w:noProof/>
          <w:color w:val="000000" w:themeColor="text1"/>
        </w:rPr>
        <w:t>3</w:t>
      </w:r>
      <w:r w:rsidRPr="006C0120">
        <w:rPr>
          <w:b/>
          <w:bCs/>
          <w:i w:val="0"/>
          <w:iCs w:val="0"/>
          <w:color w:val="000000" w:themeColor="text1"/>
        </w:rPr>
        <w:fldChar w:fldCharType="end"/>
      </w:r>
      <w:r w:rsidRPr="006C0120">
        <w:rPr>
          <w:b/>
          <w:bCs/>
          <w:i w:val="0"/>
          <w:iCs w:val="0"/>
          <w:color w:val="000000" w:themeColor="text1"/>
        </w:rPr>
        <w:t>:(Community engagement</w:t>
      </w:r>
      <w:r>
        <w:rPr>
          <w:b/>
          <w:bCs/>
          <w:i w:val="0"/>
          <w:iCs w:val="0"/>
          <w:color w:val="000000" w:themeColor="text1"/>
        </w:rPr>
        <w:t xml:space="preserve"> in Goldenhill Garden</w:t>
      </w:r>
      <w:r w:rsidRPr="006C0120">
        <w:rPr>
          <w:b/>
          <w:bCs/>
          <w:i w:val="0"/>
          <w:iCs w:val="0"/>
          <w:color w:val="000000" w:themeColor="text1"/>
        </w:rPr>
        <w:t>)</w:t>
      </w:r>
      <w:bookmarkEnd w:id="7"/>
    </w:p>
    <w:p w14:paraId="49178772" w14:textId="77777777" w:rsidR="007C55AA" w:rsidRPr="006C0120" w:rsidRDefault="007C55AA" w:rsidP="007C55AA">
      <w:pPr>
        <w:spacing w:after="0"/>
        <w:jc w:val="center"/>
        <w:rPr>
          <w:b/>
          <w:bCs/>
          <w:color w:val="000000" w:themeColor="text1"/>
          <w:sz w:val="18"/>
          <w:szCs w:val="18"/>
        </w:rPr>
      </w:pPr>
      <w:r w:rsidRPr="006C0120">
        <w:rPr>
          <w:b/>
          <w:bCs/>
          <w:color w:val="000000" w:themeColor="text1"/>
          <w:sz w:val="18"/>
          <w:szCs w:val="18"/>
        </w:rPr>
        <w:t>(Source: The Guardian)</w:t>
      </w:r>
    </w:p>
    <w:p w14:paraId="26B3F922" w14:textId="77777777" w:rsidR="007C55AA" w:rsidRDefault="007C55AA" w:rsidP="007C55AA">
      <w:pPr>
        <w:rPr>
          <w:b/>
          <w:bCs/>
        </w:rPr>
      </w:pPr>
    </w:p>
    <w:p w14:paraId="61694339" w14:textId="47043609" w:rsidR="007C55AA" w:rsidRPr="003B3CCE" w:rsidRDefault="007C55AA" w:rsidP="007C55AA">
      <w:pPr>
        <w:rPr>
          <w:b/>
          <w:bCs/>
          <w:sz w:val="24"/>
          <w:szCs w:val="24"/>
        </w:rPr>
      </w:pPr>
      <w:r w:rsidRPr="003B3CCE">
        <w:rPr>
          <w:b/>
          <w:bCs/>
          <w:sz w:val="24"/>
          <w:szCs w:val="24"/>
        </w:rPr>
        <w:t xml:space="preserve">Areas of Council Activity </w:t>
      </w:r>
    </w:p>
    <w:p w14:paraId="5513CE3C" w14:textId="77777777" w:rsidR="007C55AA" w:rsidRPr="003B3CCE" w:rsidRDefault="007C55AA" w:rsidP="007C55AA">
      <w:pPr>
        <w:rPr>
          <w:b/>
          <w:bCs/>
          <w:sz w:val="24"/>
          <w:szCs w:val="24"/>
        </w:rPr>
      </w:pPr>
    </w:p>
    <w:p w14:paraId="322F511E" w14:textId="77777777" w:rsidR="007C55AA" w:rsidRPr="003B3CCE" w:rsidRDefault="007C55AA" w:rsidP="007C55AA">
      <w:pPr>
        <w:rPr>
          <w:b/>
          <w:bCs/>
          <w:sz w:val="24"/>
          <w:szCs w:val="24"/>
        </w:rPr>
      </w:pPr>
      <w:r w:rsidRPr="003B3CCE">
        <w:rPr>
          <w:b/>
          <w:bCs/>
          <w:sz w:val="24"/>
          <w:szCs w:val="24"/>
        </w:rPr>
        <w:t>Public Safety and Uncertainty:</w:t>
      </w:r>
    </w:p>
    <w:p w14:paraId="5C47AEF5" w14:textId="77777777" w:rsidR="007C55AA" w:rsidRPr="003B3CCE" w:rsidRDefault="007C55AA" w:rsidP="007C55AA">
      <w:pPr>
        <w:rPr>
          <w:sz w:val="24"/>
          <w:szCs w:val="24"/>
        </w:rPr>
      </w:pPr>
      <w:r w:rsidRPr="003B3CCE">
        <w:rPr>
          <w:sz w:val="24"/>
          <w:szCs w:val="24"/>
        </w:rPr>
        <w:t>The council actively participates in addressing issues related to public safety and crime prevention in the community.</w:t>
      </w:r>
    </w:p>
    <w:p w14:paraId="6B0B5D6B" w14:textId="77777777" w:rsidR="007C55AA" w:rsidRPr="003B3CCE" w:rsidRDefault="007C55AA" w:rsidP="007C55AA">
      <w:pPr>
        <w:rPr>
          <w:b/>
          <w:bCs/>
          <w:sz w:val="24"/>
          <w:szCs w:val="24"/>
        </w:rPr>
      </w:pPr>
      <w:r w:rsidRPr="003B3CCE">
        <w:rPr>
          <w:b/>
          <w:bCs/>
          <w:sz w:val="24"/>
          <w:szCs w:val="24"/>
        </w:rPr>
        <w:t>Deprivation in Society:</w:t>
      </w:r>
    </w:p>
    <w:p w14:paraId="2E0BB8C0" w14:textId="77777777" w:rsidR="007C55AA" w:rsidRPr="003B3CCE" w:rsidRDefault="007C55AA" w:rsidP="007C55AA">
      <w:pPr>
        <w:rPr>
          <w:sz w:val="24"/>
          <w:szCs w:val="24"/>
          <w:shd w:val="clear" w:color="auto" w:fill="FFFFFF"/>
        </w:rPr>
      </w:pPr>
      <w:r w:rsidRPr="003B3CCE">
        <w:rPr>
          <w:sz w:val="24"/>
          <w:szCs w:val="24"/>
        </w:rPr>
        <w:t xml:space="preserve">Although there are initiatives in place to address socioeconomic deprivation, outreach to marginalised areas still needs to be improved </w:t>
      </w:r>
      <w:r w:rsidRPr="003B3CCE">
        <w:rPr>
          <w:sz w:val="24"/>
          <w:szCs w:val="24"/>
          <w:shd w:val="clear" w:color="auto" w:fill="FFFFFF"/>
        </w:rPr>
        <w:t xml:space="preserve">(Cox et al., 2019). </w:t>
      </w:r>
    </w:p>
    <w:p w14:paraId="3819E596" w14:textId="77777777" w:rsidR="007C55AA" w:rsidRPr="003B3CCE" w:rsidRDefault="007C55AA" w:rsidP="007C55AA">
      <w:pPr>
        <w:rPr>
          <w:b/>
          <w:bCs/>
          <w:sz w:val="24"/>
          <w:szCs w:val="24"/>
        </w:rPr>
      </w:pPr>
      <w:r w:rsidRPr="003B3CCE">
        <w:rPr>
          <w:b/>
          <w:bCs/>
          <w:sz w:val="24"/>
          <w:szCs w:val="24"/>
        </w:rPr>
        <w:t>Recreational Resources:</w:t>
      </w:r>
    </w:p>
    <w:p w14:paraId="54898ACD" w14:textId="77777777" w:rsidR="007C55AA" w:rsidRPr="003B3CCE" w:rsidRDefault="007C55AA" w:rsidP="007C55AA">
      <w:pPr>
        <w:rPr>
          <w:sz w:val="24"/>
          <w:szCs w:val="24"/>
        </w:rPr>
      </w:pPr>
      <w:r w:rsidRPr="003B3CCE">
        <w:rPr>
          <w:sz w:val="24"/>
          <w:szCs w:val="24"/>
        </w:rPr>
        <w:t>The council offers recreational facilities, different demographic groups may use them at varying rates.</w:t>
      </w:r>
    </w:p>
    <w:p w14:paraId="7885E4DD" w14:textId="77777777" w:rsidR="007C55AA" w:rsidRPr="003B3CCE" w:rsidRDefault="007C55AA" w:rsidP="007C55AA">
      <w:pPr>
        <w:rPr>
          <w:b/>
          <w:bCs/>
          <w:sz w:val="24"/>
          <w:szCs w:val="24"/>
        </w:rPr>
      </w:pPr>
      <w:r w:rsidRPr="003B3CCE">
        <w:rPr>
          <w:b/>
          <w:bCs/>
          <w:sz w:val="24"/>
          <w:szCs w:val="24"/>
        </w:rPr>
        <w:t>Social Equity and Discrimination:</w:t>
      </w:r>
    </w:p>
    <w:p w14:paraId="43A9E8D2" w14:textId="77777777" w:rsidR="007C55AA" w:rsidRPr="003B3CCE" w:rsidRDefault="007C55AA" w:rsidP="007C55AA">
      <w:pPr>
        <w:rPr>
          <w:sz w:val="24"/>
          <w:szCs w:val="24"/>
        </w:rPr>
      </w:pPr>
      <w:r w:rsidRPr="003B3CCE">
        <w:rPr>
          <w:sz w:val="24"/>
          <w:szCs w:val="24"/>
        </w:rPr>
        <w:t>Diversity and inclusion are promoted, and discrimination needs to be addressed with greater focus.</w:t>
      </w:r>
    </w:p>
    <w:p w14:paraId="34E07562" w14:textId="73DBC2FD" w:rsidR="00C45F38" w:rsidRDefault="00C45F38" w:rsidP="005D0A0C"/>
    <w:p w14:paraId="50D45307" w14:textId="7C821BC4" w:rsidR="007C55AA" w:rsidRDefault="007C55AA" w:rsidP="005D0A0C"/>
    <w:p w14:paraId="26702172" w14:textId="36BFD3FA" w:rsidR="007C55AA" w:rsidRDefault="007C55AA" w:rsidP="005D0A0C"/>
    <w:p w14:paraId="7833F52F" w14:textId="7C520455" w:rsidR="007C55AA" w:rsidRDefault="007C55AA" w:rsidP="005D0A0C"/>
    <w:p w14:paraId="717D1F3F" w14:textId="6824A327" w:rsidR="007C55AA" w:rsidRDefault="007C55AA" w:rsidP="005D0A0C"/>
    <w:p w14:paraId="4A6EC549" w14:textId="77777777" w:rsidR="007C55AA" w:rsidRPr="003B3CCE" w:rsidRDefault="007C55AA" w:rsidP="007C55AA">
      <w:pPr>
        <w:rPr>
          <w:b/>
          <w:bCs/>
          <w:sz w:val="24"/>
          <w:szCs w:val="24"/>
        </w:rPr>
      </w:pPr>
      <w:r w:rsidRPr="003B3CCE">
        <w:rPr>
          <w:b/>
          <w:bCs/>
          <w:sz w:val="24"/>
          <w:szCs w:val="24"/>
        </w:rPr>
        <w:t>Environmental Issues:</w:t>
      </w:r>
    </w:p>
    <w:p w14:paraId="169358D0" w14:textId="77777777" w:rsidR="007C55AA" w:rsidRPr="003B3CCE" w:rsidRDefault="007C55AA" w:rsidP="007C55AA">
      <w:pPr>
        <w:rPr>
          <w:sz w:val="24"/>
          <w:szCs w:val="24"/>
        </w:rPr>
      </w:pPr>
      <w:r w:rsidRPr="003B3CCE">
        <w:rPr>
          <w:sz w:val="24"/>
          <w:szCs w:val="24"/>
        </w:rPr>
        <w:t>The council works on environmental projects, but for long-term results, community involvement must be increased.</w:t>
      </w:r>
    </w:p>
    <w:p w14:paraId="5D13686F" w14:textId="77777777" w:rsidR="007C55AA" w:rsidRPr="003B3CCE" w:rsidRDefault="007C55AA" w:rsidP="007C55AA">
      <w:pPr>
        <w:rPr>
          <w:b/>
          <w:bCs/>
          <w:sz w:val="24"/>
          <w:szCs w:val="24"/>
        </w:rPr>
      </w:pPr>
      <w:r w:rsidRPr="003B3CCE">
        <w:rPr>
          <w:b/>
          <w:bCs/>
          <w:sz w:val="24"/>
          <w:szCs w:val="24"/>
        </w:rPr>
        <w:t>Public Safety and Uncertainty:</w:t>
      </w:r>
    </w:p>
    <w:p w14:paraId="4C9A455D" w14:textId="77777777" w:rsidR="007C55AA" w:rsidRPr="003B3CCE" w:rsidRDefault="007C55AA" w:rsidP="007C55AA">
      <w:pPr>
        <w:pStyle w:val="ListParagraph"/>
        <w:numPr>
          <w:ilvl w:val="0"/>
          <w:numId w:val="1"/>
        </w:numPr>
        <w:rPr>
          <w:szCs w:val="24"/>
        </w:rPr>
      </w:pPr>
      <w:r w:rsidRPr="003B3CCE">
        <w:rPr>
          <w:szCs w:val="24"/>
        </w:rPr>
        <w:t>Initiatives that target underserved groups, offer assistance and encourage diversity.</w:t>
      </w:r>
    </w:p>
    <w:p w14:paraId="5563CEDC" w14:textId="77777777" w:rsidR="007C55AA" w:rsidRPr="003B3CCE" w:rsidRDefault="007C55AA" w:rsidP="007C55AA">
      <w:pPr>
        <w:pStyle w:val="ListParagraph"/>
        <w:numPr>
          <w:ilvl w:val="0"/>
          <w:numId w:val="1"/>
        </w:numPr>
        <w:rPr>
          <w:szCs w:val="24"/>
        </w:rPr>
      </w:pPr>
      <w:r w:rsidRPr="003B3CCE">
        <w:rPr>
          <w:szCs w:val="24"/>
        </w:rPr>
        <w:t>Work together with neighbourhood associations to close the communication gap between the council and populations that are difficult to reach.</w:t>
      </w:r>
    </w:p>
    <w:p w14:paraId="7103B219" w14:textId="77777777" w:rsidR="007C55AA" w:rsidRPr="003B3CCE" w:rsidRDefault="007C55AA" w:rsidP="007C55AA">
      <w:pPr>
        <w:pStyle w:val="ListParagraph"/>
        <w:numPr>
          <w:ilvl w:val="0"/>
          <w:numId w:val="1"/>
        </w:numPr>
        <w:rPr>
          <w:szCs w:val="24"/>
        </w:rPr>
      </w:pPr>
      <w:r w:rsidRPr="003B3CCE">
        <w:rPr>
          <w:szCs w:val="24"/>
        </w:rPr>
        <w:t>To learn about the preferences and usage patterns of recreational facilities, hold community meetings or surveys.</w:t>
      </w:r>
    </w:p>
    <w:p w14:paraId="35D463AA" w14:textId="77777777" w:rsidR="007C55AA" w:rsidRPr="003B3CCE" w:rsidRDefault="007C55AA" w:rsidP="007C55AA">
      <w:pPr>
        <w:pStyle w:val="ListParagraph"/>
        <w:numPr>
          <w:ilvl w:val="0"/>
          <w:numId w:val="1"/>
        </w:numPr>
        <w:rPr>
          <w:szCs w:val="24"/>
        </w:rPr>
      </w:pPr>
      <w:r w:rsidRPr="003B3CCE">
        <w:rPr>
          <w:szCs w:val="24"/>
        </w:rPr>
        <w:t>Run focused advertising campaigns to highlight the programmes and facilities that are already in place.</w:t>
      </w:r>
    </w:p>
    <w:p w14:paraId="300050E4" w14:textId="184A2345" w:rsidR="007C55AA" w:rsidRPr="003B3CCE" w:rsidRDefault="007C55AA" w:rsidP="007C55AA">
      <w:pPr>
        <w:pStyle w:val="ListParagraph"/>
        <w:numPr>
          <w:ilvl w:val="0"/>
          <w:numId w:val="1"/>
        </w:numPr>
        <w:rPr>
          <w:szCs w:val="24"/>
        </w:rPr>
      </w:pPr>
      <w:r w:rsidRPr="003B3CCE">
        <w:rPr>
          <w:szCs w:val="24"/>
        </w:rPr>
        <w:t>Investigate joint ventures with neighbourhood sports teams and associations to expand the range of leisure options.</w:t>
      </w:r>
    </w:p>
    <w:p w14:paraId="6F37DDB6" w14:textId="4D41928A" w:rsidR="007C55AA" w:rsidRDefault="007C55AA" w:rsidP="007C55AA">
      <w:pPr>
        <w:pStyle w:val="ListParagraph"/>
      </w:pPr>
    </w:p>
    <w:p w14:paraId="679FA90C" w14:textId="07176780" w:rsidR="007C55AA" w:rsidRDefault="003B3CCE" w:rsidP="003B3CCE">
      <w:pPr>
        <w:pStyle w:val="ListParagraph"/>
        <w:jc w:val="center"/>
      </w:pPr>
      <w:r w:rsidRPr="00522981">
        <w:rPr>
          <w:noProof/>
        </w:rPr>
        <w:drawing>
          <wp:inline distT="0" distB="0" distL="0" distR="0" wp14:anchorId="27EA4662" wp14:editId="5945B594">
            <wp:extent cx="4725479" cy="2738120"/>
            <wp:effectExtent l="0" t="0" r="0" b="5080"/>
            <wp:docPr id="1952239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239341" name=""/>
                    <pic:cNvPicPr/>
                  </pic:nvPicPr>
                  <pic:blipFill>
                    <a:blip r:embed="rId11"/>
                    <a:stretch>
                      <a:fillRect/>
                    </a:stretch>
                  </pic:blipFill>
                  <pic:spPr>
                    <a:xfrm>
                      <a:off x="0" y="0"/>
                      <a:ext cx="4735041" cy="2743661"/>
                    </a:xfrm>
                    <a:prstGeom prst="rect">
                      <a:avLst/>
                    </a:prstGeom>
                  </pic:spPr>
                </pic:pic>
              </a:graphicData>
            </a:graphic>
          </wp:inline>
        </w:drawing>
      </w:r>
    </w:p>
    <w:p w14:paraId="7D65D352" w14:textId="19456BEE" w:rsidR="007C55AA" w:rsidRDefault="007C55AA" w:rsidP="003B3CCE">
      <w:pPr>
        <w:keepNext/>
      </w:pPr>
    </w:p>
    <w:p w14:paraId="4668E707" w14:textId="77777777" w:rsidR="007C55AA" w:rsidRPr="00E2575A" w:rsidRDefault="007C55AA" w:rsidP="007C55AA">
      <w:pPr>
        <w:pStyle w:val="Caption"/>
        <w:numPr>
          <w:ilvl w:val="0"/>
          <w:numId w:val="1"/>
        </w:numPr>
        <w:spacing w:after="0"/>
        <w:jc w:val="center"/>
        <w:rPr>
          <w:b/>
          <w:bCs/>
          <w:i w:val="0"/>
          <w:iCs w:val="0"/>
          <w:color w:val="000000" w:themeColor="text1"/>
        </w:rPr>
      </w:pPr>
      <w:bookmarkStart w:id="8" w:name="_Toc152154520"/>
      <w:r w:rsidRPr="00E2575A">
        <w:rPr>
          <w:b/>
          <w:bCs/>
          <w:i w:val="0"/>
          <w:iCs w:val="0"/>
          <w:color w:val="000000" w:themeColor="text1"/>
        </w:rPr>
        <w:t xml:space="preserve">Figure </w:t>
      </w:r>
      <w:r w:rsidRPr="00E2575A">
        <w:rPr>
          <w:b/>
          <w:bCs/>
          <w:i w:val="0"/>
          <w:iCs w:val="0"/>
          <w:color w:val="000000" w:themeColor="text1"/>
        </w:rPr>
        <w:fldChar w:fldCharType="begin"/>
      </w:r>
      <w:r w:rsidRPr="00E2575A">
        <w:rPr>
          <w:b/>
          <w:bCs/>
          <w:i w:val="0"/>
          <w:iCs w:val="0"/>
          <w:color w:val="000000" w:themeColor="text1"/>
        </w:rPr>
        <w:instrText xml:space="preserve"> SEQ Figure \* ARABIC </w:instrText>
      </w:r>
      <w:r w:rsidRPr="00E2575A">
        <w:rPr>
          <w:b/>
          <w:bCs/>
          <w:i w:val="0"/>
          <w:iCs w:val="0"/>
          <w:color w:val="000000" w:themeColor="text1"/>
        </w:rPr>
        <w:fldChar w:fldCharType="separate"/>
      </w:r>
      <w:r>
        <w:rPr>
          <w:b/>
          <w:bCs/>
          <w:i w:val="0"/>
          <w:iCs w:val="0"/>
          <w:noProof/>
          <w:color w:val="000000" w:themeColor="text1"/>
        </w:rPr>
        <w:t>4</w:t>
      </w:r>
      <w:r w:rsidRPr="00E2575A">
        <w:rPr>
          <w:b/>
          <w:bCs/>
          <w:i w:val="0"/>
          <w:iCs w:val="0"/>
          <w:color w:val="000000" w:themeColor="text1"/>
        </w:rPr>
        <w:fldChar w:fldCharType="end"/>
      </w:r>
      <w:r w:rsidRPr="00E2575A">
        <w:rPr>
          <w:b/>
          <w:bCs/>
          <w:i w:val="0"/>
          <w:iCs w:val="0"/>
          <w:color w:val="000000" w:themeColor="text1"/>
        </w:rPr>
        <w:t>:(Gardeners chatting at the Golden Hill community garden in Bristol Photograph: Adrian Sherratt/Alamy)</w:t>
      </w:r>
      <w:bookmarkEnd w:id="8"/>
    </w:p>
    <w:p w14:paraId="4173C34C" w14:textId="77777777" w:rsidR="007C55AA" w:rsidRPr="007C55AA" w:rsidRDefault="007C55AA" w:rsidP="007C55AA">
      <w:pPr>
        <w:pStyle w:val="ListParagraph"/>
        <w:numPr>
          <w:ilvl w:val="0"/>
          <w:numId w:val="1"/>
        </w:numPr>
        <w:spacing w:after="0"/>
        <w:jc w:val="center"/>
        <w:rPr>
          <w:b/>
          <w:bCs/>
          <w:color w:val="000000" w:themeColor="text1"/>
          <w:sz w:val="18"/>
          <w:szCs w:val="18"/>
        </w:rPr>
      </w:pPr>
      <w:r w:rsidRPr="007C55AA">
        <w:rPr>
          <w:b/>
          <w:bCs/>
          <w:color w:val="000000" w:themeColor="text1"/>
          <w:sz w:val="18"/>
          <w:szCs w:val="18"/>
        </w:rPr>
        <w:t xml:space="preserve">(Source: The Guardian) </w:t>
      </w:r>
    </w:p>
    <w:p w14:paraId="7A7BA793" w14:textId="74D8BD8B" w:rsidR="007C55AA" w:rsidRDefault="007C55AA" w:rsidP="005D0A0C"/>
    <w:p w14:paraId="39EC632D" w14:textId="3CA57B8E" w:rsidR="007C55AA" w:rsidRDefault="007C55AA" w:rsidP="005D0A0C"/>
    <w:p w14:paraId="49085B77" w14:textId="77777777" w:rsidR="007C55AA" w:rsidRPr="003B3CCE" w:rsidRDefault="007C55AA" w:rsidP="007C55AA">
      <w:pPr>
        <w:rPr>
          <w:b/>
          <w:bCs/>
          <w:sz w:val="24"/>
          <w:szCs w:val="24"/>
        </w:rPr>
      </w:pPr>
      <w:r w:rsidRPr="003B3CCE">
        <w:rPr>
          <w:b/>
          <w:bCs/>
          <w:sz w:val="24"/>
          <w:szCs w:val="24"/>
        </w:rPr>
        <w:t>Social Equity and Discrimination:</w:t>
      </w:r>
    </w:p>
    <w:p w14:paraId="60A9C27E" w14:textId="77777777" w:rsidR="007C55AA" w:rsidRPr="003B3CCE" w:rsidRDefault="007C55AA" w:rsidP="007C55AA">
      <w:pPr>
        <w:rPr>
          <w:sz w:val="24"/>
          <w:szCs w:val="24"/>
        </w:rPr>
      </w:pPr>
      <w:r w:rsidRPr="003B3CCE">
        <w:rPr>
          <w:sz w:val="24"/>
          <w:szCs w:val="24"/>
        </w:rPr>
        <w:t>Providing training programmes on diversity and inclusion for council employees to guarantee that service delivery is done with cultural competence.</w:t>
      </w:r>
    </w:p>
    <w:p w14:paraId="6B973995" w14:textId="77777777" w:rsidR="007C55AA" w:rsidRPr="003B3CCE" w:rsidRDefault="007C55AA" w:rsidP="007C55AA">
      <w:pPr>
        <w:rPr>
          <w:sz w:val="24"/>
          <w:szCs w:val="24"/>
        </w:rPr>
      </w:pPr>
      <w:r w:rsidRPr="003B3CCE">
        <w:rPr>
          <w:sz w:val="24"/>
          <w:szCs w:val="24"/>
        </w:rPr>
        <w:t>A dedicated community liaison person should be appointed to handle complaints of discrimination and encourage candid discussion.</w:t>
      </w:r>
    </w:p>
    <w:p w14:paraId="2388F2DB" w14:textId="77777777" w:rsidR="007C55AA" w:rsidRPr="003B3CCE" w:rsidRDefault="007C55AA" w:rsidP="007C55AA">
      <w:pPr>
        <w:rPr>
          <w:sz w:val="24"/>
          <w:szCs w:val="24"/>
        </w:rPr>
      </w:pPr>
      <w:r w:rsidRPr="003B3CCE">
        <w:rPr>
          <w:sz w:val="24"/>
          <w:szCs w:val="24"/>
        </w:rPr>
        <w:t>Plan events in the community that honour cultural variety and encourage mutual understanding.</w:t>
      </w:r>
    </w:p>
    <w:p w14:paraId="5A45479A" w14:textId="77777777" w:rsidR="007C55AA" w:rsidRPr="003B3CCE" w:rsidRDefault="007C55AA" w:rsidP="007C55AA">
      <w:pPr>
        <w:rPr>
          <w:b/>
          <w:bCs/>
          <w:sz w:val="24"/>
          <w:szCs w:val="24"/>
        </w:rPr>
      </w:pPr>
      <w:r w:rsidRPr="003B3CCE">
        <w:rPr>
          <w:b/>
          <w:bCs/>
          <w:sz w:val="24"/>
          <w:szCs w:val="24"/>
        </w:rPr>
        <w:t>Environmental Issues:</w:t>
      </w:r>
    </w:p>
    <w:p w14:paraId="2ED8C7F5" w14:textId="77777777" w:rsidR="007C55AA" w:rsidRPr="003B3CCE" w:rsidRDefault="007C55AA" w:rsidP="007C55AA">
      <w:pPr>
        <w:rPr>
          <w:sz w:val="24"/>
          <w:szCs w:val="24"/>
        </w:rPr>
      </w:pPr>
      <w:r w:rsidRPr="003B3CCE">
        <w:rPr>
          <w:sz w:val="24"/>
          <w:szCs w:val="24"/>
        </w:rPr>
        <w:t>Starting neighbourhood clean-up activities or tree-planting campaigns that are led by the community.</w:t>
      </w:r>
    </w:p>
    <w:p w14:paraId="4D7BDE77" w14:textId="77777777" w:rsidR="007C55AA" w:rsidRPr="003B3CCE" w:rsidRDefault="007C55AA" w:rsidP="007C55AA">
      <w:pPr>
        <w:rPr>
          <w:sz w:val="24"/>
          <w:szCs w:val="24"/>
        </w:rPr>
      </w:pPr>
      <w:r w:rsidRPr="003B3CCE">
        <w:rPr>
          <w:sz w:val="24"/>
          <w:szCs w:val="24"/>
        </w:rPr>
        <w:t>Making use of social media channels to provide instructional materials about sustainable practises and engage the community in environmentally conscious endeavours.</w:t>
      </w:r>
    </w:p>
    <w:p w14:paraId="24125A9E" w14:textId="77777777" w:rsidR="007C55AA" w:rsidRPr="003B3CCE" w:rsidRDefault="007C55AA" w:rsidP="007C55AA">
      <w:pPr>
        <w:rPr>
          <w:sz w:val="24"/>
          <w:szCs w:val="24"/>
        </w:rPr>
      </w:pPr>
      <w:r w:rsidRPr="003B3CCE">
        <w:rPr>
          <w:sz w:val="24"/>
          <w:szCs w:val="24"/>
        </w:rPr>
        <w:t xml:space="preserve">To increase the effectiveness of environmental programmes run by the council, cultivate alliances with nearby environmental organisations. </w:t>
      </w:r>
    </w:p>
    <w:p w14:paraId="3861D2A3" w14:textId="77777777" w:rsidR="007C55AA" w:rsidRPr="003B3CCE" w:rsidRDefault="007C55AA" w:rsidP="007C55AA">
      <w:pPr>
        <w:rPr>
          <w:sz w:val="24"/>
          <w:szCs w:val="24"/>
        </w:rPr>
      </w:pPr>
      <w:r w:rsidRPr="003B3CCE">
        <w:rPr>
          <w:b/>
          <w:bCs/>
          <w:sz w:val="24"/>
          <w:szCs w:val="24"/>
        </w:rPr>
        <w:t>Methods of Research:</w:t>
      </w:r>
    </w:p>
    <w:p w14:paraId="1BDA8990" w14:textId="77777777" w:rsidR="007C55AA" w:rsidRPr="003B3CCE" w:rsidRDefault="007C55AA" w:rsidP="007C55AA">
      <w:pPr>
        <w:rPr>
          <w:sz w:val="24"/>
          <w:szCs w:val="24"/>
        </w:rPr>
      </w:pPr>
      <w:r w:rsidRPr="003B3CCE">
        <w:rPr>
          <w:sz w:val="24"/>
          <w:szCs w:val="24"/>
        </w:rPr>
        <w:t>To extract best practices, case studies of effective community projects tackling related concerns were looked at.</w:t>
      </w:r>
    </w:p>
    <w:p w14:paraId="29DC24B1" w14:textId="77777777" w:rsidR="007C55AA" w:rsidRPr="003B3CCE" w:rsidRDefault="007C55AA" w:rsidP="007C55AA">
      <w:pPr>
        <w:rPr>
          <w:sz w:val="24"/>
          <w:szCs w:val="24"/>
          <w:shd w:val="clear" w:color="auto" w:fill="FFFFFF"/>
        </w:rPr>
      </w:pPr>
      <w:r w:rsidRPr="003B3CCE">
        <w:rPr>
          <w:sz w:val="24"/>
          <w:szCs w:val="24"/>
        </w:rPr>
        <w:t xml:space="preserve">Improving community involvement necessitates a multifaceted strategy that fits the unique requirements and characteristics of our neighbourhood. The council may address important concerns, build closer relationships with locals, and cooperate to create a community that is more lively, inclusive, and sustainable by putting these recommendations into practice. The long-term viability of these projects will depend on ongoing assessment and strategy modification </w:t>
      </w:r>
      <w:r w:rsidRPr="003B3CCE">
        <w:rPr>
          <w:sz w:val="24"/>
          <w:szCs w:val="24"/>
          <w:shd w:val="clear" w:color="auto" w:fill="FFFFFF"/>
        </w:rPr>
        <w:t>(Banks and Westoby, 2019). </w:t>
      </w:r>
    </w:p>
    <w:p w14:paraId="3381D7FE" w14:textId="2D5ACB1B" w:rsidR="007C55AA" w:rsidRDefault="007C55AA" w:rsidP="005D0A0C"/>
    <w:p w14:paraId="0F2E96F0" w14:textId="33FCCDBD" w:rsidR="003B3CCE" w:rsidRDefault="003B3CCE" w:rsidP="005D0A0C"/>
    <w:p w14:paraId="046D8FC6" w14:textId="7A3156AC" w:rsidR="003B3CCE" w:rsidRDefault="003B3CCE" w:rsidP="005D0A0C"/>
    <w:p w14:paraId="51D70A15" w14:textId="41AA9C5F" w:rsidR="003B3CCE" w:rsidRDefault="003B3CCE" w:rsidP="005D0A0C"/>
    <w:p w14:paraId="493DD30F" w14:textId="63D6CB87" w:rsidR="003B3CCE" w:rsidRDefault="003B3CCE" w:rsidP="005D0A0C"/>
    <w:p w14:paraId="424AD528" w14:textId="4BE03493" w:rsidR="003B3CCE" w:rsidRDefault="003B3CCE" w:rsidP="005D0A0C"/>
    <w:p w14:paraId="734DCB75" w14:textId="0A834277" w:rsidR="003B3CCE" w:rsidRDefault="003B3CCE" w:rsidP="005D0A0C"/>
    <w:p w14:paraId="6899858D" w14:textId="64A56682" w:rsidR="003B3CCE" w:rsidRDefault="003B3CCE" w:rsidP="005D0A0C"/>
    <w:p w14:paraId="385A85D5" w14:textId="03CD18D8" w:rsidR="003B3CCE" w:rsidRDefault="003B3CCE" w:rsidP="005D0A0C"/>
    <w:p w14:paraId="6E3ECF7D" w14:textId="7AAAD103" w:rsidR="003B3CCE" w:rsidRDefault="003B3CCE" w:rsidP="005D0A0C"/>
    <w:p w14:paraId="39913FF0" w14:textId="288CCAF3" w:rsidR="003B3CCE" w:rsidRDefault="003B3CCE" w:rsidP="003B3CCE">
      <w:pPr>
        <w:pStyle w:val="Heading1"/>
        <w:rPr>
          <w:sz w:val="24"/>
          <w:szCs w:val="24"/>
        </w:rPr>
      </w:pPr>
      <w:bookmarkStart w:id="9" w:name="_Toc152155056"/>
      <w:r w:rsidRPr="003B3CCE">
        <w:rPr>
          <w:sz w:val="24"/>
          <w:szCs w:val="24"/>
        </w:rPr>
        <w:lastRenderedPageBreak/>
        <w:t>Conclusion</w:t>
      </w:r>
      <w:bookmarkEnd w:id="9"/>
      <w:r w:rsidRPr="003B3CCE">
        <w:rPr>
          <w:sz w:val="24"/>
          <w:szCs w:val="24"/>
        </w:rPr>
        <w:t xml:space="preserve"> </w:t>
      </w:r>
    </w:p>
    <w:p w14:paraId="3C529C3A" w14:textId="77777777" w:rsidR="003B3CCE" w:rsidRPr="003B3CCE" w:rsidRDefault="003B3CCE" w:rsidP="003B3CCE"/>
    <w:p w14:paraId="144EA591" w14:textId="77777777" w:rsidR="003B3CCE" w:rsidRPr="003B3CCE" w:rsidRDefault="003B3CCE" w:rsidP="003B3CCE">
      <w:pPr>
        <w:rPr>
          <w:sz w:val="24"/>
          <w:szCs w:val="24"/>
        </w:rPr>
      </w:pPr>
      <w:r w:rsidRPr="003B3CCE">
        <w:rPr>
          <w:sz w:val="24"/>
          <w:szCs w:val="24"/>
        </w:rPr>
        <w:t>Establishing trust, inclusivity, and productive collaboration between communities and organisers requires a dynamic process called community engagement. As a summary of our investigation, we acknowledge the critical role inclusive and diverse traditional and digital communication channels have in making sure all perspectives are heard. Coordination and strategic planning are essential to the success of upcoming events. Organisers should place a high priority on transparent communication and make event information easily accessible via a variety of media to increase community involvement. Reach can be increased by making use of social media sites, neighbourhood newsletters, and local influencers. By using focused surveys or focus groups in advance, one may better understand the needs and preferences of the community and design events that live up to those expectations. Furthermore, it's critical to promote a sense of involvement and ownership. A more inclusive and meaningful event can be achieved by actively incorporating community members in the planning stages and taking cultural quirks into account. Offering forums for direct communication, like Q&amp;A sessions or workshops, establishes a foundation for fruitful discussion. Our results highlight the significance of a deliberate and inclusive approach to community participation, to sum up. By putting these suggestions into practice, event planners may make sure that subsequent gatherings are well-received by the neighbourhood, encouraging a collaborative attitude that lasts beyond the event and ultimately leading to a community that is more involved and empowered over time.</w:t>
      </w:r>
    </w:p>
    <w:p w14:paraId="3698AC72" w14:textId="48402FA4" w:rsidR="003B3CCE" w:rsidRDefault="003B3CCE" w:rsidP="005D0A0C"/>
    <w:p w14:paraId="617086DC" w14:textId="34F28F6C" w:rsidR="003B3CCE" w:rsidRDefault="003B3CCE" w:rsidP="005D0A0C"/>
    <w:p w14:paraId="5874F27B" w14:textId="19874721" w:rsidR="003B3CCE" w:rsidRDefault="003B3CCE" w:rsidP="005D0A0C"/>
    <w:p w14:paraId="75C08CC9" w14:textId="76E5E604" w:rsidR="003B3CCE" w:rsidRDefault="003B3CCE" w:rsidP="005D0A0C"/>
    <w:p w14:paraId="6CB60FFA" w14:textId="1F8FD2A6" w:rsidR="003B3CCE" w:rsidRDefault="003B3CCE" w:rsidP="005D0A0C"/>
    <w:p w14:paraId="6B90E246" w14:textId="30458B92" w:rsidR="003B3CCE" w:rsidRDefault="003B3CCE" w:rsidP="005D0A0C"/>
    <w:p w14:paraId="7708287E" w14:textId="0F065C6B" w:rsidR="003B3CCE" w:rsidRDefault="003B3CCE" w:rsidP="005D0A0C"/>
    <w:p w14:paraId="0214250E" w14:textId="59DE35B1" w:rsidR="003B3CCE" w:rsidRDefault="003B3CCE" w:rsidP="005D0A0C"/>
    <w:p w14:paraId="3CBEBC91" w14:textId="7C54DB6B" w:rsidR="003B3CCE" w:rsidRDefault="003B3CCE" w:rsidP="005D0A0C"/>
    <w:p w14:paraId="5E72826B" w14:textId="6A022819" w:rsidR="003B3CCE" w:rsidRDefault="003B3CCE" w:rsidP="005D0A0C"/>
    <w:p w14:paraId="6FC93021" w14:textId="14485528" w:rsidR="003B3CCE" w:rsidRDefault="003B3CCE" w:rsidP="005D0A0C"/>
    <w:p w14:paraId="35F79A0D" w14:textId="76DDB93D" w:rsidR="003B3CCE" w:rsidRDefault="003B3CCE" w:rsidP="005D0A0C"/>
    <w:p w14:paraId="3318552B" w14:textId="47881DC6" w:rsidR="003B3CCE" w:rsidRDefault="003B3CCE" w:rsidP="005D0A0C"/>
    <w:p w14:paraId="4BEB15E3" w14:textId="14B380F5" w:rsidR="003B3CCE" w:rsidRDefault="003B3CCE" w:rsidP="005D0A0C"/>
    <w:p w14:paraId="4566E22A" w14:textId="16FF30B7" w:rsidR="003B3CCE" w:rsidRDefault="003B3CCE" w:rsidP="005D0A0C"/>
    <w:p w14:paraId="56FC8C95" w14:textId="31AA217F" w:rsidR="003B3CCE" w:rsidRDefault="003B3CCE" w:rsidP="005D0A0C"/>
    <w:p w14:paraId="3135A599" w14:textId="1B2206CF" w:rsidR="003B3CCE" w:rsidRDefault="003B3CCE" w:rsidP="003B3CCE">
      <w:pPr>
        <w:pStyle w:val="Heading1"/>
        <w:rPr>
          <w:sz w:val="24"/>
          <w:szCs w:val="24"/>
        </w:rPr>
      </w:pPr>
      <w:bookmarkStart w:id="10" w:name="_Toc152155057"/>
      <w:r w:rsidRPr="003B3CCE">
        <w:rPr>
          <w:sz w:val="24"/>
          <w:szCs w:val="24"/>
        </w:rPr>
        <w:lastRenderedPageBreak/>
        <w:t>References</w:t>
      </w:r>
      <w:bookmarkEnd w:id="10"/>
      <w:r w:rsidRPr="003B3CCE">
        <w:rPr>
          <w:sz w:val="24"/>
          <w:szCs w:val="24"/>
        </w:rPr>
        <w:t xml:space="preserve"> </w:t>
      </w:r>
    </w:p>
    <w:p w14:paraId="036BEE19" w14:textId="77777777" w:rsidR="003B3CCE" w:rsidRPr="003B3CCE" w:rsidRDefault="003B3CCE" w:rsidP="003B3CCE"/>
    <w:p w14:paraId="721EBAF7" w14:textId="77777777" w:rsidR="003B3CCE" w:rsidRPr="003B3CCE" w:rsidRDefault="003B3CCE" w:rsidP="003B3CCE">
      <w:pPr>
        <w:rPr>
          <w:sz w:val="24"/>
          <w:szCs w:val="24"/>
          <w:shd w:val="clear" w:color="auto" w:fill="FFFFFF"/>
        </w:rPr>
      </w:pPr>
      <w:bookmarkStart w:id="11" w:name="_Hlk151823291"/>
      <w:r w:rsidRPr="003B3CCE">
        <w:rPr>
          <w:sz w:val="24"/>
          <w:szCs w:val="24"/>
          <w:shd w:val="clear" w:color="auto" w:fill="FFFFFF"/>
        </w:rPr>
        <w:t>Banks, S. and Westoby, P. eds., (2019). </w:t>
      </w:r>
      <w:r w:rsidRPr="003B3CCE">
        <w:rPr>
          <w:i/>
          <w:iCs/>
          <w:sz w:val="24"/>
          <w:szCs w:val="24"/>
          <w:shd w:val="clear" w:color="auto" w:fill="FFFFFF"/>
        </w:rPr>
        <w:t>Ethics, equity and community development</w:t>
      </w:r>
      <w:r w:rsidRPr="003B3CCE">
        <w:rPr>
          <w:sz w:val="24"/>
          <w:szCs w:val="24"/>
          <w:shd w:val="clear" w:color="auto" w:fill="FFFFFF"/>
        </w:rPr>
        <w:t>. Policy Press.</w:t>
      </w:r>
    </w:p>
    <w:p w14:paraId="1FF79483" w14:textId="77777777" w:rsidR="003B3CCE" w:rsidRPr="003B3CCE" w:rsidRDefault="003B3CCE" w:rsidP="003B3CCE">
      <w:pPr>
        <w:rPr>
          <w:sz w:val="24"/>
          <w:szCs w:val="24"/>
          <w:shd w:val="clear" w:color="auto" w:fill="FFFFFF"/>
        </w:rPr>
      </w:pPr>
      <w:r w:rsidRPr="003B3CCE">
        <w:rPr>
          <w:sz w:val="24"/>
          <w:szCs w:val="24"/>
          <w:shd w:val="clear" w:color="auto" w:fill="FFFFFF"/>
        </w:rPr>
        <w:t>Cheng, Y., (2018). How social media is changing crisis communication strategies: Evidence from the updated literature. </w:t>
      </w:r>
      <w:r w:rsidRPr="003B3CCE">
        <w:rPr>
          <w:i/>
          <w:iCs/>
          <w:sz w:val="24"/>
          <w:szCs w:val="24"/>
          <w:shd w:val="clear" w:color="auto" w:fill="FFFFFF"/>
        </w:rPr>
        <w:t>Journal of Contingencies and crisis management</w:t>
      </w:r>
      <w:r w:rsidRPr="003B3CCE">
        <w:rPr>
          <w:sz w:val="24"/>
          <w:szCs w:val="24"/>
          <w:shd w:val="clear" w:color="auto" w:fill="FFFFFF"/>
        </w:rPr>
        <w:t>, </w:t>
      </w:r>
      <w:r w:rsidRPr="003B3CCE">
        <w:rPr>
          <w:i/>
          <w:iCs/>
          <w:sz w:val="24"/>
          <w:szCs w:val="24"/>
          <w:shd w:val="clear" w:color="auto" w:fill="FFFFFF"/>
        </w:rPr>
        <w:t>26</w:t>
      </w:r>
      <w:r w:rsidRPr="003B3CCE">
        <w:rPr>
          <w:sz w:val="24"/>
          <w:szCs w:val="24"/>
          <w:shd w:val="clear" w:color="auto" w:fill="FFFFFF"/>
        </w:rPr>
        <w:t>(1), pp.58-68.</w:t>
      </w:r>
    </w:p>
    <w:p w14:paraId="780925F3" w14:textId="77777777" w:rsidR="003B3CCE" w:rsidRPr="003B3CCE" w:rsidRDefault="003B3CCE" w:rsidP="003B3CCE">
      <w:pPr>
        <w:rPr>
          <w:sz w:val="24"/>
          <w:szCs w:val="24"/>
          <w:shd w:val="clear" w:color="auto" w:fill="FFFFFF"/>
        </w:rPr>
      </w:pPr>
      <w:r w:rsidRPr="003B3CCE">
        <w:rPr>
          <w:sz w:val="24"/>
          <w:szCs w:val="24"/>
          <w:shd w:val="clear" w:color="auto" w:fill="FFFFFF"/>
        </w:rPr>
        <w:t>Christensen, H.E. and McQuestin, D., (2019). Community engagement in Australian local governments: A closer look and strategic implications. </w:t>
      </w:r>
      <w:r w:rsidRPr="003B3CCE">
        <w:rPr>
          <w:i/>
          <w:iCs/>
          <w:sz w:val="24"/>
          <w:szCs w:val="24"/>
          <w:shd w:val="clear" w:color="auto" w:fill="FFFFFF"/>
        </w:rPr>
        <w:t>Local government studies</w:t>
      </w:r>
      <w:r w:rsidRPr="003B3CCE">
        <w:rPr>
          <w:sz w:val="24"/>
          <w:szCs w:val="24"/>
          <w:shd w:val="clear" w:color="auto" w:fill="FFFFFF"/>
        </w:rPr>
        <w:t>, </w:t>
      </w:r>
      <w:r w:rsidRPr="003B3CCE">
        <w:rPr>
          <w:i/>
          <w:iCs/>
          <w:sz w:val="24"/>
          <w:szCs w:val="24"/>
          <w:shd w:val="clear" w:color="auto" w:fill="FFFFFF"/>
        </w:rPr>
        <w:t>45</w:t>
      </w:r>
      <w:r w:rsidRPr="003B3CCE">
        <w:rPr>
          <w:sz w:val="24"/>
          <w:szCs w:val="24"/>
          <w:shd w:val="clear" w:color="auto" w:fill="FFFFFF"/>
        </w:rPr>
        <w:t>(4), pp.453-480.</w:t>
      </w:r>
    </w:p>
    <w:p w14:paraId="1201DC9B" w14:textId="77777777" w:rsidR="003B3CCE" w:rsidRPr="003B3CCE" w:rsidRDefault="003B3CCE" w:rsidP="003B3CCE">
      <w:pPr>
        <w:rPr>
          <w:sz w:val="24"/>
          <w:szCs w:val="24"/>
          <w:shd w:val="clear" w:color="auto" w:fill="FFFFFF"/>
        </w:rPr>
      </w:pPr>
      <w:r w:rsidRPr="003B3CCE">
        <w:rPr>
          <w:sz w:val="24"/>
          <w:szCs w:val="24"/>
          <w:shd w:val="clear" w:color="auto" w:fill="FFFFFF"/>
        </w:rPr>
        <w:t>Cox, J.G., Chung, M., Hamm, J.A., Zwickle, A., Cruz, S.M. and Dearing, J.W., (2019). Working with Institutional Stakeholders: Propositions for Alternative Approaches to Community Engagement. </w:t>
      </w:r>
      <w:r w:rsidRPr="003B3CCE">
        <w:rPr>
          <w:i/>
          <w:iCs/>
          <w:sz w:val="24"/>
          <w:szCs w:val="24"/>
          <w:shd w:val="clear" w:color="auto" w:fill="FFFFFF"/>
        </w:rPr>
        <w:t>International journal of environmental research and public health</w:t>
      </w:r>
      <w:r w:rsidRPr="003B3CCE">
        <w:rPr>
          <w:sz w:val="24"/>
          <w:szCs w:val="24"/>
          <w:shd w:val="clear" w:color="auto" w:fill="FFFFFF"/>
        </w:rPr>
        <w:t>, </w:t>
      </w:r>
      <w:r w:rsidRPr="003B3CCE">
        <w:rPr>
          <w:i/>
          <w:iCs/>
          <w:sz w:val="24"/>
          <w:szCs w:val="24"/>
          <w:shd w:val="clear" w:color="auto" w:fill="FFFFFF"/>
        </w:rPr>
        <w:t>16</w:t>
      </w:r>
      <w:r w:rsidRPr="003B3CCE">
        <w:rPr>
          <w:sz w:val="24"/>
          <w:szCs w:val="24"/>
          <w:shd w:val="clear" w:color="auto" w:fill="FFFFFF"/>
        </w:rPr>
        <w:t>(20), p.4010.</w:t>
      </w:r>
    </w:p>
    <w:p w14:paraId="6C78ED90" w14:textId="77777777" w:rsidR="003B3CCE" w:rsidRPr="003B3CCE" w:rsidRDefault="003B3CCE" w:rsidP="003B3CCE">
      <w:pPr>
        <w:rPr>
          <w:sz w:val="24"/>
          <w:szCs w:val="24"/>
          <w:shd w:val="clear" w:color="auto" w:fill="FFFFFF"/>
        </w:rPr>
      </w:pPr>
      <w:r w:rsidRPr="003B3CCE">
        <w:rPr>
          <w:sz w:val="24"/>
          <w:szCs w:val="24"/>
          <w:shd w:val="clear" w:color="auto" w:fill="FFFFFF"/>
        </w:rPr>
        <w:t>Ferreira, V., Barreira, A.P., Loures, L., Antunes, D. and Panagopoulos, T., (2020). Stakeholders’ engagement on nature-based solutions: A systematic literature review. </w:t>
      </w:r>
      <w:r w:rsidRPr="003B3CCE">
        <w:rPr>
          <w:i/>
          <w:iCs/>
          <w:sz w:val="24"/>
          <w:szCs w:val="24"/>
          <w:shd w:val="clear" w:color="auto" w:fill="FFFFFF"/>
        </w:rPr>
        <w:t>Sustainability</w:t>
      </w:r>
      <w:r w:rsidRPr="003B3CCE">
        <w:rPr>
          <w:sz w:val="24"/>
          <w:szCs w:val="24"/>
          <w:shd w:val="clear" w:color="auto" w:fill="FFFFFF"/>
        </w:rPr>
        <w:t>, </w:t>
      </w:r>
      <w:r w:rsidRPr="003B3CCE">
        <w:rPr>
          <w:i/>
          <w:iCs/>
          <w:sz w:val="24"/>
          <w:szCs w:val="24"/>
          <w:shd w:val="clear" w:color="auto" w:fill="FFFFFF"/>
        </w:rPr>
        <w:t>12</w:t>
      </w:r>
      <w:r w:rsidRPr="003B3CCE">
        <w:rPr>
          <w:sz w:val="24"/>
          <w:szCs w:val="24"/>
          <w:shd w:val="clear" w:color="auto" w:fill="FFFFFF"/>
        </w:rPr>
        <w:t>(2), p.640.</w:t>
      </w:r>
    </w:p>
    <w:p w14:paraId="763EA38C" w14:textId="77777777" w:rsidR="003B3CCE" w:rsidRPr="003B3CCE" w:rsidRDefault="003B3CCE" w:rsidP="003B3CCE">
      <w:pPr>
        <w:rPr>
          <w:sz w:val="24"/>
          <w:szCs w:val="24"/>
          <w:shd w:val="clear" w:color="auto" w:fill="FFFFFF"/>
        </w:rPr>
      </w:pPr>
      <w:r w:rsidRPr="003B3CCE">
        <w:rPr>
          <w:sz w:val="24"/>
          <w:szCs w:val="24"/>
          <w:shd w:val="clear" w:color="auto" w:fill="FFFFFF"/>
        </w:rPr>
        <w:t>Kapoor, K.K., Tamilmani, K., Rana, N.P., Patil, P., Dwivedi, Y.K. and Nerur, S., (2018). Advances in social media research: Past, present and future. </w:t>
      </w:r>
      <w:r w:rsidRPr="003B3CCE">
        <w:rPr>
          <w:i/>
          <w:iCs/>
          <w:sz w:val="24"/>
          <w:szCs w:val="24"/>
          <w:shd w:val="clear" w:color="auto" w:fill="FFFFFF"/>
        </w:rPr>
        <w:t>Information Systems Frontiers</w:t>
      </w:r>
      <w:r w:rsidRPr="003B3CCE">
        <w:rPr>
          <w:sz w:val="24"/>
          <w:szCs w:val="24"/>
          <w:shd w:val="clear" w:color="auto" w:fill="FFFFFF"/>
        </w:rPr>
        <w:t>, </w:t>
      </w:r>
      <w:r w:rsidRPr="003B3CCE">
        <w:rPr>
          <w:i/>
          <w:iCs/>
          <w:sz w:val="24"/>
          <w:szCs w:val="24"/>
          <w:shd w:val="clear" w:color="auto" w:fill="FFFFFF"/>
        </w:rPr>
        <w:t>20</w:t>
      </w:r>
      <w:r w:rsidRPr="003B3CCE">
        <w:rPr>
          <w:sz w:val="24"/>
          <w:szCs w:val="24"/>
          <w:shd w:val="clear" w:color="auto" w:fill="FFFFFF"/>
        </w:rPr>
        <w:t>, pp.531-558.</w:t>
      </w:r>
    </w:p>
    <w:p w14:paraId="5C1523F9" w14:textId="77777777" w:rsidR="003B3CCE" w:rsidRPr="003B3CCE" w:rsidRDefault="003B3CCE" w:rsidP="003B3CCE">
      <w:pPr>
        <w:rPr>
          <w:sz w:val="24"/>
          <w:szCs w:val="24"/>
          <w:shd w:val="clear" w:color="auto" w:fill="FFFFFF"/>
        </w:rPr>
      </w:pPr>
      <w:r w:rsidRPr="003B3CCE">
        <w:rPr>
          <w:sz w:val="24"/>
          <w:szCs w:val="24"/>
          <w:shd w:val="clear" w:color="auto" w:fill="FFFFFF"/>
        </w:rPr>
        <w:t>Ledwith, M., (2020). </w:t>
      </w:r>
      <w:r w:rsidRPr="003B3CCE">
        <w:rPr>
          <w:i/>
          <w:iCs/>
          <w:sz w:val="24"/>
          <w:szCs w:val="24"/>
          <w:shd w:val="clear" w:color="auto" w:fill="FFFFFF"/>
        </w:rPr>
        <w:t>Community development: A critical approach</w:t>
      </w:r>
      <w:r w:rsidRPr="003B3CCE">
        <w:rPr>
          <w:sz w:val="24"/>
          <w:szCs w:val="24"/>
          <w:shd w:val="clear" w:color="auto" w:fill="FFFFFF"/>
        </w:rPr>
        <w:t>. Policy Press.</w:t>
      </w:r>
    </w:p>
    <w:p w14:paraId="3211F9E0" w14:textId="77777777" w:rsidR="003B3CCE" w:rsidRPr="003B3CCE" w:rsidRDefault="003B3CCE" w:rsidP="003B3CCE">
      <w:pPr>
        <w:rPr>
          <w:sz w:val="24"/>
          <w:szCs w:val="24"/>
          <w:shd w:val="clear" w:color="auto" w:fill="FFFFFF"/>
        </w:rPr>
      </w:pPr>
      <w:r w:rsidRPr="003B3CCE">
        <w:rPr>
          <w:sz w:val="24"/>
          <w:szCs w:val="24"/>
          <w:shd w:val="clear" w:color="auto" w:fill="FFFFFF"/>
        </w:rPr>
        <w:t>Quick, K.S. and Bryson, J.M., (2016). 14. Public participation. </w:t>
      </w:r>
      <w:r w:rsidRPr="003B3CCE">
        <w:rPr>
          <w:i/>
          <w:iCs/>
          <w:sz w:val="24"/>
          <w:szCs w:val="24"/>
          <w:shd w:val="clear" w:color="auto" w:fill="FFFFFF"/>
        </w:rPr>
        <w:t>Handbook on theories of governance</w:t>
      </w:r>
      <w:r w:rsidRPr="003B3CCE">
        <w:rPr>
          <w:sz w:val="24"/>
          <w:szCs w:val="24"/>
          <w:shd w:val="clear" w:color="auto" w:fill="FFFFFF"/>
        </w:rPr>
        <w:t>, p.158.</w:t>
      </w:r>
    </w:p>
    <w:p w14:paraId="76ABC7DC" w14:textId="77777777" w:rsidR="003B3CCE" w:rsidRPr="003B3CCE" w:rsidRDefault="003B3CCE" w:rsidP="003B3CCE">
      <w:pPr>
        <w:rPr>
          <w:sz w:val="24"/>
          <w:szCs w:val="24"/>
          <w:shd w:val="clear" w:color="auto" w:fill="FFFFFF"/>
        </w:rPr>
      </w:pPr>
      <w:r w:rsidRPr="003B3CCE">
        <w:rPr>
          <w:sz w:val="24"/>
          <w:szCs w:val="24"/>
          <w:shd w:val="clear" w:color="auto" w:fill="FFFFFF"/>
        </w:rPr>
        <w:t>Thaler, T. and Levin-Keitel, M., (2016). Multi-level stakeholder engagement in flood risk management—A question of roles and power: Lessons from England. </w:t>
      </w:r>
      <w:r w:rsidRPr="003B3CCE">
        <w:rPr>
          <w:i/>
          <w:iCs/>
          <w:sz w:val="24"/>
          <w:szCs w:val="24"/>
          <w:shd w:val="clear" w:color="auto" w:fill="FFFFFF"/>
        </w:rPr>
        <w:t>Environmental Science &amp; Policy</w:t>
      </w:r>
      <w:r w:rsidRPr="003B3CCE">
        <w:rPr>
          <w:sz w:val="24"/>
          <w:szCs w:val="24"/>
          <w:shd w:val="clear" w:color="auto" w:fill="FFFFFF"/>
        </w:rPr>
        <w:t>, </w:t>
      </w:r>
      <w:r w:rsidRPr="003B3CCE">
        <w:rPr>
          <w:i/>
          <w:iCs/>
          <w:sz w:val="24"/>
          <w:szCs w:val="24"/>
          <w:shd w:val="clear" w:color="auto" w:fill="FFFFFF"/>
        </w:rPr>
        <w:t>55</w:t>
      </w:r>
      <w:r w:rsidRPr="003B3CCE">
        <w:rPr>
          <w:sz w:val="24"/>
          <w:szCs w:val="24"/>
          <w:shd w:val="clear" w:color="auto" w:fill="FFFFFF"/>
        </w:rPr>
        <w:t>, pp.292-301.</w:t>
      </w:r>
    </w:p>
    <w:p w14:paraId="371F39AF" w14:textId="77777777" w:rsidR="003B3CCE" w:rsidRPr="003B3CCE" w:rsidRDefault="003B3CCE" w:rsidP="003B3CCE">
      <w:pPr>
        <w:rPr>
          <w:sz w:val="24"/>
          <w:szCs w:val="24"/>
          <w:shd w:val="clear" w:color="auto" w:fill="FFFFFF"/>
        </w:rPr>
      </w:pPr>
      <w:r w:rsidRPr="003B3CCE">
        <w:rPr>
          <w:sz w:val="24"/>
          <w:szCs w:val="24"/>
          <w:shd w:val="clear" w:color="auto" w:fill="FFFFFF"/>
        </w:rPr>
        <w:t>Thoma, B., Brazil, V., Spurr, J., Palaganas, J., Eppich, W., Grant, V. and Cheng, A., (2018). Establishing a virtual community of practice in simulation: the value of social media. </w:t>
      </w:r>
      <w:r w:rsidRPr="003B3CCE">
        <w:rPr>
          <w:i/>
          <w:iCs/>
          <w:sz w:val="24"/>
          <w:szCs w:val="24"/>
          <w:shd w:val="clear" w:color="auto" w:fill="FFFFFF"/>
        </w:rPr>
        <w:t>Simulation in Healthcare</w:t>
      </w:r>
      <w:r w:rsidRPr="003B3CCE">
        <w:rPr>
          <w:sz w:val="24"/>
          <w:szCs w:val="24"/>
          <w:shd w:val="clear" w:color="auto" w:fill="FFFFFF"/>
        </w:rPr>
        <w:t>, </w:t>
      </w:r>
      <w:r w:rsidRPr="003B3CCE">
        <w:rPr>
          <w:i/>
          <w:iCs/>
          <w:sz w:val="24"/>
          <w:szCs w:val="24"/>
          <w:shd w:val="clear" w:color="auto" w:fill="FFFFFF"/>
        </w:rPr>
        <w:t>13</w:t>
      </w:r>
      <w:r w:rsidRPr="003B3CCE">
        <w:rPr>
          <w:sz w:val="24"/>
          <w:szCs w:val="24"/>
          <w:shd w:val="clear" w:color="auto" w:fill="FFFFFF"/>
        </w:rPr>
        <w:t>(2), pp.124-130.</w:t>
      </w:r>
    </w:p>
    <w:bookmarkEnd w:id="11"/>
    <w:p w14:paraId="094B8D1E" w14:textId="77777777" w:rsidR="003B3CCE" w:rsidRPr="003B3CCE" w:rsidRDefault="003B3CCE" w:rsidP="005D0A0C">
      <w:pPr>
        <w:rPr>
          <w:sz w:val="24"/>
          <w:szCs w:val="24"/>
        </w:rPr>
      </w:pPr>
    </w:p>
    <w:sectPr w:rsidR="003B3CCE" w:rsidRPr="003B3C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E4884D" w14:textId="77777777" w:rsidR="00EB39CB" w:rsidRDefault="00EB39CB" w:rsidP="005D0A0C">
      <w:pPr>
        <w:spacing w:after="0" w:line="240" w:lineRule="auto"/>
      </w:pPr>
      <w:r>
        <w:separator/>
      </w:r>
    </w:p>
  </w:endnote>
  <w:endnote w:type="continuationSeparator" w:id="0">
    <w:p w14:paraId="6A1FC7CD" w14:textId="77777777" w:rsidR="00EB39CB" w:rsidRDefault="00EB39CB" w:rsidP="005D0A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4E14B2" w14:textId="77777777" w:rsidR="00EB39CB" w:rsidRDefault="00EB39CB" w:rsidP="005D0A0C">
      <w:pPr>
        <w:spacing w:after="0" w:line="240" w:lineRule="auto"/>
      </w:pPr>
      <w:r>
        <w:separator/>
      </w:r>
    </w:p>
  </w:footnote>
  <w:footnote w:type="continuationSeparator" w:id="0">
    <w:p w14:paraId="3C9152A0" w14:textId="77777777" w:rsidR="00EB39CB" w:rsidRDefault="00EB39CB" w:rsidP="005D0A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093406"/>
    <w:multiLevelType w:val="hybridMultilevel"/>
    <w:tmpl w:val="FCB4460A"/>
    <w:lvl w:ilvl="0" w:tplc="002273F2">
      <w:start w:val="1"/>
      <w:numFmt w:val="bullet"/>
      <w:lvlText w:val=""/>
      <w:lvlJc w:val="left"/>
      <w:pPr>
        <w:ind w:left="720" w:hanging="360"/>
      </w:pPr>
      <w:rPr>
        <w:rFonts w:ascii="Symbol" w:hAnsi="Symbol" w:hint="default"/>
      </w:rPr>
    </w:lvl>
    <w:lvl w:ilvl="1" w:tplc="AC6E9912" w:tentative="1">
      <w:start w:val="1"/>
      <w:numFmt w:val="bullet"/>
      <w:lvlText w:val="o"/>
      <w:lvlJc w:val="left"/>
      <w:pPr>
        <w:ind w:left="1440" w:hanging="360"/>
      </w:pPr>
      <w:rPr>
        <w:rFonts w:ascii="Courier New" w:hAnsi="Courier New" w:cs="Courier New" w:hint="default"/>
      </w:rPr>
    </w:lvl>
    <w:lvl w:ilvl="2" w:tplc="EAE61EAC" w:tentative="1">
      <w:start w:val="1"/>
      <w:numFmt w:val="bullet"/>
      <w:lvlText w:val=""/>
      <w:lvlJc w:val="left"/>
      <w:pPr>
        <w:ind w:left="2160" w:hanging="360"/>
      </w:pPr>
      <w:rPr>
        <w:rFonts w:ascii="Wingdings" w:hAnsi="Wingdings" w:hint="default"/>
      </w:rPr>
    </w:lvl>
    <w:lvl w:ilvl="3" w:tplc="2B2800AE" w:tentative="1">
      <w:start w:val="1"/>
      <w:numFmt w:val="bullet"/>
      <w:lvlText w:val=""/>
      <w:lvlJc w:val="left"/>
      <w:pPr>
        <w:ind w:left="2880" w:hanging="360"/>
      </w:pPr>
      <w:rPr>
        <w:rFonts w:ascii="Symbol" w:hAnsi="Symbol" w:hint="default"/>
      </w:rPr>
    </w:lvl>
    <w:lvl w:ilvl="4" w:tplc="628C1DE6" w:tentative="1">
      <w:start w:val="1"/>
      <w:numFmt w:val="bullet"/>
      <w:lvlText w:val="o"/>
      <w:lvlJc w:val="left"/>
      <w:pPr>
        <w:ind w:left="3600" w:hanging="360"/>
      </w:pPr>
      <w:rPr>
        <w:rFonts w:ascii="Courier New" w:hAnsi="Courier New" w:cs="Courier New" w:hint="default"/>
      </w:rPr>
    </w:lvl>
    <w:lvl w:ilvl="5" w:tplc="85D81352" w:tentative="1">
      <w:start w:val="1"/>
      <w:numFmt w:val="bullet"/>
      <w:lvlText w:val=""/>
      <w:lvlJc w:val="left"/>
      <w:pPr>
        <w:ind w:left="4320" w:hanging="360"/>
      </w:pPr>
      <w:rPr>
        <w:rFonts w:ascii="Wingdings" w:hAnsi="Wingdings" w:hint="default"/>
      </w:rPr>
    </w:lvl>
    <w:lvl w:ilvl="6" w:tplc="AB8EFDB2" w:tentative="1">
      <w:start w:val="1"/>
      <w:numFmt w:val="bullet"/>
      <w:lvlText w:val=""/>
      <w:lvlJc w:val="left"/>
      <w:pPr>
        <w:ind w:left="5040" w:hanging="360"/>
      </w:pPr>
      <w:rPr>
        <w:rFonts w:ascii="Symbol" w:hAnsi="Symbol" w:hint="default"/>
      </w:rPr>
    </w:lvl>
    <w:lvl w:ilvl="7" w:tplc="37C286AC" w:tentative="1">
      <w:start w:val="1"/>
      <w:numFmt w:val="bullet"/>
      <w:lvlText w:val="o"/>
      <w:lvlJc w:val="left"/>
      <w:pPr>
        <w:ind w:left="5760" w:hanging="360"/>
      </w:pPr>
      <w:rPr>
        <w:rFonts w:ascii="Courier New" w:hAnsi="Courier New" w:cs="Courier New" w:hint="default"/>
      </w:rPr>
    </w:lvl>
    <w:lvl w:ilvl="8" w:tplc="046292DA"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FC0"/>
    <w:rsid w:val="00071615"/>
    <w:rsid w:val="001159E2"/>
    <w:rsid w:val="003B3CCE"/>
    <w:rsid w:val="005D0A0C"/>
    <w:rsid w:val="006868C5"/>
    <w:rsid w:val="007C55AA"/>
    <w:rsid w:val="00805ACF"/>
    <w:rsid w:val="008772B4"/>
    <w:rsid w:val="008918FC"/>
    <w:rsid w:val="00C27FC0"/>
    <w:rsid w:val="00C45F38"/>
    <w:rsid w:val="00EB3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0DD82"/>
  <w15:chartTrackingRefBased/>
  <w15:docId w15:val="{F737E87D-C6BB-48DB-A71F-0653A66FE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0A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0A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0A0C"/>
  </w:style>
  <w:style w:type="paragraph" w:styleId="Footer">
    <w:name w:val="footer"/>
    <w:basedOn w:val="Normal"/>
    <w:link w:val="FooterChar"/>
    <w:uiPriority w:val="99"/>
    <w:unhideWhenUsed/>
    <w:rsid w:val="005D0A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0A0C"/>
  </w:style>
  <w:style w:type="character" w:customStyle="1" w:styleId="Heading1Char">
    <w:name w:val="Heading 1 Char"/>
    <w:basedOn w:val="DefaultParagraphFont"/>
    <w:link w:val="Heading1"/>
    <w:uiPriority w:val="9"/>
    <w:rsid w:val="005D0A0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0A0C"/>
    <w:pPr>
      <w:outlineLvl w:val="9"/>
    </w:pPr>
    <w:rPr>
      <w:lang w:val="en-US"/>
    </w:rPr>
  </w:style>
  <w:style w:type="paragraph" w:styleId="TOC1">
    <w:name w:val="toc 1"/>
    <w:basedOn w:val="Normal"/>
    <w:next w:val="Normal"/>
    <w:autoRedefine/>
    <w:uiPriority w:val="39"/>
    <w:unhideWhenUsed/>
    <w:rsid w:val="005D0A0C"/>
    <w:pPr>
      <w:spacing w:after="100" w:line="360" w:lineRule="auto"/>
      <w:jc w:val="both"/>
    </w:pPr>
    <w:rPr>
      <w:rFonts w:ascii="Times New Roman" w:hAnsi="Times New Roman"/>
      <w:kern w:val="2"/>
      <w:sz w:val="24"/>
      <w:lang w:val="en-US"/>
      <w14:ligatures w14:val="standardContextual"/>
    </w:rPr>
  </w:style>
  <w:style w:type="character" w:styleId="Hyperlink">
    <w:name w:val="Hyperlink"/>
    <w:basedOn w:val="DefaultParagraphFont"/>
    <w:uiPriority w:val="99"/>
    <w:unhideWhenUsed/>
    <w:rsid w:val="005D0A0C"/>
    <w:rPr>
      <w:color w:val="0563C1" w:themeColor="hyperlink"/>
      <w:u w:val="single"/>
    </w:rPr>
  </w:style>
  <w:style w:type="paragraph" w:styleId="TableofFigures">
    <w:name w:val="table of figures"/>
    <w:basedOn w:val="Normal"/>
    <w:next w:val="Normal"/>
    <w:uiPriority w:val="99"/>
    <w:unhideWhenUsed/>
    <w:rsid w:val="005D0A0C"/>
    <w:pPr>
      <w:spacing w:after="0" w:line="360" w:lineRule="auto"/>
      <w:jc w:val="both"/>
    </w:pPr>
    <w:rPr>
      <w:rFonts w:ascii="Times New Roman" w:hAnsi="Times New Roman"/>
      <w:kern w:val="2"/>
      <w:sz w:val="24"/>
      <w:lang w:val="en-US"/>
      <w14:ligatures w14:val="standardContextual"/>
    </w:rPr>
  </w:style>
  <w:style w:type="paragraph" w:styleId="Caption">
    <w:name w:val="caption"/>
    <w:basedOn w:val="Normal"/>
    <w:next w:val="Normal"/>
    <w:uiPriority w:val="35"/>
    <w:unhideWhenUsed/>
    <w:qFormat/>
    <w:rsid w:val="008918FC"/>
    <w:pPr>
      <w:spacing w:after="200" w:line="240" w:lineRule="auto"/>
      <w:jc w:val="both"/>
    </w:pPr>
    <w:rPr>
      <w:rFonts w:ascii="Times New Roman" w:hAnsi="Times New Roman"/>
      <w:i/>
      <w:iCs/>
      <w:color w:val="44546A" w:themeColor="text2"/>
      <w:kern w:val="2"/>
      <w:sz w:val="18"/>
      <w:szCs w:val="18"/>
      <w:lang w:val="en-US"/>
      <w14:ligatures w14:val="standardContextual"/>
    </w:rPr>
  </w:style>
  <w:style w:type="paragraph" w:styleId="ListParagraph">
    <w:name w:val="List Paragraph"/>
    <w:basedOn w:val="Normal"/>
    <w:uiPriority w:val="34"/>
    <w:qFormat/>
    <w:rsid w:val="007C55AA"/>
    <w:pPr>
      <w:spacing w:line="360" w:lineRule="auto"/>
      <w:ind w:left="720"/>
      <w:contextualSpacing/>
      <w:jc w:val="both"/>
    </w:pPr>
    <w:rPr>
      <w:rFonts w:ascii="Times New Roman" w:hAnsi="Times New Roman"/>
      <w:kern w:val="2"/>
      <w:sz w:val="24"/>
      <w:lang w:val="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13</Pages>
  <Words>2906</Words>
  <Characters>16569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Ionut</dc:creator>
  <cp:keywords/>
  <dc:description/>
  <cp:lastModifiedBy>Claudiu Ionut</cp:lastModifiedBy>
  <cp:revision>3</cp:revision>
  <dcterms:created xsi:type="dcterms:W3CDTF">2023-11-30T14:14:00Z</dcterms:created>
  <dcterms:modified xsi:type="dcterms:W3CDTF">2023-11-30T20:24:00Z</dcterms:modified>
</cp:coreProperties>
</file>