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727FEF" w14:textId="77777777" w:rsidR="00FF3495" w:rsidRPr="00FF3495" w:rsidRDefault="00FF3495" w:rsidP="00FF3495">
      <w:pPr>
        <w:pStyle w:val="Title"/>
        <w:rPr>
          <w:iCs/>
          <w:color w:val="0B769F" w:themeColor="accent4" w:themeShade="BF"/>
          <w:sz w:val="52"/>
          <w:szCs w:val="52"/>
        </w:rPr>
      </w:pPr>
      <w:r w:rsidRPr="00FF3495">
        <w:rPr>
          <w:iCs/>
          <w:color w:val="0B769F" w:themeColor="accent4" w:themeShade="BF"/>
          <w:sz w:val="52"/>
          <w:szCs w:val="52"/>
        </w:rPr>
        <w:t>International Financial Management</w:t>
      </w:r>
    </w:p>
    <w:p w14:paraId="00A2DE74" w14:textId="77777777" w:rsidR="00FF3495" w:rsidRPr="00FF3495" w:rsidRDefault="00FF3495" w:rsidP="00FF3495">
      <w:pPr>
        <w:pStyle w:val="Title"/>
        <w:rPr>
          <w:iCs/>
          <w:color w:val="0B769F" w:themeColor="accent4" w:themeShade="BF"/>
          <w:sz w:val="52"/>
          <w:szCs w:val="52"/>
        </w:rPr>
      </w:pPr>
    </w:p>
    <w:p w14:paraId="033CA777" w14:textId="77777777" w:rsidR="00FF3495" w:rsidRPr="00FF3495" w:rsidRDefault="00FF3495" w:rsidP="00FF3495">
      <w:pPr>
        <w:pStyle w:val="Title"/>
        <w:rPr>
          <w:color w:val="0B769F" w:themeColor="accent4" w:themeShade="BF"/>
        </w:rPr>
      </w:pPr>
      <w:r w:rsidRPr="00FF3495">
        <w:rPr>
          <w:iCs/>
          <w:color w:val="0B769F" w:themeColor="accent4" w:themeShade="BF"/>
        </w:rPr>
        <w:t xml:space="preserve">                     Assessment 1</w:t>
      </w:r>
      <w:r w:rsidRPr="00FF3495">
        <w:rPr>
          <w:color w:val="0B769F" w:themeColor="accent4" w:themeShade="BF"/>
        </w:rPr>
        <w:t xml:space="preserve"> </w:t>
      </w:r>
    </w:p>
    <w:p w14:paraId="48F130DC" w14:textId="77777777" w:rsidR="00FF3495" w:rsidRDefault="00FF3495" w:rsidP="00FF3495">
      <w:pPr>
        <w:pStyle w:val="Title"/>
      </w:pPr>
    </w:p>
    <w:p w14:paraId="143D0386" w14:textId="77777777" w:rsidR="00FF3495" w:rsidRDefault="00FF3495" w:rsidP="00FF3495">
      <w:pPr>
        <w:spacing w:after="353"/>
        <w:jc w:val="left"/>
        <w:rPr>
          <w:rFonts w:ascii="Calibri" w:hAnsi="Calibri"/>
          <w:b/>
          <w:color w:val="45B0E1" w:themeColor="accent1" w:themeTint="99"/>
          <w:sz w:val="48"/>
        </w:rPr>
      </w:pPr>
      <w:r>
        <w:rPr>
          <w:rFonts w:ascii="Calibri" w:hAnsi="Calibri"/>
          <w:b/>
          <w:color w:val="45B0E1" w:themeColor="accent1" w:themeTint="99"/>
          <w:sz w:val="48"/>
        </w:rPr>
        <w:t xml:space="preserve">                  </w:t>
      </w:r>
    </w:p>
    <w:p w14:paraId="67EC48D6" w14:textId="027E940A" w:rsidR="00FF3495" w:rsidRPr="00FF3495" w:rsidRDefault="00FF3495" w:rsidP="00FF3495">
      <w:pPr>
        <w:spacing w:after="353"/>
        <w:jc w:val="left"/>
        <w:rPr>
          <w:rFonts w:ascii="Calibri" w:hAnsi="Calibri"/>
          <w:color w:val="C00000"/>
          <w:sz w:val="48"/>
        </w:rPr>
      </w:pPr>
      <w:r>
        <w:rPr>
          <w:rFonts w:ascii="Calibri" w:hAnsi="Calibri"/>
          <w:b/>
          <w:color w:val="45B0E1" w:themeColor="accent1" w:themeTint="99"/>
          <w:sz w:val="48"/>
        </w:rPr>
        <w:t xml:space="preserve">                   </w:t>
      </w:r>
      <w:r w:rsidRPr="00FF3495">
        <w:rPr>
          <w:rFonts w:ascii="Calibri" w:hAnsi="Calibri"/>
          <w:color w:val="C00000"/>
          <w:sz w:val="48"/>
        </w:rPr>
        <w:t>Module code: LCBB6002</w:t>
      </w:r>
    </w:p>
    <w:p w14:paraId="6EB33453" w14:textId="41A90C1B" w:rsidR="00FF3495" w:rsidRPr="00FF3495" w:rsidRDefault="00FF3495" w:rsidP="00FF3495">
      <w:pPr>
        <w:spacing w:after="353"/>
        <w:jc w:val="left"/>
        <w:rPr>
          <w:rFonts w:cs="Times New Roman"/>
          <w:color w:val="0D0D0D" w:themeColor="text1" w:themeTint="F2"/>
          <w:sz w:val="48"/>
        </w:rPr>
      </w:pPr>
      <w:r w:rsidRPr="00FF3495">
        <w:rPr>
          <w:rFonts w:cs="Times New Roman"/>
          <w:b/>
          <w:color w:val="0D0D0D" w:themeColor="text1" w:themeTint="F2"/>
          <w:sz w:val="48"/>
        </w:rPr>
        <w:t xml:space="preserve">      </w:t>
      </w:r>
      <w:r w:rsidRPr="00FF3495">
        <w:rPr>
          <w:rFonts w:cs="Times New Roman"/>
          <w:b/>
          <w:color w:val="0D0D0D" w:themeColor="text1" w:themeTint="F2"/>
          <w:sz w:val="48"/>
        </w:rPr>
        <w:t xml:space="preserve">                 </w:t>
      </w:r>
      <w:proofErr w:type="spellStart"/>
      <w:r w:rsidRPr="00FF3495">
        <w:rPr>
          <w:rFonts w:cs="Times New Roman"/>
          <w:color w:val="0D0D0D" w:themeColor="text1" w:themeTint="F2"/>
          <w:sz w:val="48"/>
        </w:rPr>
        <w:t>Kadrie</w:t>
      </w:r>
      <w:proofErr w:type="spellEnd"/>
      <w:r w:rsidRPr="00FF3495">
        <w:rPr>
          <w:rFonts w:cs="Times New Roman"/>
          <w:color w:val="0D0D0D" w:themeColor="text1" w:themeTint="F2"/>
          <w:sz w:val="48"/>
        </w:rPr>
        <w:t xml:space="preserve"> </w:t>
      </w:r>
      <w:proofErr w:type="spellStart"/>
      <w:r w:rsidRPr="00FF3495">
        <w:rPr>
          <w:rFonts w:cs="Times New Roman"/>
          <w:color w:val="0D0D0D" w:themeColor="text1" w:themeTint="F2"/>
          <w:sz w:val="48"/>
        </w:rPr>
        <w:t>Dodumova</w:t>
      </w:r>
      <w:proofErr w:type="spellEnd"/>
    </w:p>
    <w:p w14:paraId="1B4DB454" w14:textId="77777777" w:rsidR="00B7396F" w:rsidRDefault="00B7396F" w:rsidP="00FF3495">
      <w:pPr>
        <w:rPr>
          <w:b/>
          <w:bCs w:val="0"/>
          <w:sz w:val="28"/>
        </w:rPr>
      </w:pPr>
    </w:p>
    <w:p w14:paraId="12D9AE80" w14:textId="50C7C7ED" w:rsidR="00B477BE" w:rsidRPr="00FF3495" w:rsidRDefault="00F5264E" w:rsidP="00F5264E">
      <w:pPr>
        <w:jc w:val="center"/>
        <w:rPr>
          <w:b/>
          <w:bCs w:val="0"/>
          <w:sz w:val="36"/>
          <w:szCs w:val="36"/>
        </w:rPr>
      </w:pPr>
      <w:r w:rsidRPr="00FF3495">
        <w:rPr>
          <w:b/>
          <w:bCs w:val="0"/>
          <w:sz w:val="36"/>
          <w:szCs w:val="36"/>
        </w:rPr>
        <w:t xml:space="preserve">Evaluation of Strategies for </w:t>
      </w:r>
      <w:r w:rsidR="00F3660B" w:rsidRPr="00FF3495">
        <w:rPr>
          <w:b/>
          <w:bCs w:val="0"/>
          <w:sz w:val="36"/>
          <w:szCs w:val="36"/>
        </w:rPr>
        <w:t>Managing Exposure</w:t>
      </w:r>
      <w:r w:rsidRPr="00FF3495">
        <w:rPr>
          <w:b/>
          <w:bCs w:val="0"/>
          <w:sz w:val="36"/>
          <w:szCs w:val="36"/>
        </w:rPr>
        <w:t xml:space="preserve"> to Foreign Exchange Risks</w:t>
      </w:r>
    </w:p>
    <w:p w14:paraId="7D377B4E" w14:textId="77777777" w:rsidR="00D30A5D" w:rsidRPr="00BA3A92" w:rsidRDefault="00D30A5D">
      <w:pPr>
        <w:rPr>
          <w:b/>
          <w:bCs w:val="0"/>
          <w:sz w:val="28"/>
        </w:rPr>
      </w:pPr>
      <w:r w:rsidRPr="00BA3A92">
        <w:rPr>
          <w:b/>
          <w:bCs w:val="0"/>
          <w:sz w:val="28"/>
        </w:rPr>
        <w:br w:type="page"/>
      </w:r>
      <w:bookmarkStart w:id="0" w:name="_GoBack"/>
      <w:bookmarkEnd w:id="0"/>
    </w:p>
    <w:sdt>
      <w:sdtPr>
        <w:rPr>
          <w:rFonts w:ascii="Times New Roman" w:eastAsiaTheme="minorHAnsi" w:hAnsi="Times New Roman" w:cstheme="minorBidi"/>
          <w:bCs/>
          <w:color w:val="auto"/>
          <w:kern w:val="2"/>
          <w:sz w:val="24"/>
          <w:szCs w:val="28"/>
        </w:rPr>
        <w:id w:val="-231016352"/>
        <w:docPartObj>
          <w:docPartGallery w:val="Table of Contents"/>
          <w:docPartUnique/>
        </w:docPartObj>
      </w:sdtPr>
      <w:sdtEndPr/>
      <w:sdtContent>
        <w:p w14:paraId="2BDA614E" w14:textId="080A4FD1" w:rsidR="00D30A5D" w:rsidRPr="00BA3A92" w:rsidRDefault="00D30A5D" w:rsidP="00D30A5D">
          <w:pPr>
            <w:pStyle w:val="TOCHeading"/>
            <w:jc w:val="center"/>
          </w:pPr>
          <w:r w:rsidRPr="00BA3A92">
            <w:t>Table of Contents</w:t>
          </w:r>
        </w:p>
        <w:p w14:paraId="14D2788D" w14:textId="62105831" w:rsidR="00D30A5D" w:rsidRPr="00BA3A92" w:rsidRDefault="00D30A5D" w:rsidP="00D30A5D">
          <w:pPr>
            <w:pStyle w:val="TOC1"/>
            <w:rPr>
              <w:rFonts w:ascii="Times New Roman" w:hAnsi="Times New Roman"/>
              <w:b/>
              <w:bCs/>
              <w:sz w:val="24"/>
              <w:szCs w:val="24"/>
            </w:rPr>
          </w:pPr>
          <w:r w:rsidRPr="00BA3A92">
            <w:rPr>
              <w:rFonts w:ascii="Times New Roman" w:hAnsi="Times New Roman"/>
              <w:b/>
              <w:bCs/>
              <w:sz w:val="24"/>
              <w:szCs w:val="24"/>
            </w:rPr>
            <w:t>1.0</w:t>
          </w:r>
          <w:r w:rsidRPr="00BA3A92">
            <w:rPr>
              <w:rFonts w:ascii="Times New Roman" w:hAnsi="Times New Roman"/>
              <w:b/>
              <w:bCs/>
              <w:sz w:val="24"/>
              <w:szCs w:val="24"/>
            </w:rPr>
            <w:tab/>
            <w:t>Introduction</w:t>
          </w:r>
          <w:r w:rsidRPr="00BA3A92">
            <w:rPr>
              <w:rFonts w:ascii="Times New Roman" w:hAnsi="Times New Roman"/>
              <w:sz w:val="24"/>
              <w:szCs w:val="24"/>
            </w:rPr>
            <w:ptab w:relativeTo="margin" w:alignment="right" w:leader="dot"/>
          </w:r>
          <w:r w:rsidR="000E3B9E">
            <w:rPr>
              <w:rFonts w:ascii="Times New Roman" w:hAnsi="Times New Roman"/>
              <w:b/>
              <w:bCs/>
              <w:sz w:val="24"/>
              <w:szCs w:val="24"/>
            </w:rPr>
            <w:t>3</w:t>
          </w:r>
        </w:p>
        <w:p w14:paraId="58CE685E" w14:textId="2A5195F3" w:rsidR="00D30A5D" w:rsidRPr="00695F62" w:rsidRDefault="00D30A5D" w:rsidP="00695F62">
          <w:pPr>
            <w:pStyle w:val="TOC1"/>
            <w:rPr>
              <w:rFonts w:ascii="Times New Roman" w:hAnsi="Times New Roman"/>
              <w:b/>
              <w:bCs/>
              <w:sz w:val="24"/>
              <w:szCs w:val="24"/>
            </w:rPr>
          </w:pPr>
          <w:bookmarkStart w:id="1" w:name="_Hlk162806616"/>
          <w:r w:rsidRPr="00BA3A92">
            <w:rPr>
              <w:rFonts w:ascii="Times New Roman" w:hAnsi="Times New Roman"/>
              <w:b/>
              <w:bCs/>
              <w:sz w:val="24"/>
              <w:szCs w:val="24"/>
            </w:rPr>
            <w:t>2.0</w:t>
          </w:r>
          <w:r w:rsidRPr="00BA3A92">
            <w:rPr>
              <w:rFonts w:ascii="Times New Roman" w:hAnsi="Times New Roman"/>
              <w:b/>
              <w:bCs/>
              <w:sz w:val="24"/>
              <w:szCs w:val="24"/>
            </w:rPr>
            <w:tab/>
          </w:r>
          <w:r w:rsidR="00695F62">
            <w:rPr>
              <w:rFonts w:ascii="Times New Roman" w:hAnsi="Times New Roman"/>
              <w:b/>
              <w:bCs/>
              <w:sz w:val="24"/>
              <w:szCs w:val="24"/>
            </w:rPr>
            <w:t>Risks Associated with F</w:t>
          </w:r>
          <w:r w:rsidR="00695F62" w:rsidRPr="00695F62">
            <w:rPr>
              <w:rFonts w:ascii="Times New Roman" w:hAnsi="Times New Roman"/>
              <w:b/>
              <w:bCs/>
              <w:sz w:val="24"/>
              <w:szCs w:val="24"/>
            </w:rPr>
            <w:t xml:space="preserve">oreign </w:t>
          </w:r>
          <w:r w:rsidR="00695F62">
            <w:rPr>
              <w:rFonts w:ascii="Times New Roman" w:hAnsi="Times New Roman"/>
              <w:b/>
              <w:bCs/>
              <w:sz w:val="24"/>
              <w:szCs w:val="24"/>
            </w:rPr>
            <w:t>E</w:t>
          </w:r>
          <w:r w:rsidR="00695F62" w:rsidRPr="00695F62">
            <w:rPr>
              <w:rFonts w:ascii="Times New Roman" w:hAnsi="Times New Roman"/>
              <w:b/>
              <w:bCs/>
              <w:sz w:val="24"/>
              <w:szCs w:val="24"/>
            </w:rPr>
            <w:t xml:space="preserve">xchange </w:t>
          </w:r>
          <w:r w:rsidR="00695F62">
            <w:rPr>
              <w:rFonts w:ascii="Times New Roman" w:hAnsi="Times New Roman"/>
              <w:b/>
              <w:bCs/>
              <w:sz w:val="24"/>
              <w:szCs w:val="24"/>
            </w:rPr>
            <w:t>Rate</w:t>
          </w:r>
          <w:r w:rsidRPr="00BA3A92">
            <w:rPr>
              <w:rFonts w:ascii="Times New Roman" w:hAnsi="Times New Roman"/>
              <w:sz w:val="24"/>
              <w:szCs w:val="24"/>
            </w:rPr>
            <w:ptab w:relativeTo="margin" w:alignment="right" w:leader="dot"/>
          </w:r>
          <w:r w:rsidR="000E3B9E">
            <w:rPr>
              <w:rFonts w:ascii="Times New Roman" w:hAnsi="Times New Roman"/>
              <w:b/>
              <w:bCs/>
              <w:sz w:val="24"/>
              <w:szCs w:val="24"/>
            </w:rPr>
            <w:t>4</w:t>
          </w:r>
        </w:p>
        <w:p w14:paraId="4208842C" w14:textId="6774665A" w:rsidR="00D30A5D" w:rsidRPr="00BA3A92" w:rsidRDefault="009922E3" w:rsidP="009922E3">
          <w:pPr>
            <w:pStyle w:val="TOC1"/>
            <w:ind w:firstLine="720"/>
            <w:rPr>
              <w:rFonts w:ascii="Times New Roman" w:hAnsi="Times New Roman"/>
              <w:sz w:val="24"/>
              <w:szCs w:val="24"/>
            </w:rPr>
          </w:pPr>
          <w:bookmarkStart w:id="2" w:name="_Hlk162811776"/>
          <w:bookmarkEnd w:id="1"/>
          <w:r>
            <w:rPr>
              <w:rFonts w:ascii="Times New Roman" w:hAnsi="Times New Roman"/>
              <w:b/>
              <w:bCs/>
              <w:sz w:val="24"/>
              <w:szCs w:val="24"/>
            </w:rPr>
            <w:t>2.1</w:t>
          </w:r>
          <w:r>
            <w:rPr>
              <w:rFonts w:ascii="Times New Roman" w:hAnsi="Times New Roman"/>
              <w:b/>
              <w:bCs/>
              <w:sz w:val="24"/>
              <w:szCs w:val="24"/>
            </w:rPr>
            <w:tab/>
            <w:t>Long</w:t>
          </w:r>
          <w:r w:rsidR="000B0330">
            <w:rPr>
              <w:rFonts w:ascii="Times New Roman" w:hAnsi="Times New Roman"/>
              <w:b/>
              <w:bCs/>
              <w:sz w:val="24"/>
              <w:szCs w:val="24"/>
            </w:rPr>
            <w:t>-</w:t>
          </w:r>
          <w:r>
            <w:rPr>
              <w:rFonts w:ascii="Times New Roman" w:hAnsi="Times New Roman"/>
              <w:b/>
              <w:bCs/>
              <w:sz w:val="24"/>
              <w:szCs w:val="24"/>
            </w:rPr>
            <w:t>Term Risk</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4</w:t>
          </w:r>
        </w:p>
        <w:p w14:paraId="51EB663E" w14:textId="25A92E13" w:rsidR="00D30A5D" w:rsidRPr="00BA3A92" w:rsidRDefault="009922E3" w:rsidP="009922E3">
          <w:pPr>
            <w:pStyle w:val="TOC1"/>
            <w:ind w:firstLine="720"/>
            <w:rPr>
              <w:rFonts w:ascii="Times New Roman" w:hAnsi="Times New Roman"/>
              <w:sz w:val="24"/>
              <w:szCs w:val="24"/>
            </w:rPr>
          </w:pPr>
          <w:bookmarkStart w:id="3" w:name="_Hlk162812196"/>
          <w:bookmarkEnd w:id="2"/>
          <w:r>
            <w:rPr>
              <w:rFonts w:ascii="Times New Roman" w:hAnsi="Times New Roman"/>
              <w:b/>
              <w:bCs/>
              <w:sz w:val="24"/>
              <w:szCs w:val="24"/>
            </w:rPr>
            <w:t>2.2</w:t>
          </w:r>
          <w:r>
            <w:rPr>
              <w:rFonts w:ascii="Times New Roman" w:hAnsi="Times New Roman"/>
              <w:b/>
              <w:bCs/>
              <w:sz w:val="24"/>
              <w:szCs w:val="24"/>
            </w:rPr>
            <w:tab/>
          </w:r>
          <w:r w:rsidR="000B0330">
            <w:rPr>
              <w:rFonts w:ascii="Times New Roman" w:hAnsi="Times New Roman"/>
              <w:b/>
              <w:bCs/>
              <w:sz w:val="24"/>
              <w:szCs w:val="24"/>
            </w:rPr>
            <w:t>Short-Term</w:t>
          </w:r>
          <w:r>
            <w:rPr>
              <w:rFonts w:ascii="Times New Roman" w:hAnsi="Times New Roman"/>
              <w:b/>
              <w:bCs/>
              <w:sz w:val="24"/>
              <w:szCs w:val="24"/>
            </w:rPr>
            <w:t xml:space="preserve"> Risk</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4</w:t>
          </w:r>
        </w:p>
        <w:bookmarkEnd w:id="3"/>
        <w:p w14:paraId="1AF2951A" w14:textId="0B59BDA3" w:rsidR="00D30A5D" w:rsidRPr="00BA3A92" w:rsidRDefault="00E76A26" w:rsidP="00D30A5D">
          <w:pPr>
            <w:pStyle w:val="TOC1"/>
            <w:rPr>
              <w:rFonts w:ascii="Times New Roman" w:hAnsi="Times New Roman"/>
              <w:sz w:val="24"/>
              <w:szCs w:val="24"/>
            </w:rPr>
          </w:pPr>
          <w:r>
            <w:rPr>
              <w:rFonts w:ascii="Times New Roman" w:hAnsi="Times New Roman"/>
              <w:b/>
              <w:bCs/>
              <w:sz w:val="24"/>
              <w:szCs w:val="24"/>
            </w:rPr>
            <w:t>3.0</w:t>
          </w:r>
          <w:r>
            <w:rPr>
              <w:rFonts w:ascii="Times New Roman" w:hAnsi="Times New Roman"/>
              <w:b/>
              <w:bCs/>
              <w:sz w:val="24"/>
              <w:szCs w:val="24"/>
            </w:rPr>
            <w:tab/>
          </w:r>
          <w:r w:rsidRPr="00E76A26">
            <w:rPr>
              <w:rFonts w:ascii="Times New Roman" w:hAnsi="Times New Roman"/>
              <w:b/>
              <w:bCs/>
              <w:sz w:val="24"/>
              <w:szCs w:val="24"/>
            </w:rPr>
            <w:t>Strategies for Managing Foreign Exchange Risk</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5</w:t>
          </w:r>
        </w:p>
        <w:p w14:paraId="7CFE504F" w14:textId="2562B3FF" w:rsidR="00D30A5D" w:rsidRPr="00BA3A92" w:rsidRDefault="00E76A26" w:rsidP="00E76A26">
          <w:pPr>
            <w:pStyle w:val="TOC1"/>
            <w:ind w:firstLine="720"/>
            <w:rPr>
              <w:rFonts w:ascii="Times New Roman" w:hAnsi="Times New Roman"/>
              <w:sz w:val="24"/>
              <w:szCs w:val="24"/>
            </w:rPr>
          </w:pPr>
          <w:r>
            <w:rPr>
              <w:rFonts w:ascii="Times New Roman" w:hAnsi="Times New Roman"/>
              <w:b/>
              <w:bCs/>
              <w:sz w:val="24"/>
              <w:szCs w:val="24"/>
            </w:rPr>
            <w:t>3.1</w:t>
          </w:r>
          <w:r>
            <w:rPr>
              <w:rFonts w:ascii="Times New Roman" w:hAnsi="Times New Roman"/>
              <w:b/>
              <w:bCs/>
              <w:sz w:val="24"/>
              <w:szCs w:val="24"/>
            </w:rPr>
            <w:tab/>
          </w:r>
          <w:r w:rsidRPr="00E76A26">
            <w:rPr>
              <w:rFonts w:ascii="Times New Roman" w:hAnsi="Times New Roman"/>
              <w:b/>
              <w:bCs/>
              <w:sz w:val="24"/>
              <w:szCs w:val="24"/>
            </w:rPr>
            <w:t>Operational Hedging</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5</w:t>
          </w:r>
        </w:p>
        <w:p w14:paraId="04B14026" w14:textId="61F42CBA" w:rsidR="00D30A5D" w:rsidRPr="00BA3A92" w:rsidRDefault="00E76A26" w:rsidP="00E76A26">
          <w:pPr>
            <w:pStyle w:val="TOC1"/>
            <w:ind w:firstLine="720"/>
            <w:rPr>
              <w:rFonts w:ascii="Times New Roman" w:hAnsi="Times New Roman"/>
              <w:sz w:val="24"/>
              <w:szCs w:val="24"/>
            </w:rPr>
          </w:pPr>
          <w:bookmarkStart w:id="4" w:name="_Hlk162816859"/>
          <w:r>
            <w:rPr>
              <w:rFonts w:ascii="Times New Roman" w:hAnsi="Times New Roman"/>
              <w:b/>
              <w:bCs/>
              <w:sz w:val="24"/>
              <w:szCs w:val="24"/>
            </w:rPr>
            <w:t>3.2</w:t>
          </w:r>
          <w:r>
            <w:rPr>
              <w:rFonts w:ascii="Times New Roman" w:hAnsi="Times New Roman"/>
              <w:b/>
              <w:bCs/>
              <w:sz w:val="24"/>
              <w:szCs w:val="24"/>
            </w:rPr>
            <w:tab/>
          </w:r>
          <w:r w:rsidRPr="00E76A26">
            <w:rPr>
              <w:rFonts w:ascii="Times New Roman" w:hAnsi="Times New Roman"/>
              <w:b/>
              <w:bCs/>
              <w:sz w:val="24"/>
              <w:szCs w:val="24"/>
            </w:rPr>
            <w:t>Transactional Hedging</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6</w:t>
          </w:r>
        </w:p>
        <w:bookmarkEnd w:id="4"/>
        <w:p w14:paraId="5F0D1BC0" w14:textId="4B442485" w:rsidR="00D30A5D" w:rsidRPr="00BA3A92" w:rsidRDefault="00E76A26" w:rsidP="00E76A26">
          <w:pPr>
            <w:pStyle w:val="TOC1"/>
            <w:ind w:firstLine="720"/>
            <w:rPr>
              <w:rFonts w:ascii="Times New Roman" w:hAnsi="Times New Roman"/>
              <w:sz w:val="24"/>
              <w:szCs w:val="24"/>
            </w:rPr>
          </w:pPr>
          <w:r>
            <w:rPr>
              <w:rFonts w:ascii="Times New Roman" w:hAnsi="Times New Roman"/>
              <w:b/>
              <w:bCs/>
              <w:sz w:val="24"/>
              <w:szCs w:val="24"/>
            </w:rPr>
            <w:t>3.3</w:t>
          </w:r>
          <w:r>
            <w:rPr>
              <w:rFonts w:ascii="Times New Roman" w:hAnsi="Times New Roman"/>
              <w:b/>
              <w:bCs/>
              <w:sz w:val="24"/>
              <w:szCs w:val="24"/>
            </w:rPr>
            <w:tab/>
          </w:r>
          <w:r w:rsidRPr="00E76A26">
            <w:rPr>
              <w:rFonts w:ascii="Times New Roman" w:hAnsi="Times New Roman"/>
              <w:b/>
              <w:bCs/>
              <w:sz w:val="24"/>
              <w:szCs w:val="24"/>
            </w:rPr>
            <w:t>Financial Hedging Instruments</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6</w:t>
          </w:r>
        </w:p>
        <w:p w14:paraId="131F690B" w14:textId="6F64BB7A" w:rsidR="00D30A5D" w:rsidRPr="00BA3A92" w:rsidRDefault="00E76A26" w:rsidP="00E76A26">
          <w:pPr>
            <w:pStyle w:val="TOC1"/>
            <w:ind w:firstLine="720"/>
            <w:rPr>
              <w:rFonts w:ascii="Times New Roman" w:hAnsi="Times New Roman"/>
              <w:sz w:val="24"/>
              <w:szCs w:val="24"/>
            </w:rPr>
          </w:pPr>
          <w:r>
            <w:rPr>
              <w:rFonts w:ascii="Times New Roman" w:hAnsi="Times New Roman"/>
              <w:b/>
              <w:bCs/>
              <w:sz w:val="24"/>
              <w:szCs w:val="24"/>
            </w:rPr>
            <w:t>3.4</w:t>
          </w:r>
          <w:r>
            <w:rPr>
              <w:rFonts w:ascii="Times New Roman" w:hAnsi="Times New Roman"/>
              <w:b/>
              <w:bCs/>
              <w:sz w:val="24"/>
              <w:szCs w:val="24"/>
            </w:rPr>
            <w:tab/>
          </w:r>
          <w:r w:rsidRPr="00E76A26">
            <w:rPr>
              <w:rFonts w:ascii="Times New Roman" w:hAnsi="Times New Roman"/>
              <w:b/>
              <w:bCs/>
              <w:sz w:val="24"/>
              <w:szCs w:val="24"/>
            </w:rPr>
            <w:t>Currency Invoicing</w:t>
          </w:r>
          <w:r w:rsidR="00D30A5D" w:rsidRPr="00BA3A92">
            <w:rPr>
              <w:rFonts w:ascii="Times New Roman" w:hAnsi="Times New Roman"/>
              <w:sz w:val="24"/>
              <w:szCs w:val="24"/>
            </w:rPr>
            <w:ptab w:relativeTo="margin" w:alignment="right" w:leader="dot"/>
          </w:r>
          <w:r w:rsidR="006E7026" w:rsidRPr="006E7026">
            <w:rPr>
              <w:rFonts w:ascii="Times New Roman" w:hAnsi="Times New Roman"/>
              <w:b/>
              <w:bCs/>
              <w:sz w:val="24"/>
              <w:szCs w:val="24"/>
            </w:rPr>
            <w:t>7</w:t>
          </w:r>
        </w:p>
        <w:p w14:paraId="5BF24EF2" w14:textId="1041AD91" w:rsidR="00D30A5D" w:rsidRPr="00BA3A92" w:rsidRDefault="00E76A26" w:rsidP="00D30A5D">
          <w:pPr>
            <w:pStyle w:val="TOC1"/>
            <w:rPr>
              <w:rFonts w:ascii="Times New Roman" w:hAnsi="Times New Roman"/>
              <w:sz w:val="24"/>
              <w:szCs w:val="24"/>
            </w:rPr>
          </w:pPr>
          <w:r>
            <w:rPr>
              <w:rFonts w:ascii="Times New Roman" w:hAnsi="Times New Roman"/>
              <w:b/>
              <w:bCs/>
              <w:sz w:val="24"/>
              <w:szCs w:val="24"/>
            </w:rPr>
            <w:t>4.0</w:t>
          </w:r>
          <w:r>
            <w:rPr>
              <w:rFonts w:ascii="Times New Roman" w:hAnsi="Times New Roman"/>
              <w:b/>
              <w:bCs/>
              <w:sz w:val="24"/>
              <w:szCs w:val="24"/>
            </w:rPr>
            <w:tab/>
          </w:r>
          <w:r w:rsidRPr="00E76A26">
            <w:rPr>
              <w:rFonts w:ascii="Times New Roman" w:hAnsi="Times New Roman"/>
              <w:b/>
              <w:bCs/>
              <w:sz w:val="24"/>
              <w:szCs w:val="24"/>
            </w:rPr>
            <w:t>Conclusion</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8</w:t>
          </w:r>
        </w:p>
        <w:p w14:paraId="528A7210" w14:textId="496B3D81" w:rsidR="00D30A5D" w:rsidRPr="00BA3A92" w:rsidRDefault="00E76A26" w:rsidP="00D30A5D">
          <w:pPr>
            <w:pStyle w:val="TOC1"/>
            <w:rPr>
              <w:rFonts w:ascii="Times New Roman" w:hAnsi="Times New Roman"/>
              <w:sz w:val="24"/>
              <w:szCs w:val="24"/>
            </w:rPr>
          </w:pPr>
          <w:r>
            <w:rPr>
              <w:rFonts w:ascii="Times New Roman" w:hAnsi="Times New Roman"/>
              <w:b/>
              <w:bCs/>
              <w:sz w:val="24"/>
              <w:szCs w:val="24"/>
            </w:rPr>
            <w:t>5.0</w:t>
          </w:r>
          <w:r>
            <w:rPr>
              <w:rFonts w:ascii="Times New Roman" w:hAnsi="Times New Roman"/>
              <w:b/>
              <w:bCs/>
              <w:sz w:val="24"/>
              <w:szCs w:val="24"/>
            </w:rPr>
            <w:tab/>
            <w:t>References</w:t>
          </w:r>
          <w:r w:rsidR="00D30A5D" w:rsidRPr="00BA3A92">
            <w:rPr>
              <w:rFonts w:ascii="Times New Roman" w:hAnsi="Times New Roman"/>
              <w:sz w:val="24"/>
              <w:szCs w:val="24"/>
            </w:rPr>
            <w:ptab w:relativeTo="margin" w:alignment="right" w:leader="dot"/>
          </w:r>
          <w:r w:rsidR="006E7026">
            <w:rPr>
              <w:rFonts w:ascii="Times New Roman" w:hAnsi="Times New Roman"/>
              <w:b/>
              <w:bCs/>
              <w:sz w:val="24"/>
              <w:szCs w:val="24"/>
            </w:rPr>
            <w:t>9</w:t>
          </w:r>
        </w:p>
        <w:p w14:paraId="2FD94CC2" w14:textId="492B1507" w:rsidR="00D30A5D" w:rsidRPr="00BA3A92" w:rsidRDefault="00CF2773" w:rsidP="00D30A5D"/>
      </w:sdtContent>
    </w:sdt>
    <w:p w14:paraId="2DAC3505" w14:textId="77777777" w:rsidR="00F81256" w:rsidRPr="00BA3A92" w:rsidRDefault="00F81256" w:rsidP="00D30A5D">
      <w:pPr>
        <w:rPr>
          <w:b/>
          <w:bCs w:val="0"/>
          <w:sz w:val="28"/>
        </w:rPr>
      </w:pPr>
    </w:p>
    <w:p w14:paraId="289F7DB3" w14:textId="3906CD5E" w:rsidR="00F72CD3" w:rsidRPr="00BA3A92" w:rsidRDefault="00F72CD3">
      <w:pPr>
        <w:rPr>
          <w:b/>
          <w:bCs w:val="0"/>
          <w:sz w:val="28"/>
        </w:rPr>
      </w:pPr>
      <w:r w:rsidRPr="00BA3A92">
        <w:rPr>
          <w:b/>
          <w:bCs w:val="0"/>
          <w:sz w:val="28"/>
        </w:rPr>
        <w:br w:type="page"/>
      </w:r>
    </w:p>
    <w:p w14:paraId="55016B29" w14:textId="667BD79F" w:rsidR="00F3660B" w:rsidRPr="00BA3A92" w:rsidRDefault="00F72CD3" w:rsidP="00F72CD3">
      <w:pPr>
        <w:rPr>
          <w:b/>
          <w:bCs w:val="0"/>
          <w:sz w:val="28"/>
        </w:rPr>
      </w:pPr>
      <w:r w:rsidRPr="00BA3A92">
        <w:rPr>
          <w:b/>
          <w:bCs w:val="0"/>
          <w:sz w:val="28"/>
        </w:rPr>
        <w:lastRenderedPageBreak/>
        <w:t>1.0</w:t>
      </w:r>
      <w:r w:rsidRPr="00BA3A92">
        <w:rPr>
          <w:b/>
          <w:bCs w:val="0"/>
          <w:sz w:val="28"/>
        </w:rPr>
        <w:tab/>
        <w:t>Introduction</w:t>
      </w:r>
    </w:p>
    <w:p w14:paraId="383336E3" w14:textId="461150EC" w:rsidR="00695F62" w:rsidRDefault="00BA3A92" w:rsidP="00695F62">
      <w:pPr>
        <w:rPr>
          <w:bCs w:val="0"/>
        </w:rPr>
      </w:pPr>
      <w:r>
        <w:rPr>
          <w:bCs w:val="0"/>
        </w:rPr>
        <w:t xml:space="preserve">In the age of globalisation, </w:t>
      </w:r>
      <w:r w:rsidRPr="00BA3A92">
        <w:rPr>
          <w:bCs w:val="0"/>
        </w:rPr>
        <w:t xml:space="preserve">Business organisations </w:t>
      </w:r>
      <w:r>
        <w:rPr>
          <w:bCs w:val="0"/>
        </w:rPr>
        <w:t>have been able to</w:t>
      </w:r>
      <w:r w:rsidRPr="00BA3A92">
        <w:rPr>
          <w:bCs w:val="0"/>
        </w:rPr>
        <w:t xml:space="preserve"> run their business </w:t>
      </w:r>
      <w:r>
        <w:rPr>
          <w:bCs w:val="0"/>
        </w:rPr>
        <w:t>operations</w:t>
      </w:r>
      <w:r w:rsidRPr="00BA3A92">
        <w:rPr>
          <w:bCs w:val="0"/>
        </w:rPr>
        <w:t xml:space="preserve"> </w:t>
      </w:r>
      <w:r>
        <w:rPr>
          <w:bCs w:val="0"/>
        </w:rPr>
        <w:t xml:space="preserve">across geographical boundaries. In the process of running business operations across geographical boundaries, business organisations face </w:t>
      </w:r>
      <w:r w:rsidR="009E7439">
        <w:rPr>
          <w:bCs w:val="0"/>
        </w:rPr>
        <w:t>several</w:t>
      </w:r>
      <w:r>
        <w:rPr>
          <w:bCs w:val="0"/>
        </w:rPr>
        <w:t xml:space="preserve"> challenges. One of these challenges is </w:t>
      </w:r>
      <w:r w:rsidRPr="00BA3A92">
        <w:rPr>
          <w:bCs w:val="0"/>
        </w:rPr>
        <w:t>fluctuations in exchange rates</w:t>
      </w:r>
      <w:r w:rsidR="009E7439">
        <w:rPr>
          <w:bCs w:val="0"/>
        </w:rPr>
        <w:t xml:space="preserve"> </w:t>
      </w:r>
      <w:r w:rsidR="009E7439" w:rsidRPr="009E7439">
        <w:rPr>
          <w:bCs w:val="0"/>
        </w:rPr>
        <w:t>(Hill, 2022)</w:t>
      </w:r>
      <w:r>
        <w:rPr>
          <w:bCs w:val="0"/>
        </w:rPr>
        <w:t xml:space="preserve">. Fluctuations in exchange </w:t>
      </w:r>
      <w:r w:rsidR="009E7439">
        <w:rPr>
          <w:bCs w:val="0"/>
        </w:rPr>
        <w:t>rates</w:t>
      </w:r>
      <w:r>
        <w:rPr>
          <w:bCs w:val="0"/>
        </w:rPr>
        <w:t xml:space="preserve"> severely affect the </w:t>
      </w:r>
      <w:r w:rsidRPr="00BA3A92">
        <w:rPr>
          <w:bCs w:val="0"/>
        </w:rPr>
        <w:t>profitability and cash flows</w:t>
      </w:r>
      <w:r>
        <w:rPr>
          <w:bCs w:val="0"/>
        </w:rPr>
        <w:t xml:space="preserve"> of business organisations and in many cases, appear as one of the key factors that determine the success and failure of business operations. These fluctuations in exchange </w:t>
      </w:r>
      <w:r w:rsidR="009E7439">
        <w:rPr>
          <w:bCs w:val="0"/>
        </w:rPr>
        <w:t>rates</w:t>
      </w:r>
      <w:r>
        <w:rPr>
          <w:bCs w:val="0"/>
        </w:rPr>
        <w:t xml:space="preserve"> are also referred to as </w:t>
      </w:r>
      <w:r w:rsidR="00695F62" w:rsidRPr="00695F62">
        <w:rPr>
          <w:bCs w:val="0"/>
        </w:rPr>
        <w:t>the potential loss arising from movements in currency exchange rates</w:t>
      </w:r>
      <w:r w:rsidR="009E7439">
        <w:rPr>
          <w:bCs w:val="0"/>
        </w:rPr>
        <w:t xml:space="preserve"> </w:t>
      </w:r>
      <w:r w:rsidR="009E7439" w:rsidRPr="009E7439">
        <w:rPr>
          <w:bCs w:val="0"/>
        </w:rPr>
        <w:t xml:space="preserve">(Shapiro and </w:t>
      </w:r>
      <w:proofErr w:type="spellStart"/>
      <w:r w:rsidR="009E7439" w:rsidRPr="009E7439">
        <w:rPr>
          <w:bCs w:val="0"/>
        </w:rPr>
        <w:t>Hanouna</w:t>
      </w:r>
      <w:proofErr w:type="spellEnd"/>
      <w:r w:rsidR="009E7439" w:rsidRPr="009E7439">
        <w:rPr>
          <w:bCs w:val="0"/>
        </w:rPr>
        <w:t>, 2019)</w:t>
      </w:r>
      <w:r w:rsidR="00695F62">
        <w:rPr>
          <w:bCs w:val="0"/>
        </w:rPr>
        <w:t xml:space="preserve">. These fluctuations require </w:t>
      </w:r>
      <w:r w:rsidR="009E7439">
        <w:rPr>
          <w:bCs w:val="0"/>
        </w:rPr>
        <w:t>multinational</w:t>
      </w:r>
      <w:r w:rsidR="00695F62">
        <w:rPr>
          <w:bCs w:val="0"/>
        </w:rPr>
        <w:t xml:space="preserve"> corporations to take necessary strategies and proactive management measures. In this report, the focus will be </w:t>
      </w:r>
      <w:r w:rsidR="007D32BA">
        <w:rPr>
          <w:bCs w:val="0"/>
        </w:rPr>
        <w:t xml:space="preserve">to </w:t>
      </w:r>
      <w:r w:rsidR="00695F62" w:rsidRPr="00695F62">
        <w:rPr>
          <w:bCs w:val="0"/>
        </w:rPr>
        <w:t>evaluate the</w:t>
      </w:r>
      <w:r w:rsidR="00695F62">
        <w:rPr>
          <w:bCs w:val="0"/>
        </w:rPr>
        <w:t xml:space="preserve"> </w:t>
      </w:r>
      <w:r w:rsidR="00695F62" w:rsidRPr="00695F62">
        <w:rPr>
          <w:bCs w:val="0"/>
        </w:rPr>
        <w:t>different strategies</w:t>
      </w:r>
      <w:r w:rsidR="00695F62">
        <w:rPr>
          <w:bCs w:val="0"/>
        </w:rPr>
        <w:t xml:space="preserve"> that </w:t>
      </w:r>
      <w:r w:rsidR="009E7439">
        <w:rPr>
          <w:bCs w:val="0"/>
        </w:rPr>
        <w:t>multinational</w:t>
      </w:r>
      <w:r w:rsidR="00695F62">
        <w:rPr>
          <w:bCs w:val="0"/>
        </w:rPr>
        <w:t xml:space="preserve"> corporations </w:t>
      </w:r>
      <w:r w:rsidR="00695F62" w:rsidRPr="00695F62">
        <w:rPr>
          <w:bCs w:val="0"/>
        </w:rPr>
        <w:t>adopt in managing their exposure to foreign exchange risks</w:t>
      </w:r>
      <w:r w:rsidR="00695F62">
        <w:rPr>
          <w:bCs w:val="0"/>
        </w:rPr>
        <w:t xml:space="preserve">. To serve the focus, the report initially provides an understanding of the risks associated with </w:t>
      </w:r>
      <w:bookmarkStart w:id="5" w:name="_Hlk162806482"/>
      <w:r w:rsidR="00695F62">
        <w:rPr>
          <w:bCs w:val="0"/>
        </w:rPr>
        <w:t>the fluctuation of f</w:t>
      </w:r>
      <w:r w:rsidR="00695F62" w:rsidRPr="00695F62">
        <w:rPr>
          <w:bCs w:val="0"/>
        </w:rPr>
        <w:t xml:space="preserve">oreign </w:t>
      </w:r>
      <w:r w:rsidR="00695F62">
        <w:rPr>
          <w:bCs w:val="0"/>
        </w:rPr>
        <w:t>e</w:t>
      </w:r>
      <w:r w:rsidR="00695F62" w:rsidRPr="00695F62">
        <w:rPr>
          <w:bCs w:val="0"/>
        </w:rPr>
        <w:t>xchange</w:t>
      </w:r>
      <w:r w:rsidR="00695F62">
        <w:rPr>
          <w:bCs w:val="0"/>
        </w:rPr>
        <w:t xml:space="preserve"> </w:t>
      </w:r>
      <w:bookmarkEnd w:id="5"/>
      <w:r w:rsidR="009E7439">
        <w:rPr>
          <w:bCs w:val="0"/>
        </w:rPr>
        <w:t>rates</w:t>
      </w:r>
      <w:r w:rsidR="00695F62">
        <w:rPr>
          <w:bCs w:val="0"/>
        </w:rPr>
        <w:t>.</w:t>
      </w:r>
      <w:r w:rsidR="009124CB">
        <w:rPr>
          <w:bCs w:val="0"/>
        </w:rPr>
        <w:t xml:space="preserve"> T</w:t>
      </w:r>
      <w:r w:rsidR="00695F62">
        <w:rPr>
          <w:bCs w:val="0"/>
        </w:rPr>
        <w:t xml:space="preserve">he report </w:t>
      </w:r>
      <w:r w:rsidR="009124CB">
        <w:rPr>
          <w:bCs w:val="0"/>
        </w:rPr>
        <w:t>concludes with</w:t>
      </w:r>
      <w:r w:rsidR="00695F62">
        <w:rPr>
          <w:bCs w:val="0"/>
        </w:rPr>
        <w:t xml:space="preserve"> </w:t>
      </w:r>
      <w:r w:rsidR="009124CB">
        <w:rPr>
          <w:bCs w:val="0"/>
        </w:rPr>
        <w:t>an</w:t>
      </w:r>
      <w:r w:rsidR="00695F62">
        <w:rPr>
          <w:bCs w:val="0"/>
        </w:rPr>
        <w:t xml:space="preserve"> </w:t>
      </w:r>
      <w:r w:rsidR="009124CB">
        <w:rPr>
          <w:bCs w:val="0"/>
        </w:rPr>
        <w:t>evaluation and analysis of</w:t>
      </w:r>
      <w:r w:rsidR="00695F62">
        <w:rPr>
          <w:bCs w:val="0"/>
        </w:rPr>
        <w:t xml:space="preserve"> different strategies for dealing with </w:t>
      </w:r>
      <w:r w:rsidR="00695F62" w:rsidRPr="00695F62">
        <w:rPr>
          <w:bCs w:val="0"/>
        </w:rPr>
        <w:t xml:space="preserve">the fluctuation of foreign exchange </w:t>
      </w:r>
      <w:r w:rsidR="009E7439">
        <w:rPr>
          <w:bCs w:val="0"/>
        </w:rPr>
        <w:t>rates</w:t>
      </w:r>
      <w:r w:rsidR="00695F62">
        <w:rPr>
          <w:bCs w:val="0"/>
        </w:rPr>
        <w:t>.</w:t>
      </w:r>
    </w:p>
    <w:p w14:paraId="77B54438" w14:textId="77777777" w:rsidR="00695F62" w:rsidRDefault="00695F62">
      <w:pPr>
        <w:rPr>
          <w:bCs w:val="0"/>
        </w:rPr>
      </w:pPr>
      <w:r>
        <w:rPr>
          <w:bCs w:val="0"/>
        </w:rPr>
        <w:br w:type="page"/>
      </w:r>
    </w:p>
    <w:p w14:paraId="3C8E1B44" w14:textId="6C89B2FB" w:rsidR="00F72CD3" w:rsidRDefault="007D32BA" w:rsidP="00695F62">
      <w:pPr>
        <w:rPr>
          <w:b/>
          <w:sz w:val="28"/>
        </w:rPr>
      </w:pPr>
      <w:r w:rsidRPr="007D32BA">
        <w:rPr>
          <w:b/>
          <w:sz w:val="28"/>
        </w:rPr>
        <w:lastRenderedPageBreak/>
        <w:t>2.0</w:t>
      </w:r>
      <w:r w:rsidRPr="007D32BA">
        <w:rPr>
          <w:b/>
          <w:sz w:val="28"/>
        </w:rPr>
        <w:tab/>
        <w:t>Risks Associated with Foreign Exchange Rate</w:t>
      </w:r>
    </w:p>
    <w:p w14:paraId="6C8F76A5" w14:textId="366FD789" w:rsidR="009124CB" w:rsidRPr="009124CB" w:rsidRDefault="009124CB" w:rsidP="00695F62">
      <w:pPr>
        <w:rPr>
          <w:bCs w:val="0"/>
          <w:szCs w:val="24"/>
        </w:rPr>
      </w:pPr>
      <w:r w:rsidRPr="009124CB">
        <w:rPr>
          <w:bCs w:val="0"/>
          <w:szCs w:val="24"/>
        </w:rPr>
        <w:t xml:space="preserve">Foreign currency rates complicate multinational firms' daily operations. To fix the issues, multinational firms must prepare for foreign exchange risk management (Shapiro and </w:t>
      </w:r>
      <w:proofErr w:type="spellStart"/>
      <w:r w:rsidRPr="009124CB">
        <w:rPr>
          <w:bCs w:val="0"/>
          <w:szCs w:val="24"/>
        </w:rPr>
        <w:t>Hanouna</w:t>
      </w:r>
      <w:proofErr w:type="spellEnd"/>
      <w:r w:rsidRPr="009124CB">
        <w:rPr>
          <w:bCs w:val="0"/>
          <w:szCs w:val="24"/>
        </w:rPr>
        <w:t xml:space="preserve">, 2019). </w:t>
      </w:r>
      <w:r w:rsidR="004E680E">
        <w:rPr>
          <w:bCs w:val="0"/>
          <w:szCs w:val="24"/>
        </w:rPr>
        <w:t>These r</w:t>
      </w:r>
      <w:r w:rsidRPr="009124CB">
        <w:rPr>
          <w:bCs w:val="0"/>
          <w:szCs w:val="24"/>
        </w:rPr>
        <w:t xml:space="preserve">isks </w:t>
      </w:r>
      <w:r w:rsidR="004E680E">
        <w:rPr>
          <w:bCs w:val="0"/>
          <w:szCs w:val="24"/>
        </w:rPr>
        <w:t xml:space="preserve">work as obstacles for multinational corporations. These obstacles jeopardise </w:t>
      </w:r>
      <w:r w:rsidRPr="009124CB">
        <w:rPr>
          <w:bCs w:val="0"/>
          <w:szCs w:val="24"/>
        </w:rPr>
        <w:t xml:space="preserve">capital flows, financial stability, and MNC profitability (Geyer et al., 2019). </w:t>
      </w:r>
      <w:r w:rsidR="004E680E">
        <w:rPr>
          <w:bCs w:val="0"/>
          <w:szCs w:val="24"/>
        </w:rPr>
        <w:t>The risks f</w:t>
      </w:r>
      <w:r w:rsidRPr="009124CB">
        <w:rPr>
          <w:bCs w:val="0"/>
          <w:szCs w:val="24"/>
        </w:rPr>
        <w:t xml:space="preserve">oreign exchange rate </w:t>
      </w:r>
      <w:r w:rsidR="004E680E">
        <w:rPr>
          <w:bCs w:val="0"/>
          <w:szCs w:val="24"/>
        </w:rPr>
        <w:t>fluctuations</w:t>
      </w:r>
      <w:r w:rsidRPr="009124CB">
        <w:rPr>
          <w:bCs w:val="0"/>
          <w:szCs w:val="24"/>
        </w:rPr>
        <w:t xml:space="preserve"> </w:t>
      </w:r>
      <w:r w:rsidR="00FA714C">
        <w:rPr>
          <w:bCs w:val="0"/>
          <w:szCs w:val="24"/>
        </w:rPr>
        <w:t>bring for multinational co</w:t>
      </w:r>
      <w:r w:rsidR="004E680E">
        <w:rPr>
          <w:bCs w:val="0"/>
          <w:szCs w:val="24"/>
        </w:rPr>
        <w:t>r</w:t>
      </w:r>
      <w:r w:rsidR="00FA714C">
        <w:rPr>
          <w:bCs w:val="0"/>
          <w:szCs w:val="24"/>
        </w:rPr>
        <w:t>p</w:t>
      </w:r>
      <w:r w:rsidR="004E680E">
        <w:rPr>
          <w:bCs w:val="0"/>
          <w:szCs w:val="24"/>
        </w:rPr>
        <w:t>o</w:t>
      </w:r>
      <w:r w:rsidR="00FA714C">
        <w:rPr>
          <w:bCs w:val="0"/>
          <w:szCs w:val="24"/>
        </w:rPr>
        <w:t xml:space="preserve">rations </w:t>
      </w:r>
      <w:r w:rsidR="004E680E">
        <w:rPr>
          <w:bCs w:val="0"/>
          <w:szCs w:val="24"/>
        </w:rPr>
        <w:t xml:space="preserve">can be categorised as </w:t>
      </w:r>
      <w:r w:rsidRPr="009124CB">
        <w:rPr>
          <w:bCs w:val="0"/>
          <w:szCs w:val="24"/>
        </w:rPr>
        <w:t>short-term</w:t>
      </w:r>
      <w:r w:rsidR="004E680E">
        <w:rPr>
          <w:bCs w:val="0"/>
          <w:szCs w:val="24"/>
        </w:rPr>
        <w:t xml:space="preserve"> risks</w:t>
      </w:r>
      <w:r w:rsidRPr="009124CB">
        <w:rPr>
          <w:bCs w:val="0"/>
          <w:szCs w:val="24"/>
        </w:rPr>
        <w:t xml:space="preserve"> and long-term </w:t>
      </w:r>
      <w:r w:rsidR="00FA714C">
        <w:rPr>
          <w:bCs w:val="0"/>
          <w:szCs w:val="24"/>
        </w:rPr>
        <w:t>risks</w:t>
      </w:r>
      <w:r w:rsidRPr="009124CB">
        <w:rPr>
          <w:bCs w:val="0"/>
          <w:szCs w:val="24"/>
        </w:rPr>
        <w:t>.</w:t>
      </w:r>
    </w:p>
    <w:p w14:paraId="78F1D602" w14:textId="09C711CC" w:rsidR="000B0330" w:rsidRPr="00FA714C" w:rsidRDefault="000B0330" w:rsidP="00695F62">
      <w:pPr>
        <w:rPr>
          <w:bCs w:val="0"/>
          <w:szCs w:val="24"/>
        </w:rPr>
      </w:pPr>
      <w:r w:rsidRPr="000B0330">
        <w:rPr>
          <w:b/>
          <w:szCs w:val="24"/>
        </w:rPr>
        <w:t>2.1</w:t>
      </w:r>
      <w:r w:rsidRPr="000B0330">
        <w:rPr>
          <w:b/>
          <w:szCs w:val="24"/>
        </w:rPr>
        <w:tab/>
        <w:t>Long-Term Risk</w:t>
      </w:r>
      <w:r>
        <w:rPr>
          <w:b/>
          <w:szCs w:val="24"/>
        </w:rPr>
        <w:t>:</w:t>
      </w:r>
      <w:r w:rsidR="00DE7405">
        <w:rPr>
          <w:b/>
          <w:szCs w:val="24"/>
        </w:rPr>
        <w:t xml:space="preserve"> </w:t>
      </w:r>
      <w:r w:rsidR="004E680E" w:rsidRPr="004E680E">
        <w:rPr>
          <w:bCs w:val="0"/>
          <w:szCs w:val="24"/>
        </w:rPr>
        <w:t xml:space="preserve">Multinational </w:t>
      </w:r>
      <w:r w:rsidR="004E680E">
        <w:rPr>
          <w:bCs w:val="0"/>
          <w:szCs w:val="24"/>
        </w:rPr>
        <w:t>corporations</w:t>
      </w:r>
      <w:r w:rsidR="004E680E" w:rsidRPr="004E680E">
        <w:rPr>
          <w:bCs w:val="0"/>
          <w:szCs w:val="24"/>
        </w:rPr>
        <w:t xml:space="preserve"> face long-term foreign currency rate concerns. These risks pose long-term structural and strategic issues for global businesses (Shapiro and </w:t>
      </w:r>
      <w:proofErr w:type="spellStart"/>
      <w:r w:rsidR="004E680E" w:rsidRPr="004E680E">
        <w:rPr>
          <w:bCs w:val="0"/>
          <w:szCs w:val="24"/>
        </w:rPr>
        <w:t>Hanouna</w:t>
      </w:r>
      <w:proofErr w:type="spellEnd"/>
      <w:r w:rsidR="004E680E" w:rsidRPr="004E680E">
        <w:rPr>
          <w:bCs w:val="0"/>
          <w:szCs w:val="24"/>
        </w:rPr>
        <w:t xml:space="preserve">, 2019). Long-term risks threaten multinationals' profitability, capital allocation, and strategic goals. Volatility affects multinational firms' profitability, market share, and long-term investments. </w:t>
      </w:r>
      <w:proofErr w:type="gramStart"/>
      <w:r w:rsidR="004E680E" w:rsidRPr="004E680E">
        <w:rPr>
          <w:bCs w:val="0"/>
          <w:szCs w:val="24"/>
        </w:rPr>
        <w:t>Particularly in competitive or low-margin areas.</w:t>
      </w:r>
      <w:proofErr w:type="gramEnd"/>
      <w:r w:rsidR="004E680E" w:rsidRPr="004E680E">
        <w:rPr>
          <w:bCs w:val="0"/>
          <w:szCs w:val="24"/>
        </w:rPr>
        <w:t xml:space="preserve"> Foreign government meddling, instability, and regulatory changes contribute (Geyer et al., 2019). Currency restrictions, expropriation, nationalisation, and trade obstacles make multinational firms' operations, investments, and profits unclear (Daniels et al., 2019). Capital flows, interest rate differentials, and macroeconomic dynamics affect exchange rate volatility. Thus, MNCs must manage capital investment and financial stability. </w:t>
      </w:r>
      <w:proofErr w:type="spellStart"/>
      <w:r w:rsidR="004E680E" w:rsidRPr="004E680E">
        <w:rPr>
          <w:bCs w:val="0"/>
          <w:szCs w:val="24"/>
        </w:rPr>
        <w:t>Blockchain</w:t>
      </w:r>
      <w:proofErr w:type="spellEnd"/>
      <w:r w:rsidR="004E680E" w:rsidRPr="004E680E">
        <w:rPr>
          <w:bCs w:val="0"/>
          <w:szCs w:val="24"/>
        </w:rPr>
        <w:t xml:space="preserve">, digital currencies, and </w:t>
      </w:r>
      <w:proofErr w:type="spellStart"/>
      <w:r w:rsidR="004E680E" w:rsidRPr="004E680E">
        <w:rPr>
          <w:bCs w:val="0"/>
          <w:szCs w:val="24"/>
        </w:rPr>
        <w:t>fintech</w:t>
      </w:r>
      <w:proofErr w:type="spellEnd"/>
      <w:r w:rsidR="004E680E" w:rsidRPr="004E680E">
        <w:rPr>
          <w:bCs w:val="0"/>
          <w:szCs w:val="24"/>
        </w:rPr>
        <w:t xml:space="preserve"> raise foreign currency risks for MNCs (Geyer et al., 2019). These dangers might alter global financial markets. This trend offers MNCs with foreign exchange management opportunities and challenges.</w:t>
      </w:r>
    </w:p>
    <w:p w14:paraId="720A81F0" w14:textId="2DDF1479" w:rsidR="00E77BD0" w:rsidRDefault="00A572FF" w:rsidP="00695F62">
      <w:pPr>
        <w:rPr>
          <w:bCs w:val="0"/>
          <w:szCs w:val="24"/>
        </w:rPr>
      </w:pPr>
      <w:r w:rsidRPr="00A572FF">
        <w:rPr>
          <w:b/>
          <w:szCs w:val="24"/>
        </w:rPr>
        <w:t>2.2</w:t>
      </w:r>
      <w:r w:rsidRPr="00A572FF">
        <w:rPr>
          <w:b/>
          <w:szCs w:val="24"/>
        </w:rPr>
        <w:tab/>
        <w:t>Short-Term Risk</w:t>
      </w:r>
      <w:r>
        <w:rPr>
          <w:b/>
          <w:szCs w:val="24"/>
        </w:rPr>
        <w:t xml:space="preserve">: </w:t>
      </w:r>
      <w:r w:rsidR="00DE7405">
        <w:rPr>
          <w:bCs w:val="0"/>
          <w:szCs w:val="24"/>
        </w:rPr>
        <w:t>S</w:t>
      </w:r>
      <w:r w:rsidR="009124CB" w:rsidRPr="009124CB">
        <w:rPr>
          <w:bCs w:val="0"/>
          <w:szCs w:val="24"/>
        </w:rPr>
        <w:t>hort-term</w:t>
      </w:r>
      <w:r w:rsidR="00DE7405">
        <w:rPr>
          <w:bCs w:val="0"/>
          <w:szCs w:val="24"/>
        </w:rPr>
        <w:t xml:space="preserve"> risks of the fluctuations of</w:t>
      </w:r>
      <w:r w:rsidR="009124CB" w:rsidRPr="009124CB">
        <w:rPr>
          <w:bCs w:val="0"/>
          <w:szCs w:val="24"/>
        </w:rPr>
        <w:t xml:space="preserve"> foreign exchange</w:t>
      </w:r>
      <w:r w:rsidR="00DE7405">
        <w:rPr>
          <w:bCs w:val="0"/>
          <w:szCs w:val="24"/>
        </w:rPr>
        <w:t xml:space="preserve"> rates are the risks that affect multinational corporations for a short time</w:t>
      </w:r>
      <w:r w:rsidR="009124CB" w:rsidRPr="009124CB">
        <w:rPr>
          <w:bCs w:val="0"/>
          <w:szCs w:val="24"/>
        </w:rPr>
        <w:t xml:space="preserve">. The fluctuations endanger MNC performance and financial viability (Daniels et al., 2019). When transferring international currencies, MNCs risk revenue loss from exchange rate movements. </w:t>
      </w:r>
      <w:proofErr w:type="gramStart"/>
      <w:r w:rsidR="009124CB" w:rsidRPr="009124CB">
        <w:rPr>
          <w:bCs w:val="0"/>
          <w:szCs w:val="24"/>
        </w:rPr>
        <w:t xml:space="preserve">Accounting exposure, or translation exposure, impacts foreign subsidiaries' declared income, assets, and liabilities when financial statements are converted to the parent company's reporting currency (Opie and </w:t>
      </w:r>
      <w:proofErr w:type="spellStart"/>
      <w:r w:rsidR="009124CB" w:rsidRPr="009124CB">
        <w:rPr>
          <w:bCs w:val="0"/>
          <w:szCs w:val="24"/>
        </w:rPr>
        <w:t>Riddiough</w:t>
      </w:r>
      <w:proofErr w:type="spellEnd"/>
      <w:r w:rsidR="009124CB" w:rsidRPr="009124CB">
        <w:rPr>
          <w:bCs w:val="0"/>
          <w:szCs w:val="24"/>
        </w:rPr>
        <w:t>, 2020).</w:t>
      </w:r>
      <w:proofErr w:type="gramEnd"/>
      <w:r w:rsidR="009124CB" w:rsidRPr="009124CB">
        <w:rPr>
          <w:bCs w:val="0"/>
          <w:szCs w:val="24"/>
        </w:rPr>
        <w:t xml:space="preserve"> Exchange rate fluctuations </w:t>
      </w:r>
      <w:r w:rsidR="009124CB">
        <w:rPr>
          <w:bCs w:val="0"/>
          <w:szCs w:val="24"/>
        </w:rPr>
        <w:t>affect</w:t>
      </w:r>
      <w:r w:rsidR="009124CB" w:rsidRPr="009124CB">
        <w:rPr>
          <w:bCs w:val="0"/>
          <w:szCs w:val="24"/>
        </w:rPr>
        <w:t xml:space="preserve"> MNCs' operational and economic vulnerabilities, cash flows, competitiveness, and global product and service demand.</w:t>
      </w:r>
      <w:r w:rsidR="009124CB">
        <w:rPr>
          <w:bCs w:val="0"/>
          <w:szCs w:val="24"/>
        </w:rPr>
        <w:t xml:space="preserve"> </w:t>
      </w:r>
      <w:r w:rsidR="00506FB5" w:rsidRPr="00506FB5">
        <w:rPr>
          <w:bCs w:val="0"/>
          <w:szCs w:val="24"/>
        </w:rPr>
        <w:t>This applies especially to MNCs with long-term investments and operations in several countries. Short-term credit-risk foreign currency operations threaten MNCs</w:t>
      </w:r>
      <w:r w:rsidR="006345E6">
        <w:rPr>
          <w:bCs w:val="0"/>
          <w:szCs w:val="24"/>
        </w:rPr>
        <w:t xml:space="preserve"> </w:t>
      </w:r>
      <w:r w:rsidR="006345E6" w:rsidRPr="006345E6">
        <w:rPr>
          <w:bCs w:val="0"/>
          <w:szCs w:val="24"/>
        </w:rPr>
        <w:t>(Geyer et al., 2019)</w:t>
      </w:r>
      <w:r w:rsidR="00506FB5" w:rsidRPr="00506FB5">
        <w:rPr>
          <w:bCs w:val="0"/>
          <w:szCs w:val="24"/>
        </w:rPr>
        <w:t xml:space="preserve">. Currency swaps and forward contracts are especially susceptible to </w:t>
      </w:r>
      <w:proofErr w:type="gramStart"/>
      <w:r w:rsidR="00506FB5" w:rsidRPr="00506FB5">
        <w:rPr>
          <w:bCs w:val="0"/>
          <w:szCs w:val="24"/>
        </w:rPr>
        <w:t>counterparty</w:t>
      </w:r>
      <w:proofErr w:type="gramEnd"/>
      <w:r w:rsidR="00506FB5" w:rsidRPr="00506FB5">
        <w:rPr>
          <w:bCs w:val="0"/>
          <w:szCs w:val="24"/>
        </w:rPr>
        <w:t xml:space="preserve"> defaults and financial difficulties, making hedging difficult.</w:t>
      </w:r>
    </w:p>
    <w:p w14:paraId="2EB3AC48" w14:textId="53235531" w:rsidR="00A572FF" w:rsidRDefault="00E77BD0" w:rsidP="00695F62">
      <w:pPr>
        <w:rPr>
          <w:b/>
          <w:sz w:val="28"/>
        </w:rPr>
      </w:pPr>
      <w:r w:rsidRPr="00E77BD0">
        <w:rPr>
          <w:b/>
          <w:sz w:val="28"/>
        </w:rPr>
        <w:lastRenderedPageBreak/>
        <w:t>3.0</w:t>
      </w:r>
      <w:r w:rsidRPr="00E77BD0">
        <w:rPr>
          <w:b/>
          <w:sz w:val="28"/>
        </w:rPr>
        <w:tab/>
        <w:t>Strategies for Managing Foreign Exchange Risk</w:t>
      </w:r>
    </w:p>
    <w:p w14:paraId="17255187" w14:textId="19DF2E8B" w:rsidR="00A572FF" w:rsidRDefault="00547984" w:rsidP="00695F62">
      <w:pPr>
        <w:rPr>
          <w:bCs w:val="0"/>
          <w:szCs w:val="24"/>
        </w:rPr>
      </w:pPr>
      <w:r w:rsidRPr="00547984">
        <w:rPr>
          <w:bCs w:val="0"/>
          <w:szCs w:val="24"/>
        </w:rPr>
        <w:t xml:space="preserve">To manage the level of exposure to foreign exchange rates, different multi-national corporations take different strategies. </w:t>
      </w:r>
      <w:r>
        <w:rPr>
          <w:bCs w:val="0"/>
          <w:szCs w:val="24"/>
        </w:rPr>
        <w:t>T</w:t>
      </w:r>
      <w:r w:rsidRPr="00547984">
        <w:rPr>
          <w:bCs w:val="0"/>
          <w:szCs w:val="24"/>
        </w:rPr>
        <w:t>he</w:t>
      </w:r>
      <w:r>
        <w:rPr>
          <w:bCs w:val="0"/>
          <w:szCs w:val="24"/>
        </w:rPr>
        <w:t xml:space="preserve"> following are the strategies that </w:t>
      </w:r>
      <w:r w:rsidR="009E7439">
        <w:rPr>
          <w:bCs w:val="0"/>
          <w:szCs w:val="24"/>
        </w:rPr>
        <w:t>multinational</w:t>
      </w:r>
      <w:r>
        <w:rPr>
          <w:bCs w:val="0"/>
          <w:szCs w:val="24"/>
        </w:rPr>
        <w:t xml:space="preserve"> corporations usually adopt.</w:t>
      </w:r>
    </w:p>
    <w:p w14:paraId="3E8A9BA1" w14:textId="354020FD" w:rsidR="00755BBD" w:rsidRPr="00755BBD" w:rsidRDefault="00547984" w:rsidP="00755BBD">
      <w:pPr>
        <w:rPr>
          <w:bCs w:val="0"/>
          <w:szCs w:val="24"/>
        </w:rPr>
      </w:pPr>
      <w:r w:rsidRPr="00547984">
        <w:rPr>
          <w:b/>
          <w:szCs w:val="24"/>
        </w:rPr>
        <w:t>3.1</w:t>
      </w:r>
      <w:r w:rsidRPr="00547984">
        <w:rPr>
          <w:b/>
          <w:szCs w:val="24"/>
        </w:rPr>
        <w:tab/>
        <w:t>Operational Hedging:</w:t>
      </w:r>
      <w:r w:rsidR="00755BBD">
        <w:rPr>
          <w:b/>
          <w:szCs w:val="24"/>
        </w:rPr>
        <w:t xml:space="preserve"> </w:t>
      </w:r>
      <w:r w:rsidR="00755BBD" w:rsidRPr="00755BBD">
        <w:rPr>
          <w:bCs w:val="0"/>
          <w:szCs w:val="24"/>
        </w:rPr>
        <w:t>By modifying business procedures, operational hedging reduces foreign currency (FX) risk for multinational corporations (MNCs). This method decreases currency fluctuations' influence on the company's finances and operations</w:t>
      </w:r>
      <w:r w:rsidR="009E7439">
        <w:rPr>
          <w:bCs w:val="0"/>
          <w:szCs w:val="24"/>
        </w:rPr>
        <w:t xml:space="preserve"> </w:t>
      </w:r>
      <w:r w:rsidR="009E7439" w:rsidRPr="009E7439">
        <w:rPr>
          <w:bCs w:val="0"/>
          <w:szCs w:val="24"/>
        </w:rPr>
        <w:t xml:space="preserve">(Opie and </w:t>
      </w:r>
      <w:proofErr w:type="spellStart"/>
      <w:r w:rsidR="009E7439" w:rsidRPr="009E7439">
        <w:rPr>
          <w:bCs w:val="0"/>
          <w:szCs w:val="24"/>
        </w:rPr>
        <w:t>Riddiough</w:t>
      </w:r>
      <w:proofErr w:type="spellEnd"/>
      <w:r w:rsidR="009E7439" w:rsidRPr="009E7439">
        <w:rPr>
          <w:bCs w:val="0"/>
          <w:szCs w:val="24"/>
        </w:rPr>
        <w:t>, 2020)</w:t>
      </w:r>
      <w:r w:rsidR="00755BBD" w:rsidRPr="00755BBD">
        <w:rPr>
          <w:bCs w:val="0"/>
          <w:szCs w:val="24"/>
        </w:rPr>
        <w:t xml:space="preserve">. Lead and Lag </w:t>
      </w:r>
      <w:r w:rsidR="009E7439">
        <w:rPr>
          <w:bCs w:val="0"/>
          <w:szCs w:val="24"/>
        </w:rPr>
        <w:t>show</w:t>
      </w:r>
      <w:r w:rsidR="00755BBD" w:rsidRPr="00755BBD">
        <w:rPr>
          <w:bCs w:val="0"/>
          <w:szCs w:val="24"/>
        </w:rPr>
        <w:t xml:space="preserve"> operational hedging. </w:t>
      </w:r>
      <w:r w:rsidR="00EB22B8" w:rsidRPr="00EB22B8">
        <w:rPr>
          <w:bCs w:val="0"/>
          <w:szCs w:val="24"/>
        </w:rPr>
        <w:t>This technique uses meticulous foreign currency payments and receipts to take advantage of advantageous exchange rates. MNCs can mitigate foreign exchange volatility by deliberately sequencing transactions to maximise income or decrease spending. Centralised buying reduces operational risks for multinationals (</w:t>
      </w:r>
      <w:proofErr w:type="spellStart"/>
      <w:r w:rsidR="00EB22B8" w:rsidRPr="00EB22B8">
        <w:rPr>
          <w:bCs w:val="0"/>
          <w:szCs w:val="24"/>
        </w:rPr>
        <w:t>Gabaix</w:t>
      </w:r>
      <w:proofErr w:type="spellEnd"/>
      <w:r w:rsidR="00EB22B8" w:rsidRPr="00EB22B8">
        <w:rPr>
          <w:bCs w:val="0"/>
          <w:szCs w:val="24"/>
        </w:rPr>
        <w:t xml:space="preserve"> and </w:t>
      </w:r>
      <w:proofErr w:type="spellStart"/>
      <w:r w:rsidR="00EB22B8" w:rsidRPr="00EB22B8">
        <w:rPr>
          <w:bCs w:val="0"/>
          <w:szCs w:val="24"/>
        </w:rPr>
        <w:t>Maggiori</w:t>
      </w:r>
      <w:proofErr w:type="spellEnd"/>
      <w:r w:rsidR="00EB22B8" w:rsidRPr="00EB22B8">
        <w:rPr>
          <w:bCs w:val="0"/>
          <w:szCs w:val="24"/>
        </w:rPr>
        <w:t>, 2015). Centralised subsidiary or regional procurement enhances single-currency payment terms and economies of scale. Streamlining procurement may decrease exchange rate volatility, currency translation expenses, and payment stages for multinationals. Controlling risk and improving efficiency are benefits. Multinationals also hedge via transfer pricing. Multinational subsidiaries establish internal product and service prices via transfer pricing. Presale exchange rates or pricing approaches may assist multinational enterprises weather currency volatility. This method controls operational profitability and performance to improve financial predictability (</w:t>
      </w:r>
      <w:proofErr w:type="spellStart"/>
      <w:r w:rsidR="00EB22B8" w:rsidRPr="00EB22B8">
        <w:rPr>
          <w:bCs w:val="0"/>
          <w:szCs w:val="24"/>
        </w:rPr>
        <w:t>Kouri</w:t>
      </w:r>
      <w:proofErr w:type="spellEnd"/>
      <w:r w:rsidR="00EB22B8" w:rsidRPr="00EB22B8">
        <w:rPr>
          <w:bCs w:val="0"/>
          <w:szCs w:val="24"/>
        </w:rPr>
        <w:t>, 2019). Operational hedging may not reduce FX risk unless management oversees decision-making and implementation. Operational hedging requires complex global subsidiary and division coordination (Geyer et al., 2019). Regional dispersion, business size, industry, and foreign exchange risk exposure impact operational hedging performance (</w:t>
      </w:r>
      <w:proofErr w:type="spellStart"/>
      <w:r w:rsidR="00EB22B8" w:rsidRPr="00EB22B8">
        <w:rPr>
          <w:bCs w:val="0"/>
          <w:szCs w:val="24"/>
        </w:rPr>
        <w:t>Eiteman</w:t>
      </w:r>
      <w:proofErr w:type="spellEnd"/>
      <w:r w:rsidR="00EB22B8" w:rsidRPr="00EB22B8">
        <w:rPr>
          <w:bCs w:val="0"/>
          <w:szCs w:val="24"/>
        </w:rPr>
        <w:t xml:space="preserve"> et al., 2016). Before employing operational hedging, multinational organisations must assess its potential to increase financial stability and decrease risk.</w:t>
      </w:r>
    </w:p>
    <w:p w14:paraId="291E52B2" w14:textId="4329781C" w:rsidR="00547984" w:rsidRPr="00EB22B8" w:rsidRDefault="00755BBD" w:rsidP="00695F62">
      <w:pPr>
        <w:rPr>
          <w:b/>
          <w:szCs w:val="24"/>
        </w:rPr>
      </w:pPr>
      <w:r w:rsidRPr="00755BBD">
        <w:rPr>
          <w:b/>
          <w:szCs w:val="24"/>
        </w:rPr>
        <w:t>3.2</w:t>
      </w:r>
      <w:r w:rsidRPr="00755BBD">
        <w:rPr>
          <w:b/>
          <w:szCs w:val="24"/>
        </w:rPr>
        <w:tab/>
        <w:t>Transactional Hedging</w:t>
      </w:r>
      <w:r>
        <w:rPr>
          <w:b/>
          <w:szCs w:val="24"/>
        </w:rPr>
        <w:t xml:space="preserve">: </w:t>
      </w:r>
      <w:r w:rsidR="00EB22B8" w:rsidRPr="00EB22B8">
        <w:rPr>
          <w:bCs w:val="0"/>
          <w:szCs w:val="24"/>
        </w:rPr>
        <w:t>Multinational enterprises hedge short-term FX risk via financial instruments (</w:t>
      </w:r>
      <w:proofErr w:type="spellStart"/>
      <w:r w:rsidR="00EB22B8" w:rsidRPr="00EB22B8">
        <w:rPr>
          <w:bCs w:val="0"/>
          <w:szCs w:val="24"/>
        </w:rPr>
        <w:t>Eiteman</w:t>
      </w:r>
      <w:proofErr w:type="spellEnd"/>
      <w:r w:rsidR="00EB22B8" w:rsidRPr="00EB22B8">
        <w:rPr>
          <w:bCs w:val="0"/>
          <w:szCs w:val="24"/>
        </w:rPr>
        <w:t xml:space="preserve"> et al., 2016). Forwards are used to hedge future foreign currency transactions at pre-set exchange rates (</w:t>
      </w:r>
      <w:proofErr w:type="spellStart"/>
      <w:r w:rsidR="00EB22B8" w:rsidRPr="00EB22B8">
        <w:rPr>
          <w:bCs w:val="0"/>
          <w:szCs w:val="24"/>
        </w:rPr>
        <w:t>Kouri</w:t>
      </w:r>
      <w:proofErr w:type="spellEnd"/>
      <w:r w:rsidR="00EB22B8" w:rsidRPr="00EB22B8">
        <w:rPr>
          <w:bCs w:val="0"/>
          <w:szCs w:val="24"/>
        </w:rPr>
        <w:t>, 2019). Forward contracts help MNCs forecast foreign currency rates and cash flows, decreasing FX market volatility and boosting financial risk management.</w:t>
      </w:r>
      <w:r w:rsidR="00EB22B8">
        <w:rPr>
          <w:b/>
          <w:szCs w:val="24"/>
        </w:rPr>
        <w:t xml:space="preserve"> </w:t>
      </w:r>
      <w:r w:rsidR="000A2123" w:rsidRPr="000A2123">
        <w:rPr>
          <w:bCs w:val="0"/>
          <w:szCs w:val="24"/>
        </w:rPr>
        <w:t>Us</w:t>
      </w:r>
      <w:r w:rsidR="00EB22B8">
        <w:rPr>
          <w:bCs w:val="0"/>
          <w:szCs w:val="24"/>
        </w:rPr>
        <w:t>ing</w:t>
      </w:r>
      <w:r w:rsidR="000A2123" w:rsidRPr="000A2123">
        <w:rPr>
          <w:bCs w:val="0"/>
          <w:szCs w:val="24"/>
        </w:rPr>
        <w:t xml:space="preserve"> money market hedges</w:t>
      </w:r>
      <w:r w:rsidR="00EB22B8">
        <w:rPr>
          <w:bCs w:val="0"/>
          <w:szCs w:val="24"/>
        </w:rPr>
        <w:t xml:space="preserve"> is effective</w:t>
      </w:r>
      <w:r w:rsidR="000A2123" w:rsidRPr="000A2123">
        <w:rPr>
          <w:bCs w:val="0"/>
          <w:szCs w:val="24"/>
        </w:rPr>
        <w:t>. Currency swaps secure future exchange rates (</w:t>
      </w:r>
      <w:proofErr w:type="spellStart"/>
      <w:r w:rsidR="000A2123" w:rsidRPr="000A2123">
        <w:rPr>
          <w:bCs w:val="0"/>
          <w:szCs w:val="24"/>
        </w:rPr>
        <w:t>Eiteman</w:t>
      </w:r>
      <w:proofErr w:type="spellEnd"/>
      <w:r w:rsidR="000A2123" w:rsidRPr="000A2123">
        <w:rPr>
          <w:bCs w:val="0"/>
          <w:szCs w:val="24"/>
        </w:rPr>
        <w:t xml:space="preserve"> et al., 2016). </w:t>
      </w:r>
      <w:proofErr w:type="gramStart"/>
      <w:r w:rsidR="000A2123" w:rsidRPr="000A2123">
        <w:rPr>
          <w:bCs w:val="0"/>
          <w:szCs w:val="24"/>
        </w:rPr>
        <w:t>convert</w:t>
      </w:r>
      <w:proofErr w:type="gramEnd"/>
      <w:r w:rsidR="000A2123" w:rsidRPr="000A2123">
        <w:rPr>
          <w:bCs w:val="0"/>
          <w:szCs w:val="24"/>
        </w:rPr>
        <w:t xml:space="preserve"> rate swaps allow multinational companies to convert currencies at a set rate for a certain duration, reducing the influence of </w:t>
      </w:r>
      <w:r w:rsidR="000A2123" w:rsidRPr="000A2123">
        <w:rPr>
          <w:bCs w:val="0"/>
          <w:szCs w:val="24"/>
        </w:rPr>
        <w:lastRenderedPageBreak/>
        <w:t xml:space="preserve">exchange rate fluctuations on </w:t>
      </w:r>
      <w:r w:rsidR="000A2123">
        <w:rPr>
          <w:bCs w:val="0"/>
          <w:szCs w:val="24"/>
        </w:rPr>
        <w:t xml:space="preserve">the </w:t>
      </w:r>
      <w:r w:rsidR="000A2123" w:rsidRPr="000A2123">
        <w:rPr>
          <w:bCs w:val="0"/>
          <w:szCs w:val="24"/>
        </w:rPr>
        <w:t>transaction price. MNCs can hedge individual FX transactions without currency delivery. Short-term FX risk management becomes more flexible and efficient (</w:t>
      </w:r>
      <w:proofErr w:type="spellStart"/>
      <w:r w:rsidR="000A2123" w:rsidRPr="000A2123">
        <w:rPr>
          <w:bCs w:val="0"/>
          <w:szCs w:val="24"/>
        </w:rPr>
        <w:t>Eiteman</w:t>
      </w:r>
      <w:proofErr w:type="spellEnd"/>
      <w:r w:rsidR="000A2123" w:rsidRPr="000A2123">
        <w:rPr>
          <w:bCs w:val="0"/>
          <w:szCs w:val="24"/>
        </w:rPr>
        <w:t xml:space="preserve"> et al., 2016). Transactional hedging helps multinational companies </w:t>
      </w:r>
      <w:r w:rsidR="000A2123">
        <w:rPr>
          <w:bCs w:val="0"/>
          <w:szCs w:val="24"/>
        </w:rPr>
        <w:t xml:space="preserve">with </w:t>
      </w:r>
      <w:r w:rsidR="000A2123" w:rsidRPr="000A2123">
        <w:rPr>
          <w:bCs w:val="0"/>
          <w:szCs w:val="24"/>
        </w:rPr>
        <w:t xml:space="preserve">short-term predictability and risk minimization. To protect foreign capital flows and exchange rate volatility, MNCs deploy forward contracts and money market hedging (Hill, 2022). Budgeting and strategy reduce financial risks and variations for international companies. Global companies confront transactional hedging issues. </w:t>
      </w:r>
      <w:proofErr w:type="gramStart"/>
      <w:r w:rsidR="000A2123" w:rsidRPr="000A2123">
        <w:rPr>
          <w:bCs w:val="0"/>
          <w:szCs w:val="24"/>
        </w:rPr>
        <w:t>Limited by original hedging contract costs.</w:t>
      </w:r>
      <w:proofErr w:type="gramEnd"/>
      <w:r w:rsidR="000A2123" w:rsidRPr="000A2123">
        <w:rPr>
          <w:bCs w:val="0"/>
          <w:szCs w:val="24"/>
        </w:rPr>
        <w:t xml:space="preserve"> Financial instruments to hedge FX risk may cost MNCs premiums or fees, altering cost structure and profitability. Transactional hedges may miss exchange rate gains. Forward contracts and money market hedges may restrict MNC market gains.</w:t>
      </w:r>
    </w:p>
    <w:p w14:paraId="2DE5BB45" w14:textId="539B069C" w:rsidR="001735EA" w:rsidRDefault="00755BBD" w:rsidP="00695F62">
      <w:pPr>
        <w:rPr>
          <w:bCs w:val="0"/>
          <w:szCs w:val="24"/>
        </w:rPr>
      </w:pPr>
      <w:r w:rsidRPr="00755BBD">
        <w:rPr>
          <w:b/>
          <w:szCs w:val="24"/>
        </w:rPr>
        <w:t>3.3</w:t>
      </w:r>
      <w:r w:rsidRPr="00755BBD">
        <w:rPr>
          <w:b/>
          <w:szCs w:val="24"/>
        </w:rPr>
        <w:tab/>
        <w:t>Financial Hedging Instruments</w:t>
      </w:r>
      <w:r>
        <w:rPr>
          <w:b/>
          <w:szCs w:val="24"/>
        </w:rPr>
        <w:t xml:space="preserve">: </w:t>
      </w:r>
      <w:r w:rsidR="001735EA" w:rsidRPr="001735EA">
        <w:rPr>
          <w:bCs w:val="0"/>
          <w:szCs w:val="24"/>
        </w:rPr>
        <w:t xml:space="preserve">Financial hedging instruments help MNCs manage FX risk. Currency options let holders purchase or sell foreign currencies at a set date and price without commitment. Market circumstances may allow multinational corporations to execute currency options to manage foreign exchange risk. This flexibility lets multinationals profit from good currency rate movements and </w:t>
      </w:r>
      <w:proofErr w:type="gramStart"/>
      <w:r w:rsidR="001735EA" w:rsidRPr="001735EA">
        <w:rPr>
          <w:bCs w:val="0"/>
          <w:szCs w:val="24"/>
        </w:rPr>
        <w:t>avoid</w:t>
      </w:r>
      <w:proofErr w:type="gramEnd"/>
      <w:r w:rsidR="001735EA" w:rsidRPr="001735EA">
        <w:rPr>
          <w:bCs w:val="0"/>
          <w:szCs w:val="24"/>
        </w:rPr>
        <w:t xml:space="preserve"> negative ones. FMCGs may decrease FX risk using currency futures</w:t>
      </w:r>
      <w:r w:rsidR="009E7439">
        <w:rPr>
          <w:bCs w:val="0"/>
          <w:szCs w:val="24"/>
        </w:rPr>
        <w:t xml:space="preserve"> </w:t>
      </w:r>
      <w:r w:rsidR="009E7439" w:rsidRPr="009E7439">
        <w:rPr>
          <w:bCs w:val="0"/>
          <w:szCs w:val="24"/>
        </w:rPr>
        <w:t>(</w:t>
      </w:r>
      <w:proofErr w:type="spellStart"/>
      <w:r w:rsidR="009E7439" w:rsidRPr="009E7439">
        <w:rPr>
          <w:bCs w:val="0"/>
          <w:szCs w:val="24"/>
        </w:rPr>
        <w:t>Manconi</w:t>
      </w:r>
      <w:proofErr w:type="spellEnd"/>
      <w:r w:rsidR="009E7439" w:rsidRPr="009E7439">
        <w:rPr>
          <w:bCs w:val="0"/>
          <w:szCs w:val="24"/>
        </w:rPr>
        <w:t xml:space="preserve"> et al., 2018)</w:t>
      </w:r>
      <w:r w:rsidR="001735EA" w:rsidRPr="001735EA">
        <w:rPr>
          <w:bCs w:val="0"/>
          <w:szCs w:val="24"/>
        </w:rPr>
        <w:t>. These contracts are exchange-traded standardised agreements to purchase or sell foreign currency at a future price. MNCs benefit from currency futures price transparency, liquidity, and FX risk management.</w:t>
      </w:r>
      <w:r w:rsidR="001735EA">
        <w:rPr>
          <w:bCs w:val="0"/>
          <w:szCs w:val="24"/>
        </w:rPr>
        <w:t xml:space="preserve"> </w:t>
      </w:r>
      <w:r w:rsidR="001735EA" w:rsidRPr="001735EA">
        <w:rPr>
          <w:bCs w:val="0"/>
          <w:szCs w:val="24"/>
        </w:rPr>
        <w:t>Despite their flexibility and strategic importance, financial hedging strategies have limitations that MNCs should consider. A drawback is that options and futures cost more than forwards. Premiums or fees for options or futures contracts increase multinational corporations' hedging expenses. Financial hedging may complicate international risk management</w:t>
      </w:r>
      <w:r w:rsidR="009E7439">
        <w:rPr>
          <w:bCs w:val="0"/>
          <w:szCs w:val="24"/>
        </w:rPr>
        <w:t xml:space="preserve"> </w:t>
      </w:r>
      <w:r w:rsidR="009E7439" w:rsidRPr="009E7439">
        <w:rPr>
          <w:bCs w:val="0"/>
          <w:szCs w:val="24"/>
        </w:rPr>
        <w:t>(Geyer et al., 2019)</w:t>
      </w:r>
      <w:r w:rsidR="001735EA" w:rsidRPr="001735EA">
        <w:rPr>
          <w:bCs w:val="0"/>
          <w:szCs w:val="24"/>
        </w:rPr>
        <w:t xml:space="preserve">. Understanding and using option pricing and futures contract specifications takes competence. This confronts MNCs with little financial market resources or experience. Financial hedging products increase counterparty risk since foreign </w:t>
      </w:r>
      <w:r w:rsidR="001735EA">
        <w:rPr>
          <w:bCs w:val="0"/>
          <w:szCs w:val="24"/>
        </w:rPr>
        <w:t>corporations</w:t>
      </w:r>
      <w:r w:rsidR="001735EA" w:rsidRPr="001735EA">
        <w:rPr>
          <w:bCs w:val="0"/>
          <w:szCs w:val="24"/>
        </w:rPr>
        <w:t xml:space="preserve"> exchange options and futures contracts. Counterparty risk—the counterparty's likely failure to perform—can create losses or upset multinational corporations' hedging strategy.</w:t>
      </w:r>
    </w:p>
    <w:p w14:paraId="3B0E3C76" w14:textId="4FC38EB4" w:rsidR="00B75472" w:rsidRDefault="001735EA" w:rsidP="00B75472">
      <w:pPr>
        <w:rPr>
          <w:bCs w:val="0"/>
          <w:szCs w:val="24"/>
        </w:rPr>
      </w:pPr>
      <w:r w:rsidRPr="001735EA">
        <w:rPr>
          <w:b/>
          <w:szCs w:val="24"/>
        </w:rPr>
        <w:t>3.4</w:t>
      </w:r>
      <w:r w:rsidRPr="001735EA">
        <w:rPr>
          <w:b/>
          <w:szCs w:val="24"/>
        </w:rPr>
        <w:tab/>
        <w:t>Currency Invoicing</w:t>
      </w:r>
      <w:r>
        <w:rPr>
          <w:b/>
          <w:szCs w:val="24"/>
        </w:rPr>
        <w:t>:</w:t>
      </w:r>
      <w:r w:rsidR="00B75472">
        <w:rPr>
          <w:b/>
          <w:szCs w:val="24"/>
        </w:rPr>
        <w:t xml:space="preserve"> </w:t>
      </w:r>
      <w:r w:rsidR="00B75472" w:rsidRPr="00B75472">
        <w:rPr>
          <w:bCs w:val="0"/>
          <w:szCs w:val="24"/>
        </w:rPr>
        <w:t>Currency invoicing directly minimises MNC FX risk. Denominating contracts in a currency that reduces currency fluctuations achieves this. If MNCs have better control over intra-company invoicing between subsidiaries, this method works. Invoicing transactions in subsidiaries' operational currencies or the least FX-risk currency reduces MNC exchange rate risk</w:t>
      </w:r>
      <w:r w:rsidR="009E7439">
        <w:rPr>
          <w:bCs w:val="0"/>
          <w:szCs w:val="24"/>
        </w:rPr>
        <w:t xml:space="preserve"> </w:t>
      </w:r>
      <w:r w:rsidR="009E7439" w:rsidRPr="009E7439">
        <w:rPr>
          <w:bCs w:val="0"/>
          <w:szCs w:val="24"/>
        </w:rPr>
        <w:t>(</w:t>
      </w:r>
      <w:proofErr w:type="spellStart"/>
      <w:r w:rsidR="009E7439" w:rsidRPr="009E7439">
        <w:rPr>
          <w:bCs w:val="0"/>
          <w:szCs w:val="24"/>
        </w:rPr>
        <w:t>Alexandridis</w:t>
      </w:r>
      <w:proofErr w:type="spellEnd"/>
      <w:r w:rsidR="009E7439" w:rsidRPr="009E7439">
        <w:rPr>
          <w:bCs w:val="0"/>
          <w:szCs w:val="24"/>
        </w:rPr>
        <w:t xml:space="preserve"> et al., 2021)</w:t>
      </w:r>
      <w:r w:rsidR="00B75472" w:rsidRPr="00B75472">
        <w:rPr>
          <w:bCs w:val="0"/>
          <w:szCs w:val="24"/>
        </w:rPr>
        <w:t xml:space="preserve">. A U.S. MNC with a </w:t>
      </w:r>
      <w:r w:rsidR="00B75472" w:rsidRPr="00B75472">
        <w:rPr>
          <w:bCs w:val="0"/>
          <w:szCs w:val="24"/>
        </w:rPr>
        <w:lastRenderedPageBreak/>
        <w:t>European subsidiary may invoice euro transactions to mitigate dollar-euro FX risk. This streamlines operations and saves administrative burden by removing currency translation and simplifying transaction processing</w:t>
      </w:r>
      <w:r w:rsidR="009E7439">
        <w:rPr>
          <w:bCs w:val="0"/>
          <w:szCs w:val="24"/>
        </w:rPr>
        <w:t xml:space="preserve"> </w:t>
      </w:r>
      <w:r w:rsidR="009E7439" w:rsidRPr="009E7439">
        <w:rPr>
          <w:bCs w:val="0"/>
          <w:szCs w:val="24"/>
        </w:rPr>
        <w:t>(</w:t>
      </w:r>
      <w:proofErr w:type="spellStart"/>
      <w:r w:rsidR="009E7439" w:rsidRPr="009E7439">
        <w:rPr>
          <w:bCs w:val="0"/>
          <w:szCs w:val="24"/>
        </w:rPr>
        <w:t>Manconi</w:t>
      </w:r>
      <w:proofErr w:type="spellEnd"/>
      <w:r w:rsidR="009E7439" w:rsidRPr="009E7439">
        <w:rPr>
          <w:bCs w:val="0"/>
          <w:szCs w:val="24"/>
        </w:rPr>
        <w:t xml:space="preserve"> et al., 2018)</w:t>
      </w:r>
      <w:r w:rsidR="00B75472" w:rsidRPr="00B75472">
        <w:rPr>
          <w:bCs w:val="0"/>
          <w:szCs w:val="24"/>
        </w:rPr>
        <w:t xml:space="preserve">. </w:t>
      </w:r>
      <w:r w:rsidR="00EB22B8" w:rsidRPr="00EB22B8">
        <w:rPr>
          <w:bCs w:val="0"/>
          <w:szCs w:val="24"/>
        </w:rPr>
        <w:t>Currency invoicing is complicated but reduces foreign exchange risk. Market dynamics and consumer preferences may make currency invoicing challenging for MNCs (</w:t>
      </w:r>
      <w:proofErr w:type="spellStart"/>
      <w:r w:rsidR="00EB22B8" w:rsidRPr="00EB22B8">
        <w:rPr>
          <w:bCs w:val="0"/>
          <w:szCs w:val="24"/>
        </w:rPr>
        <w:t>Eiteman</w:t>
      </w:r>
      <w:proofErr w:type="spellEnd"/>
      <w:r w:rsidR="00EB22B8" w:rsidRPr="00EB22B8">
        <w:rPr>
          <w:bCs w:val="0"/>
          <w:szCs w:val="24"/>
        </w:rPr>
        <w:t xml:space="preserve"> et al., 2016). Regardless of the international corporation's choice, clients can invoice in their home currency or U.S. dollars. Multinational enterprises' invoicing alternatives may be limited by legislation or regional currency dominance</w:t>
      </w:r>
      <w:r w:rsidR="00DE7405">
        <w:rPr>
          <w:bCs w:val="0"/>
          <w:szCs w:val="24"/>
        </w:rPr>
        <w:t>. This limitation</w:t>
      </w:r>
      <w:r w:rsidR="00EB22B8" w:rsidRPr="00EB22B8">
        <w:rPr>
          <w:bCs w:val="0"/>
          <w:szCs w:val="24"/>
        </w:rPr>
        <w:t xml:space="preserve"> </w:t>
      </w:r>
      <w:r w:rsidR="00DE7405">
        <w:rPr>
          <w:bCs w:val="0"/>
          <w:szCs w:val="24"/>
        </w:rPr>
        <w:t>raises</w:t>
      </w:r>
      <w:r w:rsidR="00EB22B8" w:rsidRPr="00EB22B8">
        <w:rPr>
          <w:bCs w:val="0"/>
          <w:szCs w:val="24"/>
        </w:rPr>
        <w:t xml:space="preserve"> foreign exchange risk (</w:t>
      </w:r>
      <w:proofErr w:type="spellStart"/>
      <w:r w:rsidR="00EB22B8" w:rsidRPr="00EB22B8">
        <w:rPr>
          <w:bCs w:val="0"/>
          <w:szCs w:val="24"/>
        </w:rPr>
        <w:t>Boz</w:t>
      </w:r>
      <w:proofErr w:type="spellEnd"/>
      <w:r w:rsidR="00EB22B8" w:rsidRPr="00EB22B8">
        <w:rPr>
          <w:bCs w:val="0"/>
          <w:szCs w:val="24"/>
        </w:rPr>
        <w:t xml:space="preserve"> et al., 2020). </w:t>
      </w:r>
      <w:proofErr w:type="gramStart"/>
      <w:r w:rsidR="00EB22B8" w:rsidRPr="00EB22B8">
        <w:rPr>
          <w:bCs w:val="0"/>
          <w:szCs w:val="24"/>
        </w:rPr>
        <w:t xml:space="preserve">Currency invoicing may also impact multinational </w:t>
      </w:r>
      <w:r w:rsidR="00DE7405">
        <w:rPr>
          <w:bCs w:val="0"/>
          <w:szCs w:val="24"/>
        </w:rPr>
        <w:t>companies'</w:t>
      </w:r>
      <w:r w:rsidR="00EB22B8" w:rsidRPr="00EB22B8">
        <w:rPr>
          <w:bCs w:val="0"/>
          <w:szCs w:val="24"/>
        </w:rPr>
        <w:t xml:space="preserve"> (MNCs)' transfer pricing strategies</w:t>
      </w:r>
      <w:r w:rsidR="00DE7405">
        <w:rPr>
          <w:bCs w:val="0"/>
          <w:szCs w:val="24"/>
        </w:rPr>
        <w:t>.</w:t>
      </w:r>
      <w:proofErr w:type="gramEnd"/>
      <w:r w:rsidR="00DE7405">
        <w:rPr>
          <w:bCs w:val="0"/>
          <w:szCs w:val="24"/>
        </w:rPr>
        <w:t xml:space="preserve"> As a consequence, pricing strategies</w:t>
      </w:r>
      <w:r w:rsidR="00EB22B8" w:rsidRPr="00EB22B8">
        <w:rPr>
          <w:bCs w:val="0"/>
          <w:szCs w:val="24"/>
        </w:rPr>
        <w:t xml:space="preserve"> </w:t>
      </w:r>
      <w:r w:rsidR="00DE7405">
        <w:rPr>
          <w:bCs w:val="0"/>
          <w:szCs w:val="24"/>
        </w:rPr>
        <w:t xml:space="preserve">can have an impact on </w:t>
      </w:r>
      <w:r w:rsidR="00EB22B8" w:rsidRPr="00EB22B8">
        <w:rPr>
          <w:bCs w:val="0"/>
          <w:szCs w:val="24"/>
        </w:rPr>
        <w:t>internal prices for items and services traded between subsidiaries</w:t>
      </w:r>
      <w:r w:rsidR="00516970">
        <w:rPr>
          <w:bCs w:val="0"/>
          <w:szCs w:val="24"/>
        </w:rPr>
        <w:t xml:space="preserve"> </w:t>
      </w:r>
      <w:r w:rsidR="00EB22B8" w:rsidRPr="00EB22B8">
        <w:rPr>
          <w:bCs w:val="0"/>
          <w:szCs w:val="24"/>
        </w:rPr>
        <w:t>(</w:t>
      </w:r>
      <w:proofErr w:type="spellStart"/>
      <w:r w:rsidR="00EB22B8" w:rsidRPr="00EB22B8">
        <w:rPr>
          <w:bCs w:val="0"/>
          <w:szCs w:val="24"/>
        </w:rPr>
        <w:t>Gabaix</w:t>
      </w:r>
      <w:proofErr w:type="spellEnd"/>
      <w:r w:rsidR="00EB22B8" w:rsidRPr="00EB22B8">
        <w:rPr>
          <w:bCs w:val="0"/>
          <w:szCs w:val="24"/>
        </w:rPr>
        <w:t xml:space="preserve"> and </w:t>
      </w:r>
      <w:proofErr w:type="spellStart"/>
      <w:r w:rsidR="00EB22B8" w:rsidRPr="00EB22B8">
        <w:rPr>
          <w:bCs w:val="0"/>
          <w:szCs w:val="24"/>
        </w:rPr>
        <w:t>Maggiori</w:t>
      </w:r>
      <w:proofErr w:type="spellEnd"/>
      <w:r w:rsidR="00EB22B8" w:rsidRPr="00EB22B8">
        <w:rPr>
          <w:bCs w:val="0"/>
          <w:szCs w:val="24"/>
        </w:rPr>
        <w:t>, 2015).</w:t>
      </w:r>
      <w:r w:rsidR="00FA714C">
        <w:rPr>
          <w:bCs w:val="0"/>
          <w:szCs w:val="24"/>
        </w:rPr>
        <w:t xml:space="preserve"> As a result,</w:t>
      </w:r>
      <w:r w:rsidR="00EB22B8" w:rsidRPr="00EB22B8">
        <w:rPr>
          <w:bCs w:val="0"/>
          <w:szCs w:val="24"/>
        </w:rPr>
        <w:t xml:space="preserve"> </w:t>
      </w:r>
      <w:r w:rsidR="00FA714C">
        <w:rPr>
          <w:bCs w:val="0"/>
          <w:szCs w:val="24"/>
        </w:rPr>
        <w:t>t</w:t>
      </w:r>
      <w:r w:rsidR="00EB22B8" w:rsidRPr="00EB22B8">
        <w:rPr>
          <w:bCs w:val="0"/>
          <w:szCs w:val="24"/>
        </w:rPr>
        <w:t>ransfer pricing affects multinational corporations' profitability and tax allocations by transaction currency.</w:t>
      </w:r>
    </w:p>
    <w:p w14:paraId="26483E57" w14:textId="77777777" w:rsidR="00B75472" w:rsidRDefault="00B75472">
      <w:pPr>
        <w:rPr>
          <w:bCs w:val="0"/>
          <w:szCs w:val="24"/>
        </w:rPr>
      </w:pPr>
      <w:r>
        <w:rPr>
          <w:bCs w:val="0"/>
          <w:szCs w:val="24"/>
        </w:rPr>
        <w:br w:type="page"/>
      </w:r>
    </w:p>
    <w:p w14:paraId="34345A5A" w14:textId="4153FCF1" w:rsidR="00B75472" w:rsidRDefault="00B75472" w:rsidP="00B75472">
      <w:pPr>
        <w:rPr>
          <w:b/>
          <w:sz w:val="28"/>
        </w:rPr>
      </w:pPr>
      <w:r w:rsidRPr="00B75472">
        <w:rPr>
          <w:b/>
          <w:sz w:val="28"/>
        </w:rPr>
        <w:lastRenderedPageBreak/>
        <w:t>4.0</w:t>
      </w:r>
      <w:r w:rsidRPr="00B75472">
        <w:rPr>
          <w:b/>
          <w:sz w:val="28"/>
        </w:rPr>
        <w:tab/>
        <w:t>Conclusion</w:t>
      </w:r>
    </w:p>
    <w:p w14:paraId="5446A122" w14:textId="44F509B8" w:rsidR="00683919" w:rsidRDefault="00FA714C" w:rsidP="00BB4781">
      <w:pPr>
        <w:rPr>
          <w:bCs w:val="0"/>
          <w:szCs w:val="24"/>
        </w:rPr>
      </w:pPr>
      <w:r>
        <w:rPr>
          <w:bCs w:val="0"/>
          <w:szCs w:val="24"/>
        </w:rPr>
        <w:t xml:space="preserve">To a great extent, multinational </w:t>
      </w:r>
      <w:proofErr w:type="spellStart"/>
      <w:r>
        <w:rPr>
          <w:bCs w:val="0"/>
          <w:szCs w:val="24"/>
        </w:rPr>
        <w:t>cooperations</w:t>
      </w:r>
      <w:proofErr w:type="spellEnd"/>
      <w:r>
        <w:rPr>
          <w:bCs w:val="0"/>
          <w:szCs w:val="24"/>
        </w:rPr>
        <w:t xml:space="preserve"> are affected by the fluctuations of the foreign exchange rate</w:t>
      </w:r>
      <w:r w:rsidR="00BB4781" w:rsidRPr="00BB4781">
        <w:rPr>
          <w:bCs w:val="0"/>
          <w:szCs w:val="24"/>
        </w:rPr>
        <w:t xml:space="preserve">.  </w:t>
      </w:r>
      <w:r w:rsidR="00BB4781">
        <w:rPr>
          <w:bCs w:val="0"/>
          <w:szCs w:val="24"/>
        </w:rPr>
        <w:t>These currency rate fluctuations</w:t>
      </w:r>
      <w:r w:rsidR="00BB4781" w:rsidRPr="00BB4781">
        <w:rPr>
          <w:bCs w:val="0"/>
          <w:szCs w:val="24"/>
        </w:rPr>
        <w:t xml:space="preserve"> affect profitability, capital flows, and financial health. Foreign exchange risk </w:t>
      </w:r>
      <w:r w:rsidR="00BB4781">
        <w:rPr>
          <w:bCs w:val="0"/>
          <w:szCs w:val="24"/>
        </w:rPr>
        <w:t>mitigation</w:t>
      </w:r>
      <w:r w:rsidR="00BB4781" w:rsidRPr="00BB4781">
        <w:rPr>
          <w:bCs w:val="0"/>
          <w:szCs w:val="24"/>
        </w:rPr>
        <w:t xml:space="preserve"> measures of multinational corporations are </w:t>
      </w:r>
      <w:r w:rsidR="00BB4781">
        <w:rPr>
          <w:bCs w:val="0"/>
          <w:szCs w:val="24"/>
        </w:rPr>
        <w:t>important</w:t>
      </w:r>
      <w:r w:rsidR="00BB4781" w:rsidRPr="00BB4781">
        <w:rPr>
          <w:bCs w:val="0"/>
          <w:szCs w:val="24"/>
        </w:rPr>
        <w:t xml:space="preserve"> </w:t>
      </w:r>
      <w:r w:rsidR="00BB4781">
        <w:rPr>
          <w:bCs w:val="0"/>
          <w:szCs w:val="24"/>
        </w:rPr>
        <w:t>in managing the fluctuations</w:t>
      </w:r>
      <w:r w:rsidR="00BB4781" w:rsidRPr="00BB4781">
        <w:rPr>
          <w:bCs w:val="0"/>
          <w:szCs w:val="24"/>
        </w:rPr>
        <w:t>.</w:t>
      </w:r>
      <w:r w:rsidR="00BB4781">
        <w:rPr>
          <w:bCs w:val="0"/>
          <w:szCs w:val="24"/>
        </w:rPr>
        <w:t xml:space="preserve"> In this </w:t>
      </w:r>
      <w:r w:rsidR="00DE7405">
        <w:rPr>
          <w:bCs w:val="0"/>
          <w:szCs w:val="24"/>
        </w:rPr>
        <w:t xml:space="preserve">case, </w:t>
      </w:r>
      <w:r w:rsidR="00DE7405" w:rsidRPr="00BB4781">
        <w:rPr>
          <w:bCs w:val="0"/>
          <w:szCs w:val="24"/>
        </w:rPr>
        <w:t>using</w:t>
      </w:r>
      <w:r w:rsidR="00BB4781" w:rsidRPr="00BB4781">
        <w:rPr>
          <w:bCs w:val="0"/>
          <w:szCs w:val="24"/>
        </w:rPr>
        <w:t xml:space="preserve"> currency invoicing, </w:t>
      </w:r>
      <w:r w:rsidR="00BB4781">
        <w:rPr>
          <w:bCs w:val="0"/>
          <w:szCs w:val="24"/>
        </w:rPr>
        <w:t xml:space="preserve">and </w:t>
      </w:r>
      <w:r w:rsidR="00BB4781" w:rsidRPr="00BB4781">
        <w:rPr>
          <w:bCs w:val="0"/>
          <w:szCs w:val="24"/>
        </w:rPr>
        <w:t xml:space="preserve">financial, </w:t>
      </w:r>
      <w:proofErr w:type="gramStart"/>
      <w:r w:rsidR="00BB4781" w:rsidRPr="00BB4781">
        <w:rPr>
          <w:bCs w:val="0"/>
          <w:szCs w:val="24"/>
        </w:rPr>
        <w:t>operational,</w:t>
      </w:r>
      <w:proofErr w:type="gramEnd"/>
      <w:r w:rsidR="00BB4781" w:rsidRPr="00BB4781">
        <w:rPr>
          <w:bCs w:val="0"/>
          <w:szCs w:val="24"/>
        </w:rPr>
        <w:t xml:space="preserve"> and transactional hedging</w:t>
      </w:r>
      <w:r w:rsidR="00BB4781">
        <w:rPr>
          <w:bCs w:val="0"/>
          <w:szCs w:val="24"/>
        </w:rPr>
        <w:t xml:space="preserve"> is recommended</w:t>
      </w:r>
      <w:r w:rsidR="00BB4781" w:rsidRPr="00BB4781">
        <w:rPr>
          <w:bCs w:val="0"/>
          <w:szCs w:val="24"/>
        </w:rPr>
        <w:t>. Each strategy has merits and downsides</w:t>
      </w:r>
      <w:r w:rsidR="00BB4781">
        <w:rPr>
          <w:bCs w:val="0"/>
          <w:szCs w:val="24"/>
        </w:rPr>
        <w:t>.</w:t>
      </w:r>
      <w:r w:rsidR="00BB4781" w:rsidRPr="00BB4781">
        <w:rPr>
          <w:bCs w:val="0"/>
          <w:szCs w:val="24"/>
        </w:rPr>
        <w:t xml:space="preserve"> </w:t>
      </w:r>
      <w:r w:rsidR="00DE7405">
        <w:rPr>
          <w:bCs w:val="0"/>
          <w:szCs w:val="24"/>
        </w:rPr>
        <w:t>So,</w:t>
      </w:r>
      <w:r w:rsidR="00BB4781">
        <w:rPr>
          <w:bCs w:val="0"/>
          <w:szCs w:val="24"/>
        </w:rPr>
        <w:t xml:space="preserve"> it is important to use</w:t>
      </w:r>
      <w:r w:rsidR="00BB4781" w:rsidRPr="00BB4781">
        <w:rPr>
          <w:bCs w:val="0"/>
          <w:szCs w:val="24"/>
        </w:rPr>
        <w:t xml:space="preserve"> a specific FX risk framework. Financial hedging addresses long-term foreign exchange concerns</w:t>
      </w:r>
      <w:r w:rsidR="00BB4781">
        <w:rPr>
          <w:bCs w:val="0"/>
          <w:szCs w:val="24"/>
        </w:rPr>
        <w:t>. On the other hand,</w:t>
      </w:r>
      <w:r w:rsidR="00BB4781" w:rsidRPr="00BB4781">
        <w:rPr>
          <w:bCs w:val="0"/>
          <w:szCs w:val="24"/>
        </w:rPr>
        <w:t xml:space="preserve"> operational and transactional hedging handles daily currency movements. Currency invoicing decreases foreign exchange risk</w:t>
      </w:r>
      <w:r w:rsidR="00BB4781">
        <w:rPr>
          <w:bCs w:val="0"/>
          <w:szCs w:val="24"/>
        </w:rPr>
        <w:t>.</w:t>
      </w:r>
      <w:r w:rsidR="00DE7405">
        <w:rPr>
          <w:bCs w:val="0"/>
          <w:szCs w:val="24"/>
        </w:rPr>
        <w:t xml:space="preserve"> With that being said,</w:t>
      </w:r>
      <w:r w:rsidR="00BB4781" w:rsidRPr="00BB4781">
        <w:rPr>
          <w:bCs w:val="0"/>
          <w:szCs w:val="24"/>
        </w:rPr>
        <w:t xml:space="preserve"> market dynamics and transfer costs may hinder implementation. In an age of globalisation, multinational organisations may improve their financial performance and FX risk management by knowing these strategies and their ramifications.</w:t>
      </w:r>
      <w:r w:rsidR="00683919">
        <w:rPr>
          <w:bCs w:val="0"/>
          <w:szCs w:val="24"/>
        </w:rPr>
        <w:br w:type="page"/>
      </w:r>
    </w:p>
    <w:p w14:paraId="27A169D9" w14:textId="4674C393" w:rsidR="00B75472" w:rsidRDefault="00683919" w:rsidP="00B75472">
      <w:pPr>
        <w:rPr>
          <w:b/>
          <w:sz w:val="28"/>
        </w:rPr>
      </w:pPr>
      <w:r w:rsidRPr="00683919">
        <w:rPr>
          <w:b/>
          <w:sz w:val="28"/>
        </w:rPr>
        <w:lastRenderedPageBreak/>
        <w:t>5.0</w:t>
      </w:r>
      <w:r w:rsidRPr="00683919">
        <w:rPr>
          <w:b/>
          <w:sz w:val="28"/>
        </w:rPr>
        <w:tab/>
        <w:t>References</w:t>
      </w:r>
    </w:p>
    <w:p w14:paraId="60572A03" w14:textId="77777777" w:rsidR="003D18B3" w:rsidRPr="00047F0C" w:rsidRDefault="003D18B3" w:rsidP="00047F0C">
      <w:pPr>
        <w:ind w:left="720" w:hanging="720"/>
        <w:rPr>
          <w:szCs w:val="24"/>
          <w:lang w:val="en-US"/>
        </w:rPr>
      </w:pPr>
      <w:proofErr w:type="spellStart"/>
      <w:r w:rsidRPr="00047F0C">
        <w:rPr>
          <w:szCs w:val="24"/>
          <w:lang w:val="en-US"/>
        </w:rPr>
        <w:t>Alexandridis</w:t>
      </w:r>
      <w:proofErr w:type="spellEnd"/>
      <w:r w:rsidRPr="00047F0C">
        <w:rPr>
          <w:szCs w:val="24"/>
          <w:lang w:val="en-US"/>
        </w:rPr>
        <w:t xml:space="preserve">, G., Chen, Z. and </w:t>
      </w:r>
      <w:proofErr w:type="spellStart"/>
      <w:r w:rsidRPr="00047F0C">
        <w:rPr>
          <w:szCs w:val="24"/>
          <w:lang w:val="en-US"/>
        </w:rPr>
        <w:t>Zeng</w:t>
      </w:r>
      <w:proofErr w:type="spellEnd"/>
      <w:r w:rsidRPr="00047F0C">
        <w:rPr>
          <w:szCs w:val="24"/>
          <w:lang w:val="en-US"/>
        </w:rPr>
        <w:t xml:space="preserve">, Y., 2021. </w:t>
      </w:r>
      <w:proofErr w:type="gramStart"/>
      <w:r w:rsidRPr="00047F0C">
        <w:rPr>
          <w:szCs w:val="24"/>
          <w:lang w:val="en-US"/>
        </w:rPr>
        <w:t>Financial hedging and corporate investment.</w:t>
      </w:r>
      <w:proofErr w:type="gramEnd"/>
      <w:r w:rsidRPr="00047F0C">
        <w:rPr>
          <w:szCs w:val="24"/>
          <w:lang w:val="en-US"/>
        </w:rPr>
        <w:t> </w:t>
      </w:r>
      <w:r w:rsidRPr="00047F0C">
        <w:rPr>
          <w:i/>
          <w:iCs/>
          <w:szCs w:val="24"/>
          <w:lang w:val="en-US"/>
        </w:rPr>
        <w:t>Journal of Corporate Finance</w:t>
      </w:r>
      <w:r w:rsidRPr="00047F0C">
        <w:rPr>
          <w:szCs w:val="24"/>
          <w:lang w:val="en-US"/>
        </w:rPr>
        <w:t>, </w:t>
      </w:r>
      <w:r w:rsidRPr="00047F0C">
        <w:rPr>
          <w:i/>
          <w:iCs/>
          <w:szCs w:val="24"/>
          <w:lang w:val="en-US"/>
        </w:rPr>
        <w:t>67</w:t>
      </w:r>
      <w:r w:rsidRPr="00047F0C">
        <w:rPr>
          <w:szCs w:val="24"/>
          <w:lang w:val="en-US"/>
        </w:rPr>
        <w:t>, p.101887.</w:t>
      </w:r>
    </w:p>
    <w:p w14:paraId="0AF3ACE7" w14:textId="77777777" w:rsidR="003D18B3" w:rsidRPr="00047F0C" w:rsidRDefault="003D18B3" w:rsidP="00047F0C">
      <w:pPr>
        <w:ind w:left="720" w:hanging="720"/>
        <w:rPr>
          <w:szCs w:val="24"/>
          <w:lang w:val="en-US"/>
        </w:rPr>
      </w:pPr>
      <w:proofErr w:type="spellStart"/>
      <w:proofErr w:type="gramStart"/>
      <w:r w:rsidRPr="00047F0C">
        <w:rPr>
          <w:szCs w:val="24"/>
          <w:lang w:val="en-US"/>
        </w:rPr>
        <w:t>Boz</w:t>
      </w:r>
      <w:proofErr w:type="spellEnd"/>
      <w:r w:rsidRPr="00047F0C">
        <w:rPr>
          <w:szCs w:val="24"/>
          <w:lang w:val="en-US"/>
        </w:rPr>
        <w:t xml:space="preserve">, E., Casas, C., </w:t>
      </w:r>
      <w:proofErr w:type="spellStart"/>
      <w:r w:rsidRPr="00047F0C">
        <w:rPr>
          <w:szCs w:val="24"/>
          <w:lang w:val="en-US"/>
        </w:rPr>
        <w:t>Georgiadis</w:t>
      </w:r>
      <w:proofErr w:type="spellEnd"/>
      <w:r w:rsidRPr="00047F0C">
        <w:rPr>
          <w:szCs w:val="24"/>
          <w:lang w:val="en-US"/>
        </w:rPr>
        <w:t xml:space="preserve">, G., </w:t>
      </w:r>
      <w:proofErr w:type="spellStart"/>
      <w:r w:rsidRPr="00047F0C">
        <w:rPr>
          <w:szCs w:val="24"/>
          <w:lang w:val="en-US"/>
        </w:rPr>
        <w:t>Gopinath</w:t>
      </w:r>
      <w:proofErr w:type="spellEnd"/>
      <w:r w:rsidRPr="00047F0C">
        <w:rPr>
          <w:szCs w:val="24"/>
          <w:lang w:val="en-US"/>
        </w:rPr>
        <w:t xml:space="preserve">, G., Le </w:t>
      </w:r>
      <w:proofErr w:type="spellStart"/>
      <w:r w:rsidRPr="00047F0C">
        <w:rPr>
          <w:szCs w:val="24"/>
          <w:lang w:val="en-US"/>
        </w:rPr>
        <w:t>Mezo</w:t>
      </w:r>
      <w:proofErr w:type="spellEnd"/>
      <w:r w:rsidRPr="00047F0C">
        <w:rPr>
          <w:szCs w:val="24"/>
          <w:lang w:val="en-US"/>
        </w:rPr>
        <w:t xml:space="preserve">, H., </w:t>
      </w:r>
      <w:proofErr w:type="spellStart"/>
      <w:r w:rsidRPr="00047F0C">
        <w:rPr>
          <w:szCs w:val="24"/>
          <w:lang w:val="en-US"/>
        </w:rPr>
        <w:t>Mehl</w:t>
      </w:r>
      <w:proofErr w:type="spellEnd"/>
      <w:r w:rsidRPr="00047F0C">
        <w:rPr>
          <w:szCs w:val="24"/>
          <w:lang w:val="en-US"/>
        </w:rPr>
        <w:t>, A. and Nguyen, T., 2020.</w:t>
      </w:r>
      <w:proofErr w:type="gramEnd"/>
      <w:r w:rsidRPr="00047F0C">
        <w:rPr>
          <w:szCs w:val="24"/>
          <w:lang w:val="en-US"/>
        </w:rPr>
        <w:t xml:space="preserve"> </w:t>
      </w:r>
      <w:proofErr w:type="gramStart"/>
      <w:r w:rsidRPr="00047F0C">
        <w:rPr>
          <w:szCs w:val="24"/>
          <w:lang w:val="en-US"/>
        </w:rPr>
        <w:t>Patterns in invoicing currency in global trade.</w:t>
      </w:r>
      <w:proofErr w:type="gramEnd"/>
    </w:p>
    <w:p w14:paraId="413CDE67" w14:textId="77777777" w:rsidR="003D18B3" w:rsidRPr="00047F0C" w:rsidRDefault="003D18B3" w:rsidP="00047F0C">
      <w:pPr>
        <w:ind w:left="720" w:hanging="720"/>
        <w:rPr>
          <w:szCs w:val="24"/>
          <w:lang w:val="en-US"/>
        </w:rPr>
      </w:pPr>
      <w:r w:rsidRPr="00047F0C">
        <w:rPr>
          <w:szCs w:val="24"/>
          <w:lang w:val="en-US"/>
        </w:rPr>
        <w:t xml:space="preserve">Daniels, J.D., </w:t>
      </w:r>
      <w:proofErr w:type="spellStart"/>
      <w:r w:rsidRPr="00047F0C">
        <w:rPr>
          <w:szCs w:val="24"/>
          <w:lang w:val="en-US"/>
        </w:rPr>
        <w:t>Radebaugh</w:t>
      </w:r>
      <w:proofErr w:type="spellEnd"/>
      <w:r w:rsidRPr="00047F0C">
        <w:rPr>
          <w:szCs w:val="24"/>
          <w:lang w:val="en-US"/>
        </w:rPr>
        <w:t>, L.H. and Sullivan, D.P., 2019. </w:t>
      </w:r>
      <w:r w:rsidRPr="00047F0C">
        <w:rPr>
          <w:i/>
          <w:iCs/>
          <w:szCs w:val="24"/>
          <w:lang w:val="en-US"/>
        </w:rPr>
        <w:t>International business: Environments and operations</w:t>
      </w:r>
      <w:r w:rsidRPr="00047F0C">
        <w:rPr>
          <w:szCs w:val="24"/>
          <w:lang w:val="en-US"/>
        </w:rPr>
        <w:t>. Pearson.</w:t>
      </w:r>
    </w:p>
    <w:p w14:paraId="572CF001" w14:textId="77777777" w:rsidR="003D18B3" w:rsidRPr="00047F0C" w:rsidRDefault="003D18B3" w:rsidP="00047F0C">
      <w:pPr>
        <w:ind w:left="720" w:hanging="720"/>
        <w:rPr>
          <w:szCs w:val="24"/>
          <w:lang w:val="en-US"/>
        </w:rPr>
      </w:pPr>
      <w:proofErr w:type="spellStart"/>
      <w:r w:rsidRPr="00047F0C">
        <w:rPr>
          <w:szCs w:val="24"/>
          <w:lang w:val="en-US"/>
        </w:rPr>
        <w:t>Eiteman</w:t>
      </w:r>
      <w:proofErr w:type="spellEnd"/>
      <w:r w:rsidRPr="00047F0C">
        <w:rPr>
          <w:szCs w:val="24"/>
          <w:lang w:val="en-US"/>
        </w:rPr>
        <w:t xml:space="preserve">, D.K., </w:t>
      </w:r>
      <w:proofErr w:type="spellStart"/>
      <w:r w:rsidRPr="00047F0C">
        <w:rPr>
          <w:szCs w:val="24"/>
          <w:lang w:val="en-US"/>
        </w:rPr>
        <w:t>Stonehill</w:t>
      </w:r>
      <w:proofErr w:type="spellEnd"/>
      <w:r w:rsidRPr="00047F0C">
        <w:rPr>
          <w:szCs w:val="24"/>
          <w:lang w:val="en-US"/>
        </w:rPr>
        <w:t>, A.I. and Moffett, M.H., 2016. </w:t>
      </w:r>
      <w:proofErr w:type="gramStart"/>
      <w:r w:rsidRPr="00047F0C">
        <w:rPr>
          <w:i/>
          <w:iCs/>
          <w:szCs w:val="24"/>
          <w:lang w:val="en-US"/>
        </w:rPr>
        <w:t>Multinational business finance</w:t>
      </w:r>
      <w:r w:rsidRPr="00047F0C">
        <w:rPr>
          <w:szCs w:val="24"/>
          <w:lang w:val="en-US"/>
        </w:rPr>
        <w:t>.</w:t>
      </w:r>
      <w:proofErr w:type="gramEnd"/>
      <w:r w:rsidRPr="00047F0C">
        <w:rPr>
          <w:szCs w:val="24"/>
          <w:lang w:val="en-US"/>
        </w:rPr>
        <w:t xml:space="preserve"> Pearson.</w:t>
      </w:r>
    </w:p>
    <w:p w14:paraId="7200475A" w14:textId="77777777" w:rsidR="003D18B3" w:rsidRPr="00047F0C" w:rsidRDefault="003D18B3" w:rsidP="00047F0C">
      <w:pPr>
        <w:ind w:left="720" w:hanging="720"/>
        <w:rPr>
          <w:szCs w:val="24"/>
          <w:lang w:val="en-US"/>
        </w:rPr>
      </w:pPr>
      <w:proofErr w:type="spellStart"/>
      <w:proofErr w:type="gramStart"/>
      <w:r w:rsidRPr="00047F0C">
        <w:rPr>
          <w:szCs w:val="24"/>
          <w:lang w:val="en-US"/>
        </w:rPr>
        <w:t>Gabaix</w:t>
      </w:r>
      <w:proofErr w:type="spellEnd"/>
      <w:r w:rsidRPr="00047F0C">
        <w:rPr>
          <w:szCs w:val="24"/>
          <w:lang w:val="en-US"/>
        </w:rPr>
        <w:t xml:space="preserve">, X. and </w:t>
      </w:r>
      <w:proofErr w:type="spellStart"/>
      <w:r w:rsidRPr="00047F0C">
        <w:rPr>
          <w:szCs w:val="24"/>
          <w:lang w:val="en-US"/>
        </w:rPr>
        <w:t>Maggiori</w:t>
      </w:r>
      <w:proofErr w:type="spellEnd"/>
      <w:r w:rsidRPr="00047F0C">
        <w:rPr>
          <w:szCs w:val="24"/>
          <w:lang w:val="en-US"/>
        </w:rPr>
        <w:t>, M., 2015.</w:t>
      </w:r>
      <w:proofErr w:type="gramEnd"/>
      <w:r w:rsidRPr="00047F0C">
        <w:rPr>
          <w:szCs w:val="24"/>
          <w:lang w:val="en-US"/>
        </w:rPr>
        <w:t xml:space="preserve"> International liquidity and exchange rate dynamics. </w:t>
      </w:r>
      <w:proofErr w:type="gramStart"/>
      <w:r w:rsidRPr="00047F0C">
        <w:rPr>
          <w:i/>
          <w:iCs/>
          <w:szCs w:val="24"/>
          <w:lang w:val="en-US"/>
        </w:rPr>
        <w:t>The Quarterly Journal of Economics</w:t>
      </w:r>
      <w:r w:rsidRPr="00047F0C">
        <w:rPr>
          <w:szCs w:val="24"/>
          <w:lang w:val="en-US"/>
        </w:rPr>
        <w:t>, </w:t>
      </w:r>
      <w:r w:rsidRPr="00047F0C">
        <w:rPr>
          <w:i/>
          <w:iCs/>
          <w:szCs w:val="24"/>
          <w:lang w:val="en-US"/>
        </w:rPr>
        <w:t>130</w:t>
      </w:r>
      <w:r w:rsidRPr="00047F0C">
        <w:rPr>
          <w:szCs w:val="24"/>
          <w:lang w:val="en-US"/>
        </w:rPr>
        <w:t>(3), pp.1369-1420.</w:t>
      </w:r>
      <w:proofErr w:type="gramEnd"/>
    </w:p>
    <w:p w14:paraId="0FBE449B" w14:textId="77777777" w:rsidR="003D18B3" w:rsidRPr="00047F0C" w:rsidRDefault="003D18B3" w:rsidP="00047F0C">
      <w:pPr>
        <w:ind w:left="720" w:hanging="720"/>
        <w:rPr>
          <w:szCs w:val="24"/>
          <w:lang w:val="en-US"/>
        </w:rPr>
      </w:pPr>
      <w:proofErr w:type="gramStart"/>
      <w:r w:rsidRPr="00047F0C">
        <w:rPr>
          <w:szCs w:val="24"/>
          <w:lang w:val="en-US"/>
        </w:rPr>
        <w:t>Geyer-</w:t>
      </w:r>
      <w:proofErr w:type="spellStart"/>
      <w:r w:rsidRPr="00047F0C">
        <w:rPr>
          <w:szCs w:val="24"/>
          <w:lang w:val="en-US"/>
        </w:rPr>
        <w:t>Klingeberg</w:t>
      </w:r>
      <w:proofErr w:type="spellEnd"/>
      <w:r w:rsidRPr="00047F0C">
        <w:rPr>
          <w:szCs w:val="24"/>
          <w:lang w:val="en-US"/>
        </w:rPr>
        <w:t xml:space="preserve">, J., Hang, M. and </w:t>
      </w:r>
      <w:proofErr w:type="spellStart"/>
      <w:r w:rsidRPr="00047F0C">
        <w:rPr>
          <w:szCs w:val="24"/>
          <w:lang w:val="en-US"/>
        </w:rPr>
        <w:t>Rathgeber</w:t>
      </w:r>
      <w:proofErr w:type="spellEnd"/>
      <w:r w:rsidRPr="00047F0C">
        <w:rPr>
          <w:szCs w:val="24"/>
          <w:lang w:val="en-US"/>
        </w:rPr>
        <w:t>, A.W., 2019.</w:t>
      </w:r>
      <w:proofErr w:type="gramEnd"/>
      <w:r w:rsidRPr="00047F0C">
        <w:rPr>
          <w:szCs w:val="24"/>
          <w:lang w:val="en-US"/>
        </w:rPr>
        <w:t xml:space="preserve"> What drives financial hedging? </w:t>
      </w:r>
      <w:proofErr w:type="gramStart"/>
      <w:r w:rsidRPr="00047F0C">
        <w:rPr>
          <w:szCs w:val="24"/>
          <w:lang w:val="en-US"/>
        </w:rPr>
        <w:t>A meta-regression analysis of corporate hedging determinants.</w:t>
      </w:r>
      <w:proofErr w:type="gramEnd"/>
      <w:r w:rsidRPr="00047F0C">
        <w:rPr>
          <w:szCs w:val="24"/>
          <w:lang w:val="en-US"/>
        </w:rPr>
        <w:t> </w:t>
      </w:r>
      <w:proofErr w:type="gramStart"/>
      <w:r w:rsidRPr="00047F0C">
        <w:rPr>
          <w:i/>
          <w:iCs/>
          <w:szCs w:val="24"/>
          <w:lang w:val="en-US"/>
        </w:rPr>
        <w:t>International Review of Financial Analysis</w:t>
      </w:r>
      <w:r w:rsidRPr="00047F0C">
        <w:rPr>
          <w:szCs w:val="24"/>
          <w:lang w:val="en-US"/>
        </w:rPr>
        <w:t>, </w:t>
      </w:r>
      <w:r w:rsidRPr="00047F0C">
        <w:rPr>
          <w:i/>
          <w:iCs/>
          <w:szCs w:val="24"/>
          <w:lang w:val="en-US"/>
        </w:rPr>
        <w:t>61</w:t>
      </w:r>
      <w:r w:rsidRPr="00047F0C">
        <w:rPr>
          <w:szCs w:val="24"/>
          <w:lang w:val="en-US"/>
        </w:rPr>
        <w:t>, pp.203-221.</w:t>
      </w:r>
      <w:proofErr w:type="gramEnd"/>
    </w:p>
    <w:p w14:paraId="115A99FF" w14:textId="77777777" w:rsidR="003D18B3" w:rsidRPr="00047F0C" w:rsidRDefault="003D18B3" w:rsidP="00047F0C">
      <w:pPr>
        <w:ind w:left="720" w:hanging="720"/>
        <w:rPr>
          <w:szCs w:val="24"/>
          <w:lang w:val="en-US"/>
        </w:rPr>
      </w:pPr>
      <w:r w:rsidRPr="00047F0C">
        <w:rPr>
          <w:szCs w:val="24"/>
          <w:lang w:val="en-US"/>
        </w:rPr>
        <w:t>Hill, C.W., 2022. </w:t>
      </w:r>
      <w:proofErr w:type="gramStart"/>
      <w:r w:rsidRPr="00047F0C">
        <w:rPr>
          <w:i/>
          <w:iCs/>
          <w:szCs w:val="24"/>
          <w:lang w:val="en-US"/>
        </w:rPr>
        <w:t>Global business today</w:t>
      </w:r>
      <w:r w:rsidRPr="00047F0C">
        <w:rPr>
          <w:szCs w:val="24"/>
          <w:lang w:val="en-US"/>
        </w:rPr>
        <w:t>.</w:t>
      </w:r>
      <w:proofErr w:type="gramEnd"/>
      <w:r w:rsidRPr="00047F0C">
        <w:rPr>
          <w:szCs w:val="24"/>
          <w:lang w:val="en-US"/>
        </w:rPr>
        <w:t xml:space="preserve"> </w:t>
      </w:r>
      <w:proofErr w:type="gramStart"/>
      <w:r w:rsidRPr="00047F0C">
        <w:rPr>
          <w:szCs w:val="24"/>
          <w:lang w:val="en-US"/>
        </w:rPr>
        <w:t>McGraw-Hill.</w:t>
      </w:r>
      <w:proofErr w:type="gramEnd"/>
    </w:p>
    <w:p w14:paraId="5BD27B24" w14:textId="77777777" w:rsidR="003D18B3" w:rsidRPr="00047F0C" w:rsidRDefault="003D18B3" w:rsidP="00047F0C">
      <w:pPr>
        <w:ind w:left="720" w:hanging="720"/>
        <w:rPr>
          <w:szCs w:val="24"/>
          <w:lang w:val="en-US"/>
        </w:rPr>
      </w:pPr>
      <w:proofErr w:type="spellStart"/>
      <w:r w:rsidRPr="00047F0C">
        <w:rPr>
          <w:szCs w:val="24"/>
          <w:lang w:val="en-US"/>
        </w:rPr>
        <w:t>Kouri</w:t>
      </w:r>
      <w:proofErr w:type="spellEnd"/>
      <w:r w:rsidRPr="00047F0C">
        <w:rPr>
          <w:szCs w:val="24"/>
          <w:lang w:val="en-US"/>
        </w:rPr>
        <w:t xml:space="preserve">, P.J., 2019. The exchange rate and the balance of payments in the short run and in the long run: A monetary approach. </w:t>
      </w:r>
      <w:proofErr w:type="gramStart"/>
      <w:r w:rsidRPr="00047F0C">
        <w:rPr>
          <w:szCs w:val="24"/>
          <w:lang w:val="en-US"/>
        </w:rPr>
        <w:t>In </w:t>
      </w:r>
      <w:r w:rsidRPr="00047F0C">
        <w:rPr>
          <w:i/>
          <w:iCs/>
          <w:szCs w:val="24"/>
          <w:lang w:val="en-US"/>
        </w:rPr>
        <w:t>Flexible Exchange Rates/h</w:t>
      </w:r>
      <w:r w:rsidRPr="00047F0C">
        <w:rPr>
          <w:szCs w:val="24"/>
          <w:lang w:val="en-US"/>
        </w:rPr>
        <w:t> (pp. 148-172).</w:t>
      </w:r>
      <w:proofErr w:type="gramEnd"/>
      <w:r w:rsidRPr="00047F0C">
        <w:rPr>
          <w:szCs w:val="24"/>
          <w:lang w:val="en-US"/>
        </w:rPr>
        <w:t xml:space="preserve"> </w:t>
      </w:r>
      <w:proofErr w:type="spellStart"/>
      <w:proofErr w:type="gramStart"/>
      <w:r w:rsidRPr="00047F0C">
        <w:rPr>
          <w:szCs w:val="24"/>
          <w:lang w:val="en-US"/>
        </w:rPr>
        <w:t>Routledge</w:t>
      </w:r>
      <w:proofErr w:type="spellEnd"/>
      <w:r w:rsidRPr="00047F0C">
        <w:rPr>
          <w:szCs w:val="24"/>
          <w:lang w:val="en-US"/>
        </w:rPr>
        <w:t>.</w:t>
      </w:r>
      <w:proofErr w:type="gramEnd"/>
    </w:p>
    <w:p w14:paraId="34CAF410" w14:textId="77777777" w:rsidR="003D18B3" w:rsidRPr="00047F0C" w:rsidRDefault="003D18B3" w:rsidP="00047F0C">
      <w:pPr>
        <w:ind w:left="720" w:hanging="720"/>
        <w:rPr>
          <w:szCs w:val="24"/>
          <w:lang w:val="en-US"/>
        </w:rPr>
      </w:pPr>
      <w:proofErr w:type="spellStart"/>
      <w:proofErr w:type="gramStart"/>
      <w:r w:rsidRPr="00047F0C">
        <w:rPr>
          <w:szCs w:val="24"/>
          <w:lang w:val="en-US"/>
        </w:rPr>
        <w:t>Manconi</w:t>
      </w:r>
      <w:proofErr w:type="spellEnd"/>
      <w:r w:rsidRPr="00047F0C">
        <w:rPr>
          <w:szCs w:val="24"/>
          <w:lang w:val="en-US"/>
        </w:rPr>
        <w:t>, A., Massa, M. and Zhang, L., 2018.</w:t>
      </w:r>
      <w:proofErr w:type="gramEnd"/>
      <w:r w:rsidRPr="00047F0C">
        <w:rPr>
          <w:szCs w:val="24"/>
          <w:lang w:val="en-US"/>
        </w:rPr>
        <w:t xml:space="preserve"> </w:t>
      </w:r>
      <w:proofErr w:type="gramStart"/>
      <w:r w:rsidRPr="00047F0C">
        <w:rPr>
          <w:szCs w:val="24"/>
          <w:lang w:val="en-US"/>
        </w:rPr>
        <w:t>The informational role of corporate hedging.</w:t>
      </w:r>
      <w:proofErr w:type="gramEnd"/>
      <w:r w:rsidRPr="00047F0C">
        <w:rPr>
          <w:szCs w:val="24"/>
          <w:lang w:val="en-US"/>
        </w:rPr>
        <w:t> </w:t>
      </w:r>
      <w:proofErr w:type="gramStart"/>
      <w:r w:rsidRPr="00047F0C">
        <w:rPr>
          <w:i/>
          <w:iCs/>
          <w:szCs w:val="24"/>
          <w:lang w:val="en-US"/>
        </w:rPr>
        <w:t>Management Science</w:t>
      </w:r>
      <w:r w:rsidRPr="00047F0C">
        <w:rPr>
          <w:szCs w:val="24"/>
          <w:lang w:val="en-US"/>
        </w:rPr>
        <w:t>, </w:t>
      </w:r>
      <w:r w:rsidRPr="00047F0C">
        <w:rPr>
          <w:i/>
          <w:iCs/>
          <w:szCs w:val="24"/>
          <w:lang w:val="en-US"/>
        </w:rPr>
        <w:t>64</w:t>
      </w:r>
      <w:r w:rsidRPr="00047F0C">
        <w:rPr>
          <w:szCs w:val="24"/>
          <w:lang w:val="en-US"/>
        </w:rPr>
        <w:t>(8), pp.3843-3867.</w:t>
      </w:r>
      <w:proofErr w:type="gramEnd"/>
    </w:p>
    <w:p w14:paraId="6901D770" w14:textId="77777777" w:rsidR="003D18B3" w:rsidRPr="00047F0C" w:rsidRDefault="003D18B3" w:rsidP="00047F0C">
      <w:pPr>
        <w:ind w:left="720" w:hanging="720"/>
        <w:rPr>
          <w:szCs w:val="24"/>
          <w:lang w:val="en-US"/>
        </w:rPr>
      </w:pPr>
      <w:proofErr w:type="gramStart"/>
      <w:r w:rsidRPr="00047F0C">
        <w:rPr>
          <w:szCs w:val="24"/>
          <w:lang w:val="en-US"/>
        </w:rPr>
        <w:t xml:space="preserve">Opie, W. and </w:t>
      </w:r>
      <w:proofErr w:type="spellStart"/>
      <w:r w:rsidRPr="00047F0C">
        <w:rPr>
          <w:szCs w:val="24"/>
          <w:lang w:val="en-US"/>
        </w:rPr>
        <w:t>Riddiough</w:t>
      </w:r>
      <w:proofErr w:type="spellEnd"/>
      <w:r w:rsidRPr="00047F0C">
        <w:rPr>
          <w:szCs w:val="24"/>
          <w:lang w:val="en-US"/>
        </w:rPr>
        <w:t>, S.J., 2020.</w:t>
      </w:r>
      <w:proofErr w:type="gramEnd"/>
      <w:r w:rsidRPr="00047F0C">
        <w:rPr>
          <w:szCs w:val="24"/>
          <w:lang w:val="en-US"/>
        </w:rPr>
        <w:t xml:space="preserve"> </w:t>
      </w:r>
      <w:proofErr w:type="gramStart"/>
      <w:r w:rsidRPr="00047F0C">
        <w:rPr>
          <w:szCs w:val="24"/>
          <w:lang w:val="en-US"/>
        </w:rPr>
        <w:t>Global currency hedging with common risk factors.</w:t>
      </w:r>
      <w:proofErr w:type="gramEnd"/>
      <w:r w:rsidRPr="00047F0C">
        <w:rPr>
          <w:szCs w:val="24"/>
          <w:lang w:val="en-US"/>
        </w:rPr>
        <w:t> </w:t>
      </w:r>
      <w:proofErr w:type="gramStart"/>
      <w:r w:rsidRPr="00047F0C">
        <w:rPr>
          <w:i/>
          <w:iCs/>
          <w:szCs w:val="24"/>
          <w:lang w:val="en-US"/>
        </w:rPr>
        <w:t>Journal of Financial Economics</w:t>
      </w:r>
      <w:r w:rsidRPr="00047F0C">
        <w:rPr>
          <w:szCs w:val="24"/>
          <w:lang w:val="en-US"/>
        </w:rPr>
        <w:t>, </w:t>
      </w:r>
      <w:r w:rsidRPr="00047F0C">
        <w:rPr>
          <w:i/>
          <w:iCs/>
          <w:szCs w:val="24"/>
          <w:lang w:val="en-US"/>
        </w:rPr>
        <w:t>136</w:t>
      </w:r>
      <w:r w:rsidRPr="00047F0C">
        <w:rPr>
          <w:szCs w:val="24"/>
          <w:lang w:val="en-US"/>
        </w:rPr>
        <w:t>(3), pp.780-805.</w:t>
      </w:r>
      <w:proofErr w:type="gramEnd"/>
    </w:p>
    <w:p w14:paraId="06B2C46C" w14:textId="77777777" w:rsidR="003D18B3" w:rsidRPr="00047F0C" w:rsidRDefault="003D18B3" w:rsidP="00047F0C">
      <w:pPr>
        <w:ind w:left="720" w:hanging="720"/>
        <w:rPr>
          <w:szCs w:val="24"/>
          <w:lang w:val="en-US"/>
        </w:rPr>
      </w:pPr>
      <w:r w:rsidRPr="00047F0C">
        <w:rPr>
          <w:szCs w:val="24"/>
          <w:lang w:val="en-US"/>
        </w:rPr>
        <w:t xml:space="preserve">Shapiro, A.C. and </w:t>
      </w:r>
      <w:proofErr w:type="spellStart"/>
      <w:r w:rsidRPr="00047F0C">
        <w:rPr>
          <w:szCs w:val="24"/>
          <w:lang w:val="en-US"/>
        </w:rPr>
        <w:t>Hanouna</w:t>
      </w:r>
      <w:proofErr w:type="spellEnd"/>
      <w:r w:rsidRPr="00047F0C">
        <w:rPr>
          <w:szCs w:val="24"/>
          <w:lang w:val="en-US"/>
        </w:rPr>
        <w:t>, P., 2019. </w:t>
      </w:r>
      <w:proofErr w:type="gramStart"/>
      <w:r w:rsidRPr="00047F0C">
        <w:rPr>
          <w:i/>
          <w:iCs/>
          <w:szCs w:val="24"/>
          <w:lang w:val="en-US"/>
        </w:rPr>
        <w:t>Multinational financial management</w:t>
      </w:r>
      <w:r w:rsidRPr="00047F0C">
        <w:rPr>
          <w:szCs w:val="24"/>
          <w:lang w:val="en-US"/>
        </w:rPr>
        <w:t>.</w:t>
      </w:r>
      <w:proofErr w:type="gramEnd"/>
      <w:r w:rsidRPr="00047F0C">
        <w:rPr>
          <w:szCs w:val="24"/>
          <w:lang w:val="en-US"/>
        </w:rPr>
        <w:t xml:space="preserve"> </w:t>
      </w:r>
      <w:proofErr w:type="gramStart"/>
      <w:r w:rsidRPr="00047F0C">
        <w:rPr>
          <w:szCs w:val="24"/>
          <w:lang w:val="en-US"/>
        </w:rPr>
        <w:t>John Wiley &amp; Sons.</w:t>
      </w:r>
      <w:proofErr w:type="gramEnd"/>
    </w:p>
    <w:p w14:paraId="35B8D658" w14:textId="77777777" w:rsidR="00683919" w:rsidRPr="00047F0C" w:rsidRDefault="00683919" w:rsidP="00B75472">
      <w:pPr>
        <w:rPr>
          <w:bCs w:val="0"/>
          <w:szCs w:val="24"/>
        </w:rPr>
      </w:pPr>
    </w:p>
    <w:p w14:paraId="2C324460" w14:textId="77777777" w:rsidR="00B75472" w:rsidRPr="00B75472" w:rsidRDefault="00B75472" w:rsidP="00B75472">
      <w:pPr>
        <w:rPr>
          <w:b/>
          <w:szCs w:val="24"/>
        </w:rPr>
      </w:pPr>
    </w:p>
    <w:p w14:paraId="1F75D19F" w14:textId="77777777" w:rsidR="00B75472" w:rsidRPr="00B75472" w:rsidRDefault="00B75472" w:rsidP="00B75472">
      <w:pPr>
        <w:rPr>
          <w:b/>
          <w:szCs w:val="24"/>
        </w:rPr>
      </w:pPr>
    </w:p>
    <w:p w14:paraId="05F783D4" w14:textId="77777777" w:rsidR="00B75472" w:rsidRPr="00B75472" w:rsidRDefault="00B75472" w:rsidP="00B75472">
      <w:pPr>
        <w:rPr>
          <w:b/>
          <w:szCs w:val="24"/>
        </w:rPr>
      </w:pPr>
    </w:p>
    <w:sectPr w:rsidR="00B75472" w:rsidRPr="00B75472" w:rsidSect="00711716">
      <w:footerReference w:type="default" r:id="rId9"/>
      <w:footerReference w:type="firs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B2E20E" w14:textId="77777777" w:rsidR="00CF2773" w:rsidRPr="00BA3A92" w:rsidRDefault="00CF2773" w:rsidP="0067544E">
      <w:pPr>
        <w:spacing w:after="0" w:line="240" w:lineRule="auto"/>
      </w:pPr>
      <w:r w:rsidRPr="00BA3A92">
        <w:separator/>
      </w:r>
    </w:p>
  </w:endnote>
  <w:endnote w:type="continuationSeparator" w:id="0">
    <w:p w14:paraId="6E3A9DF1" w14:textId="77777777" w:rsidR="00CF2773" w:rsidRPr="00BA3A92" w:rsidRDefault="00CF2773" w:rsidP="0067544E">
      <w:pPr>
        <w:spacing w:after="0" w:line="240" w:lineRule="auto"/>
      </w:pPr>
      <w:r w:rsidRPr="00BA3A9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1423508"/>
      <w:docPartObj>
        <w:docPartGallery w:val="Page Numbers (Bottom of Page)"/>
        <w:docPartUnique/>
      </w:docPartObj>
    </w:sdtPr>
    <w:sdtEndPr>
      <w:rPr>
        <w:noProof/>
      </w:rPr>
    </w:sdtEndPr>
    <w:sdtContent>
      <w:p w14:paraId="37DB646A" w14:textId="24F5E122" w:rsidR="00B7396F" w:rsidRDefault="00B7396F">
        <w:pPr>
          <w:pStyle w:val="Footer"/>
          <w:jc w:val="right"/>
        </w:pPr>
        <w:r>
          <w:fldChar w:fldCharType="begin"/>
        </w:r>
        <w:r>
          <w:instrText xml:space="preserve"> PAGE   \* MERGEFORMAT </w:instrText>
        </w:r>
        <w:r>
          <w:fldChar w:fldCharType="separate"/>
        </w:r>
        <w:r w:rsidR="00FF3495">
          <w:rPr>
            <w:noProof/>
          </w:rPr>
          <w:t>2</w:t>
        </w:r>
        <w:r>
          <w:rPr>
            <w:noProof/>
          </w:rPr>
          <w:fldChar w:fldCharType="end"/>
        </w:r>
      </w:p>
    </w:sdtContent>
  </w:sdt>
  <w:p w14:paraId="625185F1" w14:textId="77777777" w:rsidR="00EA2E81" w:rsidRPr="00BA3A92" w:rsidRDefault="00EA2E8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3761858"/>
      <w:docPartObj>
        <w:docPartGallery w:val="Page Numbers (Bottom of Page)"/>
        <w:docPartUnique/>
      </w:docPartObj>
    </w:sdtPr>
    <w:sdtEndPr>
      <w:rPr>
        <w:noProof/>
      </w:rPr>
    </w:sdtEndPr>
    <w:sdtContent>
      <w:p w14:paraId="12AF5392" w14:textId="24240B45" w:rsidR="00B7396F" w:rsidRDefault="00B7396F">
        <w:pPr>
          <w:pStyle w:val="Footer"/>
          <w:jc w:val="right"/>
        </w:pPr>
        <w:r>
          <w:fldChar w:fldCharType="begin"/>
        </w:r>
        <w:r>
          <w:instrText xml:space="preserve"> PAGE   \* MERGEFORMAT </w:instrText>
        </w:r>
        <w:r>
          <w:fldChar w:fldCharType="separate"/>
        </w:r>
        <w:r w:rsidR="00FF3495">
          <w:rPr>
            <w:noProof/>
          </w:rPr>
          <w:t>1</w:t>
        </w:r>
        <w:r>
          <w:rPr>
            <w:noProof/>
          </w:rPr>
          <w:fldChar w:fldCharType="end"/>
        </w:r>
      </w:p>
    </w:sdtContent>
  </w:sdt>
  <w:p w14:paraId="5C3FDD77" w14:textId="77777777" w:rsidR="00EA2E81" w:rsidRPr="00BA3A92" w:rsidRDefault="00EA2E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FE615B" w14:textId="77777777" w:rsidR="00CF2773" w:rsidRPr="00BA3A92" w:rsidRDefault="00CF2773" w:rsidP="0067544E">
      <w:pPr>
        <w:spacing w:after="0" w:line="240" w:lineRule="auto"/>
      </w:pPr>
      <w:r w:rsidRPr="00BA3A92">
        <w:separator/>
      </w:r>
    </w:p>
  </w:footnote>
  <w:footnote w:type="continuationSeparator" w:id="0">
    <w:p w14:paraId="3B82D84B" w14:textId="77777777" w:rsidR="00CF2773" w:rsidRPr="00BA3A92" w:rsidRDefault="00CF2773" w:rsidP="0067544E">
      <w:pPr>
        <w:spacing w:after="0" w:line="240" w:lineRule="auto"/>
      </w:pPr>
      <w:r w:rsidRPr="00BA3A92">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BE7230"/>
    <w:multiLevelType w:val="multilevel"/>
    <w:tmpl w:val="DDD6E4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7D1"/>
    <w:rsid w:val="000467E8"/>
    <w:rsid w:val="00047F0C"/>
    <w:rsid w:val="000707D1"/>
    <w:rsid w:val="000A2123"/>
    <w:rsid w:val="000B0330"/>
    <w:rsid w:val="000E3B9E"/>
    <w:rsid w:val="001735EA"/>
    <w:rsid w:val="002057CB"/>
    <w:rsid w:val="00246141"/>
    <w:rsid w:val="00310335"/>
    <w:rsid w:val="003C5ADD"/>
    <w:rsid w:val="003D18B3"/>
    <w:rsid w:val="004E680E"/>
    <w:rsid w:val="00506FB5"/>
    <w:rsid w:val="00516970"/>
    <w:rsid w:val="00547984"/>
    <w:rsid w:val="005B5B1D"/>
    <w:rsid w:val="006345E6"/>
    <w:rsid w:val="0067544E"/>
    <w:rsid w:val="00683919"/>
    <w:rsid w:val="00695F62"/>
    <w:rsid w:val="006A587A"/>
    <w:rsid w:val="006E7026"/>
    <w:rsid w:val="00711716"/>
    <w:rsid w:val="00752526"/>
    <w:rsid w:val="00755BBD"/>
    <w:rsid w:val="007D32BA"/>
    <w:rsid w:val="008D03E9"/>
    <w:rsid w:val="009124CB"/>
    <w:rsid w:val="009922E3"/>
    <w:rsid w:val="009B433E"/>
    <w:rsid w:val="009E7439"/>
    <w:rsid w:val="009F76E9"/>
    <w:rsid w:val="00A572FF"/>
    <w:rsid w:val="00AB503F"/>
    <w:rsid w:val="00AF60F8"/>
    <w:rsid w:val="00B477BE"/>
    <w:rsid w:val="00B7396F"/>
    <w:rsid w:val="00B75472"/>
    <w:rsid w:val="00BA3A92"/>
    <w:rsid w:val="00BA45F3"/>
    <w:rsid w:val="00BB4781"/>
    <w:rsid w:val="00C627CD"/>
    <w:rsid w:val="00CF2773"/>
    <w:rsid w:val="00D30A5D"/>
    <w:rsid w:val="00DE4ECB"/>
    <w:rsid w:val="00DE7405"/>
    <w:rsid w:val="00E76A26"/>
    <w:rsid w:val="00E778AB"/>
    <w:rsid w:val="00E77BD0"/>
    <w:rsid w:val="00EA2E81"/>
    <w:rsid w:val="00EB22B8"/>
    <w:rsid w:val="00F3660B"/>
    <w:rsid w:val="00F5264E"/>
    <w:rsid w:val="00F72CD3"/>
    <w:rsid w:val="00F81256"/>
    <w:rsid w:val="00FA1901"/>
    <w:rsid w:val="00FA714C"/>
    <w:rsid w:val="00FF3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0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bCs/>
        <w:kern w:val="2"/>
        <w:sz w:val="24"/>
        <w:szCs w:val="28"/>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5F3"/>
    <w:rPr>
      <w:lang w:val="en-GB"/>
    </w:rPr>
  </w:style>
  <w:style w:type="paragraph" w:styleId="Heading1">
    <w:name w:val="heading 1"/>
    <w:basedOn w:val="Normal"/>
    <w:next w:val="Normal"/>
    <w:link w:val="Heading1Char"/>
    <w:uiPriority w:val="9"/>
    <w:qFormat/>
    <w:rsid w:val="000707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7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7D1"/>
    <w:pPr>
      <w:keepNext/>
      <w:keepLines/>
      <w:spacing w:before="160" w:after="80"/>
      <w:outlineLvl w:val="2"/>
    </w:pPr>
    <w:rPr>
      <w:rFonts w:asciiTheme="minorHAnsi" w:eastAsiaTheme="majorEastAsia" w:hAnsiTheme="minorHAnsi" w:cstheme="majorBidi"/>
      <w:color w:val="0F4761" w:themeColor="accent1" w:themeShade="BF"/>
      <w:sz w:val="28"/>
    </w:rPr>
  </w:style>
  <w:style w:type="paragraph" w:styleId="Heading4">
    <w:name w:val="heading 4"/>
    <w:basedOn w:val="Normal"/>
    <w:next w:val="Normal"/>
    <w:link w:val="Heading4Char"/>
    <w:uiPriority w:val="9"/>
    <w:semiHidden/>
    <w:unhideWhenUsed/>
    <w:qFormat/>
    <w:rsid w:val="000707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707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707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07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07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07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7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7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7D1"/>
    <w:rPr>
      <w:rFonts w:asciiTheme="minorHAnsi" w:eastAsiaTheme="majorEastAsia" w:hAnsiTheme="minorHAnsi" w:cstheme="majorBidi"/>
      <w:color w:val="0F4761" w:themeColor="accent1" w:themeShade="BF"/>
      <w:sz w:val="28"/>
    </w:rPr>
  </w:style>
  <w:style w:type="character" w:customStyle="1" w:styleId="Heading4Char">
    <w:name w:val="Heading 4 Char"/>
    <w:basedOn w:val="DefaultParagraphFont"/>
    <w:link w:val="Heading4"/>
    <w:uiPriority w:val="9"/>
    <w:semiHidden/>
    <w:rsid w:val="000707D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707D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707D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707D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707D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707D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70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7D1"/>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0707D1"/>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0707D1"/>
    <w:pPr>
      <w:spacing w:before="160"/>
      <w:jc w:val="center"/>
    </w:pPr>
    <w:rPr>
      <w:i/>
      <w:iCs/>
      <w:color w:val="404040" w:themeColor="text1" w:themeTint="BF"/>
    </w:rPr>
  </w:style>
  <w:style w:type="character" w:customStyle="1" w:styleId="QuoteChar">
    <w:name w:val="Quote Char"/>
    <w:basedOn w:val="DefaultParagraphFont"/>
    <w:link w:val="Quote"/>
    <w:uiPriority w:val="29"/>
    <w:rsid w:val="000707D1"/>
    <w:rPr>
      <w:i/>
      <w:iCs/>
      <w:color w:val="404040" w:themeColor="text1" w:themeTint="BF"/>
    </w:rPr>
  </w:style>
  <w:style w:type="paragraph" w:styleId="ListParagraph">
    <w:name w:val="List Paragraph"/>
    <w:basedOn w:val="Normal"/>
    <w:uiPriority w:val="34"/>
    <w:qFormat/>
    <w:rsid w:val="000707D1"/>
    <w:pPr>
      <w:ind w:left="720"/>
      <w:contextualSpacing/>
    </w:pPr>
  </w:style>
  <w:style w:type="character" w:styleId="IntenseEmphasis">
    <w:name w:val="Intense Emphasis"/>
    <w:basedOn w:val="DefaultParagraphFont"/>
    <w:uiPriority w:val="21"/>
    <w:qFormat/>
    <w:rsid w:val="000707D1"/>
    <w:rPr>
      <w:i/>
      <w:iCs/>
      <w:color w:val="0F4761" w:themeColor="accent1" w:themeShade="BF"/>
    </w:rPr>
  </w:style>
  <w:style w:type="paragraph" w:styleId="IntenseQuote">
    <w:name w:val="Intense Quote"/>
    <w:basedOn w:val="Normal"/>
    <w:next w:val="Normal"/>
    <w:link w:val="IntenseQuoteChar"/>
    <w:uiPriority w:val="30"/>
    <w:qFormat/>
    <w:rsid w:val="00070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7D1"/>
    <w:rPr>
      <w:i/>
      <w:iCs/>
      <w:color w:val="0F4761" w:themeColor="accent1" w:themeShade="BF"/>
    </w:rPr>
  </w:style>
  <w:style w:type="character" w:styleId="IntenseReference">
    <w:name w:val="Intense Reference"/>
    <w:basedOn w:val="DefaultParagraphFont"/>
    <w:uiPriority w:val="32"/>
    <w:qFormat/>
    <w:rsid w:val="000707D1"/>
    <w:rPr>
      <w:b/>
      <w:bCs w:val="0"/>
      <w:smallCaps/>
      <w:color w:val="0F4761" w:themeColor="accent1" w:themeShade="BF"/>
      <w:spacing w:val="5"/>
    </w:rPr>
  </w:style>
  <w:style w:type="paragraph" w:styleId="TOCHeading">
    <w:name w:val="TOC Heading"/>
    <w:basedOn w:val="Heading1"/>
    <w:next w:val="Normal"/>
    <w:uiPriority w:val="39"/>
    <w:unhideWhenUsed/>
    <w:qFormat/>
    <w:rsid w:val="00D30A5D"/>
    <w:pPr>
      <w:spacing w:before="240" w:after="0" w:line="259" w:lineRule="auto"/>
      <w:jc w:val="left"/>
      <w:outlineLvl w:val="9"/>
    </w:pPr>
    <w:rPr>
      <w:bCs w:val="0"/>
      <w:kern w:val="0"/>
      <w:sz w:val="32"/>
      <w:szCs w:val="32"/>
    </w:rPr>
  </w:style>
  <w:style w:type="paragraph" w:styleId="TOC2">
    <w:name w:val="toc 2"/>
    <w:basedOn w:val="Normal"/>
    <w:next w:val="Normal"/>
    <w:autoRedefine/>
    <w:uiPriority w:val="39"/>
    <w:unhideWhenUsed/>
    <w:rsid w:val="00D30A5D"/>
    <w:pPr>
      <w:spacing w:after="100" w:line="259" w:lineRule="auto"/>
      <w:ind w:left="220"/>
      <w:jc w:val="left"/>
    </w:pPr>
    <w:rPr>
      <w:rFonts w:asciiTheme="minorHAnsi" w:eastAsiaTheme="minorEastAsia" w:hAnsiTheme="minorHAnsi" w:cs="Times New Roman"/>
      <w:bCs w:val="0"/>
      <w:kern w:val="0"/>
      <w:sz w:val="22"/>
      <w:szCs w:val="22"/>
    </w:rPr>
  </w:style>
  <w:style w:type="paragraph" w:styleId="TOC1">
    <w:name w:val="toc 1"/>
    <w:basedOn w:val="Normal"/>
    <w:next w:val="Normal"/>
    <w:autoRedefine/>
    <w:uiPriority w:val="39"/>
    <w:unhideWhenUsed/>
    <w:rsid w:val="00D30A5D"/>
    <w:pPr>
      <w:spacing w:after="100" w:line="259" w:lineRule="auto"/>
      <w:jc w:val="left"/>
    </w:pPr>
    <w:rPr>
      <w:rFonts w:asciiTheme="minorHAnsi" w:eastAsiaTheme="minorEastAsia" w:hAnsiTheme="minorHAnsi" w:cs="Times New Roman"/>
      <w:bCs w:val="0"/>
      <w:kern w:val="0"/>
      <w:sz w:val="22"/>
      <w:szCs w:val="22"/>
    </w:rPr>
  </w:style>
  <w:style w:type="paragraph" w:styleId="TOC3">
    <w:name w:val="toc 3"/>
    <w:basedOn w:val="Normal"/>
    <w:next w:val="Normal"/>
    <w:autoRedefine/>
    <w:uiPriority w:val="39"/>
    <w:unhideWhenUsed/>
    <w:rsid w:val="00D30A5D"/>
    <w:pPr>
      <w:spacing w:after="100" w:line="259" w:lineRule="auto"/>
      <w:ind w:left="440"/>
      <w:jc w:val="left"/>
    </w:pPr>
    <w:rPr>
      <w:rFonts w:asciiTheme="minorHAnsi" w:eastAsiaTheme="minorEastAsia" w:hAnsiTheme="minorHAnsi" w:cs="Times New Roman"/>
      <w:bCs w:val="0"/>
      <w:kern w:val="0"/>
      <w:sz w:val="22"/>
      <w:szCs w:val="22"/>
    </w:rPr>
  </w:style>
  <w:style w:type="paragraph" w:styleId="Header">
    <w:name w:val="header"/>
    <w:basedOn w:val="Normal"/>
    <w:link w:val="HeaderChar"/>
    <w:uiPriority w:val="99"/>
    <w:unhideWhenUsed/>
    <w:rsid w:val="006754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44E"/>
  </w:style>
  <w:style w:type="paragraph" w:styleId="Footer">
    <w:name w:val="footer"/>
    <w:basedOn w:val="Normal"/>
    <w:link w:val="FooterChar"/>
    <w:uiPriority w:val="99"/>
    <w:unhideWhenUsed/>
    <w:rsid w:val="00675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44E"/>
  </w:style>
  <w:style w:type="paragraph" w:styleId="BalloonText">
    <w:name w:val="Balloon Text"/>
    <w:basedOn w:val="Normal"/>
    <w:link w:val="BalloonTextChar"/>
    <w:uiPriority w:val="99"/>
    <w:semiHidden/>
    <w:unhideWhenUsed/>
    <w:rsid w:val="00FA1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901"/>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bCs/>
        <w:kern w:val="2"/>
        <w:sz w:val="24"/>
        <w:szCs w:val="28"/>
        <w:lang w:val="en-US" w:eastAsia="en-US" w:bidi="ar-SA"/>
        <w14:ligatures w14:val="standardContextual"/>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5F3"/>
    <w:rPr>
      <w:lang w:val="en-GB"/>
    </w:rPr>
  </w:style>
  <w:style w:type="paragraph" w:styleId="Heading1">
    <w:name w:val="heading 1"/>
    <w:basedOn w:val="Normal"/>
    <w:next w:val="Normal"/>
    <w:link w:val="Heading1Char"/>
    <w:uiPriority w:val="9"/>
    <w:qFormat/>
    <w:rsid w:val="000707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7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7D1"/>
    <w:pPr>
      <w:keepNext/>
      <w:keepLines/>
      <w:spacing w:before="160" w:after="80"/>
      <w:outlineLvl w:val="2"/>
    </w:pPr>
    <w:rPr>
      <w:rFonts w:asciiTheme="minorHAnsi" w:eastAsiaTheme="majorEastAsia" w:hAnsiTheme="minorHAnsi" w:cstheme="majorBidi"/>
      <w:color w:val="0F4761" w:themeColor="accent1" w:themeShade="BF"/>
      <w:sz w:val="28"/>
    </w:rPr>
  </w:style>
  <w:style w:type="paragraph" w:styleId="Heading4">
    <w:name w:val="heading 4"/>
    <w:basedOn w:val="Normal"/>
    <w:next w:val="Normal"/>
    <w:link w:val="Heading4Char"/>
    <w:uiPriority w:val="9"/>
    <w:semiHidden/>
    <w:unhideWhenUsed/>
    <w:qFormat/>
    <w:rsid w:val="000707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707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707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07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07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07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7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7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7D1"/>
    <w:rPr>
      <w:rFonts w:asciiTheme="minorHAnsi" w:eastAsiaTheme="majorEastAsia" w:hAnsiTheme="minorHAnsi" w:cstheme="majorBidi"/>
      <w:color w:val="0F4761" w:themeColor="accent1" w:themeShade="BF"/>
      <w:sz w:val="28"/>
    </w:rPr>
  </w:style>
  <w:style w:type="character" w:customStyle="1" w:styleId="Heading4Char">
    <w:name w:val="Heading 4 Char"/>
    <w:basedOn w:val="DefaultParagraphFont"/>
    <w:link w:val="Heading4"/>
    <w:uiPriority w:val="9"/>
    <w:semiHidden/>
    <w:rsid w:val="000707D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707D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707D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707D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707D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707D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70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7D1"/>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0707D1"/>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0707D1"/>
    <w:pPr>
      <w:spacing w:before="160"/>
      <w:jc w:val="center"/>
    </w:pPr>
    <w:rPr>
      <w:i/>
      <w:iCs/>
      <w:color w:val="404040" w:themeColor="text1" w:themeTint="BF"/>
    </w:rPr>
  </w:style>
  <w:style w:type="character" w:customStyle="1" w:styleId="QuoteChar">
    <w:name w:val="Quote Char"/>
    <w:basedOn w:val="DefaultParagraphFont"/>
    <w:link w:val="Quote"/>
    <w:uiPriority w:val="29"/>
    <w:rsid w:val="000707D1"/>
    <w:rPr>
      <w:i/>
      <w:iCs/>
      <w:color w:val="404040" w:themeColor="text1" w:themeTint="BF"/>
    </w:rPr>
  </w:style>
  <w:style w:type="paragraph" w:styleId="ListParagraph">
    <w:name w:val="List Paragraph"/>
    <w:basedOn w:val="Normal"/>
    <w:uiPriority w:val="34"/>
    <w:qFormat/>
    <w:rsid w:val="000707D1"/>
    <w:pPr>
      <w:ind w:left="720"/>
      <w:contextualSpacing/>
    </w:pPr>
  </w:style>
  <w:style w:type="character" w:styleId="IntenseEmphasis">
    <w:name w:val="Intense Emphasis"/>
    <w:basedOn w:val="DefaultParagraphFont"/>
    <w:uiPriority w:val="21"/>
    <w:qFormat/>
    <w:rsid w:val="000707D1"/>
    <w:rPr>
      <w:i/>
      <w:iCs/>
      <w:color w:val="0F4761" w:themeColor="accent1" w:themeShade="BF"/>
    </w:rPr>
  </w:style>
  <w:style w:type="paragraph" w:styleId="IntenseQuote">
    <w:name w:val="Intense Quote"/>
    <w:basedOn w:val="Normal"/>
    <w:next w:val="Normal"/>
    <w:link w:val="IntenseQuoteChar"/>
    <w:uiPriority w:val="30"/>
    <w:qFormat/>
    <w:rsid w:val="00070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7D1"/>
    <w:rPr>
      <w:i/>
      <w:iCs/>
      <w:color w:val="0F4761" w:themeColor="accent1" w:themeShade="BF"/>
    </w:rPr>
  </w:style>
  <w:style w:type="character" w:styleId="IntenseReference">
    <w:name w:val="Intense Reference"/>
    <w:basedOn w:val="DefaultParagraphFont"/>
    <w:uiPriority w:val="32"/>
    <w:qFormat/>
    <w:rsid w:val="000707D1"/>
    <w:rPr>
      <w:b/>
      <w:bCs w:val="0"/>
      <w:smallCaps/>
      <w:color w:val="0F4761" w:themeColor="accent1" w:themeShade="BF"/>
      <w:spacing w:val="5"/>
    </w:rPr>
  </w:style>
  <w:style w:type="paragraph" w:styleId="TOCHeading">
    <w:name w:val="TOC Heading"/>
    <w:basedOn w:val="Heading1"/>
    <w:next w:val="Normal"/>
    <w:uiPriority w:val="39"/>
    <w:unhideWhenUsed/>
    <w:qFormat/>
    <w:rsid w:val="00D30A5D"/>
    <w:pPr>
      <w:spacing w:before="240" w:after="0" w:line="259" w:lineRule="auto"/>
      <w:jc w:val="left"/>
      <w:outlineLvl w:val="9"/>
    </w:pPr>
    <w:rPr>
      <w:bCs w:val="0"/>
      <w:kern w:val="0"/>
      <w:sz w:val="32"/>
      <w:szCs w:val="32"/>
    </w:rPr>
  </w:style>
  <w:style w:type="paragraph" w:styleId="TOC2">
    <w:name w:val="toc 2"/>
    <w:basedOn w:val="Normal"/>
    <w:next w:val="Normal"/>
    <w:autoRedefine/>
    <w:uiPriority w:val="39"/>
    <w:unhideWhenUsed/>
    <w:rsid w:val="00D30A5D"/>
    <w:pPr>
      <w:spacing w:after="100" w:line="259" w:lineRule="auto"/>
      <w:ind w:left="220"/>
      <w:jc w:val="left"/>
    </w:pPr>
    <w:rPr>
      <w:rFonts w:asciiTheme="minorHAnsi" w:eastAsiaTheme="minorEastAsia" w:hAnsiTheme="minorHAnsi" w:cs="Times New Roman"/>
      <w:bCs w:val="0"/>
      <w:kern w:val="0"/>
      <w:sz w:val="22"/>
      <w:szCs w:val="22"/>
    </w:rPr>
  </w:style>
  <w:style w:type="paragraph" w:styleId="TOC1">
    <w:name w:val="toc 1"/>
    <w:basedOn w:val="Normal"/>
    <w:next w:val="Normal"/>
    <w:autoRedefine/>
    <w:uiPriority w:val="39"/>
    <w:unhideWhenUsed/>
    <w:rsid w:val="00D30A5D"/>
    <w:pPr>
      <w:spacing w:after="100" w:line="259" w:lineRule="auto"/>
      <w:jc w:val="left"/>
    </w:pPr>
    <w:rPr>
      <w:rFonts w:asciiTheme="minorHAnsi" w:eastAsiaTheme="minorEastAsia" w:hAnsiTheme="minorHAnsi" w:cs="Times New Roman"/>
      <w:bCs w:val="0"/>
      <w:kern w:val="0"/>
      <w:sz w:val="22"/>
      <w:szCs w:val="22"/>
    </w:rPr>
  </w:style>
  <w:style w:type="paragraph" w:styleId="TOC3">
    <w:name w:val="toc 3"/>
    <w:basedOn w:val="Normal"/>
    <w:next w:val="Normal"/>
    <w:autoRedefine/>
    <w:uiPriority w:val="39"/>
    <w:unhideWhenUsed/>
    <w:rsid w:val="00D30A5D"/>
    <w:pPr>
      <w:spacing w:after="100" w:line="259" w:lineRule="auto"/>
      <w:ind w:left="440"/>
      <w:jc w:val="left"/>
    </w:pPr>
    <w:rPr>
      <w:rFonts w:asciiTheme="minorHAnsi" w:eastAsiaTheme="minorEastAsia" w:hAnsiTheme="minorHAnsi" w:cs="Times New Roman"/>
      <w:bCs w:val="0"/>
      <w:kern w:val="0"/>
      <w:sz w:val="22"/>
      <w:szCs w:val="22"/>
    </w:rPr>
  </w:style>
  <w:style w:type="paragraph" w:styleId="Header">
    <w:name w:val="header"/>
    <w:basedOn w:val="Normal"/>
    <w:link w:val="HeaderChar"/>
    <w:uiPriority w:val="99"/>
    <w:unhideWhenUsed/>
    <w:rsid w:val="006754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44E"/>
  </w:style>
  <w:style w:type="paragraph" w:styleId="Footer">
    <w:name w:val="footer"/>
    <w:basedOn w:val="Normal"/>
    <w:link w:val="FooterChar"/>
    <w:uiPriority w:val="99"/>
    <w:unhideWhenUsed/>
    <w:rsid w:val="00675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44E"/>
  </w:style>
  <w:style w:type="paragraph" w:styleId="BalloonText">
    <w:name w:val="Balloon Text"/>
    <w:basedOn w:val="Normal"/>
    <w:link w:val="BalloonTextChar"/>
    <w:uiPriority w:val="99"/>
    <w:semiHidden/>
    <w:unhideWhenUsed/>
    <w:rsid w:val="00FA1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90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424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200AB-BDE4-4E45-B41E-D1002C61C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2024-04-01T20:15:00Z</dcterms:created>
  <dcterms:modified xsi:type="dcterms:W3CDTF">2024-04-01T20:19:00Z</dcterms:modified>
</cp:coreProperties>
</file>