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27A52" w14:textId="38D1F7C9" w:rsidR="00000FD4" w:rsidRPr="00E12219" w:rsidRDefault="002A07A2" w:rsidP="005E0F66">
      <w:pPr>
        <w:spacing w:line="360" w:lineRule="auto"/>
        <w:rPr>
          <w:rFonts w:ascii="Arial" w:hAnsi="Arial" w:cs="Arial"/>
        </w:rPr>
      </w:pPr>
      <w:r w:rsidRPr="00E12219">
        <w:rPr>
          <w:rFonts w:ascii="Arial" w:hAnsi="Arial" w:cs="Arial"/>
          <w:b/>
          <w:bCs/>
        </w:rPr>
        <w:t>Student code</w:t>
      </w:r>
      <w:r w:rsidRPr="00E12219">
        <w:rPr>
          <w:rFonts w:ascii="Arial" w:hAnsi="Arial" w:cs="Arial"/>
        </w:rPr>
        <w:t>: 1605158</w:t>
      </w:r>
    </w:p>
    <w:p w14:paraId="6A1B9DC1" w14:textId="407FD6BF" w:rsidR="00C0473C" w:rsidRPr="00E12219" w:rsidRDefault="00C0473C" w:rsidP="005E0F66">
      <w:pPr>
        <w:spacing w:line="360" w:lineRule="auto"/>
        <w:rPr>
          <w:rFonts w:ascii="Arial" w:hAnsi="Arial" w:cs="Arial"/>
        </w:rPr>
      </w:pPr>
    </w:p>
    <w:p w14:paraId="035E2ADE" w14:textId="5A659FB0" w:rsidR="00C0473C" w:rsidRPr="00E12219" w:rsidRDefault="00C0473C" w:rsidP="005E0F66">
      <w:pPr>
        <w:spacing w:line="360" w:lineRule="auto"/>
        <w:rPr>
          <w:rFonts w:ascii="Arial" w:hAnsi="Arial" w:cs="Arial"/>
        </w:rPr>
      </w:pPr>
      <w:r w:rsidRPr="00E12219">
        <w:rPr>
          <w:rFonts w:ascii="Arial" w:hAnsi="Arial" w:cs="Arial"/>
          <w:b/>
          <w:bCs/>
        </w:rPr>
        <w:t>Module:</w:t>
      </w:r>
      <w:r w:rsidRPr="00E12219">
        <w:rPr>
          <w:rFonts w:ascii="Arial" w:hAnsi="Arial" w:cs="Arial"/>
        </w:rPr>
        <w:t xml:space="preserve"> </w:t>
      </w:r>
      <w:r w:rsidR="00181420" w:rsidRPr="00E12219">
        <w:rPr>
          <w:rFonts w:ascii="Arial" w:hAnsi="Arial" w:cs="Arial"/>
        </w:rPr>
        <w:t>Cycle 3: Professional and Pedagogic Studies Learning: Researching the Learning: what, how, and why am I teaching?</w:t>
      </w:r>
    </w:p>
    <w:p w14:paraId="0859B0E5" w14:textId="73E3E3CE" w:rsidR="002A07A2" w:rsidRPr="00E12219" w:rsidRDefault="002A07A2" w:rsidP="005E0F66">
      <w:pPr>
        <w:spacing w:line="360" w:lineRule="auto"/>
        <w:rPr>
          <w:rFonts w:ascii="Arial" w:hAnsi="Arial" w:cs="Arial"/>
        </w:rPr>
      </w:pPr>
    </w:p>
    <w:p w14:paraId="08A752E5" w14:textId="013E1C25" w:rsidR="002A07A2" w:rsidRPr="00E12219" w:rsidRDefault="002A07A2" w:rsidP="005E0F66">
      <w:pPr>
        <w:spacing w:line="360" w:lineRule="auto"/>
        <w:rPr>
          <w:rFonts w:ascii="Arial" w:hAnsi="Arial" w:cs="Arial"/>
        </w:rPr>
      </w:pPr>
      <w:r w:rsidRPr="00E12219">
        <w:rPr>
          <w:rFonts w:ascii="Arial" w:hAnsi="Arial" w:cs="Arial"/>
          <w:b/>
          <w:bCs/>
        </w:rPr>
        <w:t>Module code:</w:t>
      </w:r>
      <w:r w:rsidR="00D1338E" w:rsidRPr="00E12219">
        <w:rPr>
          <w:rFonts w:ascii="Arial" w:hAnsi="Arial" w:cs="Arial"/>
        </w:rPr>
        <w:t xml:space="preserve"> ECAD6010</w:t>
      </w:r>
    </w:p>
    <w:p w14:paraId="79C81D99" w14:textId="0D247151" w:rsidR="002A07A2" w:rsidRPr="00E12219" w:rsidRDefault="002A07A2" w:rsidP="005E0F66">
      <w:pPr>
        <w:spacing w:line="360" w:lineRule="auto"/>
        <w:rPr>
          <w:rFonts w:ascii="Arial" w:hAnsi="Arial" w:cs="Arial"/>
        </w:rPr>
      </w:pPr>
    </w:p>
    <w:p w14:paraId="4A1BF848" w14:textId="07AC150F" w:rsidR="002A07A2" w:rsidRPr="00E12219" w:rsidRDefault="002A07A2" w:rsidP="005E0F66">
      <w:pPr>
        <w:spacing w:line="360" w:lineRule="auto"/>
        <w:rPr>
          <w:rFonts w:ascii="Arial" w:hAnsi="Arial" w:cs="Arial"/>
        </w:rPr>
      </w:pPr>
      <w:r w:rsidRPr="00E12219">
        <w:rPr>
          <w:rFonts w:ascii="Arial" w:hAnsi="Arial" w:cs="Arial"/>
          <w:b/>
          <w:bCs/>
        </w:rPr>
        <w:t>Assignment title:</w:t>
      </w:r>
      <w:r w:rsidR="00181420" w:rsidRPr="00E12219">
        <w:rPr>
          <w:rFonts w:ascii="Arial" w:hAnsi="Arial" w:cs="Arial"/>
          <w:b/>
          <w:bCs/>
        </w:rPr>
        <w:t xml:space="preserve"> </w:t>
      </w:r>
      <w:r w:rsidR="00181420" w:rsidRPr="00E12219">
        <w:rPr>
          <w:rFonts w:ascii="Arial" w:hAnsi="Arial" w:cs="Arial"/>
        </w:rPr>
        <w:t xml:space="preserve">An exploratory case study arising from practice (noticing) and investigated further through identified research tools. </w:t>
      </w:r>
      <w:r w:rsidR="00BB3AA6" w:rsidRPr="00E12219">
        <w:rPr>
          <w:rFonts w:ascii="Arial" w:hAnsi="Arial" w:cs="Arial"/>
        </w:rPr>
        <w:t>The assignment concludes with the identification of an intervention which can be piloted throughout Professional Teaching Experience</w:t>
      </w:r>
      <w:r w:rsidR="00181420" w:rsidRPr="00E12219">
        <w:rPr>
          <w:rFonts w:ascii="Arial" w:hAnsi="Arial" w:cs="Arial"/>
        </w:rPr>
        <w:t xml:space="preserve"> </w:t>
      </w:r>
      <w:r w:rsidR="00BB3AA6" w:rsidRPr="00E12219">
        <w:rPr>
          <w:rFonts w:ascii="Arial" w:hAnsi="Arial" w:cs="Arial"/>
        </w:rPr>
        <w:t>and evidenced through reflection in the Professional Learning Standards.</w:t>
      </w:r>
    </w:p>
    <w:p w14:paraId="1664DC34" w14:textId="36606173" w:rsidR="002A07A2" w:rsidRPr="00E12219" w:rsidRDefault="002A07A2" w:rsidP="005E0F66">
      <w:pPr>
        <w:spacing w:line="360" w:lineRule="auto"/>
        <w:rPr>
          <w:rFonts w:ascii="Arial" w:hAnsi="Arial" w:cs="Arial"/>
        </w:rPr>
      </w:pPr>
    </w:p>
    <w:p w14:paraId="2A875936" w14:textId="41249F74" w:rsidR="002A07A2" w:rsidRPr="00E12219" w:rsidRDefault="002A07A2" w:rsidP="005E0F66">
      <w:pPr>
        <w:spacing w:line="360" w:lineRule="auto"/>
        <w:rPr>
          <w:rFonts w:ascii="Arial" w:hAnsi="Arial" w:cs="Arial"/>
        </w:rPr>
      </w:pPr>
      <w:r w:rsidRPr="00E12219">
        <w:rPr>
          <w:rFonts w:ascii="Arial" w:hAnsi="Arial" w:cs="Arial"/>
          <w:b/>
          <w:bCs/>
        </w:rPr>
        <w:t>Research question</w:t>
      </w:r>
      <w:r w:rsidRPr="00E12219">
        <w:rPr>
          <w:rFonts w:ascii="Arial" w:hAnsi="Arial" w:cs="Arial"/>
        </w:rPr>
        <w:t xml:space="preserve">: </w:t>
      </w:r>
      <w:r w:rsidR="004E67AF" w:rsidRPr="00E12219">
        <w:rPr>
          <w:rFonts w:ascii="Arial" w:hAnsi="Arial" w:cs="Arial"/>
        </w:rPr>
        <w:t>An exploration of how learners are supported in becoming healthy, confident individuals through developing pupil independence.</w:t>
      </w:r>
    </w:p>
    <w:p w14:paraId="4A9DA8DA" w14:textId="77777777" w:rsidR="002A07A2" w:rsidRPr="00E12219" w:rsidRDefault="002A07A2">
      <w:pPr>
        <w:rPr>
          <w:rFonts w:ascii="Arial" w:hAnsi="Arial" w:cs="Arial"/>
        </w:rPr>
      </w:pPr>
      <w:r w:rsidRPr="00E12219">
        <w:rPr>
          <w:rFonts w:ascii="Arial" w:hAnsi="Arial" w:cs="Arial"/>
        </w:rPr>
        <w:br w:type="page"/>
      </w:r>
    </w:p>
    <w:p w14:paraId="35BC0615" w14:textId="592BCEBD" w:rsidR="002A07A2" w:rsidRPr="00E12219" w:rsidRDefault="00D1338E" w:rsidP="004C11CA">
      <w:pPr>
        <w:pStyle w:val="AssignBody"/>
        <w:jc w:val="center"/>
        <w:rPr>
          <w:rFonts w:cs="Arial"/>
          <w:b/>
          <w:bCs/>
          <w:sz w:val="24"/>
          <w:szCs w:val="24"/>
          <w:u w:val="single"/>
        </w:rPr>
      </w:pPr>
      <w:r w:rsidRPr="00E12219">
        <w:rPr>
          <w:rFonts w:cs="Arial"/>
          <w:b/>
          <w:bCs/>
          <w:sz w:val="24"/>
          <w:szCs w:val="24"/>
          <w:u w:val="single"/>
        </w:rPr>
        <w:lastRenderedPageBreak/>
        <w:t>Table of Contents</w:t>
      </w:r>
    </w:p>
    <w:tbl>
      <w:tblPr>
        <w:tblStyle w:val="TableGrid"/>
        <w:tblpPr w:leftFromText="180" w:rightFromText="180" w:vertAnchor="page" w:horzAnchor="margin" w:tblpY="2051"/>
        <w:tblW w:w="96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77"/>
        <w:gridCol w:w="1300"/>
      </w:tblGrid>
      <w:tr w:rsidR="004C11CA" w:rsidRPr="00E12219" w14:paraId="5AD835FD" w14:textId="77777777" w:rsidTr="004C11CA">
        <w:trPr>
          <w:trHeight w:val="567"/>
        </w:trPr>
        <w:tc>
          <w:tcPr>
            <w:tcW w:w="8377" w:type="dxa"/>
            <w:shd w:val="clear" w:color="auto" w:fill="auto"/>
          </w:tcPr>
          <w:p w14:paraId="24F5D452" w14:textId="77777777" w:rsidR="004C11CA" w:rsidRPr="00E12219" w:rsidRDefault="004C11CA" w:rsidP="004C11CA">
            <w:pPr>
              <w:pStyle w:val="AssignBody"/>
              <w:rPr>
                <w:rFonts w:cs="Arial"/>
                <w:i/>
                <w:iCs/>
                <w:sz w:val="24"/>
                <w:szCs w:val="24"/>
              </w:rPr>
            </w:pPr>
          </w:p>
        </w:tc>
        <w:tc>
          <w:tcPr>
            <w:tcW w:w="1300" w:type="dxa"/>
            <w:shd w:val="clear" w:color="auto" w:fill="auto"/>
          </w:tcPr>
          <w:p w14:paraId="05DF193F" w14:textId="77777777" w:rsidR="004C11CA" w:rsidRPr="00E12219" w:rsidRDefault="004C11CA" w:rsidP="004C11CA">
            <w:pPr>
              <w:pStyle w:val="AssignBody"/>
              <w:jc w:val="center"/>
              <w:rPr>
                <w:rFonts w:cs="Arial"/>
                <w:b/>
                <w:bCs/>
                <w:i/>
                <w:iCs/>
                <w:sz w:val="24"/>
                <w:szCs w:val="24"/>
              </w:rPr>
            </w:pPr>
          </w:p>
        </w:tc>
      </w:tr>
      <w:tr w:rsidR="004C11CA" w:rsidRPr="00E12219" w14:paraId="1873E94B" w14:textId="77777777" w:rsidTr="004C11CA">
        <w:trPr>
          <w:trHeight w:val="567"/>
        </w:trPr>
        <w:tc>
          <w:tcPr>
            <w:tcW w:w="8377" w:type="dxa"/>
            <w:shd w:val="clear" w:color="auto" w:fill="auto"/>
          </w:tcPr>
          <w:p w14:paraId="339C1C47" w14:textId="77777777" w:rsidR="004C11CA" w:rsidRPr="00E12219" w:rsidRDefault="004C11CA" w:rsidP="004C11CA">
            <w:pPr>
              <w:pStyle w:val="AssignBody"/>
              <w:rPr>
                <w:rFonts w:cs="Arial"/>
                <w:sz w:val="24"/>
                <w:szCs w:val="24"/>
              </w:rPr>
            </w:pPr>
            <w:r w:rsidRPr="00E12219">
              <w:rPr>
                <w:rFonts w:cs="Arial"/>
                <w:b/>
                <w:bCs/>
                <w:sz w:val="24"/>
                <w:szCs w:val="24"/>
              </w:rPr>
              <w:t>Assignment</w:t>
            </w:r>
            <w:r w:rsidRPr="00E12219">
              <w:rPr>
                <w:rFonts w:cs="Arial"/>
                <w:sz w:val="24"/>
                <w:szCs w:val="24"/>
              </w:rPr>
              <w:t>……………………………………………………………………….…</w:t>
            </w:r>
          </w:p>
        </w:tc>
        <w:tc>
          <w:tcPr>
            <w:tcW w:w="1300" w:type="dxa"/>
            <w:shd w:val="clear" w:color="auto" w:fill="auto"/>
          </w:tcPr>
          <w:p w14:paraId="06F5A2D1" w14:textId="77777777" w:rsidR="004C11CA" w:rsidRPr="00E12219" w:rsidRDefault="004C11CA" w:rsidP="004C11CA">
            <w:pPr>
              <w:pStyle w:val="AssignBody"/>
              <w:jc w:val="center"/>
              <w:rPr>
                <w:rFonts w:cs="Arial"/>
                <w:b/>
                <w:bCs/>
                <w:i/>
                <w:iCs/>
                <w:sz w:val="24"/>
                <w:szCs w:val="24"/>
              </w:rPr>
            </w:pPr>
            <w:r w:rsidRPr="00E12219">
              <w:rPr>
                <w:rFonts w:cs="Arial"/>
                <w:b/>
                <w:bCs/>
                <w:i/>
                <w:iCs/>
                <w:sz w:val="24"/>
                <w:szCs w:val="24"/>
              </w:rPr>
              <w:t>3</w:t>
            </w:r>
          </w:p>
        </w:tc>
      </w:tr>
      <w:tr w:rsidR="004C11CA" w:rsidRPr="00E12219" w14:paraId="00376B62" w14:textId="77777777" w:rsidTr="004C11CA">
        <w:trPr>
          <w:trHeight w:val="567"/>
        </w:trPr>
        <w:tc>
          <w:tcPr>
            <w:tcW w:w="8377" w:type="dxa"/>
            <w:shd w:val="clear" w:color="auto" w:fill="auto"/>
          </w:tcPr>
          <w:p w14:paraId="31C9B305" w14:textId="77777777" w:rsidR="004C11CA" w:rsidRPr="00E12219" w:rsidRDefault="004C11CA" w:rsidP="004C11CA">
            <w:pPr>
              <w:pStyle w:val="AssignBody"/>
              <w:rPr>
                <w:rFonts w:cs="Arial"/>
                <w:sz w:val="24"/>
                <w:szCs w:val="24"/>
              </w:rPr>
            </w:pPr>
          </w:p>
        </w:tc>
        <w:tc>
          <w:tcPr>
            <w:tcW w:w="1300" w:type="dxa"/>
            <w:shd w:val="clear" w:color="auto" w:fill="auto"/>
          </w:tcPr>
          <w:p w14:paraId="21E59951" w14:textId="77777777" w:rsidR="004C11CA" w:rsidRPr="00E12219" w:rsidRDefault="004C11CA" w:rsidP="004C11CA">
            <w:pPr>
              <w:pStyle w:val="AssignBody"/>
              <w:jc w:val="center"/>
              <w:rPr>
                <w:rFonts w:cs="Arial"/>
                <w:b/>
                <w:bCs/>
                <w:i/>
                <w:iCs/>
                <w:sz w:val="24"/>
                <w:szCs w:val="24"/>
              </w:rPr>
            </w:pPr>
          </w:p>
        </w:tc>
      </w:tr>
      <w:tr w:rsidR="004C11CA" w:rsidRPr="00E12219" w14:paraId="4FDDAC14" w14:textId="77777777" w:rsidTr="004C11CA">
        <w:trPr>
          <w:trHeight w:val="567"/>
        </w:trPr>
        <w:tc>
          <w:tcPr>
            <w:tcW w:w="8377" w:type="dxa"/>
            <w:shd w:val="clear" w:color="auto" w:fill="auto"/>
          </w:tcPr>
          <w:p w14:paraId="691F2F7E" w14:textId="77777777" w:rsidR="004C11CA" w:rsidRPr="00E12219" w:rsidRDefault="004C11CA" w:rsidP="004C11CA">
            <w:pPr>
              <w:pStyle w:val="AssignBody"/>
              <w:rPr>
                <w:rFonts w:cs="Arial"/>
                <w:b/>
                <w:bCs/>
                <w:sz w:val="24"/>
                <w:szCs w:val="24"/>
              </w:rPr>
            </w:pPr>
            <w:r w:rsidRPr="00E12219">
              <w:rPr>
                <w:rFonts w:cs="Arial"/>
                <w:b/>
                <w:bCs/>
                <w:sz w:val="24"/>
                <w:szCs w:val="24"/>
              </w:rPr>
              <w:t>Reference List</w:t>
            </w:r>
            <w:r w:rsidRPr="00E12219">
              <w:rPr>
                <w:rFonts w:cs="Arial"/>
                <w:sz w:val="24"/>
                <w:szCs w:val="24"/>
              </w:rPr>
              <w:t>………………………………………………………………………</w:t>
            </w:r>
          </w:p>
        </w:tc>
        <w:tc>
          <w:tcPr>
            <w:tcW w:w="1300" w:type="dxa"/>
            <w:shd w:val="clear" w:color="auto" w:fill="auto"/>
          </w:tcPr>
          <w:p w14:paraId="6C6DEB02" w14:textId="77777777" w:rsidR="004C11CA" w:rsidRPr="00E12219" w:rsidRDefault="004C11CA" w:rsidP="004C11CA">
            <w:pPr>
              <w:pStyle w:val="AssignBody"/>
              <w:jc w:val="center"/>
              <w:rPr>
                <w:rFonts w:cs="Arial"/>
                <w:b/>
                <w:bCs/>
                <w:i/>
                <w:iCs/>
                <w:sz w:val="24"/>
                <w:szCs w:val="24"/>
              </w:rPr>
            </w:pPr>
            <w:r w:rsidRPr="00E12219">
              <w:rPr>
                <w:rFonts w:cs="Arial"/>
                <w:b/>
                <w:bCs/>
                <w:i/>
                <w:iCs/>
                <w:sz w:val="24"/>
                <w:szCs w:val="24"/>
              </w:rPr>
              <w:t>15</w:t>
            </w:r>
          </w:p>
        </w:tc>
      </w:tr>
    </w:tbl>
    <w:p w14:paraId="7CF36281" w14:textId="2016FAAF" w:rsidR="00D1338E" w:rsidRPr="00E12219" w:rsidRDefault="00D1338E" w:rsidP="00D1338E">
      <w:pPr>
        <w:rPr>
          <w:rFonts w:ascii="Arial" w:hAnsi="Arial" w:cs="Arial"/>
        </w:rPr>
      </w:pPr>
    </w:p>
    <w:p w14:paraId="01F3042C" w14:textId="2B91F1C0" w:rsidR="00D1338E" w:rsidRPr="00E12219" w:rsidRDefault="00D1338E" w:rsidP="00D1338E">
      <w:pPr>
        <w:tabs>
          <w:tab w:val="left" w:pos="2095"/>
        </w:tabs>
        <w:rPr>
          <w:rFonts w:ascii="Arial" w:hAnsi="Arial" w:cs="Arial"/>
        </w:rPr>
      </w:pPr>
    </w:p>
    <w:p w14:paraId="3B07EEEC" w14:textId="3A65AF26" w:rsidR="00D1338E" w:rsidRPr="00E12219" w:rsidRDefault="00D1338E" w:rsidP="00D1338E">
      <w:pPr>
        <w:rPr>
          <w:rFonts w:ascii="Arial" w:hAnsi="Arial" w:cs="Arial"/>
        </w:rPr>
      </w:pPr>
    </w:p>
    <w:p w14:paraId="69FD0F5B" w14:textId="2C430BFF" w:rsidR="00D1338E" w:rsidRPr="00E12219" w:rsidRDefault="00D1338E" w:rsidP="00D1338E">
      <w:pPr>
        <w:rPr>
          <w:rFonts w:ascii="Arial" w:hAnsi="Arial" w:cs="Arial"/>
        </w:rPr>
      </w:pPr>
    </w:p>
    <w:p w14:paraId="23300BBB" w14:textId="053ED376" w:rsidR="00D1338E" w:rsidRPr="00E12219" w:rsidRDefault="00D1338E" w:rsidP="00D1338E">
      <w:pPr>
        <w:rPr>
          <w:rFonts w:ascii="Arial" w:hAnsi="Arial" w:cs="Arial"/>
        </w:rPr>
      </w:pPr>
    </w:p>
    <w:p w14:paraId="56431721" w14:textId="66DB2ED8" w:rsidR="00D1338E" w:rsidRPr="00E12219" w:rsidRDefault="00D1338E" w:rsidP="00D1338E">
      <w:pPr>
        <w:rPr>
          <w:rFonts w:ascii="Arial" w:hAnsi="Arial" w:cs="Arial"/>
        </w:rPr>
      </w:pPr>
    </w:p>
    <w:p w14:paraId="01A0F6DB" w14:textId="172ACFA1" w:rsidR="00D1338E" w:rsidRPr="00E12219" w:rsidRDefault="00D1338E" w:rsidP="00D1338E">
      <w:pPr>
        <w:rPr>
          <w:rFonts w:ascii="Arial" w:hAnsi="Arial" w:cs="Arial"/>
        </w:rPr>
      </w:pPr>
    </w:p>
    <w:p w14:paraId="606C2370" w14:textId="2F985DC3" w:rsidR="00D1338E" w:rsidRPr="00E12219" w:rsidRDefault="00D1338E" w:rsidP="00D1338E">
      <w:pPr>
        <w:rPr>
          <w:rFonts w:ascii="Arial" w:hAnsi="Arial" w:cs="Arial"/>
        </w:rPr>
      </w:pPr>
    </w:p>
    <w:p w14:paraId="0351CA60" w14:textId="520F24B8" w:rsidR="00181420" w:rsidRPr="00E12219" w:rsidRDefault="00181420" w:rsidP="00D1338E">
      <w:pPr>
        <w:rPr>
          <w:rFonts w:ascii="Arial" w:hAnsi="Arial" w:cs="Arial"/>
        </w:rPr>
      </w:pPr>
    </w:p>
    <w:p w14:paraId="2A0096A3" w14:textId="77777777" w:rsidR="00181420" w:rsidRPr="00E12219" w:rsidRDefault="00181420">
      <w:pPr>
        <w:rPr>
          <w:rFonts w:ascii="Arial" w:hAnsi="Arial" w:cs="Arial"/>
        </w:rPr>
      </w:pPr>
      <w:r w:rsidRPr="00E12219">
        <w:rPr>
          <w:rFonts w:ascii="Arial" w:hAnsi="Arial" w:cs="Arial"/>
        </w:rPr>
        <w:br w:type="page"/>
      </w:r>
    </w:p>
    <w:p w14:paraId="750F40F3" w14:textId="41D8576A" w:rsidR="00A1573C" w:rsidRPr="005621FA" w:rsidRDefault="003F76E4" w:rsidP="005621FA">
      <w:pPr>
        <w:spacing w:line="360" w:lineRule="auto"/>
        <w:rPr>
          <w:rFonts w:ascii="Arial" w:hAnsi="Arial" w:cs="Arial"/>
          <w:sz w:val="22"/>
          <w:szCs w:val="22"/>
        </w:rPr>
      </w:pPr>
      <w:r w:rsidRPr="005621FA">
        <w:rPr>
          <w:rFonts w:ascii="Arial" w:hAnsi="Arial" w:cs="Arial"/>
          <w:sz w:val="22"/>
          <w:szCs w:val="22"/>
        </w:rPr>
        <w:lastRenderedPageBreak/>
        <w:t xml:space="preserve">The Curriculum for Wales provides practitioners with a concise description of what is essential in delivering a broad and balanced education </w:t>
      </w:r>
      <w:sdt>
        <w:sdtPr>
          <w:rPr>
            <w:rFonts w:ascii="Arial" w:hAnsi="Arial" w:cs="Arial"/>
            <w:sz w:val="22"/>
            <w:szCs w:val="22"/>
          </w:rPr>
          <w:id w:val="137772640"/>
          <w:citation/>
        </w:sdtPr>
        <w:sdtEndPr/>
        <w:sdtContent>
          <w:r w:rsidR="001735EF" w:rsidRPr="005621FA">
            <w:rPr>
              <w:rFonts w:ascii="Arial" w:hAnsi="Arial" w:cs="Arial"/>
              <w:sz w:val="22"/>
              <w:szCs w:val="22"/>
            </w:rPr>
            <w:fldChar w:fldCharType="begin"/>
          </w:r>
          <w:r w:rsidR="001735EF" w:rsidRPr="005621FA">
            <w:rPr>
              <w:rFonts w:ascii="Arial" w:hAnsi="Arial" w:cs="Arial"/>
              <w:sz w:val="22"/>
              <w:szCs w:val="22"/>
            </w:rPr>
            <w:instrText xml:space="preserve"> CITATION Wel23 \l 2057 </w:instrText>
          </w:r>
          <w:r w:rsidR="001735EF" w:rsidRPr="005621FA">
            <w:rPr>
              <w:rFonts w:ascii="Arial" w:hAnsi="Arial" w:cs="Arial"/>
              <w:sz w:val="22"/>
              <w:szCs w:val="22"/>
            </w:rPr>
            <w:fldChar w:fldCharType="separate"/>
          </w:r>
          <w:r w:rsidR="001735EF" w:rsidRPr="005621FA">
            <w:rPr>
              <w:rFonts w:ascii="Arial" w:eastAsiaTheme="minorHAnsi" w:hAnsi="Arial" w:cs="Arial"/>
              <w:noProof/>
              <w:sz w:val="22"/>
              <w:szCs w:val="22"/>
            </w:rPr>
            <w:t>(Welsh Government, 2023)</w:t>
          </w:r>
          <w:r w:rsidR="001735EF" w:rsidRPr="005621FA">
            <w:rPr>
              <w:rFonts w:ascii="Arial" w:hAnsi="Arial" w:cs="Arial"/>
              <w:sz w:val="22"/>
              <w:szCs w:val="22"/>
            </w:rPr>
            <w:fldChar w:fldCharType="end"/>
          </w:r>
        </w:sdtContent>
      </w:sdt>
      <w:r w:rsidR="001735EF" w:rsidRPr="005621FA">
        <w:rPr>
          <w:rFonts w:ascii="Arial" w:hAnsi="Arial" w:cs="Arial"/>
          <w:sz w:val="22"/>
          <w:szCs w:val="22"/>
        </w:rPr>
        <w:t xml:space="preserve">. </w:t>
      </w:r>
      <w:r w:rsidR="004F253B" w:rsidRPr="005621FA">
        <w:rPr>
          <w:rFonts w:ascii="Arial" w:hAnsi="Arial" w:cs="Arial"/>
          <w:sz w:val="22"/>
          <w:szCs w:val="22"/>
        </w:rPr>
        <w:t xml:space="preserve">The Four Purposes are central </w:t>
      </w:r>
      <w:r w:rsidR="00B42458" w:rsidRPr="005621FA">
        <w:rPr>
          <w:rFonts w:ascii="Arial" w:hAnsi="Arial" w:cs="Arial"/>
          <w:sz w:val="22"/>
          <w:szCs w:val="22"/>
        </w:rPr>
        <w:t xml:space="preserve">in delivering this education, aiming to </w:t>
      </w:r>
      <w:r w:rsidR="00AD4813" w:rsidRPr="005621FA">
        <w:rPr>
          <w:rFonts w:ascii="Arial" w:hAnsi="Arial" w:cs="Arial"/>
          <w:sz w:val="22"/>
          <w:szCs w:val="22"/>
        </w:rPr>
        <w:t>empower</w:t>
      </w:r>
      <w:r w:rsidR="008A2D06" w:rsidRPr="005621FA">
        <w:rPr>
          <w:rFonts w:ascii="Arial" w:hAnsi="Arial" w:cs="Arial"/>
          <w:sz w:val="22"/>
          <w:szCs w:val="22"/>
        </w:rPr>
        <w:t xml:space="preserve"> every child and young person</w:t>
      </w:r>
      <w:r w:rsidR="00234A3E" w:rsidRPr="005621FA">
        <w:rPr>
          <w:rFonts w:ascii="Arial" w:hAnsi="Arial" w:cs="Arial"/>
          <w:sz w:val="22"/>
          <w:szCs w:val="22"/>
        </w:rPr>
        <w:t xml:space="preserve"> </w:t>
      </w:r>
      <w:r w:rsidR="00AD4813" w:rsidRPr="005621FA">
        <w:rPr>
          <w:rFonts w:ascii="Arial" w:hAnsi="Arial" w:cs="Arial"/>
          <w:sz w:val="22"/>
          <w:szCs w:val="22"/>
        </w:rPr>
        <w:t xml:space="preserve">to </w:t>
      </w:r>
      <w:r w:rsidR="00234A3E" w:rsidRPr="005621FA">
        <w:rPr>
          <w:rFonts w:ascii="Arial" w:hAnsi="Arial" w:cs="Arial"/>
          <w:sz w:val="22"/>
          <w:szCs w:val="22"/>
        </w:rPr>
        <w:t>achieve their full academic</w:t>
      </w:r>
      <w:r w:rsidR="00AD4813" w:rsidRPr="005621FA">
        <w:rPr>
          <w:rFonts w:ascii="Arial" w:hAnsi="Arial" w:cs="Arial"/>
          <w:sz w:val="22"/>
          <w:szCs w:val="22"/>
        </w:rPr>
        <w:t xml:space="preserve"> </w:t>
      </w:r>
      <w:r w:rsidR="00234A3E" w:rsidRPr="005621FA">
        <w:rPr>
          <w:rFonts w:ascii="Arial" w:hAnsi="Arial" w:cs="Arial"/>
          <w:sz w:val="22"/>
          <w:szCs w:val="22"/>
        </w:rPr>
        <w:t>and personal potential</w:t>
      </w:r>
      <w:r w:rsidR="00DC4A91" w:rsidRPr="005621FA">
        <w:rPr>
          <w:rFonts w:ascii="Arial" w:hAnsi="Arial" w:cs="Arial"/>
          <w:sz w:val="22"/>
          <w:szCs w:val="22"/>
        </w:rPr>
        <w:t>.</w:t>
      </w:r>
      <w:r w:rsidR="00AD4813" w:rsidRPr="005621FA">
        <w:rPr>
          <w:rFonts w:ascii="Arial" w:hAnsi="Arial" w:cs="Arial"/>
          <w:sz w:val="22"/>
          <w:szCs w:val="22"/>
        </w:rPr>
        <w:t xml:space="preserve"> </w:t>
      </w:r>
      <w:r w:rsidR="00DC4A91" w:rsidRPr="005621FA">
        <w:rPr>
          <w:rFonts w:ascii="Arial" w:hAnsi="Arial" w:cs="Arial"/>
          <w:sz w:val="22"/>
          <w:szCs w:val="22"/>
        </w:rPr>
        <w:t>Throug</w:t>
      </w:r>
      <w:r w:rsidR="00AD4813" w:rsidRPr="005621FA">
        <w:rPr>
          <w:rFonts w:ascii="Arial" w:hAnsi="Arial" w:cs="Arial"/>
          <w:sz w:val="22"/>
          <w:szCs w:val="22"/>
        </w:rPr>
        <w:t xml:space="preserve">h promoting a </w:t>
      </w:r>
      <w:r w:rsidR="00DC4A91" w:rsidRPr="005621FA">
        <w:rPr>
          <w:rFonts w:ascii="Arial" w:hAnsi="Arial" w:cs="Arial"/>
          <w:sz w:val="22"/>
          <w:szCs w:val="22"/>
        </w:rPr>
        <w:t>shared vision and aspiration for every child, practitioners can strive to set high expectations,</w:t>
      </w:r>
      <w:r w:rsidR="00EF0CB7" w:rsidRPr="005621FA">
        <w:rPr>
          <w:rFonts w:ascii="Arial" w:hAnsi="Arial" w:cs="Arial"/>
          <w:sz w:val="22"/>
          <w:szCs w:val="22"/>
        </w:rPr>
        <w:t xml:space="preserve"> progress learning and</w:t>
      </w:r>
      <w:r w:rsidR="00DC4A91" w:rsidRPr="005621FA">
        <w:rPr>
          <w:rFonts w:ascii="Arial" w:hAnsi="Arial" w:cs="Arial"/>
          <w:sz w:val="22"/>
          <w:szCs w:val="22"/>
        </w:rPr>
        <w:t xml:space="preserve"> foster individual well-being</w:t>
      </w:r>
      <w:r w:rsidR="00EF0CB7" w:rsidRPr="005621FA">
        <w:rPr>
          <w:rFonts w:ascii="Arial" w:hAnsi="Arial" w:cs="Arial"/>
          <w:sz w:val="22"/>
          <w:szCs w:val="22"/>
        </w:rPr>
        <w:t xml:space="preserve"> </w:t>
      </w:r>
      <w:r w:rsidR="00A1573C" w:rsidRPr="005621FA">
        <w:rPr>
          <w:rFonts w:ascii="Arial" w:hAnsi="Arial" w:cs="Arial"/>
          <w:sz w:val="22"/>
          <w:szCs w:val="22"/>
        </w:rPr>
        <w:t xml:space="preserve">(Gatley, 2020; Senedd Research, 2021; Welsh Government, 2022). </w:t>
      </w:r>
      <w:r w:rsidR="001866E1" w:rsidRPr="005621FA">
        <w:rPr>
          <w:rFonts w:ascii="Arial" w:hAnsi="Arial" w:cs="Arial"/>
          <w:sz w:val="22"/>
          <w:szCs w:val="22"/>
        </w:rPr>
        <w:t xml:space="preserve">Fundamentally, everything that a learner experiences in pursuit of the Four Purposes constitutes a school’s curriculum. </w:t>
      </w:r>
    </w:p>
    <w:p w14:paraId="3C026E20" w14:textId="77777777" w:rsidR="00A1573C" w:rsidRPr="005621FA" w:rsidRDefault="00A1573C" w:rsidP="005621FA">
      <w:pPr>
        <w:spacing w:line="360" w:lineRule="auto"/>
        <w:rPr>
          <w:rFonts w:ascii="Arial" w:hAnsi="Arial" w:cs="Arial"/>
          <w:sz w:val="22"/>
          <w:szCs w:val="22"/>
        </w:rPr>
      </w:pPr>
    </w:p>
    <w:p w14:paraId="79EE5245" w14:textId="16297444" w:rsidR="00F043EF" w:rsidRPr="005621FA" w:rsidRDefault="003032CB" w:rsidP="005621FA">
      <w:pPr>
        <w:spacing w:line="360" w:lineRule="auto"/>
        <w:rPr>
          <w:rFonts w:ascii="Arial" w:hAnsi="Arial" w:cs="Arial"/>
          <w:sz w:val="22"/>
          <w:szCs w:val="22"/>
        </w:rPr>
      </w:pPr>
      <w:r w:rsidRPr="005621FA">
        <w:rPr>
          <w:rFonts w:ascii="Arial" w:hAnsi="Arial" w:cs="Arial"/>
          <w:sz w:val="22"/>
          <w:szCs w:val="22"/>
        </w:rPr>
        <w:t>As one of the Four Purposes, the Welsh Government emphasise the development of all learn</w:t>
      </w:r>
      <w:r w:rsidR="008016C5" w:rsidRPr="005621FA">
        <w:rPr>
          <w:rFonts w:ascii="Arial" w:hAnsi="Arial" w:cs="Arial"/>
          <w:sz w:val="22"/>
          <w:szCs w:val="22"/>
        </w:rPr>
        <w:t>ers to become</w:t>
      </w:r>
      <w:r w:rsidRPr="005621FA">
        <w:rPr>
          <w:rFonts w:ascii="Arial" w:hAnsi="Arial" w:cs="Arial"/>
          <w:sz w:val="22"/>
          <w:szCs w:val="22"/>
        </w:rPr>
        <w:t xml:space="preserve"> “healthy, confident individuals who have the skills and knowledge to manage everyday life as independently as they can” (Welsh Government, 2022). </w:t>
      </w:r>
      <w:r w:rsidR="0032684E" w:rsidRPr="005621FA">
        <w:rPr>
          <w:rFonts w:ascii="Arial" w:hAnsi="Arial" w:cs="Arial"/>
          <w:sz w:val="22"/>
          <w:szCs w:val="22"/>
        </w:rPr>
        <w:t xml:space="preserve">After </w:t>
      </w:r>
      <w:r w:rsidR="001E30C5" w:rsidRPr="005621FA">
        <w:rPr>
          <w:rFonts w:ascii="Arial" w:hAnsi="Arial" w:cs="Arial"/>
          <w:sz w:val="22"/>
          <w:szCs w:val="22"/>
        </w:rPr>
        <w:t>visiting</w:t>
      </w:r>
      <w:r w:rsidR="0032684E" w:rsidRPr="005621FA">
        <w:rPr>
          <w:rFonts w:ascii="Arial" w:hAnsi="Arial" w:cs="Arial"/>
          <w:sz w:val="22"/>
          <w:szCs w:val="22"/>
        </w:rPr>
        <w:t xml:space="preserve"> </w:t>
      </w:r>
      <w:r w:rsidR="00FA1E3C" w:rsidRPr="005621FA">
        <w:rPr>
          <w:rFonts w:ascii="Arial" w:hAnsi="Arial" w:cs="Arial"/>
          <w:sz w:val="22"/>
          <w:szCs w:val="22"/>
        </w:rPr>
        <w:t>the</w:t>
      </w:r>
      <w:r w:rsidR="001E30C5" w:rsidRPr="005621FA">
        <w:rPr>
          <w:rFonts w:ascii="Arial" w:hAnsi="Arial" w:cs="Arial"/>
          <w:sz w:val="22"/>
          <w:szCs w:val="22"/>
        </w:rPr>
        <w:t xml:space="preserve"> Professional Teaching Experience school</w:t>
      </w:r>
      <w:r w:rsidR="00F043EF" w:rsidRPr="005621FA">
        <w:rPr>
          <w:rFonts w:ascii="Arial" w:hAnsi="Arial" w:cs="Arial"/>
          <w:sz w:val="22"/>
          <w:szCs w:val="22"/>
        </w:rPr>
        <w:t xml:space="preserve"> (School </w:t>
      </w:r>
      <w:r w:rsidR="00585D3E" w:rsidRPr="005621FA">
        <w:rPr>
          <w:rFonts w:ascii="Arial" w:hAnsi="Arial" w:cs="Arial"/>
          <w:sz w:val="22"/>
          <w:szCs w:val="22"/>
        </w:rPr>
        <w:t>A</w:t>
      </w:r>
      <w:r w:rsidR="00F043EF" w:rsidRPr="005621FA">
        <w:rPr>
          <w:rFonts w:ascii="Arial" w:hAnsi="Arial" w:cs="Arial"/>
          <w:sz w:val="22"/>
          <w:szCs w:val="22"/>
        </w:rPr>
        <w:t>)</w:t>
      </w:r>
      <w:r w:rsidR="00F75650" w:rsidRPr="005621FA">
        <w:rPr>
          <w:rFonts w:ascii="Arial" w:hAnsi="Arial" w:cs="Arial"/>
          <w:sz w:val="22"/>
          <w:szCs w:val="22"/>
        </w:rPr>
        <w:t xml:space="preserve">, </w:t>
      </w:r>
      <w:r w:rsidR="00FA1E3C" w:rsidRPr="005621FA">
        <w:rPr>
          <w:rFonts w:ascii="Arial" w:hAnsi="Arial" w:cs="Arial"/>
          <w:sz w:val="22"/>
          <w:szCs w:val="22"/>
        </w:rPr>
        <w:t xml:space="preserve">the </w:t>
      </w:r>
      <w:r w:rsidR="00F90996" w:rsidRPr="005621FA">
        <w:rPr>
          <w:rFonts w:ascii="Arial" w:hAnsi="Arial" w:cs="Arial"/>
          <w:sz w:val="22"/>
          <w:szCs w:val="22"/>
        </w:rPr>
        <w:t>researcher</w:t>
      </w:r>
      <w:r w:rsidR="00F75650" w:rsidRPr="005621FA">
        <w:rPr>
          <w:rFonts w:ascii="Arial" w:hAnsi="Arial" w:cs="Arial"/>
          <w:sz w:val="22"/>
          <w:szCs w:val="22"/>
        </w:rPr>
        <w:t xml:space="preserve"> was concerned</w:t>
      </w:r>
      <w:r w:rsidR="001E30C5" w:rsidRPr="005621FA">
        <w:rPr>
          <w:rFonts w:ascii="Arial" w:hAnsi="Arial" w:cs="Arial"/>
          <w:sz w:val="22"/>
          <w:szCs w:val="22"/>
        </w:rPr>
        <w:t xml:space="preserve"> about the lack of pupil independence being observed. Upon </w:t>
      </w:r>
      <w:r w:rsidR="00EF0CB7" w:rsidRPr="005621FA">
        <w:rPr>
          <w:rFonts w:ascii="Arial" w:hAnsi="Arial" w:cs="Arial"/>
          <w:sz w:val="22"/>
          <w:szCs w:val="22"/>
        </w:rPr>
        <w:t>discussing</w:t>
      </w:r>
      <w:r w:rsidR="008D03B2" w:rsidRPr="005621FA">
        <w:rPr>
          <w:rFonts w:ascii="Arial" w:hAnsi="Arial" w:cs="Arial"/>
          <w:sz w:val="22"/>
          <w:szCs w:val="22"/>
        </w:rPr>
        <w:t xml:space="preserve"> </w:t>
      </w:r>
      <w:r w:rsidR="001E30C5" w:rsidRPr="005621FA">
        <w:rPr>
          <w:rFonts w:ascii="Arial" w:hAnsi="Arial" w:cs="Arial"/>
          <w:sz w:val="22"/>
          <w:szCs w:val="22"/>
        </w:rPr>
        <w:t xml:space="preserve">with </w:t>
      </w:r>
      <w:r w:rsidR="008D03B2" w:rsidRPr="005621FA">
        <w:rPr>
          <w:rFonts w:ascii="Arial" w:hAnsi="Arial" w:cs="Arial"/>
          <w:sz w:val="22"/>
          <w:szCs w:val="22"/>
        </w:rPr>
        <w:t xml:space="preserve">the </w:t>
      </w:r>
      <w:r w:rsidR="001E30C5" w:rsidRPr="005621FA">
        <w:rPr>
          <w:rFonts w:ascii="Arial" w:hAnsi="Arial" w:cs="Arial"/>
          <w:sz w:val="22"/>
          <w:szCs w:val="22"/>
        </w:rPr>
        <w:t xml:space="preserve">senior leader, it was apparent that </w:t>
      </w:r>
      <w:r w:rsidR="006D08DF" w:rsidRPr="005621FA">
        <w:rPr>
          <w:rFonts w:ascii="Arial" w:hAnsi="Arial" w:cs="Arial"/>
          <w:sz w:val="22"/>
          <w:szCs w:val="22"/>
        </w:rPr>
        <w:t>following</w:t>
      </w:r>
      <w:r w:rsidR="00F75650" w:rsidRPr="005621FA">
        <w:rPr>
          <w:rFonts w:ascii="Arial" w:hAnsi="Arial" w:cs="Arial"/>
          <w:sz w:val="22"/>
          <w:szCs w:val="22"/>
        </w:rPr>
        <w:t xml:space="preserve"> the return of the learners to the classroom </w:t>
      </w:r>
      <w:r w:rsidR="006D08DF" w:rsidRPr="005621FA">
        <w:rPr>
          <w:rFonts w:ascii="Arial" w:hAnsi="Arial" w:cs="Arial"/>
          <w:sz w:val="22"/>
          <w:szCs w:val="22"/>
        </w:rPr>
        <w:t xml:space="preserve">after </w:t>
      </w:r>
      <w:r w:rsidR="00F75650" w:rsidRPr="005621FA">
        <w:rPr>
          <w:rFonts w:ascii="Arial" w:hAnsi="Arial" w:cs="Arial"/>
          <w:sz w:val="22"/>
          <w:szCs w:val="22"/>
        </w:rPr>
        <w:t xml:space="preserve">the COVID-19 pandemic and the gradual return to normalcy, the </w:t>
      </w:r>
      <w:r w:rsidR="00751F38" w:rsidRPr="005621FA">
        <w:rPr>
          <w:rFonts w:ascii="Arial" w:hAnsi="Arial" w:cs="Arial"/>
          <w:sz w:val="22"/>
          <w:szCs w:val="22"/>
        </w:rPr>
        <w:t xml:space="preserve">social and emotional benefits of learners </w:t>
      </w:r>
      <w:r w:rsidR="00EF0CB7" w:rsidRPr="005621FA">
        <w:rPr>
          <w:rFonts w:ascii="Arial" w:hAnsi="Arial" w:cs="Arial"/>
          <w:sz w:val="22"/>
          <w:szCs w:val="22"/>
        </w:rPr>
        <w:t xml:space="preserve">collaborating </w:t>
      </w:r>
      <w:r w:rsidR="00751F38" w:rsidRPr="005621FA">
        <w:rPr>
          <w:rFonts w:ascii="Arial" w:hAnsi="Arial" w:cs="Arial"/>
          <w:sz w:val="22"/>
          <w:szCs w:val="22"/>
        </w:rPr>
        <w:t>was prioritised over developing learners’ independence</w:t>
      </w:r>
      <w:r w:rsidR="007E0747" w:rsidRPr="005621FA">
        <w:rPr>
          <w:rFonts w:ascii="Arial" w:hAnsi="Arial" w:cs="Arial"/>
          <w:sz w:val="22"/>
          <w:szCs w:val="22"/>
        </w:rPr>
        <w:t xml:space="preserve"> (</w:t>
      </w:r>
      <w:r w:rsidR="002135DE" w:rsidRPr="005621FA">
        <w:rPr>
          <w:rFonts w:ascii="Arial" w:hAnsi="Arial" w:cs="Arial"/>
          <w:sz w:val="22"/>
          <w:szCs w:val="22"/>
        </w:rPr>
        <w:t>Davies, 2022; Education Endowment Foundation, 2022</w:t>
      </w:r>
      <w:r w:rsidR="007E0747" w:rsidRPr="005621FA">
        <w:rPr>
          <w:rFonts w:ascii="Arial" w:hAnsi="Arial" w:cs="Arial"/>
          <w:sz w:val="22"/>
          <w:szCs w:val="22"/>
        </w:rPr>
        <w:t>)</w:t>
      </w:r>
      <w:r w:rsidR="00751F38" w:rsidRPr="005621FA">
        <w:rPr>
          <w:rFonts w:ascii="Arial" w:hAnsi="Arial" w:cs="Arial"/>
          <w:sz w:val="22"/>
          <w:szCs w:val="22"/>
        </w:rPr>
        <w:t xml:space="preserve">. </w:t>
      </w:r>
    </w:p>
    <w:p w14:paraId="62BE8444" w14:textId="77777777" w:rsidR="004C6A4A" w:rsidRPr="005621FA" w:rsidRDefault="004C6A4A" w:rsidP="005621FA">
      <w:pPr>
        <w:spacing w:line="360" w:lineRule="auto"/>
        <w:rPr>
          <w:rFonts w:ascii="Arial" w:hAnsi="Arial" w:cs="Arial"/>
          <w:sz w:val="22"/>
          <w:szCs w:val="22"/>
        </w:rPr>
      </w:pPr>
    </w:p>
    <w:p w14:paraId="6472F5B3" w14:textId="6694B10F" w:rsidR="00EF12A4" w:rsidRPr="005621FA" w:rsidRDefault="00684600" w:rsidP="005621FA">
      <w:pPr>
        <w:spacing w:line="360" w:lineRule="auto"/>
        <w:rPr>
          <w:rFonts w:ascii="Arial" w:hAnsi="Arial" w:cs="Arial"/>
          <w:sz w:val="22"/>
          <w:szCs w:val="22"/>
        </w:rPr>
      </w:pPr>
      <w:r w:rsidRPr="005621FA">
        <w:rPr>
          <w:rFonts w:ascii="Arial" w:hAnsi="Arial" w:cs="Arial"/>
          <w:sz w:val="22"/>
          <w:szCs w:val="22"/>
        </w:rPr>
        <w:t>Whilst</w:t>
      </w:r>
      <w:r w:rsidR="00F043EF" w:rsidRPr="005621FA">
        <w:rPr>
          <w:rFonts w:ascii="Arial" w:hAnsi="Arial" w:cs="Arial"/>
          <w:sz w:val="22"/>
          <w:szCs w:val="22"/>
        </w:rPr>
        <w:t xml:space="preserve"> acknowledging the logical reasoning for the lack of development on pupil independence</w:t>
      </w:r>
      <w:r w:rsidR="00E4532A" w:rsidRPr="005621FA">
        <w:rPr>
          <w:rFonts w:ascii="Arial" w:hAnsi="Arial" w:cs="Arial"/>
          <w:sz w:val="22"/>
          <w:szCs w:val="22"/>
        </w:rPr>
        <w:t xml:space="preserve"> in School </w:t>
      </w:r>
      <w:r w:rsidR="00585D3E" w:rsidRPr="005621FA">
        <w:rPr>
          <w:rFonts w:ascii="Arial" w:hAnsi="Arial" w:cs="Arial"/>
          <w:sz w:val="22"/>
          <w:szCs w:val="22"/>
        </w:rPr>
        <w:t>A</w:t>
      </w:r>
      <w:r w:rsidR="00F043EF" w:rsidRPr="005621FA">
        <w:rPr>
          <w:rFonts w:ascii="Arial" w:hAnsi="Arial" w:cs="Arial"/>
          <w:sz w:val="22"/>
          <w:szCs w:val="22"/>
        </w:rPr>
        <w:t xml:space="preserve">, the researcher is aware of its paramount importance in pedagogical </w:t>
      </w:r>
      <w:r w:rsidR="00E4532A" w:rsidRPr="005621FA">
        <w:rPr>
          <w:rFonts w:ascii="Arial" w:hAnsi="Arial" w:cs="Arial"/>
          <w:sz w:val="22"/>
          <w:szCs w:val="22"/>
        </w:rPr>
        <w:t>practice and recognises the importance for learners to have opportunity to participate acutely in their own learning to achieve their full potential</w:t>
      </w:r>
      <w:r w:rsidR="000B2CE1" w:rsidRPr="005621FA">
        <w:rPr>
          <w:rFonts w:ascii="Arial" w:hAnsi="Arial" w:cs="Arial"/>
          <w:sz w:val="22"/>
          <w:szCs w:val="22"/>
        </w:rPr>
        <w:t>,</w:t>
      </w:r>
      <w:r w:rsidR="00E4532A" w:rsidRPr="005621FA">
        <w:rPr>
          <w:rFonts w:ascii="Arial" w:hAnsi="Arial" w:cs="Arial"/>
          <w:sz w:val="22"/>
          <w:szCs w:val="22"/>
        </w:rPr>
        <w:t xml:space="preserve"> rooted in theory </w:t>
      </w:r>
      <w:r w:rsidR="005E0F66" w:rsidRPr="005621FA">
        <w:rPr>
          <w:rFonts w:ascii="Arial" w:hAnsi="Arial" w:cs="Arial"/>
          <w:sz w:val="22"/>
          <w:szCs w:val="22"/>
        </w:rPr>
        <w:t>(Dewy, 1938; Freire, 1992; Dweck, 2017)</w:t>
      </w:r>
      <w:r w:rsidR="00E4532A" w:rsidRPr="005621FA">
        <w:rPr>
          <w:rFonts w:ascii="Arial" w:hAnsi="Arial" w:cs="Arial"/>
          <w:sz w:val="22"/>
          <w:szCs w:val="22"/>
        </w:rPr>
        <w:t xml:space="preserve">. </w:t>
      </w:r>
      <w:r w:rsidRPr="005621FA">
        <w:rPr>
          <w:rFonts w:ascii="Arial" w:hAnsi="Arial" w:cs="Arial"/>
          <w:sz w:val="22"/>
          <w:szCs w:val="22"/>
        </w:rPr>
        <w:t>Furthermore, a</w:t>
      </w:r>
      <w:r w:rsidR="00666A30" w:rsidRPr="005621FA">
        <w:rPr>
          <w:rFonts w:ascii="Arial" w:hAnsi="Arial" w:cs="Arial"/>
          <w:sz w:val="22"/>
          <w:szCs w:val="22"/>
        </w:rPr>
        <w:t>s a student-teacher, this presented a valuable</w:t>
      </w:r>
      <w:r w:rsidR="00F90996" w:rsidRPr="005621FA">
        <w:rPr>
          <w:rFonts w:ascii="Arial" w:hAnsi="Arial" w:cs="Arial"/>
          <w:sz w:val="22"/>
          <w:szCs w:val="22"/>
        </w:rPr>
        <w:t xml:space="preserve"> opportunity for the researcher</w:t>
      </w:r>
      <w:r w:rsidR="00666A30" w:rsidRPr="005621FA">
        <w:rPr>
          <w:rFonts w:ascii="Arial" w:hAnsi="Arial" w:cs="Arial"/>
          <w:sz w:val="22"/>
          <w:szCs w:val="22"/>
        </w:rPr>
        <w:t xml:space="preserve"> to </w:t>
      </w:r>
      <w:r w:rsidR="00FA1E3C" w:rsidRPr="005621FA">
        <w:rPr>
          <w:rFonts w:ascii="Arial" w:hAnsi="Arial" w:cs="Arial"/>
          <w:sz w:val="22"/>
          <w:szCs w:val="22"/>
        </w:rPr>
        <w:t>develop</w:t>
      </w:r>
      <w:r w:rsidR="00F90996" w:rsidRPr="005621FA">
        <w:rPr>
          <w:rFonts w:ascii="Arial" w:hAnsi="Arial" w:cs="Arial"/>
          <w:sz w:val="22"/>
          <w:szCs w:val="22"/>
        </w:rPr>
        <w:t xml:space="preserve"> educational</w:t>
      </w:r>
      <w:r w:rsidR="00FA1E3C" w:rsidRPr="005621FA">
        <w:rPr>
          <w:rFonts w:ascii="Arial" w:hAnsi="Arial" w:cs="Arial"/>
          <w:sz w:val="22"/>
          <w:szCs w:val="22"/>
        </w:rPr>
        <w:t xml:space="preserve"> practice</w:t>
      </w:r>
      <w:r w:rsidR="00F90996" w:rsidRPr="005621FA">
        <w:rPr>
          <w:rFonts w:ascii="Arial" w:hAnsi="Arial" w:cs="Arial"/>
          <w:sz w:val="22"/>
          <w:szCs w:val="22"/>
        </w:rPr>
        <w:t>s</w:t>
      </w:r>
      <w:r w:rsidR="00FA1E3C" w:rsidRPr="005621FA">
        <w:rPr>
          <w:rFonts w:ascii="Arial" w:hAnsi="Arial" w:cs="Arial"/>
          <w:sz w:val="22"/>
          <w:szCs w:val="22"/>
        </w:rPr>
        <w:t xml:space="preserve"> </w:t>
      </w:r>
      <w:r w:rsidR="007F20CB" w:rsidRPr="005621FA">
        <w:rPr>
          <w:rFonts w:ascii="Arial" w:hAnsi="Arial" w:cs="Arial"/>
          <w:sz w:val="22"/>
          <w:szCs w:val="22"/>
        </w:rPr>
        <w:t>that aimed to have a positive impact not only on</w:t>
      </w:r>
      <w:r w:rsidRPr="005621FA">
        <w:rPr>
          <w:rFonts w:ascii="Arial" w:hAnsi="Arial" w:cs="Arial"/>
          <w:sz w:val="22"/>
          <w:szCs w:val="22"/>
        </w:rPr>
        <w:t xml:space="preserve"> securing learners’ self-direction in their education</w:t>
      </w:r>
      <w:r w:rsidR="007F20CB" w:rsidRPr="005621FA">
        <w:rPr>
          <w:rFonts w:ascii="Arial" w:hAnsi="Arial" w:cs="Arial"/>
          <w:sz w:val="22"/>
          <w:szCs w:val="22"/>
        </w:rPr>
        <w:t>, but also on t</w:t>
      </w:r>
      <w:r w:rsidR="00755502" w:rsidRPr="005621FA">
        <w:rPr>
          <w:rFonts w:ascii="Arial" w:hAnsi="Arial" w:cs="Arial"/>
          <w:sz w:val="22"/>
          <w:szCs w:val="22"/>
        </w:rPr>
        <w:t>he researchers</w:t>
      </w:r>
      <w:r w:rsidR="007F20CB" w:rsidRPr="005621FA">
        <w:rPr>
          <w:rFonts w:ascii="Arial" w:hAnsi="Arial" w:cs="Arial"/>
          <w:sz w:val="22"/>
          <w:szCs w:val="22"/>
        </w:rPr>
        <w:t xml:space="preserve"> own pedagogical progress</w:t>
      </w:r>
      <w:r w:rsidRPr="005621FA">
        <w:rPr>
          <w:rFonts w:ascii="Arial" w:hAnsi="Arial" w:cs="Arial"/>
          <w:sz w:val="22"/>
          <w:szCs w:val="22"/>
        </w:rPr>
        <w:t xml:space="preserve">, collating evidence towards the teaching standard of promoting ‘sustained effort and resilience in learners’ </w:t>
      </w:r>
      <w:sdt>
        <w:sdtPr>
          <w:rPr>
            <w:rFonts w:ascii="Arial" w:hAnsi="Arial" w:cs="Arial"/>
            <w:sz w:val="22"/>
            <w:szCs w:val="22"/>
          </w:rPr>
          <w:id w:val="2069223213"/>
          <w:citation/>
        </w:sdtPr>
        <w:sdtEndPr/>
        <w:sdtContent>
          <w:r w:rsidR="00EF12A4" w:rsidRPr="005621FA">
            <w:rPr>
              <w:rFonts w:ascii="Arial" w:hAnsi="Arial" w:cs="Arial"/>
              <w:sz w:val="22"/>
              <w:szCs w:val="22"/>
            </w:rPr>
            <w:fldChar w:fldCharType="begin"/>
          </w:r>
          <w:r w:rsidR="00EF12A4" w:rsidRPr="005621FA">
            <w:rPr>
              <w:rFonts w:ascii="Arial" w:hAnsi="Arial" w:cs="Arial"/>
              <w:sz w:val="22"/>
              <w:szCs w:val="22"/>
            </w:rPr>
            <w:instrText xml:space="preserve">CITATION Wel194 \p 39 \l 2057 </w:instrText>
          </w:r>
          <w:r w:rsidR="00EF12A4" w:rsidRPr="005621FA">
            <w:rPr>
              <w:rFonts w:ascii="Arial" w:hAnsi="Arial" w:cs="Arial"/>
              <w:sz w:val="22"/>
              <w:szCs w:val="22"/>
            </w:rPr>
            <w:fldChar w:fldCharType="separate"/>
          </w:r>
          <w:r w:rsidR="00EF12A4" w:rsidRPr="005621FA">
            <w:rPr>
              <w:rFonts w:ascii="Arial" w:eastAsiaTheme="minorHAnsi" w:hAnsi="Arial" w:cs="Arial"/>
              <w:noProof/>
              <w:sz w:val="22"/>
              <w:szCs w:val="22"/>
            </w:rPr>
            <w:t>(Welsh Government, 2019, p. 39)</w:t>
          </w:r>
          <w:r w:rsidR="00EF12A4" w:rsidRPr="005621FA">
            <w:rPr>
              <w:rFonts w:ascii="Arial" w:hAnsi="Arial" w:cs="Arial"/>
              <w:sz w:val="22"/>
              <w:szCs w:val="22"/>
            </w:rPr>
            <w:fldChar w:fldCharType="end"/>
          </w:r>
        </w:sdtContent>
      </w:sdt>
      <w:r w:rsidRPr="005621FA">
        <w:rPr>
          <w:rFonts w:ascii="Arial" w:hAnsi="Arial" w:cs="Arial"/>
          <w:sz w:val="22"/>
          <w:szCs w:val="22"/>
        </w:rPr>
        <w:t xml:space="preserve">. </w:t>
      </w:r>
    </w:p>
    <w:p w14:paraId="035FEF17" w14:textId="6CFCA8CD" w:rsidR="00CD7C6A" w:rsidRPr="005621FA" w:rsidRDefault="00CD7C6A" w:rsidP="005621FA">
      <w:pPr>
        <w:spacing w:line="360" w:lineRule="auto"/>
        <w:rPr>
          <w:rFonts w:ascii="Arial" w:hAnsi="Arial" w:cs="Arial"/>
          <w:sz w:val="22"/>
          <w:szCs w:val="22"/>
        </w:rPr>
      </w:pPr>
    </w:p>
    <w:p w14:paraId="3899B3CB" w14:textId="528F4B6B" w:rsidR="00934E69" w:rsidRPr="005621FA" w:rsidRDefault="00684600" w:rsidP="005621FA">
      <w:pPr>
        <w:pStyle w:val="AssignBody"/>
        <w:rPr>
          <w:rFonts w:cs="Arial"/>
        </w:rPr>
      </w:pPr>
      <w:r w:rsidRPr="005621FA">
        <w:rPr>
          <w:rFonts w:cs="Arial"/>
        </w:rPr>
        <w:t>W</w:t>
      </w:r>
      <w:r w:rsidR="004C6A4A" w:rsidRPr="005621FA">
        <w:rPr>
          <w:rFonts w:cs="Arial"/>
        </w:rPr>
        <w:t xml:space="preserve">ith this in mind, </w:t>
      </w:r>
      <w:r w:rsidR="00755502" w:rsidRPr="005621FA">
        <w:rPr>
          <w:rFonts w:cs="Arial"/>
        </w:rPr>
        <w:t>a research study was conducted</w:t>
      </w:r>
      <w:r w:rsidR="004C6A4A" w:rsidRPr="005621FA">
        <w:rPr>
          <w:rFonts w:cs="Arial"/>
        </w:rPr>
        <w:t xml:space="preserve"> exploring how learners are supported in becoming healthy, confident individuals through the development of pupil </w:t>
      </w:r>
      <w:r w:rsidR="008068A9" w:rsidRPr="005621FA">
        <w:rPr>
          <w:rFonts w:cs="Arial"/>
        </w:rPr>
        <w:t>independence</w:t>
      </w:r>
      <w:r w:rsidR="004C6A4A" w:rsidRPr="005621FA">
        <w:rPr>
          <w:rFonts w:cs="Arial"/>
        </w:rPr>
        <w:t xml:space="preserve">. </w:t>
      </w:r>
      <w:r w:rsidR="00202EE2" w:rsidRPr="005621FA">
        <w:rPr>
          <w:rFonts w:cs="Arial"/>
        </w:rPr>
        <w:t xml:space="preserve">The research took place in a </w:t>
      </w:r>
      <w:r w:rsidR="009520FA" w:rsidRPr="005621FA">
        <w:rPr>
          <w:rFonts w:cs="Arial"/>
        </w:rPr>
        <w:t>community-based English medium Primary School</w:t>
      </w:r>
      <w:r w:rsidR="007E0747" w:rsidRPr="005621FA">
        <w:rPr>
          <w:rFonts w:cs="Arial"/>
        </w:rPr>
        <w:t xml:space="preserve">, </w:t>
      </w:r>
      <w:r w:rsidR="009520FA" w:rsidRPr="005621FA">
        <w:rPr>
          <w:rFonts w:cs="Arial"/>
        </w:rPr>
        <w:t xml:space="preserve">focusing primarily on learners in a Year Five classroom. </w:t>
      </w:r>
      <w:r w:rsidR="005016E1" w:rsidRPr="005621FA">
        <w:rPr>
          <w:rFonts w:cs="Arial"/>
        </w:rPr>
        <w:t>The researcher employed a mixed-method approach to data collection</w:t>
      </w:r>
      <w:r w:rsidR="009C2200" w:rsidRPr="005621FA">
        <w:rPr>
          <w:rFonts w:cs="Arial"/>
        </w:rPr>
        <w:t xml:space="preserve"> through a case study</w:t>
      </w:r>
      <w:r w:rsidR="005016E1" w:rsidRPr="005621FA">
        <w:rPr>
          <w:rFonts w:cs="Arial"/>
        </w:rPr>
        <w:t xml:space="preserve">, which involved combining qualitative and quantitative methods within a single study. This strategy aimed to mitigate the limitations of each method and achieve a more comprehensive understanding of </w:t>
      </w:r>
      <w:r w:rsidR="008068A9" w:rsidRPr="005621FA">
        <w:rPr>
          <w:rFonts w:cs="Arial"/>
        </w:rPr>
        <w:t>pupil independence</w:t>
      </w:r>
      <w:r w:rsidR="00A732A1" w:rsidRPr="005621FA">
        <w:rPr>
          <w:rFonts w:cs="Arial"/>
        </w:rPr>
        <w:t xml:space="preserve"> (Cohen &amp; Manion, 201</w:t>
      </w:r>
      <w:r w:rsidR="003664F7">
        <w:rPr>
          <w:rFonts w:cs="Arial"/>
        </w:rPr>
        <w:t>3</w:t>
      </w:r>
      <w:r w:rsidR="00A732A1" w:rsidRPr="005621FA">
        <w:rPr>
          <w:rFonts w:cs="Arial"/>
        </w:rPr>
        <w:t xml:space="preserve">; Denscombe, 2014; Bell &amp; Waters, 2018). </w:t>
      </w:r>
    </w:p>
    <w:p w14:paraId="635D2F0F" w14:textId="7D65772B" w:rsidR="00E54A80" w:rsidRPr="005621FA" w:rsidRDefault="00872C9D" w:rsidP="005621FA">
      <w:pPr>
        <w:pStyle w:val="AssignBody"/>
        <w:rPr>
          <w:rFonts w:cs="Arial"/>
        </w:rPr>
      </w:pPr>
      <w:r w:rsidRPr="005621FA">
        <w:rPr>
          <w:rFonts w:cs="Arial"/>
        </w:rPr>
        <w:lastRenderedPageBreak/>
        <w:t xml:space="preserve">Once thought of </w:t>
      </w:r>
      <w:r w:rsidR="000E73DD" w:rsidRPr="005621FA">
        <w:rPr>
          <w:rFonts w:cs="Arial"/>
        </w:rPr>
        <w:t xml:space="preserve">as </w:t>
      </w:r>
      <w:r w:rsidRPr="005621FA">
        <w:rPr>
          <w:rFonts w:cs="Arial"/>
        </w:rPr>
        <w:t xml:space="preserve">solely the ability to self-direct learning </w:t>
      </w:r>
      <w:sdt>
        <w:sdtPr>
          <w:rPr>
            <w:rFonts w:cs="Arial"/>
          </w:rPr>
          <w:id w:val="1649477459"/>
          <w:citation/>
        </w:sdtPr>
        <w:sdtEndPr/>
        <w:sdtContent>
          <w:r w:rsidRPr="005621FA">
            <w:rPr>
              <w:rFonts w:cs="Arial"/>
            </w:rPr>
            <w:fldChar w:fldCharType="begin"/>
          </w:r>
          <w:r w:rsidR="004D69DB" w:rsidRPr="005621FA">
            <w:rPr>
              <w:rFonts w:cs="Arial"/>
            </w:rPr>
            <w:instrText xml:space="preserve">CITATION Hol81 \l 2057 </w:instrText>
          </w:r>
          <w:r w:rsidRPr="005621FA">
            <w:rPr>
              <w:rFonts w:cs="Arial"/>
            </w:rPr>
            <w:fldChar w:fldCharType="separate"/>
          </w:r>
          <w:r w:rsidR="004D69DB" w:rsidRPr="005621FA">
            <w:rPr>
              <w:rFonts w:eastAsiaTheme="minorHAnsi" w:cs="Arial"/>
              <w:noProof/>
            </w:rPr>
            <w:t>(Holec, 1979)</w:t>
          </w:r>
          <w:r w:rsidRPr="005621FA">
            <w:rPr>
              <w:rFonts w:cs="Arial"/>
            </w:rPr>
            <w:fldChar w:fldCharType="end"/>
          </w:r>
        </w:sdtContent>
      </w:sdt>
      <w:r w:rsidRPr="005621FA">
        <w:rPr>
          <w:rFonts w:cs="Arial"/>
        </w:rPr>
        <w:t xml:space="preserve">, pupil independence is now recognised as a </w:t>
      </w:r>
      <w:r w:rsidR="008016C5" w:rsidRPr="005621FA">
        <w:rPr>
          <w:rFonts w:cs="Arial"/>
        </w:rPr>
        <w:t>multiface</w:t>
      </w:r>
      <w:r w:rsidR="007D4141" w:rsidRPr="005621FA">
        <w:rPr>
          <w:rFonts w:cs="Arial"/>
        </w:rPr>
        <w:t>te</w:t>
      </w:r>
      <w:r w:rsidR="008016C5" w:rsidRPr="005621FA">
        <w:rPr>
          <w:rFonts w:cs="Arial"/>
        </w:rPr>
        <w:t xml:space="preserve">d </w:t>
      </w:r>
      <w:r w:rsidR="007D4141" w:rsidRPr="005621FA">
        <w:rPr>
          <w:rFonts w:cs="Arial"/>
        </w:rPr>
        <w:t xml:space="preserve">construct encompassing a range of cognitive, metacognitive, and </w:t>
      </w:r>
      <w:r w:rsidR="000E73DD" w:rsidRPr="005621FA">
        <w:rPr>
          <w:rFonts w:cs="Arial"/>
        </w:rPr>
        <w:t>emotional</w:t>
      </w:r>
      <w:r w:rsidR="007D4141" w:rsidRPr="005621FA">
        <w:rPr>
          <w:rFonts w:cs="Arial"/>
        </w:rPr>
        <w:t xml:space="preserve"> skills that enable learners to </w:t>
      </w:r>
      <w:r w:rsidR="00F845C6" w:rsidRPr="005621FA">
        <w:rPr>
          <w:rFonts w:cs="Arial"/>
        </w:rPr>
        <w:t xml:space="preserve">accept responsibility for their </w:t>
      </w:r>
      <w:r w:rsidR="00097469" w:rsidRPr="005621FA">
        <w:rPr>
          <w:rFonts w:cs="Arial"/>
        </w:rPr>
        <w:t>learning</w:t>
      </w:r>
      <w:r w:rsidR="00BC1801" w:rsidRPr="005621FA">
        <w:rPr>
          <w:rFonts w:cs="Arial"/>
        </w:rPr>
        <w:t xml:space="preserve"> </w:t>
      </w:r>
      <w:r w:rsidR="00097469" w:rsidRPr="005621FA">
        <w:rPr>
          <w:rFonts w:cs="Arial"/>
        </w:rPr>
        <w:t xml:space="preserve">(Hargreaves, 2014; Education Endowment Foundation, 2018; Estyn, 2020). </w:t>
      </w:r>
      <w:r w:rsidR="00CB54DD" w:rsidRPr="005621FA">
        <w:rPr>
          <w:rFonts w:cs="Arial"/>
        </w:rPr>
        <w:t xml:space="preserve"> </w:t>
      </w:r>
      <w:r w:rsidR="000A2D2F" w:rsidRPr="005621FA">
        <w:rPr>
          <w:rFonts w:cs="Arial"/>
        </w:rPr>
        <w:t xml:space="preserve">The concept of promoting learner </w:t>
      </w:r>
      <w:r w:rsidR="00CB54DD" w:rsidRPr="005621FA">
        <w:rPr>
          <w:rFonts w:cs="Arial"/>
        </w:rPr>
        <w:t xml:space="preserve">independence is </w:t>
      </w:r>
      <w:r w:rsidR="000A2D2F" w:rsidRPr="005621FA">
        <w:rPr>
          <w:rFonts w:cs="Arial"/>
        </w:rPr>
        <w:t xml:space="preserve">referred to </w:t>
      </w:r>
      <w:r w:rsidR="00E43777" w:rsidRPr="005621FA">
        <w:rPr>
          <w:rFonts w:cs="Arial"/>
        </w:rPr>
        <w:t>through</w:t>
      </w:r>
      <w:r w:rsidR="000A2D2F" w:rsidRPr="005621FA">
        <w:rPr>
          <w:rFonts w:cs="Arial"/>
        </w:rPr>
        <w:t xml:space="preserve"> several</w:t>
      </w:r>
      <w:r w:rsidR="004D69DB" w:rsidRPr="005621FA">
        <w:rPr>
          <w:rFonts w:cs="Arial"/>
        </w:rPr>
        <w:t xml:space="preserve"> </w:t>
      </w:r>
      <w:r w:rsidR="000A2D2F" w:rsidRPr="005621FA">
        <w:rPr>
          <w:rFonts w:cs="Arial"/>
        </w:rPr>
        <w:t xml:space="preserve">terms including autonomous learning, self-directed </w:t>
      </w:r>
      <w:r w:rsidR="004D69DB" w:rsidRPr="005621FA">
        <w:rPr>
          <w:rFonts w:cs="Arial"/>
        </w:rPr>
        <w:t>learning,</w:t>
      </w:r>
      <w:r w:rsidR="000A2D2F" w:rsidRPr="005621FA">
        <w:rPr>
          <w:rFonts w:cs="Arial"/>
        </w:rPr>
        <w:t xml:space="preserve"> and self-regulated learning (</w:t>
      </w:r>
      <w:r w:rsidR="004D69DB" w:rsidRPr="005621FA">
        <w:rPr>
          <w:rFonts w:cs="Arial"/>
        </w:rPr>
        <w:t xml:space="preserve">Dewey, 1938; Piaget, 1950; </w:t>
      </w:r>
      <w:r w:rsidR="000A2D2F" w:rsidRPr="005621FA">
        <w:rPr>
          <w:rFonts w:cs="Arial"/>
        </w:rPr>
        <w:t>Dweck, 2017</w:t>
      </w:r>
      <w:r w:rsidR="004D69DB" w:rsidRPr="005621FA">
        <w:rPr>
          <w:rFonts w:cs="Arial"/>
        </w:rPr>
        <w:t xml:space="preserve">).  All terms relate to the idea that learners are actively in </w:t>
      </w:r>
      <w:r w:rsidR="00F20E88" w:rsidRPr="005621FA">
        <w:rPr>
          <w:rFonts w:cs="Arial"/>
        </w:rPr>
        <w:t>involved</w:t>
      </w:r>
      <w:r w:rsidR="004D69DB" w:rsidRPr="005621FA">
        <w:rPr>
          <w:rFonts w:cs="Arial"/>
        </w:rPr>
        <w:t xml:space="preserve"> in their own learning </w:t>
      </w:r>
      <w:r w:rsidR="00F20E88" w:rsidRPr="005621FA">
        <w:rPr>
          <w:rFonts w:cs="Arial"/>
        </w:rPr>
        <w:t>process, shaped by various individual and contextual factors</w:t>
      </w:r>
      <w:r w:rsidR="00066E7F" w:rsidRPr="005621FA">
        <w:rPr>
          <w:rFonts w:cs="Arial"/>
        </w:rPr>
        <w:t xml:space="preserve"> such as cognitive ability</w:t>
      </w:r>
      <w:r w:rsidR="009A1727" w:rsidRPr="005621FA">
        <w:rPr>
          <w:rFonts w:cs="Arial"/>
        </w:rPr>
        <w:t xml:space="preserve">, </w:t>
      </w:r>
      <w:r w:rsidR="00D93151" w:rsidRPr="005621FA">
        <w:rPr>
          <w:rFonts w:cs="Arial"/>
        </w:rPr>
        <w:t xml:space="preserve">cultural </w:t>
      </w:r>
      <w:r w:rsidR="00E54A80" w:rsidRPr="005621FA">
        <w:rPr>
          <w:rFonts w:cs="Arial"/>
        </w:rPr>
        <w:t>norms,</w:t>
      </w:r>
      <w:r w:rsidR="009A1727" w:rsidRPr="005621FA">
        <w:rPr>
          <w:rFonts w:cs="Arial"/>
        </w:rPr>
        <w:t xml:space="preserve"> and teaching strategies </w:t>
      </w:r>
      <w:sdt>
        <w:sdtPr>
          <w:rPr>
            <w:rFonts w:cs="Arial"/>
          </w:rPr>
          <w:id w:val="1190731753"/>
          <w:citation/>
        </w:sdtPr>
        <w:sdtEndPr/>
        <w:sdtContent>
          <w:r w:rsidR="009A1727" w:rsidRPr="005621FA">
            <w:rPr>
              <w:rFonts w:cs="Arial"/>
            </w:rPr>
            <w:fldChar w:fldCharType="begin"/>
          </w:r>
          <w:r w:rsidR="009A1727" w:rsidRPr="005621FA">
            <w:rPr>
              <w:rFonts w:cs="Arial"/>
            </w:rPr>
            <w:instrText xml:space="preserve"> CITATION Ans15 \l 2057 </w:instrText>
          </w:r>
          <w:r w:rsidR="009A1727" w:rsidRPr="005621FA">
            <w:rPr>
              <w:rFonts w:cs="Arial"/>
            </w:rPr>
            <w:fldChar w:fldCharType="separate"/>
          </w:r>
          <w:r w:rsidR="009A1727" w:rsidRPr="005621FA">
            <w:rPr>
              <w:rFonts w:eastAsiaTheme="minorHAnsi" w:cs="Arial"/>
              <w:noProof/>
            </w:rPr>
            <w:t>(Anstee, 2015)</w:t>
          </w:r>
          <w:r w:rsidR="009A1727" w:rsidRPr="005621FA">
            <w:rPr>
              <w:rFonts w:cs="Arial"/>
            </w:rPr>
            <w:fldChar w:fldCharType="end"/>
          </w:r>
        </w:sdtContent>
      </w:sdt>
      <w:r w:rsidR="009A1727" w:rsidRPr="005621FA">
        <w:rPr>
          <w:rFonts w:cs="Arial"/>
        </w:rPr>
        <w:t xml:space="preserve">. </w:t>
      </w:r>
      <w:r w:rsidR="00B5526B" w:rsidRPr="005621FA">
        <w:rPr>
          <w:rFonts w:cs="Arial"/>
        </w:rPr>
        <w:t xml:space="preserve">Whilst these facets may interact with one another, they vary in relative importance depending on the context in which they are used </w:t>
      </w:r>
      <w:sdt>
        <w:sdtPr>
          <w:rPr>
            <w:rFonts w:cs="Arial"/>
          </w:rPr>
          <w:id w:val="1184627307"/>
          <w:citation/>
        </w:sdtPr>
        <w:sdtEndPr/>
        <w:sdtContent>
          <w:r w:rsidR="00B5526B" w:rsidRPr="005621FA">
            <w:rPr>
              <w:rFonts w:cs="Arial"/>
            </w:rPr>
            <w:fldChar w:fldCharType="begin"/>
          </w:r>
          <w:r w:rsidR="00B5526B" w:rsidRPr="005621FA">
            <w:rPr>
              <w:rFonts w:cs="Arial"/>
            </w:rPr>
            <w:instrText xml:space="preserve"> CITATION Har141 \l 2057 </w:instrText>
          </w:r>
          <w:r w:rsidR="00B5526B" w:rsidRPr="005621FA">
            <w:rPr>
              <w:rFonts w:cs="Arial"/>
            </w:rPr>
            <w:fldChar w:fldCharType="separate"/>
          </w:r>
          <w:r w:rsidR="00B5526B" w:rsidRPr="005621FA">
            <w:rPr>
              <w:rFonts w:eastAsiaTheme="minorHAnsi" w:cs="Arial"/>
              <w:noProof/>
            </w:rPr>
            <w:t>(Harvey &amp; Chickie-Wolfe, 2014)</w:t>
          </w:r>
          <w:r w:rsidR="00B5526B" w:rsidRPr="005621FA">
            <w:rPr>
              <w:rFonts w:cs="Arial"/>
            </w:rPr>
            <w:fldChar w:fldCharType="end"/>
          </w:r>
        </w:sdtContent>
      </w:sdt>
      <w:r w:rsidR="00B5526B" w:rsidRPr="005621FA">
        <w:rPr>
          <w:rFonts w:cs="Arial"/>
        </w:rPr>
        <w:t xml:space="preserve">. </w:t>
      </w:r>
      <w:r w:rsidR="0031610A" w:rsidRPr="005621FA">
        <w:rPr>
          <w:rFonts w:cs="Arial"/>
        </w:rPr>
        <w:t xml:space="preserve">Without disregarding the </w:t>
      </w:r>
      <w:r w:rsidR="00D93151" w:rsidRPr="005621FA">
        <w:rPr>
          <w:rFonts w:cs="Arial"/>
        </w:rPr>
        <w:t xml:space="preserve">significance of </w:t>
      </w:r>
      <w:r w:rsidR="00E54A80" w:rsidRPr="005621FA">
        <w:rPr>
          <w:rFonts w:cs="Arial"/>
        </w:rPr>
        <w:t>other facets</w:t>
      </w:r>
      <w:r w:rsidR="003B13D7" w:rsidRPr="005621FA">
        <w:rPr>
          <w:rFonts w:cs="Arial"/>
        </w:rPr>
        <w:t xml:space="preserve"> </w:t>
      </w:r>
      <w:sdt>
        <w:sdtPr>
          <w:rPr>
            <w:rFonts w:cs="Arial"/>
          </w:rPr>
          <w:id w:val="-1770762176"/>
          <w:citation/>
        </w:sdtPr>
        <w:sdtEndPr/>
        <w:sdtContent>
          <w:r w:rsidR="003B13D7" w:rsidRPr="005621FA">
            <w:rPr>
              <w:rFonts w:cs="Arial"/>
            </w:rPr>
            <w:fldChar w:fldCharType="begin"/>
          </w:r>
          <w:r w:rsidR="003B13D7" w:rsidRPr="005621FA">
            <w:rPr>
              <w:rFonts w:cs="Arial"/>
            </w:rPr>
            <w:instrText xml:space="preserve"> CITATION Wil03 \l 2057 </w:instrText>
          </w:r>
          <w:r w:rsidR="003B13D7" w:rsidRPr="005621FA">
            <w:rPr>
              <w:rFonts w:cs="Arial"/>
            </w:rPr>
            <w:fldChar w:fldCharType="separate"/>
          </w:r>
          <w:r w:rsidR="003B13D7" w:rsidRPr="005621FA">
            <w:rPr>
              <w:rFonts w:eastAsiaTheme="minorHAnsi" w:cs="Arial"/>
              <w:noProof/>
            </w:rPr>
            <w:t>(Williams, 2003)</w:t>
          </w:r>
          <w:r w:rsidR="003B13D7" w:rsidRPr="005621FA">
            <w:rPr>
              <w:rFonts w:cs="Arial"/>
            </w:rPr>
            <w:fldChar w:fldCharType="end"/>
          </w:r>
        </w:sdtContent>
      </w:sdt>
      <w:r w:rsidR="00E54A80" w:rsidRPr="005621FA">
        <w:rPr>
          <w:rFonts w:cs="Arial"/>
        </w:rPr>
        <w:t xml:space="preserve">, </w:t>
      </w:r>
      <w:r w:rsidR="003B13D7" w:rsidRPr="005621FA">
        <w:rPr>
          <w:rFonts w:cs="Arial"/>
        </w:rPr>
        <w:t>i</w:t>
      </w:r>
      <w:r w:rsidR="00E54A80" w:rsidRPr="005621FA">
        <w:rPr>
          <w:rFonts w:cs="Arial"/>
        </w:rPr>
        <w:t>t</w:t>
      </w:r>
      <w:r w:rsidR="003B13D7" w:rsidRPr="005621FA">
        <w:rPr>
          <w:rFonts w:cs="Arial"/>
        </w:rPr>
        <w:t xml:space="preserve"> was</w:t>
      </w:r>
      <w:r w:rsidR="00E54A80" w:rsidRPr="005621FA">
        <w:rPr>
          <w:rFonts w:cs="Arial"/>
        </w:rPr>
        <w:t xml:space="preserve"> acknowledged that the research question centred around promoting confident learners through developing pupil independence. Therefore, </w:t>
      </w:r>
      <w:r w:rsidR="00D712CA" w:rsidRPr="005621FA">
        <w:rPr>
          <w:rFonts w:cs="Arial"/>
        </w:rPr>
        <w:t xml:space="preserve">upon reviewing literature, </w:t>
      </w:r>
      <w:r w:rsidR="00550557" w:rsidRPr="005621FA">
        <w:rPr>
          <w:rFonts w:cs="Arial"/>
        </w:rPr>
        <w:t xml:space="preserve">a significant focus was made on the role of instructional practice in cultivating independent learning. </w:t>
      </w:r>
    </w:p>
    <w:p w14:paraId="0F1DDB2C" w14:textId="760AE29B" w:rsidR="00E54A80" w:rsidRPr="005621FA" w:rsidRDefault="00E54A80" w:rsidP="005621FA">
      <w:pPr>
        <w:pStyle w:val="AssignBody"/>
        <w:rPr>
          <w:rFonts w:cs="Arial"/>
        </w:rPr>
      </w:pPr>
    </w:p>
    <w:p w14:paraId="54EB15B0" w14:textId="2C399E2E" w:rsidR="0048567A" w:rsidRPr="005621FA" w:rsidRDefault="0048567A" w:rsidP="005621FA">
      <w:pPr>
        <w:pStyle w:val="AssignBody"/>
        <w:rPr>
          <w:rFonts w:cs="Arial"/>
        </w:rPr>
      </w:pPr>
      <w:r w:rsidRPr="005621FA">
        <w:rPr>
          <w:rFonts w:cs="Arial"/>
        </w:rPr>
        <w:t xml:space="preserve">Notwithstanding the foregoing, the conceptualisation of pupil independence has produced an increasingly contested and complex terrain in educational research with Biesta (2015) arguing that the concept of pupil independence has become the most problematic concept in contemporary education due to its various interpretations. Research Fellows Bond and Falchikov (2007) share this view, denoting that pupil independence has not been well-defined, with Bond expanding his view to highlight the incoherent connection between pupil independence and learning outcomes </w:t>
      </w:r>
      <w:sdt>
        <w:sdtPr>
          <w:rPr>
            <w:rFonts w:cs="Arial"/>
          </w:rPr>
          <w:id w:val="1430082833"/>
          <w:citation/>
        </w:sdtPr>
        <w:sdtEndPr/>
        <w:sdtContent>
          <w:r w:rsidRPr="005621FA">
            <w:rPr>
              <w:rFonts w:cs="Arial"/>
            </w:rPr>
            <w:fldChar w:fldCharType="begin"/>
          </w:r>
          <w:r w:rsidRPr="005621FA">
            <w:rPr>
              <w:rFonts w:cs="Arial"/>
            </w:rPr>
            <w:instrText xml:space="preserve"> CITATION Bou20 \l 2057 </w:instrText>
          </w:r>
          <w:r w:rsidRPr="005621FA">
            <w:rPr>
              <w:rFonts w:cs="Arial"/>
            </w:rPr>
            <w:fldChar w:fldCharType="separate"/>
          </w:r>
          <w:r w:rsidRPr="005621FA">
            <w:rPr>
              <w:rFonts w:eastAsiaTheme="minorHAnsi" w:cs="Arial"/>
              <w:noProof/>
            </w:rPr>
            <w:t>(Boud, et al., 2020)</w:t>
          </w:r>
          <w:r w:rsidRPr="005621FA">
            <w:rPr>
              <w:rFonts w:cs="Arial"/>
            </w:rPr>
            <w:fldChar w:fldCharType="end"/>
          </w:r>
        </w:sdtContent>
      </w:sdt>
      <w:r w:rsidRPr="005621FA">
        <w:rPr>
          <w:rFonts w:cs="Arial"/>
        </w:rPr>
        <w:t xml:space="preserve">. He argues that traditional forms of assessment such as pre-determined criteria do not adequately foster independence in learners, viewing it as surface level learning </w:t>
      </w:r>
      <w:sdt>
        <w:sdtPr>
          <w:rPr>
            <w:rFonts w:cs="Arial"/>
          </w:rPr>
          <w:id w:val="-848567229"/>
          <w:citation/>
        </w:sdtPr>
        <w:sdtEndPr/>
        <w:sdtContent>
          <w:r w:rsidRPr="005621FA">
            <w:rPr>
              <w:rFonts w:cs="Arial"/>
            </w:rPr>
            <w:fldChar w:fldCharType="begin"/>
          </w:r>
          <w:r w:rsidRPr="005621FA">
            <w:rPr>
              <w:rFonts w:cs="Arial"/>
            </w:rPr>
            <w:instrText xml:space="preserve"> CITATION Bou13 \l 2057 </w:instrText>
          </w:r>
          <w:r w:rsidRPr="005621FA">
            <w:rPr>
              <w:rFonts w:cs="Arial"/>
            </w:rPr>
            <w:fldChar w:fldCharType="separate"/>
          </w:r>
          <w:r w:rsidRPr="005621FA">
            <w:rPr>
              <w:rFonts w:eastAsiaTheme="minorHAnsi" w:cs="Arial"/>
              <w:noProof/>
            </w:rPr>
            <w:t>(Boud, 2013)</w:t>
          </w:r>
          <w:r w:rsidRPr="005621FA">
            <w:rPr>
              <w:rFonts w:cs="Arial"/>
            </w:rPr>
            <w:fldChar w:fldCharType="end"/>
          </w:r>
        </w:sdtContent>
      </w:sdt>
      <w:r w:rsidRPr="005621FA">
        <w:rPr>
          <w:rFonts w:cs="Arial"/>
        </w:rPr>
        <w:t>. Moreover, he suggests that traditional forms of assessment may discourage risk taking</w:t>
      </w:r>
      <w:r w:rsidR="000B2CE1" w:rsidRPr="005621FA">
        <w:rPr>
          <w:rFonts w:cs="Arial"/>
        </w:rPr>
        <w:t>.</w:t>
      </w:r>
      <w:r w:rsidRPr="005621FA">
        <w:rPr>
          <w:rFonts w:cs="Arial"/>
        </w:rPr>
        <w:t xml:space="preserve"> </w:t>
      </w:r>
      <w:r w:rsidR="000B2CE1" w:rsidRPr="005621FA">
        <w:rPr>
          <w:rFonts w:cs="Arial"/>
        </w:rPr>
        <w:t xml:space="preserve">He </w:t>
      </w:r>
      <w:r w:rsidRPr="005621FA">
        <w:rPr>
          <w:rFonts w:cs="Arial"/>
        </w:rPr>
        <w:t>instead propos</w:t>
      </w:r>
      <w:r w:rsidR="000B2CE1" w:rsidRPr="005621FA">
        <w:rPr>
          <w:rFonts w:cs="Arial"/>
        </w:rPr>
        <w:t>es</w:t>
      </w:r>
      <w:r w:rsidRPr="005621FA">
        <w:rPr>
          <w:rFonts w:cs="Arial"/>
        </w:rPr>
        <w:t xml:space="preserve"> that to promote pupil independence and foster lifelong learning, practitioners must us their initiative </w:t>
      </w:r>
      <w:r w:rsidR="000B2CE1" w:rsidRPr="005621FA">
        <w:rPr>
          <w:rFonts w:cs="Arial"/>
        </w:rPr>
        <w:t>and</w:t>
      </w:r>
      <w:r w:rsidRPr="005621FA">
        <w:rPr>
          <w:rFonts w:cs="Arial"/>
        </w:rPr>
        <w:t xml:space="preserve"> use alternative assessment methods such as sel</w:t>
      </w:r>
      <w:r w:rsidR="000B2CE1" w:rsidRPr="005621FA">
        <w:rPr>
          <w:rFonts w:cs="Arial"/>
        </w:rPr>
        <w:t>f</w:t>
      </w:r>
      <w:r w:rsidRPr="005621FA">
        <w:rPr>
          <w:rFonts w:cs="Arial"/>
        </w:rPr>
        <w:t xml:space="preserve"> and peer assessment </w:t>
      </w:r>
      <w:sdt>
        <w:sdtPr>
          <w:rPr>
            <w:rFonts w:cs="Arial"/>
          </w:rPr>
          <w:id w:val="1112400743"/>
          <w:citation/>
        </w:sdtPr>
        <w:sdtEndPr/>
        <w:sdtContent>
          <w:r w:rsidRPr="005621FA">
            <w:rPr>
              <w:rFonts w:cs="Arial"/>
            </w:rPr>
            <w:fldChar w:fldCharType="begin"/>
          </w:r>
          <w:r w:rsidRPr="005621FA">
            <w:rPr>
              <w:rFonts w:cs="Arial"/>
            </w:rPr>
            <w:instrText xml:space="preserve"> CITATION Bou141 \l 2057 </w:instrText>
          </w:r>
          <w:r w:rsidRPr="005621FA">
            <w:rPr>
              <w:rFonts w:cs="Arial"/>
            </w:rPr>
            <w:fldChar w:fldCharType="separate"/>
          </w:r>
          <w:r w:rsidRPr="005621FA">
            <w:rPr>
              <w:rFonts w:eastAsiaTheme="minorHAnsi" w:cs="Arial"/>
              <w:noProof/>
            </w:rPr>
            <w:t>(Boud, 2014)</w:t>
          </w:r>
          <w:r w:rsidRPr="005621FA">
            <w:rPr>
              <w:rFonts w:cs="Arial"/>
            </w:rPr>
            <w:fldChar w:fldCharType="end"/>
          </w:r>
        </w:sdtContent>
      </w:sdt>
      <w:r w:rsidRPr="005621FA">
        <w:rPr>
          <w:rFonts w:cs="Arial"/>
        </w:rPr>
        <w:t xml:space="preserve">. </w:t>
      </w:r>
    </w:p>
    <w:p w14:paraId="59ABD5AE" w14:textId="77777777" w:rsidR="0048567A" w:rsidRPr="005621FA" w:rsidRDefault="0048567A" w:rsidP="005621FA">
      <w:pPr>
        <w:pStyle w:val="AssignBody"/>
        <w:rPr>
          <w:rFonts w:cs="Arial"/>
        </w:rPr>
      </w:pPr>
    </w:p>
    <w:p w14:paraId="5459BFE3" w14:textId="1F33ABB3" w:rsidR="00CD1435" w:rsidRPr="005621FA" w:rsidRDefault="0048567A" w:rsidP="005621FA">
      <w:pPr>
        <w:pStyle w:val="AssignBody"/>
        <w:rPr>
          <w:rFonts w:cs="Arial"/>
          <w:color w:val="000000" w:themeColor="text1"/>
        </w:rPr>
      </w:pPr>
      <w:r w:rsidRPr="005621FA">
        <w:rPr>
          <w:rFonts w:cs="Arial"/>
        </w:rPr>
        <w:t>British educationalist Dylan Black, a fervent believer in assessment, solidifies this highlighting that self and peer assessment allows learners to take ownership of their learning, consequently promoting pupil independence</w:t>
      </w:r>
      <w:r w:rsidRPr="005621FA">
        <w:rPr>
          <w:rFonts w:cs="Arial"/>
          <w:color w:val="000000" w:themeColor="text1"/>
        </w:rPr>
        <w:t xml:space="preserve"> </w:t>
      </w:r>
      <w:sdt>
        <w:sdtPr>
          <w:rPr>
            <w:rFonts w:cs="Arial"/>
            <w:color w:val="000000" w:themeColor="text1"/>
          </w:rPr>
          <w:id w:val="1560825963"/>
          <w:citation/>
        </w:sdtPr>
        <w:sdtEndPr/>
        <w:sdtContent>
          <w:r w:rsidRPr="005621FA">
            <w:rPr>
              <w:rFonts w:cs="Arial"/>
              <w:color w:val="000000" w:themeColor="text1"/>
            </w:rPr>
            <w:fldChar w:fldCharType="begin"/>
          </w:r>
          <w:r w:rsidRPr="005621FA">
            <w:rPr>
              <w:rFonts w:cs="Arial"/>
              <w:color w:val="000000" w:themeColor="text1"/>
            </w:rPr>
            <w:instrText xml:space="preserve">CITATION Wil \l 2057 </w:instrText>
          </w:r>
          <w:r w:rsidRPr="005621FA">
            <w:rPr>
              <w:rFonts w:cs="Arial"/>
              <w:color w:val="000000" w:themeColor="text1"/>
            </w:rPr>
            <w:fldChar w:fldCharType="separate"/>
          </w:r>
          <w:r w:rsidRPr="005621FA">
            <w:rPr>
              <w:rFonts w:cs="Arial"/>
              <w:noProof/>
              <w:color w:val="000000" w:themeColor="text1"/>
            </w:rPr>
            <w:t>(Wiliam &amp; Black, 2006)</w:t>
          </w:r>
          <w:r w:rsidRPr="005621FA">
            <w:rPr>
              <w:rFonts w:cs="Arial"/>
              <w:color w:val="000000" w:themeColor="text1"/>
            </w:rPr>
            <w:fldChar w:fldCharType="end"/>
          </w:r>
        </w:sdtContent>
      </w:sdt>
      <w:r w:rsidRPr="005621FA">
        <w:rPr>
          <w:rFonts w:cs="Arial"/>
          <w:color w:val="000000" w:themeColor="text1"/>
        </w:rPr>
        <w:t xml:space="preserve">. Hattie and Timperley (2016) similarly emphasise the benefits of self and peer assessment, noting that it can lead to a positive attitude towards independent learning, acknowledging that learners who take responsibility for their learning become autonomous learners </w:t>
      </w:r>
      <w:sdt>
        <w:sdtPr>
          <w:rPr>
            <w:rFonts w:cs="Arial"/>
            <w:color w:val="000000" w:themeColor="text1"/>
          </w:rPr>
          <w:id w:val="1836491667"/>
          <w:citation/>
        </w:sdtPr>
        <w:sdtEndPr/>
        <w:sdtContent>
          <w:r w:rsidRPr="005621FA">
            <w:rPr>
              <w:rFonts w:cs="Arial"/>
              <w:color w:val="000000" w:themeColor="text1"/>
            </w:rPr>
            <w:fldChar w:fldCharType="begin"/>
          </w:r>
          <w:r w:rsidRPr="005621FA">
            <w:rPr>
              <w:rFonts w:cs="Arial"/>
              <w:color w:val="000000" w:themeColor="text1"/>
            </w:rPr>
            <w:instrText xml:space="preserve"> CITATION Wil05 \l 2057 </w:instrText>
          </w:r>
          <w:r w:rsidRPr="005621FA">
            <w:rPr>
              <w:rFonts w:cs="Arial"/>
              <w:color w:val="000000" w:themeColor="text1"/>
            </w:rPr>
            <w:fldChar w:fldCharType="separate"/>
          </w:r>
          <w:r w:rsidRPr="005621FA">
            <w:rPr>
              <w:rFonts w:eastAsiaTheme="minorHAnsi" w:cs="Arial"/>
              <w:noProof/>
              <w:color w:val="000000" w:themeColor="text1"/>
            </w:rPr>
            <w:t>(Wiliam &amp; Lee, 2005)</w:t>
          </w:r>
          <w:r w:rsidRPr="005621FA">
            <w:rPr>
              <w:rFonts w:cs="Arial"/>
              <w:color w:val="000000" w:themeColor="text1"/>
            </w:rPr>
            <w:fldChar w:fldCharType="end"/>
          </w:r>
        </w:sdtContent>
      </w:sdt>
      <w:r w:rsidRPr="005621FA">
        <w:rPr>
          <w:rFonts w:cs="Arial"/>
          <w:color w:val="000000" w:themeColor="text1"/>
        </w:rPr>
        <w:t xml:space="preserve">. </w:t>
      </w:r>
      <w:r w:rsidRPr="005621FA">
        <w:rPr>
          <w:rFonts w:cs="Arial"/>
        </w:rPr>
        <w:t xml:space="preserve">The perception of empowering pupil independence through the correct use of assessment aligns with the Welsh Government’s vision of encouraging learners to become individuals </w:t>
      </w:r>
      <w:r w:rsidRPr="005621FA">
        <w:rPr>
          <w:rFonts w:cs="Arial"/>
        </w:rPr>
        <w:lastRenderedPageBreak/>
        <w:t xml:space="preserve">who exhibit self-confidence and can manage everyday life independently (Estyn, 2018; Welsh Government, 2022), complimenting the research question of exploring how learners are supported to become healthy, confident individuals through developing pupil independence. </w:t>
      </w:r>
    </w:p>
    <w:p w14:paraId="1C4EC713" w14:textId="77777777" w:rsidR="0048567A" w:rsidRPr="005621FA" w:rsidRDefault="0048567A" w:rsidP="005621FA">
      <w:pPr>
        <w:pStyle w:val="AssignBody"/>
        <w:rPr>
          <w:rFonts w:cs="Arial"/>
          <w:color w:val="000000" w:themeColor="text1"/>
        </w:rPr>
      </w:pPr>
    </w:p>
    <w:p w14:paraId="393E2FA9" w14:textId="07D74E4A" w:rsidR="00D03C3E" w:rsidRPr="005621FA" w:rsidRDefault="00CF2CBA" w:rsidP="005621FA">
      <w:pPr>
        <w:pStyle w:val="AssignBody"/>
        <w:rPr>
          <w:rFonts w:cs="Arial"/>
        </w:rPr>
      </w:pPr>
      <w:r w:rsidRPr="005621FA">
        <w:rPr>
          <w:rFonts w:cs="Arial"/>
        </w:rPr>
        <w:t xml:space="preserve">A common theme emerges </w:t>
      </w:r>
      <w:r w:rsidR="00FE35B9" w:rsidRPr="005621FA">
        <w:rPr>
          <w:rFonts w:cs="Arial"/>
        </w:rPr>
        <w:t xml:space="preserve">in literature </w:t>
      </w:r>
      <w:r w:rsidRPr="005621FA">
        <w:rPr>
          <w:rFonts w:cs="Arial"/>
        </w:rPr>
        <w:t xml:space="preserve">when reviewing the relationship between pupil independence and instructional </w:t>
      </w:r>
      <w:r w:rsidR="00B74694" w:rsidRPr="005621FA">
        <w:rPr>
          <w:rFonts w:cs="Arial"/>
        </w:rPr>
        <w:t>practice</w:t>
      </w:r>
      <w:r w:rsidR="00FE35B9" w:rsidRPr="005621FA">
        <w:rPr>
          <w:rFonts w:cs="Arial"/>
        </w:rPr>
        <w:t xml:space="preserve"> suggesting that pupil independence extends beyond pupils working alone, emphasising the </w:t>
      </w:r>
      <w:r w:rsidR="00724127" w:rsidRPr="005621FA">
        <w:rPr>
          <w:rFonts w:cs="Arial"/>
        </w:rPr>
        <w:t xml:space="preserve">crucial role that practitioners play in enabling and supporting independent learning </w:t>
      </w:r>
      <w:r w:rsidR="005406CB" w:rsidRPr="005621FA">
        <w:rPr>
          <w:rFonts w:cs="Arial"/>
        </w:rPr>
        <w:t>(</w:t>
      </w:r>
      <w:r w:rsidR="00B245BE" w:rsidRPr="005621FA">
        <w:rPr>
          <w:rFonts w:cs="Arial"/>
        </w:rPr>
        <w:t>Moore, 20</w:t>
      </w:r>
      <w:r w:rsidR="005406CB" w:rsidRPr="005621FA">
        <w:rPr>
          <w:rFonts w:cs="Arial"/>
        </w:rPr>
        <w:t>1</w:t>
      </w:r>
      <w:r w:rsidR="00B245BE" w:rsidRPr="005621FA">
        <w:rPr>
          <w:rFonts w:cs="Arial"/>
        </w:rPr>
        <w:t xml:space="preserve">3; </w:t>
      </w:r>
      <w:r w:rsidR="00724127" w:rsidRPr="005621FA">
        <w:rPr>
          <w:rFonts w:cs="Arial"/>
        </w:rPr>
        <w:t>Anstee, 20</w:t>
      </w:r>
      <w:r w:rsidR="005406CB" w:rsidRPr="005621FA">
        <w:rPr>
          <w:rFonts w:cs="Arial"/>
        </w:rPr>
        <w:t>1</w:t>
      </w:r>
      <w:r w:rsidR="00724127" w:rsidRPr="005621FA">
        <w:rPr>
          <w:rFonts w:cs="Arial"/>
        </w:rPr>
        <w:t>5; Dweck, 2017</w:t>
      </w:r>
      <w:r w:rsidR="00B245BE" w:rsidRPr="005621FA">
        <w:rPr>
          <w:rFonts w:cs="Arial"/>
        </w:rPr>
        <w:t xml:space="preserve">). </w:t>
      </w:r>
      <w:r w:rsidR="005406CB" w:rsidRPr="005621FA">
        <w:rPr>
          <w:rFonts w:cs="Arial"/>
        </w:rPr>
        <w:t xml:space="preserve">Moore (2013) </w:t>
      </w:r>
      <w:r w:rsidR="00E05990" w:rsidRPr="005621FA">
        <w:rPr>
          <w:rFonts w:cs="Arial"/>
        </w:rPr>
        <w:t xml:space="preserve">alludes that pupil independence is not a form of learning that occurs </w:t>
      </w:r>
      <w:r w:rsidR="00B75A5A" w:rsidRPr="005621FA">
        <w:rPr>
          <w:rFonts w:cs="Arial"/>
        </w:rPr>
        <w:t xml:space="preserve">in isolation, </w:t>
      </w:r>
      <w:r w:rsidR="00164E12" w:rsidRPr="005621FA">
        <w:rPr>
          <w:rFonts w:cs="Arial"/>
        </w:rPr>
        <w:t xml:space="preserve">but contrariwise one that takes place collaboratively with the support and guidance of teachers. </w:t>
      </w:r>
      <w:r w:rsidR="009511EC" w:rsidRPr="005621FA">
        <w:rPr>
          <w:rFonts w:cs="Arial"/>
        </w:rPr>
        <w:t>This is corroborated by Anstee (2015) who acknowledge</w:t>
      </w:r>
      <w:r w:rsidR="00FF0F3B">
        <w:rPr>
          <w:rFonts w:cs="Arial"/>
        </w:rPr>
        <w:t>s</w:t>
      </w:r>
      <w:r w:rsidR="009511EC" w:rsidRPr="005621FA">
        <w:rPr>
          <w:rFonts w:cs="Arial"/>
        </w:rPr>
        <w:t xml:space="preserve"> the practitioner as the facilitator of independent learning, </w:t>
      </w:r>
      <w:r w:rsidR="005A1B5A" w:rsidRPr="005621FA">
        <w:rPr>
          <w:rFonts w:cs="Arial"/>
        </w:rPr>
        <w:t>drawing upon Lev Vygotsky’s sociocultural theory</w:t>
      </w:r>
      <w:r w:rsidR="005A1B5A" w:rsidRPr="005621FA">
        <w:rPr>
          <w:rFonts w:cs="Arial"/>
          <w:color w:val="000000" w:themeColor="text1"/>
        </w:rPr>
        <w:t xml:space="preserve"> to highlight the importance of social interaction and teacher support in </w:t>
      </w:r>
      <w:r w:rsidR="00285D0C" w:rsidRPr="005621FA">
        <w:rPr>
          <w:rFonts w:cs="Arial"/>
          <w:color w:val="000000" w:themeColor="text1"/>
        </w:rPr>
        <w:t xml:space="preserve">developing </w:t>
      </w:r>
      <w:r w:rsidR="005A1B5A" w:rsidRPr="005621FA">
        <w:rPr>
          <w:rFonts w:cs="Arial"/>
          <w:color w:val="000000" w:themeColor="text1"/>
        </w:rPr>
        <w:t xml:space="preserve">cognitive development </w:t>
      </w:r>
      <w:r w:rsidR="00285D0C" w:rsidRPr="005621FA">
        <w:rPr>
          <w:rFonts w:cs="Arial"/>
          <w:color w:val="000000" w:themeColor="text1"/>
        </w:rPr>
        <w:t>and</w:t>
      </w:r>
      <w:r w:rsidR="005A1B5A" w:rsidRPr="005621FA">
        <w:rPr>
          <w:rFonts w:cs="Arial"/>
          <w:color w:val="000000" w:themeColor="text1"/>
        </w:rPr>
        <w:t xml:space="preserve"> pupil independence. </w:t>
      </w:r>
      <w:r w:rsidR="00165F63" w:rsidRPr="005621FA">
        <w:rPr>
          <w:rFonts w:cs="Arial"/>
          <w:color w:val="000000" w:themeColor="text1"/>
        </w:rPr>
        <w:t xml:space="preserve"> </w:t>
      </w:r>
      <w:r w:rsidR="005A1B5A" w:rsidRPr="005621FA">
        <w:rPr>
          <w:rFonts w:cs="Arial"/>
          <w:color w:val="000000" w:themeColor="text1"/>
        </w:rPr>
        <w:t xml:space="preserve">Vygotsky </w:t>
      </w:r>
      <w:r w:rsidR="001B23C3" w:rsidRPr="005621FA">
        <w:rPr>
          <w:rFonts w:cs="Arial"/>
          <w:color w:val="000000" w:themeColor="text1"/>
        </w:rPr>
        <w:t xml:space="preserve">proposed that </w:t>
      </w:r>
      <w:r w:rsidR="001B23C3" w:rsidRPr="005621FA">
        <w:rPr>
          <w:rFonts w:cs="Arial"/>
        </w:rPr>
        <w:t xml:space="preserve">learners construct knowledge through social interactions and collaborative problem-solving with more knowledgeable others, such as teachers </w:t>
      </w:r>
      <w:sdt>
        <w:sdtPr>
          <w:rPr>
            <w:rFonts w:cs="Arial"/>
          </w:rPr>
          <w:id w:val="759560534"/>
          <w:citation/>
        </w:sdtPr>
        <w:sdtEndPr/>
        <w:sdtContent>
          <w:r w:rsidR="001B23C3" w:rsidRPr="005621FA">
            <w:rPr>
              <w:rFonts w:cs="Arial"/>
            </w:rPr>
            <w:fldChar w:fldCharType="begin"/>
          </w:r>
          <w:r w:rsidR="001B23C3" w:rsidRPr="005621FA">
            <w:rPr>
              <w:rFonts w:cs="Arial"/>
            </w:rPr>
            <w:instrText xml:space="preserve"> CITATION Vyg781 \l 2057 </w:instrText>
          </w:r>
          <w:r w:rsidR="001B23C3" w:rsidRPr="005621FA">
            <w:rPr>
              <w:rFonts w:cs="Arial"/>
            </w:rPr>
            <w:fldChar w:fldCharType="separate"/>
          </w:r>
          <w:r w:rsidR="001B23C3" w:rsidRPr="005621FA">
            <w:rPr>
              <w:rFonts w:eastAsiaTheme="minorHAnsi" w:cs="Arial"/>
              <w:noProof/>
            </w:rPr>
            <w:t>(Vygotsky, 1978)</w:t>
          </w:r>
          <w:r w:rsidR="001B23C3" w:rsidRPr="005621FA">
            <w:rPr>
              <w:rFonts w:cs="Arial"/>
            </w:rPr>
            <w:fldChar w:fldCharType="end"/>
          </w:r>
        </w:sdtContent>
      </w:sdt>
      <w:r w:rsidR="001B23C3" w:rsidRPr="005621FA">
        <w:rPr>
          <w:rFonts w:cs="Arial"/>
        </w:rPr>
        <w:t xml:space="preserve">. </w:t>
      </w:r>
      <w:r w:rsidR="00D72A80" w:rsidRPr="005621FA">
        <w:rPr>
          <w:rFonts w:cs="Arial"/>
        </w:rPr>
        <w:t>S</w:t>
      </w:r>
      <w:r w:rsidR="00485E51" w:rsidRPr="005621FA">
        <w:rPr>
          <w:rFonts w:cs="Arial"/>
        </w:rPr>
        <w:t>alutation must be given</w:t>
      </w:r>
      <w:r w:rsidR="00A7207F" w:rsidRPr="005621FA">
        <w:rPr>
          <w:rFonts w:cs="Arial"/>
        </w:rPr>
        <w:t xml:space="preserve"> here</w:t>
      </w:r>
      <w:r w:rsidR="00485E51" w:rsidRPr="005621FA">
        <w:rPr>
          <w:rFonts w:cs="Arial"/>
        </w:rPr>
        <w:t xml:space="preserve"> to the counterargument </w:t>
      </w:r>
      <w:r w:rsidR="00D72A80" w:rsidRPr="005621FA">
        <w:rPr>
          <w:rFonts w:cs="Arial"/>
        </w:rPr>
        <w:t xml:space="preserve">that </w:t>
      </w:r>
      <w:r w:rsidR="00A7207F" w:rsidRPr="005621FA">
        <w:rPr>
          <w:rFonts w:cs="Arial"/>
        </w:rPr>
        <w:t>suggests how an excessive amount of teacher guidance may hinder the development of pupil independence</w:t>
      </w:r>
      <w:r w:rsidR="002854CB" w:rsidRPr="005621FA">
        <w:rPr>
          <w:rFonts w:cs="Arial"/>
        </w:rPr>
        <w:t xml:space="preserve"> </w:t>
      </w:r>
      <w:sdt>
        <w:sdtPr>
          <w:rPr>
            <w:rFonts w:cs="Arial"/>
          </w:rPr>
          <w:id w:val="1739208382"/>
          <w:citation/>
        </w:sdtPr>
        <w:sdtEndPr/>
        <w:sdtContent>
          <w:r w:rsidR="002854CB" w:rsidRPr="005621FA">
            <w:rPr>
              <w:rFonts w:cs="Arial"/>
            </w:rPr>
            <w:fldChar w:fldCharType="begin"/>
          </w:r>
          <w:r w:rsidR="002854CB" w:rsidRPr="005621FA">
            <w:rPr>
              <w:rFonts w:cs="Arial"/>
            </w:rPr>
            <w:instrText xml:space="preserve"> CITATION Loc17 \l 2057 </w:instrText>
          </w:r>
          <w:r w:rsidR="002854CB" w:rsidRPr="005621FA">
            <w:rPr>
              <w:rFonts w:cs="Arial"/>
            </w:rPr>
            <w:fldChar w:fldCharType="separate"/>
          </w:r>
          <w:r w:rsidR="002854CB" w:rsidRPr="005621FA">
            <w:rPr>
              <w:rFonts w:eastAsiaTheme="minorHAnsi" w:cs="Arial"/>
              <w:noProof/>
            </w:rPr>
            <w:t>(Lockhorst, et al., 2017)</w:t>
          </w:r>
          <w:r w:rsidR="002854CB" w:rsidRPr="005621FA">
            <w:rPr>
              <w:rFonts w:cs="Arial"/>
            </w:rPr>
            <w:fldChar w:fldCharType="end"/>
          </w:r>
        </w:sdtContent>
      </w:sdt>
      <w:r w:rsidR="002854CB" w:rsidRPr="005621FA">
        <w:rPr>
          <w:rFonts w:cs="Arial"/>
        </w:rPr>
        <w:t xml:space="preserve">, </w:t>
      </w:r>
      <w:r w:rsidR="00A7207F" w:rsidRPr="005621FA">
        <w:rPr>
          <w:rFonts w:cs="Arial"/>
        </w:rPr>
        <w:t xml:space="preserve">potentially limiting the ability for learners to become confident in their own abilities </w:t>
      </w:r>
      <w:r w:rsidR="00B337FC" w:rsidRPr="005621FA">
        <w:rPr>
          <w:rFonts w:cs="Arial"/>
        </w:rPr>
        <w:t>as they become reliant on the presence of a teacher during independent tasks</w:t>
      </w:r>
      <w:r w:rsidR="002854CB" w:rsidRPr="005621FA">
        <w:rPr>
          <w:rFonts w:cs="Arial"/>
        </w:rPr>
        <w:t>.</w:t>
      </w:r>
      <w:r w:rsidR="00D72A80" w:rsidRPr="005621FA">
        <w:rPr>
          <w:rFonts w:cs="Arial"/>
        </w:rPr>
        <w:t xml:space="preserve"> </w:t>
      </w:r>
    </w:p>
    <w:p w14:paraId="4CE06965" w14:textId="5A883982" w:rsidR="00B337FC" w:rsidRPr="005621FA" w:rsidRDefault="00B337FC" w:rsidP="005621FA">
      <w:pPr>
        <w:pStyle w:val="AssignBody"/>
        <w:rPr>
          <w:rFonts w:cs="Arial"/>
        </w:rPr>
      </w:pPr>
    </w:p>
    <w:p w14:paraId="0FB981D2" w14:textId="6C20F898" w:rsidR="00EF43D3" w:rsidRPr="005621FA" w:rsidRDefault="00042DEB" w:rsidP="005621FA">
      <w:pPr>
        <w:pStyle w:val="AssignBody"/>
        <w:rPr>
          <w:rFonts w:cs="Arial"/>
        </w:rPr>
      </w:pPr>
      <w:r w:rsidRPr="005621FA">
        <w:rPr>
          <w:rFonts w:cs="Arial"/>
        </w:rPr>
        <w:t>An alternative approach to developing pupil independence is to prioritise the cultivation of positive morale and a supportive classroom environment (</w:t>
      </w:r>
      <w:r w:rsidR="003E7DC2" w:rsidRPr="005621FA">
        <w:rPr>
          <w:rFonts w:cs="Arial"/>
        </w:rPr>
        <w:t xml:space="preserve">Biesta, 2015; Dweck, 2017). </w:t>
      </w:r>
      <w:r w:rsidR="00E47E59" w:rsidRPr="005621FA">
        <w:rPr>
          <w:rFonts w:cs="Arial"/>
        </w:rPr>
        <w:t xml:space="preserve">There is a clear consensus in literature that </w:t>
      </w:r>
      <w:r w:rsidR="00532591" w:rsidRPr="005621FA">
        <w:rPr>
          <w:rFonts w:cs="Arial"/>
        </w:rPr>
        <w:t>supports the notion that when learners feel comfortable and confident in their learning environment, they are more likely to take risks (Benson, 2000; Biesta, 2015)</w:t>
      </w:r>
      <w:r w:rsidR="009424FE" w:rsidRPr="005621FA">
        <w:rPr>
          <w:rFonts w:cs="Arial"/>
        </w:rPr>
        <w:t xml:space="preserve">. In such an environment, learners are more likely to take </w:t>
      </w:r>
      <w:r w:rsidR="00BF3FC4" w:rsidRPr="005621FA">
        <w:rPr>
          <w:rFonts w:cs="Arial"/>
        </w:rPr>
        <w:t>responsibility for their own learning, thus developing their pupil independence</w:t>
      </w:r>
      <w:r w:rsidR="000B1131" w:rsidRPr="005621FA">
        <w:rPr>
          <w:rFonts w:cs="Arial"/>
        </w:rPr>
        <w:t xml:space="preserve">. </w:t>
      </w:r>
      <w:r w:rsidR="00193488" w:rsidRPr="005621FA">
        <w:rPr>
          <w:rFonts w:cs="Arial"/>
        </w:rPr>
        <w:t xml:space="preserve">It is further </w:t>
      </w:r>
      <w:r w:rsidR="006C49FE" w:rsidRPr="005621FA">
        <w:rPr>
          <w:rFonts w:cs="Arial"/>
        </w:rPr>
        <w:t>highlighted</w:t>
      </w:r>
      <w:r w:rsidR="000B1131" w:rsidRPr="005621FA">
        <w:rPr>
          <w:rFonts w:cs="Arial"/>
        </w:rPr>
        <w:t xml:space="preserve"> that as learners develop greater confidence in their ability to learn</w:t>
      </w:r>
      <w:r w:rsidR="00A4085D" w:rsidRPr="005621FA">
        <w:rPr>
          <w:rFonts w:cs="Arial"/>
        </w:rPr>
        <w:t xml:space="preserve"> they begin to take more responsibility for their learning</w:t>
      </w:r>
      <w:r w:rsidR="000B1131" w:rsidRPr="005621FA">
        <w:rPr>
          <w:rFonts w:cs="Arial"/>
        </w:rPr>
        <w:t>, becom</w:t>
      </w:r>
      <w:r w:rsidR="00A4085D" w:rsidRPr="005621FA">
        <w:rPr>
          <w:rFonts w:cs="Arial"/>
        </w:rPr>
        <w:t>ing</w:t>
      </w:r>
      <w:r w:rsidR="000B1131" w:rsidRPr="005621FA">
        <w:rPr>
          <w:rFonts w:cs="Arial"/>
        </w:rPr>
        <w:t xml:space="preserve"> more autonomous </w:t>
      </w:r>
      <w:sdt>
        <w:sdtPr>
          <w:rPr>
            <w:rFonts w:cs="Arial"/>
          </w:rPr>
          <w:id w:val="1035926416"/>
          <w:citation/>
        </w:sdtPr>
        <w:sdtEndPr/>
        <w:sdtContent>
          <w:r w:rsidR="00193488" w:rsidRPr="005621FA">
            <w:rPr>
              <w:rFonts w:cs="Arial"/>
            </w:rPr>
            <w:fldChar w:fldCharType="begin"/>
          </w:r>
          <w:r w:rsidR="00193488" w:rsidRPr="005621FA">
            <w:rPr>
              <w:rFonts w:cs="Arial"/>
            </w:rPr>
            <w:instrText xml:space="preserve"> CITATION Mar171 \l 2057 </w:instrText>
          </w:r>
          <w:r w:rsidR="00193488" w:rsidRPr="005621FA">
            <w:rPr>
              <w:rFonts w:cs="Arial"/>
            </w:rPr>
            <w:fldChar w:fldCharType="separate"/>
          </w:r>
          <w:r w:rsidR="00193488" w:rsidRPr="005621FA">
            <w:rPr>
              <w:rFonts w:eastAsiaTheme="minorHAnsi" w:cs="Arial"/>
              <w:noProof/>
            </w:rPr>
            <w:t>(Marzano, 2017)</w:t>
          </w:r>
          <w:r w:rsidR="00193488" w:rsidRPr="005621FA">
            <w:rPr>
              <w:rFonts w:cs="Arial"/>
            </w:rPr>
            <w:fldChar w:fldCharType="end"/>
          </w:r>
        </w:sdtContent>
      </w:sdt>
      <w:r w:rsidR="00193488" w:rsidRPr="005621FA">
        <w:rPr>
          <w:rFonts w:cs="Arial"/>
        </w:rPr>
        <w:t xml:space="preserve">. </w:t>
      </w:r>
      <w:r w:rsidR="000B1131" w:rsidRPr="005621FA">
        <w:rPr>
          <w:rFonts w:cs="Arial"/>
        </w:rPr>
        <w:t xml:space="preserve"> </w:t>
      </w:r>
      <w:r w:rsidR="00A4085D" w:rsidRPr="005621FA">
        <w:rPr>
          <w:rFonts w:cs="Arial"/>
        </w:rPr>
        <w:t xml:space="preserve">While this aspect of the literature review may be subject to scrutiny due to its reliance on </w:t>
      </w:r>
      <w:r w:rsidR="006C49FE" w:rsidRPr="005621FA">
        <w:rPr>
          <w:rFonts w:cs="Arial"/>
        </w:rPr>
        <w:t>small-scale studies</w:t>
      </w:r>
      <w:r w:rsidR="000E3AB3" w:rsidRPr="005621FA">
        <w:rPr>
          <w:rFonts w:cs="Arial"/>
        </w:rPr>
        <w:t xml:space="preserve"> </w:t>
      </w:r>
      <w:sdt>
        <w:sdtPr>
          <w:rPr>
            <w:rFonts w:cs="Arial"/>
          </w:rPr>
          <w:id w:val="-1702160486"/>
          <w:citation/>
        </w:sdtPr>
        <w:sdtEndPr/>
        <w:sdtContent>
          <w:r w:rsidR="000E3AB3" w:rsidRPr="005621FA">
            <w:rPr>
              <w:rFonts w:cs="Arial"/>
            </w:rPr>
            <w:fldChar w:fldCharType="begin"/>
          </w:r>
          <w:r w:rsidR="000E3AB3" w:rsidRPr="005621FA">
            <w:rPr>
              <w:rFonts w:cs="Arial"/>
            </w:rPr>
            <w:instrText xml:space="preserve"> CITATION Bro07 \l 2057 </w:instrText>
          </w:r>
          <w:r w:rsidR="000E3AB3" w:rsidRPr="005621FA">
            <w:rPr>
              <w:rFonts w:cs="Arial"/>
            </w:rPr>
            <w:fldChar w:fldCharType="separate"/>
          </w:r>
          <w:r w:rsidR="000E3AB3" w:rsidRPr="005621FA">
            <w:rPr>
              <w:rFonts w:eastAsiaTheme="minorHAnsi" w:cs="Arial"/>
              <w:noProof/>
            </w:rPr>
            <w:t>(Broekkamp &amp; Van Hout-Wolters, 2007)</w:t>
          </w:r>
          <w:r w:rsidR="000E3AB3" w:rsidRPr="005621FA">
            <w:rPr>
              <w:rFonts w:cs="Arial"/>
            </w:rPr>
            <w:fldChar w:fldCharType="end"/>
          </w:r>
        </w:sdtContent>
      </w:sdt>
      <w:r w:rsidR="006C49FE" w:rsidRPr="005621FA">
        <w:rPr>
          <w:rFonts w:cs="Arial"/>
        </w:rPr>
        <w:t xml:space="preserve">, it should be emphasised that credible educational sources </w:t>
      </w:r>
      <w:r w:rsidR="00AB6297" w:rsidRPr="005621FA">
        <w:rPr>
          <w:rFonts w:cs="Arial"/>
        </w:rPr>
        <w:t xml:space="preserve">share a similar view, </w:t>
      </w:r>
      <w:r w:rsidR="00EC7802" w:rsidRPr="005621FA">
        <w:rPr>
          <w:rFonts w:cs="Arial"/>
        </w:rPr>
        <w:t xml:space="preserve">concluding </w:t>
      </w:r>
      <w:r w:rsidR="00115348" w:rsidRPr="005621FA">
        <w:rPr>
          <w:rFonts w:cs="Arial"/>
        </w:rPr>
        <w:t>that strategies that regulate motivation in the classroom can contribute positively to the development of pupil independence (Estyn, 20</w:t>
      </w:r>
      <w:r w:rsidR="00EF45B0" w:rsidRPr="005621FA">
        <w:rPr>
          <w:rFonts w:cs="Arial"/>
        </w:rPr>
        <w:t>18</w:t>
      </w:r>
      <w:r w:rsidR="00115348" w:rsidRPr="005621FA">
        <w:rPr>
          <w:rFonts w:cs="Arial"/>
        </w:rPr>
        <w:t xml:space="preserve">; Education Endowment Foundation, 2022). </w:t>
      </w:r>
    </w:p>
    <w:p w14:paraId="47EDDF59" w14:textId="77777777" w:rsidR="002C038E" w:rsidRPr="005621FA" w:rsidRDefault="002C038E" w:rsidP="005621FA">
      <w:pPr>
        <w:pStyle w:val="AssignBody"/>
        <w:rPr>
          <w:rFonts w:cs="Arial"/>
        </w:rPr>
      </w:pPr>
    </w:p>
    <w:p w14:paraId="3BF693C8" w14:textId="40291385" w:rsidR="0067351A" w:rsidRPr="005621FA" w:rsidRDefault="000E2B2E" w:rsidP="005621FA">
      <w:pPr>
        <w:pStyle w:val="AssignBody"/>
        <w:rPr>
          <w:rFonts w:cs="Arial"/>
        </w:rPr>
      </w:pPr>
      <w:r w:rsidRPr="005621FA">
        <w:rPr>
          <w:rFonts w:cs="Arial"/>
        </w:rPr>
        <w:lastRenderedPageBreak/>
        <w:t xml:space="preserve">A further consensus in literature acknowledges the significance of positive morale for learners, not only as a tool to improve the overall classroom environment but also as a means of enhancing the individual learner's motivation and sense of well-being (Dewey, 1938; </w:t>
      </w:r>
      <w:r w:rsidR="001D134E" w:rsidRPr="005621FA">
        <w:rPr>
          <w:rFonts w:cs="Arial"/>
        </w:rPr>
        <w:t xml:space="preserve">Moore, 2013; </w:t>
      </w:r>
      <w:r w:rsidR="001B2BE1" w:rsidRPr="005621FA">
        <w:rPr>
          <w:rFonts w:cs="Arial"/>
        </w:rPr>
        <w:t xml:space="preserve">Mozolev, 2020). </w:t>
      </w:r>
      <w:r w:rsidR="00AA5CDF" w:rsidRPr="005621FA">
        <w:rPr>
          <w:rFonts w:cs="Arial"/>
        </w:rPr>
        <w:t xml:space="preserve">Dewey believed that </w:t>
      </w:r>
      <w:r w:rsidR="00E431B9" w:rsidRPr="005621FA">
        <w:rPr>
          <w:rFonts w:cs="Arial"/>
        </w:rPr>
        <w:t xml:space="preserve">when a </w:t>
      </w:r>
      <w:r w:rsidR="00AB763C" w:rsidRPr="005621FA">
        <w:rPr>
          <w:rFonts w:cs="Arial"/>
        </w:rPr>
        <w:t>learner’s</w:t>
      </w:r>
      <w:r w:rsidR="00E431B9" w:rsidRPr="005621FA">
        <w:rPr>
          <w:rFonts w:cs="Arial"/>
        </w:rPr>
        <w:t xml:space="preserve"> well-being is supported</w:t>
      </w:r>
      <w:r w:rsidR="00AB763C" w:rsidRPr="005621FA">
        <w:rPr>
          <w:rFonts w:cs="Arial"/>
        </w:rPr>
        <w:t xml:space="preserve">, learners are encouraged to take risks and </w:t>
      </w:r>
      <w:r w:rsidR="001D4D0C" w:rsidRPr="005621FA">
        <w:rPr>
          <w:rFonts w:cs="Arial"/>
        </w:rPr>
        <w:t xml:space="preserve">experiment with their learning, </w:t>
      </w:r>
      <w:r w:rsidR="00AB763C" w:rsidRPr="005621FA">
        <w:rPr>
          <w:rFonts w:cs="Arial"/>
        </w:rPr>
        <w:t xml:space="preserve">becoming more independent. </w:t>
      </w:r>
      <w:r w:rsidR="00B82969" w:rsidRPr="005621FA">
        <w:rPr>
          <w:rFonts w:cs="Arial"/>
        </w:rPr>
        <w:t xml:space="preserve"> </w:t>
      </w:r>
      <w:r w:rsidR="00113AD3" w:rsidRPr="005621FA">
        <w:rPr>
          <w:rFonts w:cs="Arial"/>
        </w:rPr>
        <w:t>Grinsven (2009)</w:t>
      </w:r>
      <w:r w:rsidR="000D767D" w:rsidRPr="005621FA">
        <w:rPr>
          <w:rFonts w:cs="Arial"/>
        </w:rPr>
        <w:t xml:space="preserve"> and </w:t>
      </w:r>
      <w:r w:rsidR="00B82969" w:rsidRPr="005621FA">
        <w:rPr>
          <w:rFonts w:cs="Arial"/>
        </w:rPr>
        <w:t xml:space="preserve">Dweck (2017) </w:t>
      </w:r>
      <w:r w:rsidR="00585ED9" w:rsidRPr="005621FA">
        <w:rPr>
          <w:rFonts w:cs="Arial"/>
        </w:rPr>
        <w:t xml:space="preserve">concur Dewey’s view, advocating for an approach to education that is based around the experiences and interests of the learner, </w:t>
      </w:r>
      <w:r w:rsidR="00166A56" w:rsidRPr="005621FA">
        <w:rPr>
          <w:rFonts w:cs="Arial"/>
        </w:rPr>
        <w:t>where learners are encouraged to believe that their abilities can be developed through perseverance</w:t>
      </w:r>
      <w:r w:rsidR="00585ED9" w:rsidRPr="005621FA">
        <w:rPr>
          <w:rFonts w:cs="Arial"/>
        </w:rPr>
        <w:t xml:space="preserve">. </w:t>
      </w:r>
      <w:r w:rsidR="00113AD3" w:rsidRPr="005621FA">
        <w:rPr>
          <w:rFonts w:cs="Arial"/>
        </w:rPr>
        <w:t xml:space="preserve">In such a scenario, learners are more likely to </w:t>
      </w:r>
      <w:r w:rsidR="00EA3068" w:rsidRPr="005621FA">
        <w:rPr>
          <w:rFonts w:cs="Arial"/>
        </w:rPr>
        <w:t>take</w:t>
      </w:r>
      <w:r w:rsidR="00113AD3" w:rsidRPr="005621FA">
        <w:rPr>
          <w:rFonts w:cs="Arial"/>
        </w:rPr>
        <w:t xml:space="preserve"> ownership of their learning and become self-directed in the pursuit of progression. </w:t>
      </w:r>
      <w:r w:rsidR="00EC154B" w:rsidRPr="005621FA">
        <w:rPr>
          <w:rFonts w:cs="Arial"/>
        </w:rPr>
        <w:t xml:space="preserve">Grinsven stresses the importance of Bandura’s </w:t>
      </w:r>
      <w:r w:rsidR="00166A56" w:rsidRPr="005621FA">
        <w:rPr>
          <w:rFonts w:cs="Arial"/>
        </w:rPr>
        <w:t xml:space="preserve">social cognitive theory for self-regulation, </w:t>
      </w:r>
      <w:r w:rsidR="002C038E" w:rsidRPr="005621FA">
        <w:rPr>
          <w:rFonts w:cs="Arial"/>
        </w:rPr>
        <w:t xml:space="preserve">which argues that learners who have a strong belief in their own ability to success are more likely to be independent in their learning </w:t>
      </w:r>
      <w:sdt>
        <w:sdtPr>
          <w:rPr>
            <w:rFonts w:cs="Arial"/>
          </w:rPr>
          <w:id w:val="-1438047681"/>
          <w:citation/>
        </w:sdtPr>
        <w:sdtEndPr/>
        <w:sdtContent>
          <w:r w:rsidR="00C821C0" w:rsidRPr="005621FA">
            <w:rPr>
              <w:rFonts w:cs="Arial"/>
            </w:rPr>
            <w:fldChar w:fldCharType="begin"/>
          </w:r>
          <w:r w:rsidR="00C821C0" w:rsidRPr="005621FA">
            <w:rPr>
              <w:rFonts w:cs="Arial"/>
            </w:rPr>
            <w:instrText xml:space="preserve"> CITATION Ban89 \l 2057 </w:instrText>
          </w:r>
          <w:r w:rsidR="00C821C0" w:rsidRPr="005621FA">
            <w:rPr>
              <w:rFonts w:cs="Arial"/>
            </w:rPr>
            <w:fldChar w:fldCharType="separate"/>
          </w:r>
          <w:r w:rsidR="00C821C0" w:rsidRPr="005621FA">
            <w:rPr>
              <w:rFonts w:eastAsiaTheme="minorHAnsi" w:cs="Arial"/>
              <w:noProof/>
            </w:rPr>
            <w:t>(Bandura, 1989)</w:t>
          </w:r>
          <w:r w:rsidR="00C821C0" w:rsidRPr="005621FA">
            <w:rPr>
              <w:rFonts w:cs="Arial"/>
            </w:rPr>
            <w:fldChar w:fldCharType="end"/>
          </w:r>
        </w:sdtContent>
      </w:sdt>
      <w:r w:rsidR="002C038E" w:rsidRPr="005621FA">
        <w:rPr>
          <w:rFonts w:cs="Arial"/>
        </w:rPr>
        <w:t xml:space="preserve">. </w:t>
      </w:r>
      <w:r w:rsidR="00E45B81">
        <w:rPr>
          <w:rFonts w:cs="Arial"/>
        </w:rPr>
        <w:t>Though</w:t>
      </w:r>
      <w:r w:rsidR="009209B1" w:rsidRPr="005621FA">
        <w:rPr>
          <w:rFonts w:cs="Arial"/>
        </w:rPr>
        <w:t xml:space="preserve"> Bandura’s work </w:t>
      </w:r>
      <w:r w:rsidR="009F7115">
        <w:rPr>
          <w:rFonts w:cs="Arial"/>
        </w:rPr>
        <w:t xml:space="preserve">has </w:t>
      </w:r>
      <w:r w:rsidR="009209B1" w:rsidRPr="005621FA">
        <w:rPr>
          <w:rFonts w:cs="Arial"/>
        </w:rPr>
        <w:t>be</w:t>
      </w:r>
      <w:r w:rsidR="009F7115">
        <w:rPr>
          <w:rFonts w:cs="Arial"/>
        </w:rPr>
        <w:t xml:space="preserve">en </w:t>
      </w:r>
      <w:r w:rsidR="00806056" w:rsidRPr="005621FA">
        <w:rPr>
          <w:rFonts w:cs="Arial"/>
        </w:rPr>
        <w:t>questioned</w:t>
      </w:r>
      <w:r w:rsidR="0067351A" w:rsidRPr="005621FA">
        <w:rPr>
          <w:rFonts w:cs="Arial"/>
        </w:rPr>
        <w:t xml:space="preserve"> due to </w:t>
      </w:r>
      <w:r w:rsidR="00806056" w:rsidRPr="005621FA">
        <w:rPr>
          <w:rFonts w:cs="Arial"/>
        </w:rPr>
        <w:t>its</w:t>
      </w:r>
      <w:r w:rsidR="0067351A" w:rsidRPr="005621FA">
        <w:rPr>
          <w:rFonts w:cs="Arial"/>
        </w:rPr>
        <w:t xml:space="preserve"> lack of attention to </w:t>
      </w:r>
      <w:r w:rsidR="00806056" w:rsidRPr="005621FA">
        <w:rPr>
          <w:rFonts w:cs="Arial"/>
        </w:rPr>
        <w:t xml:space="preserve">the </w:t>
      </w:r>
      <w:r w:rsidR="0067351A" w:rsidRPr="005621FA">
        <w:rPr>
          <w:rFonts w:cs="Arial"/>
        </w:rPr>
        <w:t>context</w:t>
      </w:r>
      <w:r w:rsidR="00806056" w:rsidRPr="005621FA">
        <w:rPr>
          <w:rFonts w:cs="Arial"/>
        </w:rPr>
        <w:t xml:space="preserve"> of social influences on a learner’s ability to self-regulate </w:t>
      </w:r>
      <w:sdt>
        <w:sdtPr>
          <w:rPr>
            <w:rFonts w:cs="Arial"/>
          </w:rPr>
          <w:id w:val="491835346"/>
          <w:citation/>
        </w:sdtPr>
        <w:sdtEndPr/>
        <w:sdtContent>
          <w:r w:rsidR="0067351A" w:rsidRPr="005621FA">
            <w:rPr>
              <w:rFonts w:cs="Arial"/>
            </w:rPr>
            <w:fldChar w:fldCharType="begin"/>
          </w:r>
          <w:r w:rsidR="0067351A" w:rsidRPr="005621FA">
            <w:rPr>
              <w:rFonts w:cs="Arial"/>
            </w:rPr>
            <w:instrText xml:space="preserve"> CITATION Lin11 \l 2057 </w:instrText>
          </w:r>
          <w:r w:rsidR="0067351A" w:rsidRPr="005621FA">
            <w:rPr>
              <w:rFonts w:cs="Arial"/>
            </w:rPr>
            <w:fldChar w:fldCharType="separate"/>
          </w:r>
          <w:r w:rsidR="0067351A" w:rsidRPr="005621FA">
            <w:rPr>
              <w:rFonts w:eastAsiaTheme="minorHAnsi" w:cs="Arial"/>
              <w:noProof/>
            </w:rPr>
            <w:t>(Linnenbrink-Garcia &amp; Pekrun, 2011)</w:t>
          </w:r>
          <w:r w:rsidR="0067351A" w:rsidRPr="005621FA">
            <w:rPr>
              <w:rFonts w:cs="Arial"/>
            </w:rPr>
            <w:fldChar w:fldCharType="end"/>
          </w:r>
        </w:sdtContent>
      </w:sdt>
      <w:r w:rsidR="00806056" w:rsidRPr="005621FA">
        <w:rPr>
          <w:rFonts w:cs="Arial"/>
        </w:rPr>
        <w:t xml:space="preserve">, </w:t>
      </w:r>
      <w:r w:rsidR="008724BD" w:rsidRPr="005621FA">
        <w:rPr>
          <w:rFonts w:cs="Arial"/>
        </w:rPr>
        <w:t xml:space="preserve">his theory remains a highly influential framework for understanding pupil independence. </w:t>
      </w:r>
    </w:p>
    <w:p w14:paraId="44063852" w14:textId="77777777" w:rsidR="00EA3068" w:rsidRPr="005621FA" w:rsidRDefault="00EA3068" w:rsidP="005621FA">
      <w:pPr>
        <w:pStyle w:val="AssignBody"/>
        <w:rPr>
          <w:rFonts w:cs="Arial"/>
        </w:rPr>
      </w:pPr>
    </w:p>
    <w:p w14:paraId="75FB7585" w14:textId="6FE3F4EC" w:rsidR="000E158F" w:rsidRPr="005621FA" w:rsidRDefault="000231C2" w:rsidP="005621FA">
      <w:pPr>
        <w:pStyle w:val="AssignBody"/>
        <w:rPr>
          <w:rFonts w:cs="Arial"/>
        </w:rPr>
      </w:pPr>
      <w:r w:rsidRPr="005621FA">
        <w:rPr>
          <w:rFonts w:cs="Arial"/>
        </w:rPr>
        <w:t>Despite the growing evidence of the positive relationship between instructional practice and developing pupil independence</w:t>
      </w:r>
      <w:r w:rsidR="00352F39" w:rsidRPr="005621FA">
        <w:rPr>
          <w:rFonts w:cs="Arial"/>
        </w:rPr>
        <w:t xml:space="preserve"> (Benson, 2000; </w:t>
      </w:r>
      <w:r w:rsidR="00216ABB" w:rsidRPr="005621FA">
        <w:rPr>
          <w:rFonts w:cs="Arial"/>
        </w:rPr>
        <w:t>Boud</w:t>
      </w:r>
      <w:r w:rsidR="00877401" w:rsidRPr="005621FA">
        <w:rPr>
          <w:rFonts w:cs="Arial"/>
        </w:rPr>
        <w:t xml:space="preserve">, 2013; </w:t>
      </w:r>
      <w:r w:rsidR="000E158F" w:rsidRPr="005621FA">
        <w:rPr>
          <w:rFonts w:cs="Arial"/>
        </w:rPr>
        <w:t>Dweck, 2017; Education Endowment Foundation, 2022),</w:t>
      </w:r>
      <w:r w:rsidRPr="005621FA">
        <w:rPr>
          <w:rFonts w:cs="Arial"/>
        </w:rPr>
        <w:t xml:space="preserve"> there remains </w:t>
      </w:r>
      <w:r w:rsidR="008F1446" w:rsidRPr="005621FA">
        <w:rPr>
          <w:rFonts w:cs="Arial"/>
        </w:rPr>
        <w:t xml:space="preserve">a </w:t>
      </w:r>
      <w:r w:rsidRPr="005621FA">
        <w:rPr>
          <w:rFonts w:cs="Arial"/>
        </w:rPr>
        <w:t xml:space="preserve">gap in the literature regarding the effectiveness of such practices in achieving the </w:t>
      </w:r>
      <w:r w:rsidR="008F1446" w:rsidRPr="005621FA">
        <w:rPr>
          <w:rFonts w:cs="Arial"/>
        </w:rPr>
        <w:t xml:space="preserve">direct </w:t>
      </w:r>
      <w:r w:rsidRPr="005621FA">
        <w:rPr>
          <w:rFonts w:cs="Arial"/>
        </w:rPr>
        <w:t>objective of the Welsh Government to foster</w:t>
      </w:r>
      <w:r w:rsidR="000E158F" w:rsidRPr="005621FA">
        <w:rPr>
          <w:rFonts w:cs="Arial"/>
        </w:rPr>
        <w:t xml:space="preserve"> lifelong healthy, confident learners (Welsh Government, 2022). This was taken into consideration upon designing the methodology for data collection in this study, ensuring that a </w:t>
      </w:r>
      <w:r w:rsidR="0069276A" w:rsidRPr="005621FA">
        <w:rPr>
          <w:rFonts w:cs="Arial"/>
        </w:rPr>
        <w:t xml:space="preserve">particular </w:t>
      </w:r>
      <w:r w:rsidR="000E158F" w:rsidRPr="005621FA">
        <w:rPr>
          <w:rFonts w:cs="Arial"/>
        </w:rPr>
        <w:t xml:space="preserve">focus was made to gather data </w:t>
      </w:r>
      <w:r w:rsidR="009E3485" w:rsidRPr="005621FA">
        <w:rPr>
          <w:rFonts w:cs="Arial"/>
        </w:rPr>
        <w:t xml:space="preserve">aiming to bridge the gap in the literature. </w:t>
      </w:r>
    </w:p>
    <w:p w14:paraId="6A5347BA" w14:textId="77777777" w:rsidR="0070493D" w:rsidRPr="005621FA" w:rsidRDefault="0070493D" w:rsidP="005621FA">
      <w:pPr>
        <w:pStyle w:val="AssignBody"/>
        <w:rPr>
          <w:rFonts w:cs="Arial"/>
        </w:rPr>
      </w:pPr>
    </w:p>
    <w:p w14:paraId="10E88FC1" w14:textId="4ABA59DC" w:rsidR="009C32B3" w:rsidRPr="005621FA" w:rsidRDefault="00164B61" w:rsidP="005621FA">
      <w:pPr>
        <w:pStyle w:val="AssignBody"/>
        <w:rPr>
          <w:rFonts w:cs="Arial"/>
        </w:rPr>
      </w:pPr>
      <w:r w:rsidRPr="005621FA">
        <w:rPr>
          <w:rFonts w:cs="Arial"/>
        </w:rPr>
        <w:t xml:space="preserve">The objective of the research study was to explore how learners are supported in becoming healthy, confident individuals through developing pupil independence. </w:t>
      </w:r>
      <w:r w:rsidR="00E502E6" w:rsidRPr="005621FA">
        <w:rPr>
          <w:rFonts w:cs="Arial"/>
        </w:rPr>
        <w:t xml:space="preserve">A case study was used </w:t>
      </w:r>
      <w:r w:rsidR="00FC6CAF" w:rsidRPr="005621FA">
        <w:rPr>
          <w:rFonts w:cs="Arial"/>
        </w:rPr>
        <w:t xml:space="preserve">to conduct the study, </w:t>
      </w:r>
      <w:r w:rsidR="00AA28E8" w:rsidRPr="005621FA">
        <w:rPr>
          <w:rFonts w:cs="Arial"/>
        </w:rPr>
        <w:t>an approach to research</w:t>
      </w:r>
      <w:r w:rsidR="004D4571" w:rsidRPr="005621FA">
        <w:rPr>
          <w:rFonts w:cs="Arial"/>
        </w:rPr>
        <w:t xml:space="preserve"> that has led to debate and disagreement within academia regarding its exact meaning and appropriate use </w:t>
      </w:r>
      <w:r w:rsidR="00AA28E8" w:rsidRPr="005621FA">
        <w:rPr>
          <w:rFonts w:cs="Arial"/>
        </w:rPr>
        <w:t xml:space="preserve">(Flyvbkerg, 2006; Stake, 2006; Robert, 2014). </w:t>
      </w:r>
      <w:r w:rsidR="004D4571" w:rsidRPr="005621FA">
        <w:rPr>
          <w:rFonts w:cs="Arial"/>
        </w:rPr>
        <w:t xml:space="preserve"> </w:t>
      </w:r>
      <w:r w:rsidR="009C32B3" w:rsidRPr="005621FA">
        <w:rPr>
          <w:rFonts w:cs="Arial"/>
        </w:rPr>
        <w:t>S</w:t>
      </w:r>
      <w:r w:rsidR="00D026D0" w:rsidRPr="005621FA">
        <w:rPr>
          <w:rFonts w:cs="Arial"/>
        </w:rPr>
        <w:t xml:space="preserve">ome academics </w:t>
      </w:r>
      <w:r w:rsidR="009C32B3" w:rsidRPr="005621FA">
        <w:rPr>
          <w:rFonts w:cs="Arial"/>
        </w:rPr>
        <w:t xml:space="preserve">further </w:t>
      </w:r>
      <w:r w:rsidR="00D026D0" w:rsidRPr="005621FA">
        <w:rPr>
          <w:rFonts w:cs="Arial"/>
        </w:rPr>
        <w:t xml:space="preserve">argue that a case study is not a research method per se, but rather a </w:t>
      </w:r>
      <w:r w:rsidR="00540E03" w:rsidRPr="005621FA">
        <w:rPr>
          <w:rFonts w:cs="Arial"/>
        </w:rPr>
        <w:t>research tradition in which</w:t>
      </w:r>
      <w:r w:rsidR="001803BD" w:rsidRPr="005621FA">
        <w:rPr>
          <w:rFonts w:cs="Arial"/>
        </w:rPr>
        <w:t xml:space="preserve"> a researcher’s interest for the case study is centred around the particularities and details of the case, rather than attempting to draw broad conclusions (</w:t>
      </w:r>
      <w:r w:rsidR="000D4F31" w:rsidRPr="005621FA">
        <w:rPr>
          <w:rFonts w:cs="Arial"/>
        </w:rPr>
        <w:t>Paltridge &amp; Phakiti, 201</w:t>
      </w:r>
      <w:r w:rsidR="0084097F" w:rsidRPr="005621FA">
        <w:rPr>
          <w:rFonts w:cs="Arial"/>
        </w:rPr>
        <w:t xml:space="preserve">; </w:t>
      </w:r>
      <w:r w:rsidR="001803BD" w:rsidRPr="005621FA">
        <w:rPr>
          <w:rFonts w:cs="Arial"/>
        </w:rPr>
        <w:t>Cresswell, 20</w:t>
      </w:r>
      <w:r w:rsidR="000D4F31" w:rsidRPr="005621FA">
        <w:rPr>
          <w:rFonts w:cs="Arial"/>
        </w:rPr>
        <w:t>13</w:t>
      </w:r>
      <w:r w:rsidR="001803BD" w:rsidRPr="005621FA">
        <w:rPr>
          <w:rFonts w:cs="Arial"/>
        </w:rPr>
        <w:t xml:space="preserve">). </w:t>
      </w:r>
      <w:r w:rsidR="009C18A4" w:rsidRPr="005621FA">
        <w:rPr>
          <w:rFonts w:cs="Arial"/>
        </w:rPr>
        <w:t xml:space="preserve">Whether one chooses to emphasise that a case study is a research method or a research tradition, both approaches ultimately imply </w:t>
      </w:r>
      <w:r w:rsidR="00551729" w:rsidRPr="005621FA">
        <w:rPr>
          <w:rFonts w:cs="Arial"/>
        </w:rPr>
        <w:t>that case study research allows for a deep exploration of a particular phenomenon</w:t>
      </w:r>
      <w:r w:rsidR="0070493D" w:rsidRPr="005621FA">
        <w:rPr>
          <w:rFonts w:cs="Arial"/>
        </w:rPr>
        <w:t xml:space="preserve"> within a real-world context</w:t>
      </w:r>
      <w:r w:rsidR="00551729" w:rsidRPr="005621FA">
        <w:rPr>
          <w:rFonts w:cs="Arial"/>
        </w:rPr>
        <w:t xml:space="preserve"> through gathering qualitative and quantitative data </w:t>
      </w:r>
      <w:r w:rsidR="007571BD" w:rsidRPr="005621FA">
        <w:rPr>
          <w:rFonts w:cs="Arial"/>
        </w:rPr>
        <w:t>(</w:t>
      </w:r>
      <w:r w:rsidR="003C6B4F" w:rsidRPr="005621FA">
        <w:rPr>
          <w:rFonts w:cs="Arial"/>
        </w:rPr>
        <w:t xml:space="preserve">Tight, 2010; </w:t>
      </w:r>
      <w:r w:rsidR="007571BD" w:rsidRPr="005621FA">
        <w:rPr>
          <w:rFonts w:cs="Arial"/>
        </w:rPr>
        <w:t>McNiff, 2012; Thomas, 201</w:t>
      </w:r>
      <w:r w:rsidR="00C8364F" w:rsidRPr="005621FA">
        <w:rPr>
          <w:rFonts w:cs="Arial"/>
        </w:rPr>
        <w:t>7</w:t>
      </w:r>
      <w:r w:rsidR="003C6B4F" w:rsidRPr="005621FA">
        <w:rPr>
          <w:rFonts w:cs="Arial"/>
        </w:rPr>
        <w:t>;</w:t>
      </w:r>
      <w:r w:rsidR="007571BD" w:rsidRPr="005621FA">
        <w:rPr>
          <w:rFonts w:cs="Arial"/>
        </w:rPr>
        <w:t xml:space="preserve"> Noffke &amp; Somekh, 2013)</w:t>
      </w:r>
      <w:r w:rsidR="00527E3C" w:rsidRPr="005621FA">
        <w:rPr>
          <w:rFonts w:cs="Arial"/>
        </w:rPr>
        <w:t>.</w:t>
      </w:r>
    </w:p>
    <w:p w14:paraId="0B009D6F" w14:textId="77E6B68A" w:rsidR="00AB401F" w:rsidRPr="005621FA" w:rsidRDefault="009C32B3" w:rsidP="005621FA">
      <w:pPr>
        <w:pStyle w:val="AssignBody"/>
        <w:rPr>
          <w:rFonts w:cs="Arial"/>
        </w:rPr>
      </w:pPr>
      <w:r w:rsidRPr="005621FA">
        <w:rPr>
          <w:rFonts w:cs="Arial"/>
        </w:rPr>
        <w:lastRenderedPageBreak/>
        <w:t xml:space="preserve">Using a case study approach allowed the </w:t>
      </w:r>
      <w:r w:rsidR="003C6B4F" w:rsidRPr="005621FA">
        <w:rPr>
          <w:rFonts w:cs="Arial"/>
        </w:rPr>
        <w:t>researcher</w:t>
      </w:r>
      <w:r w:rsidRPr="005621FA">
        <w:rPr>
          <w:rFonts w:cs="Arial"/>
        </w:rPr>
        <w:t xml:space="preserve"> to view the </w:t>
      </w:r>
      <w:r w:rsidR="007D5D11" w:rsidRPr="005621FA">
        <w:rPr>
          <w:rFonts w:cs="Arial"/>
        </w:rPr>
        <w:t>pheno</w:t>
      </w:r>
      <w:r w:rsidR="003C6B4F" w:rsidRPr="005621FA">
        <w:rPr>
          <w:rFonts w:cs="Arial"/>
        </w:rPr>
        <w:t xml:space="preserve">menon of pupil independence from many angles, </w:t>
      </w:r>
      <w:r w:rsidR="003D46B2" w:rsidRPr="005621FA">
        <w:rPr>
          <w:rFonts w:cs="Arial"/>
        </w:rPr>
        <w:t>offering a comprehensive and detailed picture</w:t>
      </w:r>
      <w:r w:rsidR="003230FD" w:rsidRPr="005621FA">
        <w:rPr>
          <w:rFonts w:cs="Arial"/>
        </w:rPr>
        <w:t xml:space="preserve"> of how learners were being supported to become confident individuals (Robert, 2014</w:t>
      </w:r>
      <w:r w:rsidR="00497BFC" w:rsidRPr="005621FA">
        <w:rPr>
          <w:rFonts w:cs="Arial"/>
        </w:rPr>
        <w:t>; Baxter &amp; Jack, 2015; Thomas, 2017</w:t>
      </w:r>
      <w:r w:rsidR="003230FD" w:rsidRPr="005621FA">
        <w:rPr>
          <w:rFonts w:cs="Arial"/>
        </w:rPr>
        <w:t xml:space="preserve">). </w:t>
      </w:r>
      <w:r w:rsidR="00F7493B" w:rsidRPr="005621FA">
        <w:rPr>
          <w:rFonts w:cs="Arial"/>
          <w:color w:val="000000" w:themeColor="text1"/>
        </w:rPr>
        <w:t xml:space="preserve">This approach was accommodative of many research methods, including interviews, questionnaires, and observations to gather both qualitative and quantitative data </w:t>
      </w:r>
      <w:sdt>
        <w:sdtPr>
          <w:rPr>
            <w:rFonts w:cs="Arial"/>
          </w:rPr>
          <w:id w:val="435331602"/>
          <w:citation/>
        </w:sdtPr>
        <w:sdtEndPr/>
        <w:sdtContent>
          <w:r w:rsidR="00F7493B" w:rsidRPr="005621FA">
            <w:rPr>
              <w:rFonts w:cs="Arial"/>
            </w:rPr>
            <w:fldChar w:fldCharType="begin"/>
          </w:r>
          <w:r w:rsidR="00F7493B" w:rsidRPr="005621FA">
            <w:rPr>
              <w:rFonts w:cs="Arial"/>
            </w:rPr>
            <w:instrText xml:space="preserve"> CITATION Pal11 \l 2057 </w:instrText>
          </w:r>
          <w:r w:rsidR="00F7493B" w:rsidRPr="005621FA">
            <w:rPr>
              <w:rFonts w:cs="Arial"/>
            </w:rPr>
            <w:fldChar w:fldCharType="separate"/>
          </w:r>
          <w:r w:rsidR="00F7493B" w:rsidRPr="005621FA">
            <w:rPr>
              <w:rFonts w:eastAsiaTheme="minorHAnsi" w:cs="Arial"/>
              <w:noProof/>
            </w:rPr>
            <w:t>(Paltridge &amp; Phakiti, 2011)</w:t>
          </w:r>
          <w:r w:rsidR="00F7493B" w:rsidRPr="005621FA">
            <w:rPr>
              <w:rFonts w:cs="Arial"/>
            </w:rPr>
            <w:fldChar w:fldCharType="end"/>
          </w:r>
        </w:sdtContent>
      </w:sdt>
      <w:r w:rsidR="00F7493B" w:rsidRPr="005621FA">
        <w:rPr>
          <w:rFonts w:cs="Arial"/>
        </w:rPr>
        <w:t xml:space="preserve">. </w:t>
      </w:r>
      <w:r w:rsidR="003230FD" w:rsidRPr="005621FA">
        <w:rPr>
          <w:rFonts w:cs="Arial"/>
        </w:rPr>
        <w:t xml:space="preserve">Furthermore, </w:t>
      </w:r>
      <w:r w:rsidR="00FA6AF9" w:rsidRPr="005621FA">
        <w:rPr>
          <w:rFonts w:cs="Arial"/>
        </w:rPr>
        <w:t xml:space="preserve">it assisted the researcher in identifying the boundaries and direction of their research through providing insights into the areas of </w:t>
      </w:r>
      <w:r w:rsidR="001473CF" w:rsidRPr="005621FA">
        <w:rPr>
          <w:rFonts w:cs="Arial"/>
        </w:rPr>
        <w:t>developing pupil</w:t>
      </w:r>
      <w:r w:rsidR="00FA6AF9" w:rsidRPr="005621FA">
        <w:rPr>
          <w:rFonts w:cs="Arial"/>
        </w:rPr>
        <w:t xml:space="preserve"> independence that require further exploration </w:t>
      </w:r>
      <w:sdt>
        <w:sdtPr>
          <w:rPr>
            <w:rFonts w:cs="Arial"/>
          </w:rPr>
          <w:id w:val="2119167831"/>
          <w:citation/>
        </w:sdtPr>
        <w:sdtEndPr/>
        <w:sdtContent>
          <w:r w:rsidR="00FA6AF9" w:rsidRPr="005621FA">
            <w:rPr>
              <w:rFonts w:cs="Arial"/>
            </w:rPr>
            <w:fldChar w:fldCharType="begin"/>
          </w:r>
          <w:r w:rsidR="00FA6AF9" w:rsidRPr="005621FA">
            <w:rPr>
              <w:rFonts w:cs="Arial"/>
            </w:rPr>
            <w:instrText xml:space="preserve"> CITATION McN12 \l 2057 </w:instrText>
          </w:r>
          <w:r w:rsidR="00FA6AF9" w:rsidRPr="005621FA">
            <w:rPr>
              <w:rFonts w:cs="Arial"/>
            </w:rPr>
            <w:fldChar w:fldCharType="separate"/>
          </w:r>
          <w:r w:rsidR="00FA6AF9" w:rsidRPr="005621FA">
            <w:rPr>
              <w:rFonts w:eastAsiaTheme="minorHAnsi" w:cs="Arial"/>
              <w:noProof/>
            </w:rPr>
            <w:t>(McNiff, 2012)</w:t>
          </w:r>
          <w:r w:rsidR="00FA6AF9" w:rsidRPr="005621FA">
            <w:rPr>
              <w:rFonts w:cs="Arial"/>
            </w:rPr>
            <w:fldChar w:fldCharType="end"/>
          </w:r>
        </w:sdtContent>
      </w:sdt>
      <w:r w:rsidR="00FA6AF9" w:rsidRPr="005621FA">
        <w:rPr>
          <w:rFonts w:cs="Arial"/>
        </w:rPr>
        <w:t xml:space="preserve">. </w:t>
      </w:r>
      <w:r w:rsidR="00D55DE8" w:rsidRPr="005621FA">
        <w:rPr>
          <w:rFonts w:cs="Arial"/>
        </w:rPr>
        <w:t>In an analytical frame, a case study consists of two essential independent parts</w:t>
      </w:r>
      <w:r w:rsidR="006B14E0" w:rsidRPr="005621FA">
        <w:rPr>
          <w:rFonts w:cs="Arial"/>
        </w:rPr>
        <w:t>,</w:t>
      </w:r>
      <w:r w:rsidR="00D55DE8" w:rsidRPr="005621FA">
        <w:rPr>
          <w:rFonts w:cs="Arial"/>
        </w:rPr>
        <w:t xml:space="preserve"> the </w:t>
      </w:r>
      <w:r w:rsidR="00EB4649" w:rsidRPr="005621FA">
        <w:rPr>
          <w:rFonts w:cs="Arial"/>
        </w:rPr>
        <w:t>subject,</w:t>
      </w:r>
      <w:r w:rsidR="00D55DE8" w:rsidRPr="005621FA">
        <w:rPr>
          <w:rFonts w:cs="Arial"/>
        </w:rPr>
        <w:t xml:space="preserve"> and the object </w:t>
      </w:r>
      <w:sdt>
        <w:sdtPr>
          <w:rPr>
            <w:rFonts w:cs="Arial"/>
          </w:rPr>
          <w:id w:val="-985392863"/>
          <w:citation/>
        </w:sdtPr>
        <w:sdtEndPr/>
        <w:sdtContent>
          <w:r w:rsidR="00D55DE8" w:rsidRPr="005621FA">
            <w:rPr>
              <w:rFonts w:cs="Arial"/>
            </w:rPr>
            <w:fldChar w:fldCharType="begin"/>
          </w:r>
          <w:r w:rsidR="00D55DE8" w:rsidRPr="005621FA">
            <w:rPr>
              <w:rFonts w:cs="Arial"/>
            </w:rPr>
            <w:instrText xml:space="preserve">CITATION Tho13 \p 158 \l 2057 </w:instrText>
          </w:r>
          <w:r w:rsidR="00D55DE8" w:rsidRPr="005621FA">
            <w:rPr>
              <w:rFonts w:cs="Arial"/>
            </w:rPr>
            <w:fldChar w:fldCharType="separate"/>
          </w:r>
          <w:r w:rsidR="00D55DE8" w:rsidRPr="005621FA">
            <w:rPr>
              <w:rFonts w:cs="Arial"/>
              <w:noProof/>
            </w:rPr>
            <w:t>(Thomas, 2017, p. 158)</w:t>
          </w:r>
          <w:r w:rsidR="00D55DE8" w:rsidRPr="005621FA">
            <w:rPr>
              <w:rFonts w:cs="Arial"/>
            </w:rPr>
            <w:fldChar w:fldCharType="end"/>
          </w:r>
        </w:sdtContent>
      </w:sdt>
      <w:r w:rsidR="00D55DE8" w:rsidRPr="005621FA">
        <w:rPr>
          <w:rFonts w:cs="Arial"/>
        </w:rPr>
        <w:t xml:space="preserve">. </w:t>
      </w:r>
      <w:r w:rsidR="00DC0E80" w:rsidRPr="005621FA">
        <w:rPr>
          <w:rFonts w:cs="Arial"/>
        </w:rPr>
        <w:t xml:space="preserve">As this case study explored the development of independence among </w:t>
      </w:r>
      <w:r w:rsidR="001E73C3" w:rsidRPr="005621FA">
        <w:rPr>
          <w:rFonts w:cs="Arial"/>
        </w:rPr>
        <w:t>Year F</w:t>
      </w:r>
      <w:r w:rsidR="00DC0E80" w:rsidRPr="005621FA">
        <w:rPr>
          <w:rFonts w:cs="Arial"/>
        </w:rPr>
        <w:t xml:space="preserve">ive learners, the subject </w:t>
      </w:r>
      <w:r w:rsidR="001E73C3" w:rsidRPr="005621FA">
        <w:rPr>
          <w:rFonts w:cs="Arial"/>
        </w:rPr>
        <w:t xml:space="preserve">of the case study was the Year Five </w:t>
      </w:r>
      <w:r w:rsidR="00490D42" w:rsidRPr="005621FA">
        <w:rPr>
          <w:rFonts w:cs="Arial"/>
        </w:rPr>
        <w:t>learners,</w:t>
      </w:r>
      <w:r w:rsidR="001E73C3" w:rsidRPr="005621FA">
        <w:rPr>
          <w:rFonts w:cs="Arial"/>
        </w:rPr>
        <w:t xml:space="preserve"> and the object of inquiry was pupil independence</w:t>
      </w:r>
      <w:r w:rsidR="00490D42" w:rsidRPr="005621FA">
        <w:rPr>
          <w:rFonts w:cs="Arial"/>
        </w:rPr>
        <w:t>. Exploring both parts was integral to the case study, and one was not fully understood without considering the other</w:t>
      </w:r>
      <w:r w:rsidR="00E050CD" w:rsidRPr="005621FA">
        <w:rPr>
          <w:rFonts w:cs="Arial"/>
        </w:rPr>
        <w:t xml:space="preserve"> (Wieviorka, 1992; Thomas, 2017)</w:t>
      </w:r>
      <w:r w:rsidR="00490D42" w:rsidRPr="005621FA">
        <w:rPr>
          <w:rFonts w:cs="Arial"/>
        </w:rPr>
        <w:t>.</w:t>
      </w:r>
    </w:p>
    <w:p w14:paraId="73E8234A" w14:textId="77777777" w:rsidR="00AB401F" w:rsidRPr="005621FA" w:rsidRDefault="00AB401F" w:rsidP="005621FA">
      <w:pPr>
        <w:pStyle w:val="AssignBody"/>
        <w:rPr>
          <w:rFonts w:cs="Arial"/>
        </w:rPr>
      </w:pPr>
    </w:p>
    <w:p w14:paraId="26D7C66C" w14:textId="03557633" w:rsidR="008A6B26" w:rsidRPr="005621FA" w:rsidRDefault="00E4185E" w:rsidP="005621FA">
      <w:pPr>
        <w:pStyle w:val="AssignBody"/>
        <w:rPr>
          <w:rFonts w:cs="Arial"/>
        </w:rPr>
      </w:pPr>
      <w:r w:rsidRPr="005621FA">
        <w:rPr>
          <w:rFonts w:cs="Arial"/>
        </w:rPr>
        <w:t xml:space="preserve">An instrumental case study was chosen over an intrinsic case study as the aim of the research was to explore </w:t>
      </w:r>
      <w:r w:rsidR="001853E1" w:rsidRPr="005621FA">
        <w:rPr>
          <w:rFonts w:cs="Arial"/>
        </w:rPr>
        <w:t xml:space="preserve">and gain insight into </w:t>
      </w:r>
      <w:r w:rsidRPr="005621FA">
        <w:rPr>
          <w:rFonts w:cs="Arial"/>
        </w:rPr>
        <w:t xml:space="preserve">pupil independence to inform </w:t>
      </w:r>
      <w:r w:rsidR="001853E1" w:rsidRPr="005621FA">
        <w:rPr>
          <w:rFonts w:cs="Arial"/>
        </w:rPr>
        <w:t xml:space="preserve">pedagogical </w:t>
      </w:r>
      <w:r w:rsidRPr="005621FA">
        <w:rPr>
          <w:rFonts w:cs="Arial"/>
        </w:rPr>
        <w:t xml:space="preserve">practice, rather than to </w:t>
      </w:r>
      <w:r w:rsidR="00F43723" w:rsidRPr="005621FA">
        <w:rPr>
          <w:rFonts w:cs="Arial"/>
        </w:rPr>
        <w:t>explore the unique qualities of pupil</w:t>
      </w:r>
      <w:r w:rsidR="00AB401F" w:rsidRPr="005621FA">
        <w:rPr>
          <w:rFonts w:cs="Arial"/>
        </w:rPr>
        <w:t xml:space="preserve"> </w:t>
      </w:r>
      <w:r w:rsidR="00F43723" w:rsidRPr="005621FA">
        <w:rPr>
          <w:rFonts w:cs="Arial"/>
        </w:rPr>
        <w:t>independence itself</w:t>
      </w:r>
      <w:r w:rsidR="003A4A4A" w:rsidRPr="005621FA">
        <w:rPr>
          <w:rFonts w:cs="Arial"/>
        </w:rPr>
        <w:t xml:space="preserve"> </w:t>
      </w:r>
      <w:sdt>
        <w:sdtPr>
          <w:rPr>
            <w:rFonts w:cs="Arial"/>
          </w:rPr>
          <w:id w:val="283862495"/>
          <w:citation/>
        </w:sdtPr>
        <w:sdtEndPr/>
        <w:sdtContent>
          <w:r w:rsidR="00C8364F" w:rsidRPr="005621FA">
            <w:rPr>
              <w:rFonts w:cs="Arial"/>
            </w:rPr>
            <w:fldChar w:fldCharType="begin"/>
          </w:r>
          <w:r w:rsidR="00C8364F" w:rsidRPr="005621FA">
            <w:rPr>
              <w:rFonts w:cs="Arial"/>
            </w:rPr>
            <w:instrText xml:space="preserve">CITATION Tho13 \l 2057 </w:instrText>
          </w:r>
          <w:r w:rsidR="00C8364F" w:rsidRPr="005621FA">
            <w:rPr>
              <w:rFonts w:cs="Arial"/>
            </w:rPr>
            <w:fldChar w:fldCharType="separate"/>
          </w:r>
          <w:r w:rsidR="00C8364F" w:rsidRPr="005621FA">
            <w:rPr>
              <w:rFonts w:eastAsiaTheme="minorHAnsi" w:cs="Arial"/>
              <w:noProof/>
            </w:rPr>
            <w:t>(Thomas, 2017)</w:t>
          </w:r>
          <w:r w:rsidR="00C8364F" w:rsidRPr="005621FA">
            <w:rPr>
              <w:rFonts w:cs="Arial"/>
            </w:rPr>
            <w:fldChar w:fldCharType="end"/>
          </w:r>
        </w:sdtContent>
      </w:sdt>
      <w:r w:rsidR="00C8364F" w:rsidRPr="005621FA">
        <w:rPr>
          <w:rFonts w:cs="Arial"/>
        </w:rPr>
        <w:t xml:space="preserve">. </w:t>
      </w:r>
      <w:r w:rsidR="00FD2F04" w:rsidRPr="005621FA">
        <w:rPr>
          <w:rFonts w:cs="Arial"/>
        </w:rPr>
        <w:t xml:space="preserve">Among the three instrumental case </w:t>
      </w:r>
      <w:r w:rsidR="008A6B26" w:rsidRPr="005621FA">
        <w:rPr>
          <w:rFonts w:cs="Arial"/>
        </w:rPr>
        <w:t>studies,</w:t>
      </w:r>
      <w:r w:rsidR="00FD2F04" w:rsidRPr="005621FA">
        <w:rPr>
          <w:rFonts w:cs="Arial"/>
        </w:rPr>
        <w:t xml:space="preserve"> evaluative, </w:t>
      </w:r>
      <w:r w:rsidR="0083772A" w:rsidRPr="005621FA">
        <w:rPr>
          <w:rFonts w:cs="Arial"/>
        </w:rPr>
        <w:t>exploratory,</w:t>
      </w:r>
      <w:r w:rsidR="00FD2F04" w:rsidRPr="005621FA">
        <w:rPr>
          <w:rFonts w:cs="Arial"/>
        </w:rPr>
        <w:t xml:space="preserve"> and explanatory </w:t>
      </w:r>
      <w:sdt>
        <w:sdtPr>
          <w:rPr>
            <w:rFonts w:cs="Arial"/>
          </w:rPr>
          <w:id w:val="-1408299096"/>
          <w:citation/>
        </w:sdtPr>
        <w:sdtEndPr/>
        <w:sdtContent>
          <w:r w:rsidR="000434A3" w:rsidRPr="005621FA">
            <w:rPr>
              <w:rFonts w:cs="Arial"/>
            </w:rPr>
            <w:fldChar w:fldCharType="begin"/>
          </w:r>
          <w:r w:rsidR="000434A3" w:rsidRPr="005621FA">
            <w:rPr>
              <w:rFonts w:cs="Arial"/>
            </w:rPr>
            <w:instrText xml:space="preserve"> CITATION Sta06 \l 2057 </w:instrText>
          </w:r>
          <w:r w:rsidR="000434A3" w:rsidRPr="005621FA">
            <w:rPr>
              <w:rFonts w:cs="Arial"/>
            </w:rPr>
            <w:fldChar w:fldCharType="separate"/>
          </w:r>
          <w:r w:rsidR="000434A3" w:rsidRPr="005621FA">
            <w:rPr>
              <w:rFonts w:cs="Arial"/>
              <w:noProof/>
            </w:rPr>
            <w:t>(Stake, 2006)</w:t>
          </w:r>
          <w:r w:rsidR="000434A3" w:rsidRPr="005621FA">
            <w:rPr>
              <w:rFonts w:cs="Arial"/>
            </w:rPr>
            <w:fldChar w:fldCharType="end"/>
          </w:r>
        </w:sdtContent>
      </w:sdt>
      <w:r w:rsidR="00FD2F04" w:rsidRPr="005621FA">
        <w:rPr>
          <w:rFonts w:cs="Arial"/>
        </w:rPr>
        <w:t xml:space="preserve">, the researcher chose to use </w:t>
      </w:r>
      <w:r w:rsidR="0058775E" w:rsidRPr="005621FA">
        <w:rPr>
          <w:rFonts w:cs="Arial"/>
        </w:rPr>
        <w:t xml:space="preserve">an exploratory case study approach to explore pupil independence, as this approach </w:t>
      </w:r>
      <w:r w:rsidR="00A70C7E" w:rsidRPr="005621FA">
        <w:rPr>
          <w:rFonts w:cs="Arial"/>
        </w:rPr>
        <w:t xml:space="preserve">allowed for the open-ended inquiry into pupil independence without predetermined results where the purposes was to </w:t>
      </w:r>
      <w:r w:rsidR="0083772A" w:rsidRPr="005621FA">
        <w:rPr>
          <w:rFonts w:cs="Arial"/>
        </w:rPr>
        <w:t xml:space="preserve">shape hypotheses between pupil independence and developing pupil confidence </w:t>
      </w:r>
      <w:sdt>
        <w:sdtPr>
          <w:rPr>
            <w:rFonts w:cs="Arial"/>
          </w:rPr>
          <w:id w:val="-331063306"/>
          <w:citation/>
        </w:sdtPr>
        <w:sdtEndPr/>
        <w:sdtContent>
          <w:r w:rsidR="008A6B26" w:rsidRPr="005621FA">
            <w:rPr>
              <w:rFonts w:cs="Arial"/>
            </w:rPr>
            <w:fldChar w:fldCharType="begin"/>
          </w:r>
          <w:r w:rsidR="008A6B26" w:rsidRPr="005621FA">
            <w:rPr>
              <w:rFonts w:cs="Arial"/>
            </w:rPr>
            <w:instrText xml:space="preserve"> CITATION Yin14 \l 2057 </w:instrText>
          </w:r>
          <w:r w:rsidR="008A6B26" w:rsidRPr="005621FA">
            <w:rPr>
              <w:rFonts w:cs="Arial"/>
            </w:rPr>
            <w:fldChar w:fldCharType="separate"/>
          </w:r>
          <w:r w:rsidR="008A6B26" w:rsidRPr="005621FA">
            <w:rPr>
              <w:rFonts w:cs="Arial"/>
              <w:noProof/>
            </w:rPr>
            <w:t>(Yin, 2014)</w:t>
          </w:r>
          <w:r w:rsidR="008A6B26" w:rsidRPr="005621FA">
            <w:rPr>
              <w:rFonts w:cs="Arial"/>
            </w:rPr>
            <w:fldChar w:fldCharType="end"/>
          </w:r>
        </w:sdtContent>
      </w:sdt>
      <w:r w:rsidR="0083772A" w:rsidRPr="005621FA">
        <w:rPr>
          <w:rFonts w:cs="Arial"/>
        </w:rPr>
        <w:t xml:space="preserve">. </w:t>
      </w:r>
    </w:p>
    <w:p w14:paraId="01BC7BF7" w14:textId="287DC4AC" w:rsidR="00CA5B8A" w:rsidRPr="005621FA" w:rsidRDefault="00CA5B8A" w:rsidP="005621FA">
      <w:pPr>
        <w:pStyle w:val="AssignBody"/>
        <w:rPr>
          <w:rFonts w:cs="Arial"/>
        </w:rPr>
      </w:pPr>
    </w:p>
    <w:p w14:paraId="1DCD1818" w14:textId="5B07C107" w:rsidR="00C04F29" w:rsidRPr="005621FA" w:rsidRDefault="00C04F29" w:rsidP="005621FA">
      <w:pPr>
        <w:pStyle w:val="AssignBody"/>
        <w:rPr>
          <w:rFonts w:cs="Arial"/>
        </w:rPr>
      </w:pPr>
      <w:r w:rsidRPr="005621FA">
        <w:rPr>
          <w:rFonts w:cs="Arial"/>
        </w:rPr>
        <w:t xml:space="preserve">Disadvantages of this research method were </w:t>
      </w:r>
      <w:r w:rsidR="009723FF" w:rsidRPr="005621FA">
        <w:rPr>
          <w:rFonts w:cs="Arial"/>
        </w:rPr>
        <w:t>considered. Specifically, it was noted that case studies can be susceptible to research bias due to their subjective nature (Paltridge &amp; Phakiti, 2011). To mitigate this issue, the researcher made a conscious effort to avoid bias in the study</w:t>
      </w:r>
      <w:r w:rsidR="00BF1E56">
        <w:rPr>
          <w:rFonts w:cs="Arial"/>
        </w:rPr>
        <w:t xml:space="preserve"> </w:t>
      </w:r>
      <w:r w:rsidR="001B1AC7">
        <w:rPr>
          <w:rFonts w:cs="Arial"/>
        </w:rPr>
        <w:t>through clearly defining the research question</w:t>
      </w:r>
      <w:r w:rsidR="00800765">
        <w:rPr>
          <w:rFonts w:cs="Arial"/>
        </w:rPr>
        <w:t xml:space="preserve"> (Yin, 2014)</w:t>
      </w:r>
      <w:r w:rsidR="009723FF" w:rsidRPr="005621FA">
        <w:rPr>
          <w:rFonts w:cs="Arial"/>
        </w:rPr>
        <w:t>.</w:t>
      </w:r>
      <w:r w:rsidR="006C5FCB" w:rsidRPr="005621FA">
        <w:rPr>
          <w:rFonts w:cs="Arial"/>
        </w:rPr>
        <w:t xml:space="preserve"> </w:t>
      </w:r>
      <w:r w:rsidR="00154EEB" w:rsidRPr="005621FA">
        <w:rPr>
          <w:rFonts w:cs="Arial"/>
        </w:rPr>
        <w:t>Though</w:t>
      </w:r>
      <w:r w:rsidR="006C5FCB" w:rsidRPr="005621FA">
        <w:rPr>
          <w:rFonts w:cs="Arial"/>
        </w:rPr>
        <w:t xml:space="preserve"> case study research results </w:t>
      </w:r>
      <w:r w:rsidR="005619AF" w:rsidRPr="005621FA">
        <w:rPr>
          <w:rFonts w:cs="Arial"/>
        </w:rPr>
        <w:t>may</w:t>
      </w:r>
      <w:r w:rsidR="006C5FCB" w:rsidRPr="005621FA">
        <w:rPr>
          <w:rFonts w:cs="Arial"/>
        </w:rPr>
        <w:t xml:space="preserve"> not provide </w:t>
      </w:r>
      <w:r w:rsidR="005619AF" w:rsidRPr="005621FA">
        <w:rPr>
          <w:rFonts w:cs="Arial"/>
        </w:rPr>
        <w:t>adequate</w:t>
      </w:r>
      <w:r w:rsidR="006C5FCB" w:rsidRPr="005621FA">
        <w:rPr>
          <w:rFonts w:cs="Arial"/>
        </w:rPr>
        <w:t xml:space="preserve"> evidence </w:t>
      </w:r>
      <w:r w:rsidR="005619AF" w:rsidRPr="005621FA">
        <w:rPr>
          <w:rFonts w:cs="Arial"/>
        </w:rPr>
        <w:t xml:space="preserve">applicable to the broader population due to the small sample size and unique context of the study </w:t>
      </w:r>
      <w:sdt>
        <w:sdtPr>
          <w:rPr>
            <w:rFonts w:cs="Arial"/>
          </w:rPr>
          <w:id w:val="-990090100"/>
          <w:citation/>
        </w:sdtPr>
        <w:sdtEndPr/>
        <w:sdtContent>
          <w:r w:rsidR="003568E3" w:rsidRPr="005621FA">
            <w:rPr>
              <w:rFonts w:cs="Arial"/>
            </w:rPr>
            <w:fldChar w:fldCharType="begin"/>
          </w:r>
          <w:r w:rsidR="003568E3" w:rsidRPr="005621FA">
            <w:rPr>
              <w:rFonts w:cs="Arial"/>
            </w:rPr>
            <w:instrText xml:space="preserve"> CITATION Duf16 \l 2057 </w:instrText>
          </w:r>
          <w:r w:rsidR="003568E3" w:rsidRPr="005621FA">
            <w:rPr>
              <w:rFonts w:cs="Arial"/>
            </w:rPr>
            <w:fldChar w:fldCharType="separate"/>
          </w:r>
          <w:r w:rsidR="003568E3" w:rsidRPr="005621FA">
            <w:rPr>
              <w:rFonts w:cs="Arial"/>
              <w:noProof/>
            </w:rPr>
            <w:t>(Duff &amp; Urdy, 2016)</w:t>
          </w:r>
          <w:r w:rsidR="003568E3" w:rsidRPr="005621FA">
            <w:rPr>
              <w:rFonts w:cs="Arial"/>
            </w:rPr>
            <w:fldChar w:fldCharType="end"/>
          </w:r>
        </w:sdtContent>
      </w:sdt>
      <w:r w:rsidR="003568E3" w:rsidRPr="005621FA">
        <w:rPr>
          <w:rFonts w:cs="Arial"/>
        </w:rPr>
        <w:t xml:space="preserve">, </w:t>
      </w:r>
      <w:r w:rsidR="00154EEB" w:rsidRPr="005621FA">
        <w:rPr>
          <w:rFonts w:cs="Arial"/>
        </w:rPr>
        <w:t xml:space="preserve">valuable context and insight </w:t>
      </w:r>
      <w:r w:rsidR="001B1A8B" w:rsidRPr="005621FA">
        <w:rPr>
          <w:rFonts w:cs="Arial"/>
        </w:rPr>
        <w:t>that</w:t>
      </w:r>
      <w:r w:rsidR="00154EEB" w:rsidRPr="005621FA">
        <w:rPr>
          <w:rFonts w:cs="Arial"/>
        </w:rPr>
        <w:t xml:space="preserve"> transform pedagogical practice and</w:t>
      </w:r>
      <w:r w:rsidR="001B1A8B" w:rsidRPr="005621FA">
        <w:rPr>
          <w:rFonts w:cs="Arial"/>
        </w:rPr>
        <w:t xml:space="preserve"> develop new hypotheses to inform future practice</w:t>
      </w:r>
      <w:r w:rsidR="005C43EF" w:rsidRPr="005621FA">
        <w:rPr>
          <w:rFonts w:cs="Arial"/>
        </w:rPr>
        <w:t xml:space="preserve"> can be gained from case study research. </w:t>
      </w:r>
    </w:p>
    <w:p w14:paraId="447579C2" w14:textId="77777777" w:rsidR="001B1A8B" w:rsidRPr="005621FA" w:rsidRDefault="001B1A8B" w:rsidP="005621FA">
      <w:pPr>
        <w:pStyle w:val="AssignBody"/>
        <w:rPr>
          <w:rFonts w:cs="Arial"/>
        </w:rPr>
      </w:pPr>
    </w:p>
    <w:p w14:paraId="44596A7D" w14:textId="291045CB" w:rsidR="004032B7" w:rsidRPr="005621FA" w:rsidRDefault="006C5FCB" w:rsidP="005621FA">
      <w:pPr>
        <w:pStyle w:val="AssignBody"/>
        <w:rPr>
          <w:rFonts w:cs="Arial"/>
          <w:b/>
          <w:bCs/>
          <w:u w:val="single"/>
        </w:rPr>
      </w:pPr>
      <w:r w:rsidRPr="005621FA">
        <w:rPr>
          <w:rFonts w:cs="Arial"/>
        </w:rPr>
        <w:t>Acknowledging the disadvantages, th</w:t>
      </w:r>
      <w:r w:rsidR="00C04F29" w:rsidRPr="005621FA">
        <w:rPr>
          <w:rFonts w:cs="Arial"/>
        </w:rPr>
        <w:t>e decision to use a case study as the primary research method for this study was pivotal in showcasing strong critical researcher skill, as outlined by Yr Athrofa in their research disposition</w:t>
      </w:r>
      <w:r w:rsidR="001B1A8B" w:rsidRPr="005621FA">
        <w:rPr>
          <w:rFonts w:cs="Arial"/>
        </w:rPr>
        <w:t>s</w:t>
      </w:r>
      <w:r w:rsidR="00C04F29" w:rsidRPr="005621FA">
        <w:rPr>
          <w:rFonts w:cs="Arial"/>
        </w:rPr>
        <w:t xml:space="preserve"> </w:t>
      </w:r>
      <w:sdt>
        <w:sdtPr>
          <w:rPr>
            <w:rFonts w:cs="Arial"/>
            <w:color w:val="000000" w:themeColor="text1"/>
          </w:rPr>
          <w:id w:val="-1271850212"/>
          <w:citation/>
        </w:sdtPr>
        <w:sdtEndPr/>
        <w:sdtContent>
          <w:r w:rsidR="00C04F29" w:rsidRPr="005621FA">
            <w:rPr>
              <w:rFonts w:cs="Arial"/>
              <w:color w:val="000000" w:themeColor="text1"/>
            </w:rPr>
            <w:fldChar w:fldCharType="begin"/>
          </w:r>
          <w:r w:rsidR="00C04F29" w:rsidRPr="005621FA">
            <w:rPr>
              <w:rFonts w:cs="Arial"/>
              <w:color w:val="000000" w:themeColor="text1"/>
            </w:rPr>
            <w:instrText xml:space="preserve"> CITATION UWT22 \l 2057 </w:instrText>
          </w:r>
          <w:r w:rsidR="00C04F29" w:rsidRPr="005621FA">
            <w:rPr>
              <w:rFonts w:cs="Arial"/>
              <w:color w:val="000000" w:themeColor="text1"/>
            </w:rPr>
            <w:fldChar w:fldCharType="separate"/>
          </w:r>
          <w:r w:rsidR="00C04F29" w:rsidRPr="005621FA">
            <w:rPr>
              <w:rFonts w:cs="Arial"/>
              <w:noProof/>
              <w:color w:val="000000" w:themeColor="text1"/>
            </w:rPr>
            <w:t>(UWTSD, 2022)</w:t>
          </w:r>
          <w:r w:rsidR="00C04F29" w:rsidRPr="005621FA">
            <w:rPr>
              <w:rFonts w:cs="Arial"/>
              <w:color w:val="000000" w:themeColor="text1"/>
            </w:rPr>
            <w:fldChar w:fldCharType="end"/>
          </w:r>
        </w:sdtContent>
      </w:sdt>
      <w:r w:rsidR="00C04F29" w:rsidRPr="005621FA">
        <w:rPr>
          <w:rFonts w:cs="Arial"/>
          <w:color w:val="000000" w:themeColor="text1"/>
        </w:rPr>
        <w:t>. This include</w:t>
      </w:r>
      <w:r w:rsidR="0020256B">
        <w:rPr>
          <w:rFonts w:cs="Arial"/>
          <w:color w:val="000000" w:themeColor="text1"/>
        </w:rPr>
        <w:t>d</w:t>
      </w:r>
      <w:r w:rsidR="001B1A8B" w:rsidRPr="005621FA">
        <w:rPr>
          <w:rFonts w:cs="Arial"/>
          <w:color w:val="000000" w:themeColor="text1"/>
        </w:rPr>
        <w:t xml:space="preserve"> </w:t>
      </w:r>
      <w:r w:rsidR="00C04F29" w:rsidRPr="005621FA">
        <w:rPr>
          <w:rFonts w:cs="Arial"/>
          <w:color w:val="000000" w:themeColor="text1"/>
        </w:rPr>
        <w:t>having a positive relationship with education</w:t>
      </w:r>
      <w:r w:rsidR="0020256B">
        <w:rPr>
          <w:rFonts w:cs="Arial"/>
          <w:color w:val="000000" w:themeColor="text1"/>
        </w:rPr>
        <w:t>al</w:t>
      </w:r>
      <w:r w:rsidR="00C04F29" w:rsidRPr="005621FA">
        <w:rPr>
          <w:rFonts w:cs="Arial"/>
          <w:color w:val="000000" w:themeColor="text1"/>
        </w:rPr>
        <w:t xml:space="preserve"> research, as found by Orchard and Winch (2015), who </w:t>
      </w:r>
      <w:r w:rsidR="00C04F29" w:rsidRPr="005621FA">
        <w:rPr>
          <w:rFonts w:cs="Arial"/>
          <w:color w:val="000000" w:themeColor="text1"/>
        </w:rPr>
        <w:lastRenderedPageBreak/>
        <w:t xml:space="preserve">emphasise the importance of research engagement for success in pedagogical practice. Understanding the various ways in which a case study can be conducted and evaluating the most suitable method to use further exemplified the significance of being involved in research </w:t>
      </w:r>
      <w:sdt>
        <w:sdtPr>
          <w:rPr>
            <w:rFonts w:cs="Arial"/>
            <w:color w:val="000000" w:themeColor="text1"/>
          </w:rPr>
          <w:id w:val="1248916170"/>
          <w:citation/>
        </w:sdtPr>
        <w:sdtEndPr/>
        <w:sdtContent>
          <w:r w:rsidR="00C04F29" w:rsidRPr="005621FA">
            <w:rPr>
              <w:rFonts w:cs="Arial"/>
              <w:color w:val="000000" w:themeColor="text1"/>
            </w:rPr>
            <w:fldChar w:fldCharType="begin"/>
          </w:r>
          <w:r w:rsidR="003E1179">
            <w:rPr>
              <w:rFonts w:cs="Arial"/>
              <w:color w:val="000000" w:themeColor="text1"/>
            </w:rPr>
            <w:instrText xml:space="preserve">CITATION Wel17 \l 2057 </w:instrText>
          </w:r>
          <w:r w:rsidR="00C04F29" w:rsidRPr="005621FA">
            <w:rPr>
              <w:rFonts w:cs="Arial"/>
              <w:color w:val="000000" w:themeColor="text1"/>
            </w:rPr>
            <w:fldChar w:fldCharType="separate"/>
          </w:r>
          <w:r w:rsidR="003E1179" w:rsidRPr="003E1179">
            <w:rPr>
              <w:rFonts w:cs="Arial"/>
              <w:noProof/>
              <w:color w:val="000000" w:themeColor="text1"/>
            </w:rPr>
            <w:t>(Welsh Government, 2020)</w:t>
          </w:r>
          <w:r w:rsidR="00C04F29" w:rsidRPr="005621FA">
            <w:rPr>
              <w:rFonts w:cs="Arial"/>
              <w:color w:val="000000" w:themeColor="text1"/>
            </w:rPr>
            <w:fldChar w:fldCharType="end"/>
          </w:r>
        </w:sdtContent>
      </w:sdt>
      <w:r w:rsidR="00C04F29" w:rsidRPr="005621FA">
        <w:rPr>
          <w:rFonts w:cs="Arial"/>
          <w:color w:val="000000" w:themeColor="text1"/>
        </w:rPr>
        <w:t xml:space="preserve">, as the researcher took a step forward towards attaining the professional standard of “Professional Learning – Wider reading and research findings”, </w:t>
      </w:r>
      <w:sdt>
        <w:sdtPr>
          <w:rPr>
            <w:rFonts w:cs="Arial"/>
            <w:color w:val="000000" w:themeColor="text1"/>
          </w:rPr>
          <w:id w:val="957766157"/>
          <w:citation/>
        </w:sdtPr>
        <w:sdtEndPr/>
        <w:sdtContent>
          <w:r w:rsidR="00C04F29" w:rsidRPr="005621FA">
            <w:rPr>
              <w:rFonts w:cs="Arial"/>
              <w:color w:val="000000" w:themeColor="text1"/>
            </w:rPr>
            <w:fldChar w:fldCharType="begin"/>
          </w:r>
          <w:r w:rsidR="00C04F29" w:rsidRPr="005621FA">
            <w:rPr>
              <w:rFonts w:cs="Arial"/>
              <w:color w:val="000000" w:themeColor="text1"/>
            </w:rPr>
            <w:instrText xml:space="preserve">CITATION Wel192 \p 21 \l 2057 </w:instrText>
          </w:r>
          <w:r w:rsidR="00C04F29" w:rsidRPr="005621FA">
            <w:rPr>
              <w:rFonts w:cs="Arial"/>
              <w:color w:val="000000" w:themeColor="text1"/>
            </w:rPr>
            <w:fldChar w:fldCharType="separate"/>
          </w:r>
          <w:r w:rsidR="00C04F29" w:rsidRPr="005621FA">
            <w:rPr>
              <w:rFonts w:cs="Arial"/>
              <w:noProof/>
              <w:color w:val="000000" w:themeColor="text1"/>
            </w:rPr>
            <w:t>(Welsh Government, 2019, p. 21)</w:t>
          </w:r>
          <w:r w:rsidR="00C04F29" w:rsidRPr="005621FA">
            <w:rPr>
              <w:rFonts w:cs="Arial"/>
              <w:color w:val="000000" w:themeColor="text1"/>
            </w:rPr>
            <w:fldChar w:fldCharType="end"/>
          </w:r>
        </w:sdtContent>
      </w:sdt>
      <w:r w:rsidR="00C04F29" w:rsidRPr="005621FA">
        <w:rPr>
          <w:rFonts w:cs="Arial"/>
          <w:color w:val="000000" w:themeColor="text1"/>
        </w:rPr>
        <w:t>, utilising a case study approach to gather information and examine implications for practice.</w:t>
      </w:r>
    </w:p>
    <w:p w14:paraId="6A06D9B4" w14:textId="77777777" w:rsidR="004032B7" w:rsidRPr="005621FA" w:rsidRDefault="004032B7" w:rsidP="005621FA">
      <w:pPr>
        <w:pStyle w:val="AssignBody"/>
        <w:rPr>
          <w:rFonts w:cs="Arial"/>
          <w:b/>
          <w:bCs/>
          <w:u w:val="single"/>
        </w:rPr>
      </w:pPr>
    </w:p>
    <w:p w14:paraId="0AFF5873" w14:textId="787D7288" w:rsidR="009243E9" w:rsidRPr="005621FA" w:rsidRDefault="009243E9" w:rsidP="005621FA">
      <w:pPr>
        <w:pStyle w:val="AssignBody"/>
        <w:rPr>
          <w:rFonts w:cs="Arial"/>
          <w:color w:val="000000" w:themeColor="text1"/>
        </w:rPr>
      </w:pPr>
      <w:r w:rsidRPr="005621FA">
        <w:rPr>
          <w:rFonts w:cs="Arial"/>
        </w:rPr>
        <w:t xml:space="preserve">To gather comprehensive data for the case study, a mixed-methods approach was employed, utilising </w:t>
      </w:r>
      <w:r w:rsidR="008E667C" w:rsidRPr="005621FA">
        <w:rPr>
          <w:rFonts w:cs="Arial"/>
        </w:rPr>
        <w:t xml:space="preserve">interviews, </w:t>
      </w:r>
      <w:r w:rsidR="00201E6F" w:rsidRPr="005621FA">
        <w:rPr>
          <w:rFonts w:cs="Arial"/>
        </w:rPr>
        <w:t>questionnaires,</w:t>
      </w:r>
      <w:r w:rsidR="008E667C" w:rsidRPr="005621FA">
        <w:rPr>
          <w:rFonts w:cs="Arial"/>
        </w:rPr>
        <w:t xml:space="preserve"> and an observation to gather </w:t>
      </w:r>
      <w:r w:rsidRPr="005621FA">
        <w:rPr>
          <w:rFonts w:cs="Arial"/>
        </w:rPr>
        <w:t xml:space="preserve">qualitative and quantitative </w:t>
      </w:r>
      <w:r w:rsidR="00201E6F" w:rsidRPr="005621FA">
        <w:rPr>
          <w:rFonts w:cs="Arial"/>
        </w:rPr>
        <w:t>data</w:t>
      </w:r>
      <w:r w:rsidRPr="005621FA">
        <w:rPr>
          <w:rFonts w:cs="Arial"/>
        </w:rPr>
        <w:t xml:space="preserve"> (Den</w:t>
      </w:r>
      <w:r w:rsidR="00497BFC" w:rsidRPr="005621FA">
        <w:rPr>
          <w:rFonts w:cs="Arial"/>
        </w:rPr>
        <w:t>scombe, 2104)</w:t>
      </w:r>
      <w:r w:rsidRPr="005621FA">
        <w:rPr>
          <w:rFonts w:cs="Arial"/>
        </w:rPr>
        <w:t xml:space="preserve">. By triangulating these various data sources, a </w:t>
      </w:r>
      <w:r w:rsidR="00137417" w:rsidRPr="005621FA">
        <w:rPr>
          <w:rFonts w:cs="Arial"/>
        </w:rPr>
        <w:t xml:space="preserve">trustworthy and </w:t>
      </w:r>
      <w:r w:rsidRPr="005621FA">
        <w:rPr>
          <w:rFonts w:cs="Arial"/>
        </w:rPr>
        <w:t xml:space="preserve">holistic understanding of </w:t>
      </w:r>
      <w:r w:rsidR="00497BFC" w:rsidRPr="005621FA">
        <w:rPr>
          <w:rFonts w:cs="Arial"/>
        </w:rPr>
        <w:t>pupil independence</w:t>
      </w:r>
      <w:r w:rsidRPr="005621FA">
        <w:rPr>
          <w:rFonts w:cs="Arial"/>
        </w:rPr>
        <w:t xml:space="preserve"> </w:t>
      </w:r>
      <w:r w:rsidR="008E667C" w:rsidRPr="005621FA">
        <w:rPr>
          <w:rFonts w:cs="Arial"/>
        </w:rPr>
        <w:t>was</w:t>
      </w:r>
      <w:r w:rsidRPr="005621FA">
        <w:rPr>
          <w:rFonts w:cs="Arial"/>
        </w:rPr>
        <w:t xml:space="preserve"> gained, allowing for a more nuanced </w:t>
      </w:r>
      <w:r w:rsidR="008E667C" w:rsidRPr="005621FA">
        <w:rPr>
          <w:rFonts w:cs="Arial"/>
        </w:rPr>
        <w:t xml:space="preserve">understanding of how learners are supported in becoming healthy, confident </w:t>
      </w:r>
      <w:r w:rsidR="00201E6F" w:rsidRPr="005621FA">
        <w:rPr>
          <w:rFonts w:cs="Arial"/>
        </w:rPr>
        <w:t xml:space="preserve">individuals </w:t>
      </w:r>
      <w:r w:rsidR="00497BFC" w:rsidRPr="005621FA">
        <w:rPr>
          <w:rFonts w:cs="Arial"/>
        </w:rPr>
        <w:t xml:space="preserve"> </w:t>
      </w:r>
      <w:sdt>
        <w:sdtPr>
          <w:rPr>
            <w:rFonts w:cs="Arial"/>
          </w:rPr>
          <w:id w:val="-1641568439"/>
          <w:citation/>
        </w:sdtPr>
        <w:sdtEndPr/>
        <w:sdtContent>
          <w:r w:rsidR="00201E6F" w:rsidRPr="005621FA">
            <w:rPr>
              <w:rFonts w:cs="Arial"/>
            </w:rPr>
            <w:fldChar w:fldCharType="begin"/>
          </w:r>
          <w:r w:rsidR="00201E6F" w:rsidRPr="005621FA">
            <w:rPr>
              <w:rFonts w:cs="Arial"/>
            </w:rPr>
            <w:instrText xml:space="preserve"> CITATION Mer15 \l 2057 </w:instrText>
          </w:r>
          <w:r w:rsidR="00201E6F" w:rsidRPr="005621FA">
            <w:rPr>
              <w:rFonts w:cs="Arial"/>
            </w:rPr>
            <w:fldChar w:fldCharType="separate"/>
          </w:r>
          <w:r w:rsidR="00201E6F" w:rsidRPr="005621FA">
            <w:rPr>
              <w:rFonts w:cs="Arial"/>
              <w:noProof/>
            </w:rPr>
            <w:t>(Merriam, 2015)</w:t>
          </w:r>
          <w:r w:rsidR="00201E6F" w:rsidRPr="005621FA">
            <w:rPr>
              <w:rFonts w:cs="Arial"/>
            </w:rPr>
            <w:fldChar w:fldCharType="end"/>
          </w:r>
        </w:sdtContent>
      </w:sdt>
      <w:r w:rsidR="00201E6F" w:rsidRPr="005621FA">
        <w:rPr>
          <w:rFonts w:cs="Arial"/>
        </w:rPr>
        <w:t xml:space="preserve">. </w:t>
      </w:r>
      <w:r w:rsidR="00907CBC" w:rsidRPr="005621FA">
        <w:rPr>
          <w:rFonts w:cs="Arial"/>
        </w:rPr>
        <w:t>T</w:t>
      </w:r>
      <w:r w:rsidR="00C359F0" w:rsidRPr="005621FA">
        <w:rPr>
          <w:rFonts w:cs="Arial"/>
        </w:rPr>
        <w:t xml:space="preserve">he triangulation </w:t>
      </w:r>
      <w:r w:rsidR="004245EC" w:rsidRPr="005621FA">
        <w:rPr>
          <w:rFonts w:cs="Arial"/>
        </w:rPr>
        <w:t>of the data allowed the researcher to</w:t>
      </w:r>
      <w:r w:rsidR="00B07E9F" w:rsidRPr="005621FA">
        <w:rPr>
          <w:rFonts w:cs="Arial"/>
        </w:rPr>
        <w:t xml:space="preserve"> compare and contrast data collected from different </w:t>
      </w:r>
      <w:r w:rsidR="00433BA7" w:rsidRPr="005621FA">
        <w:rPr>
          <w:rFonts w:cs="Arial"/>
        </w:rPr>
        <w:t>sources</w:t>
      </w:r>
      <w:r w:rsidR="001218E1" w:rsidRPr="005621FA">
        <w:rPr>
          <w:rFonts w:cs="Arial"/>
        </w:rPr>
        <w:t xml:space="preserve">, highlighting consistent patterns </w:t>
      </w:r>
      <w:r w:rsidR="003D2F18" w:rsidRPr="005621FA">
        <w:rPr>
          <w:rFonts w:cs="Arial"/>
        </w:rPr>
        <w:t>across the data, t</w:t>
      </w:r>
      <w:r w:rsidR="00873912" w:rsidRPr="005621FA">
        <w:rPr>
          <w:rFonts w:cs="Arial"/>
        </w:rPr>
        <w:t>hus increasing the</w:t>
      </w:r>
      <w:r w:rsidR="00B07E9F" w:rsidRPr="005621FA">
        <w:rPr>
          <w:rFonts w:cs="Arial"/>
        </w:rPr>
        <w:t xml:space="preserve"> reliability of the findings</w:t>
      </w:r>
      <w:r w:rsidR="009711F7" w:rsidRPr="005621FA">
        <w:rPr>
          <w:rFonts w:cs="Arial"/>
        </w:rPr>
        <w:t xml:space="preserve"> (</w:t>
      </w:r>
      <w:r w:rsidR="0015551C" w:rsidRPr="005621FA">
        <w:rPr>
          <w:rFonts w:cs="Arial"/>
        </w:rPr>
        <w:t xml:space="preserve">May &amp; Perry, 2011; </w:t>
      </w:r>
      <w:r w:rsidR="009711F7" w:rsidRPr="005621FA">
        <w:rPr>
          <w:rFonts w:cs="Arial"/>
        </w:rPr>
        <w:t xml:space="preserve">Creswell, 2014; </w:t>
      </w:r>
      <w:r w:rsidR="0015551C" w:rsidRPr="005621FA">
        <w:rPr>
          <w:rFonts w:cs="Arial"/>
        </w:rPr>
        <w:t xml:space="preserve">Denzin &amp; Lincoln, 2018). </w:t>
      </w:r>
    </w:p>
    <w:p w14:paraId="14AB7C49" w14:textId="11CBBEFC" w:rsidR="00201E6F" w:rsidRPr="005621FA" w:rsidRDefault="00201E6F" w:rsidP="005621FA">
      <w:pPr>
        <w:pStyle w:val="AssignBody"/>
        <w:rPr>
          <w:rFonts w:cs="Arial"/>
        </w:rPr>
      </w:pPr>
    </w:p>
    <w:p w14:paraId="4D02C841" w14:textId="7C4B8D8F" w:rsidR="00CB4F6D" w:rsidRPr="005621FA" w:rsidRDefault="00F677D9" w:rsidP="005621FA">
      <w:pPr>
        <w:pStyle w:val="AssignBody"/>
        <w:rPr>
          <w:rFonts w:cs="Arial"/>
        </w:rPr>
      </w:pPr>
      <w:r w:rsidRPr="005621FA">
        <w:rPr>
          <w:rFonts w:cs="Arial"/>
        </w:rPr>
        <w:t xml:space="preserve">Learner interviews were conducted to gather qualitative data (Thomas, </w:t>
      </w:r>
      <w:r w:rsidR="006D2617" w:rsidRPr="005621FA">
        <w:rPr>
          <w:rFonts w:cs="Arial"/>
        </w:rPr>
        <w:t>2017) (</w:t>
      </w:r>
      <w:r w:rsidR="00D04BBE" w:rsidRPr="005621FA">
        <w:rPr>
          <w:rFonts w:cs="Arial"/>
        </w:rPr>
        <w:t>Appendix 1)</w:t>
      </w:r>
      <w:r w:rsidRPr="005621FA">
        <w:rPr>
          <w:rFonts w:cs="Arial"/>
        </w:rPr>
        <w:t xml:space="preserve">. </w:t>
      </w:r>
      <w:r w:rsidR="00535DA5" w:rsidRPr="005621FA">
        <w:rPr>
          <w:rFonts w:cs="Arial"/>
        </w:rPr>
        <w:t xml:space="preserve">The decision to forego focus groups and conduct individual interviews was influenced by the dynamic of the class and the concern that some individuals may dominate the discussion, potentially preventing others from sharing their thoughts and experiences (Creswell, 2013). </w:t>
      </w:r>
      <w:r w:rsidR="00B2507A" w:rsidRPr="005621FA">
        <w:rPr>
          <w:rFonts w:cs="Arial"/>
        </w:rPr>
        <w:t xml:space="preserve">Whilst insights gained from the staff would have </w:t>
      </w:r>
      <w:r w:rsidR="003D05E0" w:rsidRPr="005621FA">
        <w:rPr>
          <w:rFonts w:cs="Arial"/>
        </w:rPr>
        <w:t xml:space="preserve">been </w:t>
      </w:r>
      <w:r w:rsidR="00A24D5F" w:rsidRPr="005621FA">
        <w:rPr>
          <w:rFonts w:cs="Arial"/>
        </w:rPr>
        <w:t>beneficial (Cohen &amp; Manion, 201</w:t>
      </w:r>
      <w:r w:rsidR="003664F7">
        <w:rPr>
          <w:rFonts w:cs="Arial"/>
        </w:rPr>
        <w:t>3</w:t>
      </w:r>
      <w:r w:rsidR="00A24D5F" w:rsidRPr="005621FA">
        <w:rPr>
          <w:rFonts w:cs="Arial"/>
        </w:rPr>
        <w:t>),</w:t>
      </w:r>
      <w:r w:rsidR="00B2507A" w:rsidRPr="005621FA">
        <w:rPr>
          <w:rFonts w:cs="Arial"/>
        </w:rPr>
        <w:t xml:space="preserve"> </w:t>
      </w:r>
      <w:r w:rsidR="00EC6968" w:rsidRPr="005621FA">
        <w:rPr>
          <w:rFonts w:cs="Arial"/>
        </w:rPr>
        <w:t xml:space="preserve">the decision was made not to conduct interviews with them due to the constraints faced by teachers, namely their lack of time for extra work </w:t>
      </w:r>
      <w:r w:rsidR="002A196B" w:rsidRPr="005621FA">
        <w:rPr>
          <w:rFonts w:cs="Arial"/>
        </w:rPr>
        <w:t xml:space="preserve">(Gurr &amp; Collis, 2017; Alzahrani &amp; Huang, 2020). </w:t>
      </w:r>
      <w:r w:rsidR="003D05E0" w:rsidRPr="005621FA">
        <w:rPr>
          <w:rFonts w:cs="Arial"/>
        </w:rPr>
        <w:t>Therefore, i</w:t>
      </w:r>
      <w:r w:rsidR="002A196B" w:rsidRPr="005621FA">
        <w:rPr>
          <w:rFonts w:cs="Arial"/>
        </w:rPr>
        <w:t>t was deemed unnecessary to collate data from the staff through interviews and questionnaires</w:t>
      </w:r>
      <w:r w:rsidR="00CB4F6D" w:rsidRPr="005621FA">
        <w:rPr>
          <w:rFonts w:cs="Arial"/>
        </w:rPr>
        <w:t xml:space="preserve"> as the extra time required for this data collection would have placed an additional burden on already overworked teachers </w:t>
      </w:r>
      <w:sdt>
        <w:sdtPr>
          <w:rPr>
            <w:rFonts w:cs="Arial"/>
          </w:rPr>
          <w:id w:val="-5059411"/>
          <w:citation/>
        </w:sdtPr>
        <w:sdtEndPr/>
        <w:sdtContent>
          <w:r w:rsidR="00CB4F6D" w:rsidRPr="005621FA">
            <w:rPr>
              <w:rFonts w:cs="Arial"/>
            </w:rPr>
            <w:fldChar w:fldCharType="begin"/>
          </w:r>
          <w:r w:rsidR="00CB4F6D" w:rsidRPr="005621FA">
            <w:rPr>
              <w:rFonts w:cs="Arial"/>
            </w:rPr>
            <w:instrText xml:space="preserve">CITATION Gur17 \l 2057 </w:instrText>
          </w:r>
          <w:r w:rsidR="00CB4F6D" w:rsidRPr="005621FA">
            <w:rPr>
              <w:rFonts w:cs="Arial"/>
            </w:rPr>
            <w:fldChar w:fldCharType="separate"/>
          </w:r>
          <w:r w:rsidR="00CB4F6D" w:rsidRPr="005621FA">
            <w:rPr>
              <w:rFonts w:eastAsiaTheme="minorHAnsi" w:cs="Arial"/>
              <w:noProof/>
            </w:rPr>
            <w:t>(Gurr &amp; Collis, 2017)</w:t>
          </w:r>
          <w:r w:rsidR="00CB4F6D" w:rsidRPr="005621FA">
            <w:rPr>
              <w:rFonts w:cs="Arial"/>
            </w:rPr>
            <w:fldChar w:fldCharType="end"/>
          </w:r>
        </w:sdtContent>
      </w:sdt>
      <w:r w:rsidR="00CB4F6D" w:rsidRPr="005621FA">
        <w:rPr>
          <w:rFonts w:cs="Arial"/>
        </w:rPr>
        <w:t>.</w:t>
      </w:r>
      <w:r w:rsidR="00CC1230" w:rsidRPr="005621FA">
        <w:rPr>
          <w:rFonts w:cs="Arial"/>
        </w:rPr>
        <w:t xml:space="preserve"> </w:t>
      </w:r>
      <w:r w:rsidR="004A4269" w:rsidRPr="005621FA">
        <w:rPr>
          <w:rFonts w:cs="Arial"/>
        </w:rPr>
        <w:t>Acknowledging</w:t>
      </w:r>
      <w:r w:rsidR="00CC1230" w:rsidRPr="005621FA">
        <w:rPr>
          <w:rFonts w:cs="Arial"/>
        </w:rPr>
        <w:t xml:space="preserve"> the </w:t>
      </w:r>
      <w:r w:rsidR="000E0F23" w:rsidRPr="005621FA">
        <w:rPr>
          <w:rFonts w:cs="Arial"/>
        </w:rPr>
        <w:t xml:space="preserve">lack of time, a brief schedule was created (Appendix </w:t>
      </w:r>
      <w:r w:rsidR="004826E8" w:rsidRPr="005621FA">
        <w:rPr>
          <w:rFonts w:cs="Arial"/>
        </w:rPr>
        <w:t>2</w:t>
      </w:r>
      <w:r w:rsidR="000E0F23" w:rsidRPr="005621FA">
        <w:rPr>
          <w:rFonts w:cs="Arial"/>
        </w:rPr>
        <w:t xml:space="preserve">). Whilst educational research does not always follow a rigid structure (Denscombe, 2014), having a brief schedule in place helped to reduce pressure for all involved. </w:t>
      </w:r>
    </w:p>
    <w:p w14:paraId="0594E968" w14:textId="77777777" w:rsidR="000E0F23" w:rsidRPr="005621FA" w:rsidRDefault="000E0F23" w:rsidP="005621FA">
      <w:pPr>
        <w:pStyle w:val="AssignBody"/>
        <w:rPr>
          <w:rFonts w:cs="Arial"/>
        </w:rPr>
      </w:pPr>
    </w:p>
    <w:p w14:paraId="153E6E6D" w14:textId="27DEDE6F" w:rsidR="00CB4F6D" w:rsidRPr="005621FA" w:rsidRDefault="00CB4F6D" w:rsidP="005621FA">
      <w:pPr>
        <w:pStyle w:val="AssignBody"/>
        <w:rPr>
          <w:rFonts w:cs="Arial"/>
          <w:color w:val="000000" w:themeColor="text1"/>
        </w:rPr>
      </w:pPr>
      <w:r w:rsidRPr="005621FA">
        <w:rPr>
          <w:rFonts w:cs="Arial"/>
        </w:rPr>
        <w:t>Nonetheless</w:t>
      </w:r>
      <w:r w:rsidR="005D0FC7" w:rsidRPr="005621FA">
        <w:rPr>
          <w:rFonts w:cs="Arial"/>
        </w:rPr>
        <w:t>, the study was able to gather significant qualitative data through an inductive approach to the learner interviews.</w:t>
      </w:r>
      <w:r w:rsidR="0084097F" w:rsidRPr="005621FA">
        <w:rPr>
          <w:rFonts w:cs="Arial"/>
        </w:rPr>
        <w:t xml:space="preserve"> An inductive approach </w:t>
      </w:r>
      <w:r w:rsidR="00265A51" w:rsidRPr="005621FA">
        <w:rPr>
          <w:rFonts w:cs="Arial"/>
        </w:rPr>
        <w:t xml:space="preserve">allowed themes and patterns to emerge from the data itself, rather than being predetermined by the researcher </w:t>
      </w:r>
      <w:sdt>
        <w:sdtPr>
          <w:rPr>
            <w:rFonts w:cs="Arial"/>
          </w:rPr>
          <w:id w:val="-1840069588"/>
          <w:citation/>
        </w:sdtPr>
        <w:sdtEndPr/>
        <w:sdtContent>
          <w:r w:rsidR="00265A51" w:rsidRPr="005621FA">
            <w:rPr>
              <w:rFonts w:cs="Arial"/>
            </w:rPr>
            <w:fldChar w:fldCharType="begin"/>
          </w:r>
          <w:r w:rsidR="00265A51" w:rsidRPr="005621FA">
            <w:rPr>
              <w:rFonts w:cs="Arial"/>
            </w:rPr>
            <w:instrText xml:space="preserve"> CITATION Pat15 \l 2057 </w:instrText>
          </w:r>
          <w:r w:rsidR="00265A51" w:rsidRPr="005621FA">
            <w:rPr>
              <w:rFonts w:cs="Arial"/>
            </w:rPr>
            <w:fldChar w:fldCharType="separate"/>
          </w:r>
          <w:r w:rsidR="00265A51" w:rsidRPr="005621FA">
            <w:rPr>
              <w:rFonts w:cs="Arial"/>
              <w:noProof/>
            </w:rPr>
            <w:t>(Patton, 2015)</w:t>
          </w:r>
          <w:r w:rsidR="00265A51" w:rsidRPr="005621FA">
            <w:rPr>
              <w:rFonts w:cs="Arial"/>
            </w:rPr>
            <w:fldChar w:fldCharType="end"/>
          </w:r>
        </w:sdtContent>
      </w:sdt>
      <w:r w:rsidR="00265A51" w:rsidRPr="005621FA">
        <w:rPr>
          <w:rFonts w:cs="Arial"/>
        </w:rPr>
        <w:t>. Open-ended questions were asked to encourage the learners to share their thoughts and experiences in their own words, without imposing any preconceived ideas (</w:t>
      </w:r>
      <w:r w:rsidR="005D0FC7" w:rsidRPr="005621FA">
        <w:rPr>
          <w:rFonts w:cs="Arial"/>
        </w:rPr>
        <w:t xml:space="preserve">Thomas, </w:t>
      </w:r>
      <w:r w:rsidR="005D0FC7" w:rsidRPr="005621FA">
        <w:rPr>
          <w:rFonts w:cs="Arial"/>
        </w:rPr>
        <w:lastRenderedPageBreak/>
        <w:t>2006; Creswell, 2013)</w:t>
      </w:r>
      <w:r w:rsidR="00265A51" w:rsidRPr="005621FA">
        <w:rPr>
          <w:rFonts w:cs="Arial"/>
        </w:rPr>
        <w:t xml:space="preserve">. This approach allowed for a more exploratory and flexible research process, as the data collected was analysed into recurring themes and </w:t>
      </w:r>
      <w:r w:rsidR="004032B7" w:rsidRPr="005621FA">
        <w:rPr>
          <w:rFonts w:cs="Arial"/>
        </w:rPr>
        <w:t>patterns</w:t>
      </w:r>
      <w:r w:rsidR="005C422D" w:rsidRPr="005621FA">
        <w:rPr>
          <w:rFonts w:cs="Arial"/>
        </w:rPr>
        <w:t xml:space="preserve">, </w:t>
      </w:r>
      <w:r w:rsidR="004032B7" w:rsidRPr="005621FA">
        <w:rPr>
          <w:rFonts w:cs="Arial"/>
        </w:rPr>
        <w:t xml:space="preserve">grounded in the </w:t>
      </w:r>
      <w:r w:rsidR="00CC1230" w:rsidRPr="005621FA">
        <w:rPr>
          <w:rFonts w:cs="Arial"/>
        </w:rPr>
        <w:t>learners’</w:t>
      </w:r>
      <w:r w:rsidR="004032B7" w:rsidRPr="005621FA">
        <w:rPr>
          <w:rFonts w:cs="Arial"/>
        </w:rPr>
        <w:t xml:space="preserve"> </w:t>
      </w:r>
      <w:r w:rsidR="005C422D" w:rsidRPr="005621FA">
        <w:rPr>
          <w:rFonts w:cs="Arial"/>
        </w:rPr>
        <w:t>perspectives</w:t>
      </w:r>
      <w:r w:rsidR="004032B7" w:rsidRPr="005621FA">
        <w:rPr>
          <w:rFonts w:cs="Arial"/>
        </w:rPr>
        <w:t xml:space="preserve"> and experiences</w:t>
      </w:r>
      <w:r w:rsidR="00CC1230" w:rsidRPr="005621FA">
        <w:rPr>
          <w:rFonts w:cs="Arial"/>
        </w:rPr>
        <w:t xml:space="preserve"> </w:t>
      </w:r>
      <w:sdt>
        <w:sdtPr>
          <w:rPr>
            <w:rFonts w:cs="Arial"/>
            <w:color w:val="000000" w:themeColor="text1"/>
          </w:rPr>
          <w:id w:val="1561511832"/>
          <w:citation/>
        </w:sdtPr>
        <w:sdtEndPr/>
        <w:sdtContent>
          <w:r w:rsidRPr="005621FA">
            <w:rPr>
              <w:rFonts w:cs="Arial"/>
              <w:color w:val="000000" w:themeColor="text1"/>
            </w:rPr>
            <w:fldChar w:fldCharType="begin"/>
          </w:r>
          <w:r w:rsidRPr="005621FA">
            <w:rPr>
              <w:rFonts w:cs="Arial"/>
              <w:color w:val="000000" w:themeColor="text1"/>
            </w:rPr>
            <w:instrText xml:space="preserve">CITATION Art12 \l 2057 </w:instrText>
          </w:r>
          <w:r w:rsidRPr="005621FA">
            <w:rPr>
              <w:rFonts w:cs="Arial"/>
              <w:color w:val="000000" w:themeColor="text1"/>
            </w:rPr>
            <w:fldChar w:fldCharType="separate"/>
          </w:r>
          <w:r w:rsidRPr="005621FA">
            <w:rPr>
              <w:rFonts w:cs="Arial"/>
              <w:noProof/>
              <w:color w:val="000000" w:themeColor="text1"/>
            </w:rPr>
            <w:t>(Arthur, 2012)</w:t>
          </w:r>
          <w:r w:rsidRPr="005621FA">
            <w:rPr>
              <w:rFonts w:cs="Arial"/>
              <w:color w:val="000000" w:themeColor="text1"/>
            </w:rPr>
            <w:fldChar w:fldCharType="end"/>
          </w:r>
        </w:sdtContent>
      </w:sdt>
      <w:r w:rsidRPr="005621FA">
        <w:rPr>
          <w:rFonts w:cs="Arial"/>
          <w:color w:val="000000" w:themeColor="text1"/>
        </w:rPr>
        <w:t>.</w:t>
      </w:r>
    </w:p>
    <w:p w14:paraId="2D0F2AB5" w14:textId="77777777" w:rsidR="000E0F23" w:rsidRPr="005621FA" w:rsidRDefault="000E0F23" w:rsidP="005621FA">
      <w:pPr>
        <w:pStyle w:val="AssignBody"/>
        <w:rPr>
          <w:rFonts w:cs="Arial"/>
          <w:color w:val="000000" w:themeColor="text1"/>
        </w:rPr>
      </w:pPr>
    </w:p>
    <w:p w14:paraId="224E2BBD" w14:textId="532C4147" w:rsidR="00CB4F6D" w:rsidRPr="005621FA" w:rsidRDefault="00D04BBE" w:rsidP="005621FA">
      <w:pPr>
        <w:pStyle w:val="AssignBody"/>
        <w:rPr>
          <w:rFonts w:cs="Arial"/>
        </w:rPr>
      </w:pPr>
      <w:r w:rsidRPr="005621FA">
        <w:rPr>
          <w:rFonts w:cs="Arial"/>
        </w:rPr>
        <w:t>To</w:t>
      </w:r>
      <w:r w:rsidR="00CC1230" w:rsidRPr="005621FA">
        <w:rPr>
          <w:rFonts w:cs="Arial"/>
        </w:rPr>
        <w:t xml:space="preserve"> avoid the distraction of typing during the interviews, the flow of the conversations was taken into consideration and all interviews were audio recorded. This not only minimi</w:t>
      </w:r>
      <w:r w:rsidR="00934E69" w:rsidRPr="005621FA">
        <w:rPr>
          <w:rFonts w:cs="Arial"/>
        </w:rPr>
        <w:t>s</w:t>
      </w:r>
      <w:r w:rsidR="00CC1230" w:rsidRPr="005621FA">
        <w:rPr>
          <w:rFonts w:cs="Arial"/>
        </w:rPr>
        <w:t>ed potential distractions but also increased the reliability of the data during transcription</w:t>
      </w:r>
      <w:r w:rsidR="0009055D" w:rsidRPr="005621FA">
        <w:rPr>
          <w:rFonts w:cs="Arial"/>
        </w:rPr>
        <w:t xml:space="preserve"> (Patton, 2015).</w:t>
      </w:r>
      <w:r w:rsidR="00CC1230" w:rsidRPr="005621FA">
        <w:rPr>
          <w:rFonts w:cs="Arial"/>
        </w:rPr>
        <w:t xml:space="preserve"> </w:t>
      </w:r>
      <w:r w:rsidR="0009055D" w:rsidRPr="005621FA">
        <w:rPr>
          <w:rFonts w:cs="Arial"/>
        </w:rPr>
        <w:t>To facilitate readability and analysis of the findings during transcription, the terms "interviewer" and "p</w:t>
      </w:r>
      <w:r w:rsidR="009C7E9C" w:rsidRPr="005621FA">
        <w:rPr>
          <w:rFonts w:cs="Arial"/>
        </w:rPr>
        <w:t>upil</w:t>
      </w:r>
      <w:r w:rsidR="0009055D" w:rsidRPr="005621FA">
        <w:rPr>
          <w:rFonts w:cs="Arial"/>
        </w:rPr>
        <w:t>" were utili</w:t>
      </w:r>
      <w:r w:rsidR="00535DA5" w:rsidRPr="005621FA">
        <w:rPr>
          <w:rFonts w:cs="Arial"/>
        </w:rPr>
        <w:t>s</w:t>
      </w:r>
      <w:r w:rsidR="0009055D" w:rsidRPr="005621FA">
        <w:rPr>
          <w:rFonts w:cs="Arial"/>
        </w:rPr>
        <w:t>ed instead of "interviewer" and "interviewee"</w:t>
      </w:r>
      <w:r w:rsidR="00535DA5" w:rsidRPr="005621FA">
        <w:rPr>
          <w:rFonts w:cs="Arial"/>
        </w:rPr>
        <w:t xml:space="preserve"> </w:t>
      </w:r>
      <w:sdt>
        <w:sdtPr>
          <w:rPr>
            <w:rFonts w:cs="Arial"/>
            <w:color w:val="000000" w:themeColor="text1"/>
          </w:rPr>
          <w:id w:val="-1547446024"/>
          <w:citation/>
        </w:sdtPr>
        <w:sdtEndPr/>
        <w:sdtContent>
          <w:r w:rsidR="00535DA5" w:rsidRPr="005621FA">
            <w:rPr>
              <w:rFonts w:cs="Arial"/>
              <w:color w:val="000000" w:themeColor="text1"/>
            </w:rPr>
            <w:fldChar w:fldCharType="begin"/>
          </w:r>
          <w:r w:rsidR="00535DA5" w:rsidRPr="005621FA">
            <w:rPr>
              <w:rFonts w:cs="Arial"/>
              <w:color w:val="000000" w:themeColor="text1"/>
            </w:rPr>
            <w:instrText xml:space="preserve"> CITATION Tho06 \l 2057 </w:instrText>
          </w:r>
          <w:r w:rsidR="00535DA5" w:rsidRPr="005621FA">
            <w:rPr>
              <w:rFonts w:cs="Arial"/>
              <w:color w:val="000000" w:themeColor="text1"/>
            </w:rPr>
            <w:fldChar w:fldCharType="separate"/>
          </w:r>
          <w:r w:rsidR="00535DA5" w:rsidRPr="005621FA">
            <w:rPr>
              <w:rFonts w:cs="Arial"/>
              <w:noProof/>
              <w:color w:val="000000" w:themeColor="text1"/>
            </w:rPr>
            <w:t>(Thody, 2006)</w:t>
          </w:r>
          <w:r w:rsidR="00535DA5" w:rsidRPr="005621FA">
            <w:rPr>
              <w:rFonts w:cs="Arial"/>
              <w:color w:val="000000" w:themeColor="text1"/>
            </w:rPr>
            <w:fldChar w:fldCharType="end"/>
          </w:r>
        </w:sdtContent>
      </w:sdt>
      <w:r w:rsidR="00EC642E" w:rsidRPr="005621FA">
        <w:rPr>
          <w:rFonts w:cs="Arial"/>
          <w:color w:val="000000" w:themeColor="text1"/>
        </w:rPr>
        <w:t xml:space="preserve">. </w:t>
      </w:r>
      <w:r w:rsidR="00692F59" w:rsidRPr="005621FA">
        <w:rPr>
          <w:rFonts w:cs="Arial"/>
        </w:rPr>
        <w:t>The transcription of the interview was a crucial step in the process of conducting a thematic analys</w:t>
      </w:r>
      <w:r w:rsidR="005801C6" w:rsidRPr="005621FA">
        <w:rPr>
          <w:rFonts w:cs="Arial"/>
        </w:rPr>
        <w:t>is</w:t>
      </w:r>
      <w:r w:rsidR="001E0CBF" w:rsidRPr="005621FA">
        <w:rPr>
          <w:rFonts w:cs="Arial"/>
        </w:rPr>
        <w:t xml:space="preserve"> </w:t>
      </w:r>
      <w:sdt>
        <w:sdtPr>
          <w:rPr>
            <w:rFonts w:cs="Arial"/>
          </w:rPr>
          <w:id w:val="556603545"/>
          <w:citation/>
        </w:sdtPr>
        <w:sdtEndPr/>
        <w:sdtContent>
          <w:r w:rsidR="00A83369" w:rsidRPr="005621FA">
            <w:rPr>
              <w:rFonts w:cs="Arial"/>
            </w:rPr>
            <w:fldChar w:fldCharType="begin"/>
          </w:r>
          <w:r w:rsidR="00A83369" w:rsidRPr="005621FA">
            <w:rPr>
              <w:rFonts w:cs="Arial"/>
            </w:rPr>
            <w:instrText xml:space="preserve"> CITATION Bra14 \l 2057 </w:instrText>
          </w:r>
          <w:r w:rsidR="00A83369" w:rsidRPr="005621FA">
            <w:rPr>
              <w:rFonts w:cs="Arial"/>
            </w:rPr>
            <w:fldChar w:fldCharType="separate"/>
          </w:r>
          <w:r w:rsidR="00A83369" w:rsidRPr="005621FA">
            <w:rPr>
              <w:rFonts w:eastAsiaTheme="minorHAnsi" w:cs="Arial"/>
              <w:noProof/>
            </w:rPr>
            <w:t>(Braun, et al., 2014)</w:t>
          </w:r>
          <w:r w:rsidR="00A83369" w:rsidRPr="005621FA">
            <w:rPr>
              <w:rFonts w:cs="Arial"/>
            </w:rPr>
            <w:fldChar w:fldCharType="end"/>
          </w:r>
        </w:sdtContent>
      </w:sdt>
      <w:r w:rsidR="00A83369" w:rsidRPr="005621FA">
        <w:rPr>
          <w:rFonts w:cs="Arial"/>
        </w:rPr>
        <w:t>.</w:t>
      </w:r>
      <w:r w:rsidR="00C97B82" w:rsidRPr="005621FA">
        <w:rPr>
          <w:rFonts w:cs="Arial"/>
        </w:rPr>
        <w:t>Through the use of colour-cod</w:t>
      </w:r>
      <w:r w:rsidR="000710AC">
        <w:rPr>
          <w:rFonts w:cs="Arial"/>
        </w:rPr>
        <w:t>ing</w:t>
      </w:r>
      <w:r w:rsidR="00C97B82" w:rsidRPr="005621FA">
        <w:rPr>
          <w:rFonts w:cs="Arial"/>
        </w:rPr>
        <w:t xml:space="preserve">, patterns and themes began to emerge </w:t>
      </w:r>
      <w:sdt>
        <w:sdtPr>
          <w:rPr>
            <w:rFonts w:cs="Arial"/>
          </w:rPr>
          <w:id w:val="-1840229520"/>
          <w:citation/>
        </w:sdtPr>
        <w:sdtEndPr/>
        <w:sdtContent>
          <w:r w:rsidR="00C638DE" w:rsidRPr="005621FA">
            <w:rPr>
              <w:rFonts w:cs="Arial"/>
            </w:rPr>
            <w:fldChar w:fldCharType="begin"/>
          </w:r>
          <w:r w:rsidR="00C638DE" w:rsidRPr="005621FA">
            <w:rPr>
              <w:rFonts w:cs="Arial"/>
            </w:rPr>
            <w:instrText xml:space="preserve"> CITATION Sal15 \l 2057 </w:instrText>
          </w:r>
          <w:r w:rsidR="00C638DE" w:rsidRPr="005621FA">
            <w:rPr>
              <w:rFonts w:cs="Arial"/>
            </w:rPr>
            <w:fldChar w:fldCharType="separate"/>
          </w:r>
          <w:r w:rsidR="00C638DE" w:rsidRPr="005621FA">
            <w:rPr>
              <w:rFonts w:cs="Arial"/>
              <w:noProof/>
            </w:rPr>
            <w:t>(Saldaña, 2015)</w:t>
          </w:r>
          <w:r w:rsidR="00C638DE" w:rsidRPr="005621FA">
            <w:rPr>
              <w:rFonts w:cs="Arial"/>
            </w:rPr>
            <w:fldChar w:fldCharType="end"/>
          </w:r>
        </w:sdtContent>
      </w:sdt>
      <w:r w:rsidR="00C638DE" w:rsidRPr="005621FA">
        <w:rPr>
          <w:rFonts w:cs="Arial"/>
        </w:rPr>
        <w:t>(</w:t>
      </w:r>
      <w:r w:rsidR="00C97B82" w:rsidRPr="005621FA">
        <w:rPr>
          <w:rFonts w:cs="Arial"/>
        </w:rPr>
        <w:t>App</w:t>
      </w:r>
      <w:r w:rsidR="006B47E4" w:rsidRPr="005621FA">
        <w:rPr>
          <w:rFonts w:cs="Arial"/>
        </w:rPr>
        <w:t>endix 3</w:t>
      </w:r>
      <w:r w:rsidR="00C97B82" w:rsidRPr="005621FA">
        <w:rPr>
          <w:rFonts w:cs="Arial"/>
        </w:rPr>
        <w:t xml:space="preserve">). </w:t>
      </w:r>
      <w:r w:rsidR="002F1FAF" w:rsidRPr="005621FA">
        <w:rPr>
          <w:rFonts w:cs="Arial"/>
        </w:rPr>
        <w:t>Despite the negative aspect of the thematic analysis being a time-consuming process</w:t>
      </w:r>
      <w:r w:rsidR="002B6CE9" w:rsidRPr="005621FA">
        <w:rPr>
          <w:rFonts w:cs="Arial"/>
        </w:rPr>
        <w:t>,</w:t>
      </w:r>
      <w:r w:rsidR="002F1FAF" w:rsidRPr="005621FA">
        <w:rPr>
          <w:rFonts w:cs="Arial"/>
        </w:rPr>
        <w:t xml:space="preserve"> </w:t>
      </w:r>
      <w:r w:rsidR="002B6CE9" w:rsidRPr="005621FA">
        <w:rPr>
          <w:rFonts w:cs="Arial"/>
        </w:rPr>
        <w:t xml:space="preserve">with </w:t>
      </w:r>
      <w:r w:rsidR="00463BB7" w:rsidRPr="005621FA">
        <w:rPr>
          <w:rFonts w:cs="Arial"/>
        </w:rPr>
        <w:t>Saldaña (2016) noting that coding a single transcript can take several hours,</w:t>
      </w:r>
      <w:r w:rsidR="002F1FAF" w:rsidRPr="005621FA">
        <w:rPr>
          <w:rFonts w:cs="Arial"/>
        </w:rPr>
        <w:t xml:space="preserve"> </w:t>
      </w:r>
      <w:r w:rsidR="00337AEA" w:rsidRPr="005621FA">
        <w:rPr>
          <w:rFonts w:cs="Arial"/>
        </w:rPr>
        <w:t xml:space="preserve">it was a powerful tool to identify clear </w:t>
      </w:r>
      <w:r w:rsidR="00B801B1" w:rsidRPr="005621FA">
        <w:rPr>
          <w:rFonts w:cs="Arial"/>
        </w:rPr>
        <w:t>correlations in the data collected that were not immediately apparent during the observation</w:t>
      </w:r>
      <w:r w:rsidR="00F54060" w:rsidRPr="005621FA">
        <w:rPr>
          <w:rFonts w:cs="Arial"/>
        </w:rPr>
        <w:t xml:space="preserve">, </w:t>
      </w:r>
      <w:r w:rsidR="00A75323" w:rsidRPr="005621FA">
        <w:rPr>
          <w:rFonts w:cs="Arial"/>
        </w:rPr>
        <w:t xml:space="preserve">enhancing the </w:t>
      </w:r>
      <w:r w:rsidR="00F6064A" w:rsidRPr="005621FA">
        <w:rPr>
          <w:rFonts w:cs="Arial"/>
        </w:rPr>
        <w:t xml:space="preserve">dependability of the data </w:t>
      </w:r>
      <w:r w:rsidR="001943BE" w:rsidRPr="005621FA">
        <w:rPr>
          <w:rFonts w:cs="Arial"/>
        </w:rPr>
        <w:t>(Paltridge &amp; Phakiti, 2011)</w:t>
      </w:r>
      <w:r w:rsidR="00B801B1" w:rsidRPr="005621FA">
        <w:rPr>
          <w:rFonts w:cs="Arial"/>
        </w:rPr>
        <w:t xml:space="preserve">. </w:t>
      </w:r>
    </w:p>
    <w:p w14:paraId="11C50473" w14:textId="7F3C9E19" w:rsidR="008F7ED3" w:rsidRPr="005621FA" w:rsidRDefault="008F7ED3" w:rsidP="005621FA">
      <w:pPr>
        <w:pStyle w:val="AssignBody"/>
        <w:rPr>
          <w:rFonts w:cs="Arial"/>
        </w:rPr>
      </w:pPr>
    </w:p>
    <w:p w14:paraId="538A1207" w14:textId="11552134" w:rsidR="004826E8" w:rsidRPr="005621FA" w:rsidRDefault="004826E8" w:rsidP="005621FA">
      <w:pPr>
        <w:pStyle w:val="AssignBody"/>
        <w:rPr>
          <w:rFonts w:cs="Arial"/>
          <w:color w:val="000000" w:themeColor="text1"/>
        </w:rPr>
      </w:pPr>
      <w:r w:rsidRPr="005621FA">
        <w:rPr>
          <w:rFonts w:cs="Arial"/>
        </w:rPr>
        <w:t>The questionnaire was generate</w:t>
      </w:r>
      <w:r w:rsidR="00D04BBE" w:rsidRPr="005621FA">
        <w:rPr>
          <w:rFonts w:cs="Arial"/>
        </w:rPr>
        <w:t>d</w:t>
      </w:r>
      <w:r w:rsidRPr="005621FA">
        <w:rPr>
          <w:rFonts w:cs="Arial"/>
        </w:rPr>
        <w:t xml:space="preserve"> using Microsoft Forms and dispersed via email to all Key Stage 2 staff members (Appendix </w:t>
      </w:r>
      <w:r w:rsidR="0082008E" w:rsidRPr="005621FA">
        <w:rPr>
          <w:rFonts w:cs="Arial"/>
        </w:rPr>
        <w:t>4&amp;5</w:t>
      </w:r>
      <w:r w:rsidRPr="005621FA">
        <w:rPr>
          <w:rFonts w:cs="Arial"/>
        </w:rPr>
        <w:t>)</w:t>
      </w:r>
      <w:r w:rsidR="00D04BBE" w:rsidRPr="005621FA">
        <w:rPr>
          <w:rFonts w:cs="Arial"/>
        </w:rPr>
        <w:t xml:space="preserve">. Generating an online questionnaire offered the benefit of providing convenient accessibility to staff members while ensuring the anonymity of their data </w:t>
      </w:r>
      <w:sdt>
        <w:sdtPr>
          <w:rPr>
            <w:rFonts w:cs="Arial"/>
            <w:color w:val="000000" w:themeColor="text1"/>
          </w:rPr>
          <w:id w:val="1655727380"/>
          <w:citation/>
        </w:sdtPr>
        <w:sdtEndPr/>
        <w:sdtContent>
          <w:r w:rsidR="00D04BBE" w:rsidRPr="005621FA">
            <w:rPr>
              <w:rFonts w:cs="Arial"/>
              <w:color w:val="000000" w:themeColor="text1"/>
            </w:rPr>
            <w:fldChar w:fldCharType="begin"/>
          </w:r>
          <w:r w:rsidR="00D04BBE" w:rsidRPr="005621FA">
            <w:rPr>
              <w:rFonts w:cs="Arial"/>
              <w:color w:val="000000" w:themeColor="text1"/>
            </w:rPr>
            <w:instrText xml:space="preserve"> CITATION Isr15 \l 2057 </w:instrText>
          </w:r>
          <w:r w:rsidR="00D04BBE" w:rsidRPr="005621FA">
            <w:rPr>
              <w:rFonts w:cs="Arial"/>
              <w:color w:val="000000" w:themeColor="text1"/>
            </w:rPr>
            <w:fldChar w:fldCharType="separate"/>
          </w:r>
          <w:r w:rsidR="00D04BBE" w:rsidRPr="005621FA">
            <w:rPr>
              <w:rFonts w:cs="Arial"/>
              <w:noProof/>
              <w:color w:val="000000" w:themeColor="text1"/>
            </w:rPr>
            <w:t>(Israel, 2015)</w:t>
          </w:r>
          <w:r w:rsidR="00D04BBE" w:rsidRPr="005621FA">
            <w:rPr>
              <w:rFonts w:cs="Arial"/>
              <w:color w:val="000000" w:themeColor="text1"/>
            </w:rPr>
            <w:fldChar w:fldCharType="end"/>
          </w:r>
        </w:sdtContent>
      </w:sdt>
      <w:r w:rsidR="00D04BBE" w:rsidRPr="005621FA">
        <w:rPr>
          <w:rFonts w:cs="Arial"/>
          <w:color w:val="000000" w:themeColor="text1"/>
        </w:rPr>
        <w:t>.</w:t>
      </w:r>
      <w:r w:rsidR="00E92591" w:rsidRPr="005621FA">
        <w:rPr>
          <w:rFonts w:cs="Arial"/>
          <w:color w:val="000000" w:themeColor="text1"/>
        </w:rPr>
        <w:t xml:space="preserve"> </w:t>
      </w:r>
      <w:r w:rsidR="00D84F85" w:rsidRPr="005621FA">
        <w:rPr>
          <w:rFonts w:cs="Arial"/>
          <w:color w:val="000000" w:themeColor="text1"/>
        </w:rPr>
        <w:t xml:space="preserve">Offering the opportunity to provide a memorable code to identify data allowed the </w:t>
      </w:r>
      <w:r w:rsidR="009A4BD9" w:rsidRPr="005621FA">
        <w:rPr>
          <w:rFonts w:cs="Arial"/>
          <w:color w:val="000000" w:themeColor="text1"/>
        </w:rPr>
        <w:t>staff</w:t>
      </w:r>
      <w:r w:rsidR="00D84F85" w:rsidRPr="005621FA">
        <w:rPr>
          <w:rFonts w:cs="Arial"/>
          <w:color w:val="000000" w:themeColor="text1"/>
        </w:rPr>
        <w:t xml:space="preserve"> to withdraw the</w:t>
      </w:r>
      <w:r w:rsidR="009A4BD9" w:rsidRPr="005621FA">
        <w:rPr>
          <w:rFonts w:cs="Arial"/>
          <w:color w:val="000000" w:themeColor="text1"/>
        </w:rPr>
        <w:t>ir</w:t>
      </w:r>
      <w:r w:rsidR="00D84F85" w:rsidRPr="005621FA">
        <w:rPr>
          <w:rFonts w:cs="Arial"/>
          <w:color w:val="000000" w:themeColor="text1"/>
        </w:rPr>
        <w:t xml:space="preserve"> data at any point during the research process</w:t>
      </w:r>
      <w:r w:rsidR="00B94ECE" w:rsidRPr="005621FA">
        <w:rPr>
          <w:rFonts w:cs="Arial"/>
          <w:color w:val="000000" w:themeColor="text1"/>
        </w:rPr>
        <w:t xml:space="preserve">. Additionally, </w:t>
      </w:r>
      <w:r w:rsidR="003213BC" w:rsidRPr="005621FA">
        <w:rPr>
          <w:rFonts w:cs="Arial"/>
          <w:color w:val="000000" w:themeColor="text1"/>
        </w:rPr>
        <w:t xml:space="preserve">this helped establish a sense of trust between the researcher and the staff members, which may have encouraged </w:t>
      </w:r>
      <w:r w:rsidR="009A4BD9" w:rsidRPr="005621FA">
        <w:rPr>
          <w:rFonts w:cs="Arial"/>
          <w:color w:val="000000" w:themeColor="text1"/>
        </w:rPr>
        <w:t>staff to provide more honest and open answers (</w:t>
      </w:r>
      <w:r w:rsidR="009A4BD9" w:rsidRPr="0042459C">
        <w:rPr>
          <w:rFonts w:cs="Arial"/>
          <w:color w:val="000000" w:themeColor="text1"/>
        </w:rPr>
        <w:t xml:space="preserve">Arthur, 2012). </w:t>
      </w:r>
      <w:r w:rsidR="00D84F85" w:rsidRPr="0042459C">
        <w:rPr>
          <w:rFonts w:cs="Arial"/>
          <w:color w:val="000000" w:themeColor="text1"/>
        </w:rPr>
        <w:t>Furthermore, t</w:t>
      </w:r>
      <w:r w:rsidR="00E92591" w:rsidRPr="0042459C">
        <w:rPr>
          <w:rFonts w:cs="Arial"/>
          <w:color w:val="000000" w:themeColor="text1"/>
        </w:rPr>
        <w:t xml:space="preserve">he online accessibility of </w:t>
      </w:r>
      <w:r w:rsidR="009A4BD9" w:rsidRPr="0042459C">
        <w:rPr>
          <w:rFonts w:cs="Arial"/>
          <w:color w:val="000000" w:themeColor="text1"/>
        </w:rPr>
        <w:t xml:space="preserve">the </w:t>
      </w:r>
      <w:r w:rsidR="00E92591" w:rsidRPr="0042459C">
        <w:rPr>
          <w:rFonts w:cs="Arial"/>
          <w:color w:val="000000" w:themeColor="text1"/>
        </w:rPr>
        <w:t>qualitative data allowed the researcher to easily analyse and convert the data into visual graphs and tables</w:t>
      </w:r>
      <w:r w:rsidR="004A0EB0" w:rsidRPr="0042459C">
        <w:rPr>
          <w:rFonts w:cs="Arial"/>
          <w:color w:val="000000" w:themeColor="text1"/>
        </w:rPr>
        <w:t xml:space="preserve"> </w:t>
      </w:r>
      <w:r w:rsidR="00E1705A" w:rsidRPr="0042459C">
        <w:rPr>
          <w:rFonts w:cs="Arial"/>
          <w:color w:val="000000" w:themeColor="text1"/>
        </w:rPr>
        <w:t xml:space="preserve">(Appendix </w:t>
      </w:r>
      <w:r w:rsidR="0082008E" w:rsidRPr="0042459C">
        <w:rPr>
          <w:rFonts w:cs="Arial"/>
          <w:color w:val="000000" w:themeColor="text1"/>
        </w:rPr>
        <w:t>6</w:t>
      </w:r>
      <w:r w:rsidR="00E1705A" w:rsidRPr="0042459C">
        <w:rPr>
          <w:rFonts w:cs="Arial"/>
          <w:color w:val="000000" w:themeColor="text1"/>
        </w:rPr>
        <w:t>)</w:t>
      </w:r>
      <w:r w:rsidR="00E92591" w:rsidRPr="0042459C">
        <w:rPr>
          <w:rFonts w:cs="Arial"/>
          <w:color w:val="000000" w:themeColor="text1"/>
        </w:rPr>
        <w:t>.</w:t>
      </w:r>
      <w:r w:rsidR="00DA108C" w:rsidRPr="0042459C">
        <w:rPr>
          <w:rFonts w:cs="Arial"/>
          <w:color w:val="000000" w:themeColor="text1"/>
        </w:rPr>
        <w:t xml:space="preserve"> </w:t>
      </w:r>
      <w:r w:rsidR="00363561" w:rsidRPr="0042459C">
        <w:rPr>
          <w:rFonts w:cs="Arial"/>
          <w:color w:val="000000" w:themeColor="text1"/>
        </w:rPr>
        <w:t>This increased</w:t>
      </w:r>
      <w:r w:rsidR="004D1501" w:rsidRPr="0042459C">
        <w:rPr>
          <w:rFonts w:cs="Arial"/>
          <w:color w:val="000000" w:themeColor="text1"/>
        </w:rPr>
        <w:t xml:space="preserve"> the </w:t>
      </w:r>
      <w:r w:rsidR="001D3619" w:rsidRPr="0042459C">
        <w:rPr>
          <w:rFonts w:cs="Arial"/>
          <w:color w:val="000000" w:themeColor="text1"/>
        </w:rPr>
        <w:t xml:space="preserve">transparency and credibility of the data </w:t>
      </w:r>
      <w:r w:rsidR="008A652B" w:rsidRPr="0042459C">
        <w:rPr>
          <w:rFonts w:cs="Arial"/>
          <w:color w:val="000000" w:themeColor="text1"/>
        </w:rPr>
        <w:t xml:space="preserve">as it allowed </w:t>
      </w:r>
      <w:r w:rsidR="005A40D5" w:rsidRPr="0042459C">
        <w:rPr>
          <w:rFonts w:cs="Arial"/>
          <w:color w:val="000000" w:themeColor="text1"/>
        </w:rPr>
        <w:t>for</w:t>
      </w:r>
      <w:r w:rsidR="008A652B" w:rsidRPr="0042459C">
        <w:rPr>
          <w:rFonts w:cs="Arial"/>
          <w:color w:val="000000" w:themeColor="text1"/>
        </w:rPr>
        <w:t xml:space="preserve"> a clear and concise presentation of the findings</w:t>
      </w:r>
      <w:r w:rsidR="00FB50A5" w:rsidRPr="0042459C">
        <w:rPr>
          <w:rFonts w:cs="Arial"/>
          <w:color w:val="000000" w:themeColor="text1"/>
        </w:rPr>
        <w:t xml:space="preserve"> (Tong, et al., 2007)</w:t>
      </w:r>
      <w:r w:rsidR="0042459C" w:rsidRPr="0042459C">
        <w:rPr>
          <w:rFonts w:cs="Arial"/>
          <w:color w:val="000000" w:themeColor="text1"/>
        </w:rPr>
        <w:t>, whilst also increasing</w:t>
      </w:r>
      <w:r w:rsidR="004D1501" w:rsidRPr="0042459C">
        <w:rPr>
          <w:rFonts w:cs="Arial"/>
          <w:color w:val="000000" w:themeColor="text1"/>
        </w:rPr>
        <w:t xml:space="preserve"> transferability of the findings as the use of visual aid made the research more accessible to a wider audience</w:t>
      </w:r>
      <w:r w:rsidR="004E34B4" w:rsidRPr="0042459C">
        <w:rPr>
          <w:rFonts w:cs="Arial"/>
          <w:color w:val="000000" w:themeColor="text1"/>
        </w:rPr>
        <w:t>, communicating complex data in a simple</w:t>
      </w:r>
      <w:r w:rsidR="00B65E2D" w:rsidRPr="0042459C">
        <w:rPr>
          <w:rFonts w:cs="Arial"/>
          <w:color w:val="000000" w:themeColor="text1"/>
        </w:rPr>
        <w:t xml:space="preserve"> way</w:t>
      </w:r>
      <w:r w:rsidR="004D1501" w:rsidRPr="0042459C">
        <w:rPr>
          <w:rFonts w:cs="Arial"/>
          <w:color w:val="000000" w:themeColor="text1"/>
        </w:rPr>
        <w:t xml:space="preserve"> </w:t>
      </w:r>
      <w:r w:rsidR="001F4307" w:rsidRPr="0042459C">
        <w:rPr>
          <w:rFonts w:cs="Arial"/>
          <w:color w:val="000000" w:themeColor="text1"/>
        </w:rPr>
        <w:t>(Braun, et al., 2014; Nowell, et al., 2017).</w:t>
      </w:r>
      <w:r w:rsidR="001F4307" w:rsidRPr="005621FA">
        <w:rPr>
          <w:rFonts w:cs="Arial"/>
          <w:color w:val="000000" w:themeColor="text1"/>
        </w:rPr>
        <w:t xml:space="preserve"> </w:t>
      </w:r>
    </w:p>
    <w:p w14:paraId="7FCBBADA" w14:textId="77777777" w:rsidR="004D1501" w:rsidRPr="005621FA" w:rsidRDefault="004D1501" w:rsidP="005621FA">
      <w:pPr>
        <w:pStyle w:val="AssignBody"/>
        <w:rPr>
          <w:rFonts w:cs="Arial"/>
          <w:color w:val="000000" w:themeColor="text1"/>
        </w:rPr>
      </w:pPr>
    </w:p>
    <w:p w14:paraId="7FBAFF57" w14:textId="42FA718E" w:rsidR="0009055D" w:rsidRPr="005621FA" w:rsidRDefault="00D948AC" w:rsidP="005621FA">
      <w:pPr>
        <w:pStyle w:val="AssignBody"/>
        <w:rPr>
          <w:rFonts w:cs="Arial"/>
        </w:rPr>
      </w:pPr>
      <w:r w:rsidRPr="005621FA">
        <w:rPr>
          <w:rFonts w:cs="Arial"/>
        </w:rPr>
        <w:t xml:space="preserve">An effort was made to prevent respondent fatigue, which occurs when participants become tired of answering the questionnaire, resulting in a decrease in the quality of their responses (Denscombe, 2014). The questionnaire was designed with a balance between open-ended and closed-ended questions, while considering the number of questions to minimise respondent fatigue. In cases where participants were asked to indicate their level of </w:t>
      </w:r>
      <w:r w:rsidRPr="005621FA">
        <w:rPr>
          <w:rFonts w:cs="Arial"/>
        </w:rPr>
        <w:lastRenderedPageBreak/>
        <w:t>agreement or disagreement with a statement, a neutral response option was provided.</w:t>
      </w:r>
      <w:r w:rsidR="00543E6A" w:rsidRPr="005621FA">
        <w:rPr>
          <w:rFonts w:cs="Arial"/>
        </w:rPr>
        <w:t xml:space="preserve"> Although offering a neutral response option in a questionnaire can present challenges in collecting data, such as participants selecting the option without reading the question</w:t>
      </w:r>
      <w:r w:rsidR="00543E6A" w:rsidRPr="005621FA">
        <w:rPr>
          <w:rFonts w:cs="Arial"/>
          <w:color w:val="000000" w:themeColor="text1"/>
        </w:rPr>
        <w:t xml:space="preserve"> (Kalton, et al., 1980; Saris &amp; Gallhofer, 2014</w:t>
      </w:r>
      <w:r w:rsidR="00543E6A" w:rsidRPr="005621FA">
        <w:rPr>
          <w:rFonts w:cs="Arial"/>
        </w:rPr>
        <w:t>), a follow-up question was included to provide participants with the opportunity to explain their choice of the neutral response, thereby adding meaning to the data.</w:t>
      </w:r>
    </w:p>
    <w:p w14:paraId="1CE3388C" w14:textId="53FD02D0" w:rsidR="00201DD8" w:rsidRPr="005621FA" w:rsidRDefault="00201DD8" w:rsidP="005621FA">
      <w:pPr>
        <w:pStyle w:val="AssignBody"/>
        <w:rPr>
          <w:rFonts w:cs="Arial"/>
        </w:rPr>
      </w:pPr>
    </w:p>
    <w:p w14:paraId="33DC9A0E" w14:textId="07E48DE5" w:rsidR="00AD5CCF" w:rsidRPr="005621FA" w:rsidRDefault="00B1667E" w:rsidP="005621FA">
      <w:pPr>
        <w:pStyle w:val="AssignBody"/>
        <w:rPr>
          <w:rFonts w:cs="Arial"/>
        </w:rPr>
      </w:pPr>
      <w:r w:rsidRPr="005621FA">
        <w:rPr>
          <w:rFonts w:cs="Arial"/>
        </w:rPr>
        <w:t xml:space="preserve">In contrast, it was decided not to send a questionnaire to the learners. </w:t>
      </w:r>
      <w:r w:rsidR="00317EC5" w:rsidRPr="005621FA">
        <w:rPr>
          <w:rFonts w:cs="Arial"/>
        </w:rPr>
        <w:t xml:space="preserve">Whilst the importance of pupil voice in empowering learners to take an active role in their education was not </w:t>
      </w:r>
      <w:r w:rsidR="00C85658" w:rsidRPr="005621FA">
        <w:rPr>
          <w:rFonts w:cs="Arial"/>
        </w:rPr>
        <w:t>overlooked</w:t>
      </w:r>
      <w:r w:rsidR="00317EC5" w:rsidRPr="005621FA">
        <w:rPr>
          <w:rFonts w:cs="Arial"/>
        </w:rPr>
        <w:t xml:space="preserve"> </w:t>
      </w:r>
      <w:r w:rsidR="001E7D2B" w:rsidRPr="005621FA">
        <w:rPr>
          <w:rFonts w:cs="Arial"/>
        </w:rPr>
        <w:t>(Mulder &amp; Busch, 2014; Welsh Government, 2020)</w:t>
      </w:r>
      <w:r w:rsidR="00317EC5" w:rsidRPr="005621FA">
        <w:rPr>
          <w:rFonts w:cs="Arial"/>
        </w:rPr>
        <w:t xml:space="preserve">, </w:t>
      </w:r>
      <w:r w:rsidR="0090192E" w:rsidRPr="005621FA">
        <w:rPr>
          <w:rFonts w:cs="Arial"/>
        </w:rPr>
        <w:t xml:space="preserve">pupil voice was </w:t>
      </w:r>
      <w:r w:rsidR="00216844" w:rsidRPr="005621FA">
        <w:rPr>
          <w:rFonts w:cs="Arial"/>
        </w:rPr>
        <w:t xml:space="preserve">enabled during the learner interview. Moreover, if the questionnaire had been tailored to the learners’ needs and level of comprehension, </w:t>
      </w:r>
      <w:r w:rsidR="00A54B52" w:rsidRPr="005621FA">
        <w:rPr>
          <w:rFonts w:cs="Arial"/>
        </w:rPr>
        <w:t>crucial findings</w:t>
      </w:r>
      <w:r w:rsidR="00216844" w:rsidRPr="005621FA">
        <w:rPr>
          <w:rFonts w:cs="Arial"/>
        </w:rPr>
        <w:t xml:space="preserve"> gained from the </w:t>
      </w:r>
      <w:r w:rsidR="00A54B52" w:rsidRPr="005621FA">
        <w:rPr>
          <w:rFonts w:cs="Arial"/>
        </w:rPr>
        <w:t xml:space="preserve">staff questionnaire </w:t>
      </w:r>
      <w:r w:rsidR="00BA584A" w:rsidRPr="005621FA">
        <w:rPr>
          <w:rFonts w:cs="Arial"/>
        </w:rPr>
        <w:t xml:space="preserve">could have </w:t>
      </w:r>
      <w:r w:rsidR="008E5109" w:rsidRPr="005621FA">
        <w:rPr>
          <w:rFonts w:cs="Arial"/>
        </w:rPr>
        <w:t>missed</w:t>
      </w:r>
      <w:r w:rsidR="00BA584A" w:rsidRPr="005621FA">
        <w:rPr>
          <w:rFonts w:cs="Arial"/>
        </w:rPr>
        <w:t xml:space="preserve"> (Rowley, 2003; </w:t>
      </w:r>
      <w:r w:rsidR="008E5109" w:rsidRPr="005621FA">
        <w:rPr>
          <w:rFonts w:cs="Arial"/>
        </w:rPr>
        <w:t xml:space="preserve">Thomas, 2017). </w:t>
      </w:r>
    </w:p>
    <w:p w14:paraId="5466D41F" w14:textId="7F158DB4" w:rsidR="00AD5CCF" w:rsidRPr="005621FA" w:rsidRDefault="00AD5CCF" w:rsidP="005621FA">
      <w:pPr>
        <w:spacing w:line="360" w:lineRule="auto"/>
        <w:rPr>
          <w:rFonts w:ascii="Arial" w:hAnsi="Arial" w:cs="Arial"/>
          <w:sz w:val="22"/>
          <w:szCs w:val="22"/>
        </w:rPr>
      </w:pPr>
    </w:p>
    <w:p w14:paraId="4D8386DA" w14:textId="24B8B483" w:rsidR="005B0E88" w:rsidRPr="005621FA" w:rsidRDefault="00EE0BF8" w:rsidP="005621FA">
      <w:pPr>
        <w:spacing w:line="360" w:lineRule="auto"/>
        <w:rPr>
          <w:rFonts w:ascii="Arial" w:hAnsi="Arial" w:cs="Arial"/>
          <w:sz w:val="22"/>
          <w:szCs w:val="22"/>
        </w:rPr>
      </w:pPr>
      <w:r w:rsidRPr="005621FA">
        <w:rPr>
          <w:rFonts w:ascii="Arial" w:hAnsi="Arial" w:cs="Arial"/>
          <w:sz w:val="22"/>
          <w:szCs w:val="22"/>
        </w:rPr>
        <w:t>The</w:t>
      </w:r>
      <w:r w:rsidR="002436BC" w:rsidRPr="005621FA">
        <w:rPr>
          <w:rFonts w:ascii="Arial" w:hAnsi="Arial" w:cs="Arial"/>
          <w:sz w:val="22"/>
          <w:szCs w:val="22"/>
        </w:rPr>
        <w:t xml:space="preserve"> observation </w:t>
      </w:r>
      <w:r w:rsidRPr="005621FA">
        <w:rPr>
          <w:rFonts w:ascii="Arial" w:hAnsi="Arial" w:cs="Arial"/>
          <w:sz w:val="22"/>
          <w:szCs w:val="22"/>
        </w:rPr>
        <w:t>measured</w:t>
      </w:r>
      <w:r w:rsidR="002436BC" w:rsidRPr="005621FA">
        <w:rPr>
          <w:rFonts w:ascii="Arial" w:hAnsi="Arial" w:cs="Arial"/>
          <w:sz w:val="22"/>
          <w:szCs w:val="22"/>
        </w:rPr>
        <w:t xml:space="preserve"> learner involvement during an independent activity </w:t>
      </w:r>
      <w:r w:rsidRPr="005621FA">
        <w:rPr>
          <w:rFonts w:ascii="Arial" w:hAnsi="Arial" w:cs="Arial"/>
          <w:sz w:val="22"/>
          <w:szCs w:val="22"/>
        </w:rPr>
        <w:t xml:space="preserve">(Appendix </w:t>
      </w:r>
      <w:r w:rsidR="0082008E" w:rsidRPr="005621FA">
        <w:rPr>
          <w:rFonts w:ascii="Arial" w:hAnsi="Arial" w:cs="Arial"/>
          <w:sz w:val="22"/>
          <w:szCs w:val="22"/>
        </w:rPr>
        <w:t>7)</w:t>
      </w:r>
      <w:r w:rsidRPr="005621FA">
        <w:rPr>
          <w:rFonts w:ascii="Arial" w:hAnsi="Arial" w:cs="Arial"/>
          <w:sz w:val="22"/>
          <w:szCs w:val="22"/>
        </w:rPr>
        <w:t xml:space="preserve">. </w:t>
      </w:r>
      <w:r w:rsidR="00B10181" w:rsidRPr="005621FA">
        <w:rPr>
          <w:rFonts w:ascii="Arial" w:hAnsi="Arial" w:cs="Arial"/>
          <w:sz w:val="22"/>
          <w:szCs w:val="22"/>
        </w:rPr>
        <w:t xml:space="preserve">It was a </w:t>
      </w:r>
      <w:r w:rsidR="006954D8" w:rsidRPr="005621FA">
        <w:rPr>
          <w:rFonts w:ascii="Arial" w:hAnsi="Arial" w:cs="Arial"/>
          <w:sz w:val="22"/>
          <w:szCs w:val="22"/>
        </w:rPr>
        <w:t>naturalistic</w:t>
      </w:r>
      <w:r w:rsidR="00B10181" w:rsidRPr="005621FA">
        <w:rPr>
          <w:rFonts w:ascii="Arial" w:hAnsi="Arial" w:cs="Arial"/>
          <w:sz w:val="22"/>
          <w:szCs w:val="22"/>
        </w:rPr>
        <w:t xml:space="preserve"> observation where </w:t>
      </w:r>
      <w:r w:rsidR="006954D8" w:rsidRPr="005621FA">
        <w:rPr>
          <w:rFonts w:ascii="Arial" w:hAnsi="Arial" w:cs="Arial"/>
          <w:sz w:val="22"/>
          <w:szCs w:val="22"/>
        </w:rPr>
        <w:t xml:space="preserve">behaviour was recorded in real-time without manipulating any variables or conditions </w:t>
      </w:r>
      <w:r w:rsidR="00AF6492" w:rsidRPr="005621FA">
        <w:rPr>
          <w:rFonts w:ascii="Arial" w:hAnsi="Arial" w:cs="Arial"/>
          <w:sz w:val="22"/>
          <w:szCs w:val="22"/>
        </w:rPr>
        <w:t>(</w:t>
      </w:r>
      <w:r w:rsidR="001B58DE" w:rsidRPr="005621FA">
        <w:rPr>
          <w:rFonts w:ascii="Arial" w:hAnsi="Arial" w:cs="Arial"/>
          <w:sz w:val="22"/>
          <w:szCs w:val="22"/>
        </w:rPr>
        <w:t>Cohen &amp; Manion, 201</w:t>
      </w:r>
      <w:r w:rsidR="003664F7">
        <w:rPr>
          <w:rFonts w:ascii="Arial" w:hAnsi="Arial" w:cs="Arial"/>
          <w:sz w:val="22"/>
          <w:szCs w:val="22"/>
        </w:rPr>
        <w:t>3</w:t>
      </w:r>
      <w:r w:rsidR="001B58DE" w:rsidRPr="005621FA">
        <w:rPr>
          <w:rFonts w:ascii="Arial" w:hAnsi="Arial" w:cs="Arial"/>
          <w:sz w:val="22"/>
          <w:szCs w:val="22"/>
        </w:rPr>
        <w:t>; Warwick, et al., 20</w:t>
      </w:r>
      <w:r w:rsidR="00451CAA" w:rsidRPr="005621FA">
        <w:rPr>
          <w:rFonts w:ascii="Arial" w:hAnsi="Arial" w:cs="Arial"/>
          <w:sz w:val="22"/>
          <w:szCs w:val="22"/>
        </w:rPr>
        <w:t>16)</w:t>
      </w:r>
      <w:r w:rsidR="00AF6492" w:rsidRPr="005621FA">
        <w:rPr>
          <w:rFonts w:ascii="Arial" w:hAnsi="Arial" w:cs="Arial"/>
          <w:sz w:val="22"/>
          <w:szCs w:val="22"/>
        </w:rPr>
        <w:t>.</w:t>
      </w:r>
      <w:r w:rsidR="001A2C08" w:rsidRPr="005621FA">
        <w:rPr>
          <w:rFonts w:ascii="Arial" w:hAnsi="Arial" w:cs="Arial"/>
          <w:sz w:val="22"/>
          <w:szCs w:val="22"/>
        </w:rPr>
        <w:t xml:space="preserve"> </w:t>
      </w:r>
      <w:r w:rsidR="005921DF" w:rsidRPr="005621FA">
        <w:rPr>
          <w:rFonts w:ascii="Arial" w:hAnsi="Arial" w:cs="Arial"/>
          <w:sz w:val="22"/>
          <w:szCs w:val="22"/>
        </w:rPr>
        <w:t xml:space="preserve">A clear limitation of using </w:t>
      </w:r>
      <w:r w:rsidR="009D4EB6" w:rsidRPr="005621FA">
        <w:rPr>
          <w:rFonts w:ascii="Arial" w:hAnsi="Arial" w:cs="Arial"/>
          <w:sz w:val="22"/>
          <w:szCs w:val="22"/>
        </w:rPr>
        <w:t xml:space="preserve">a </w:t>
      </w:r>
      <w:r w:rsidR="005921DF" w:rsidRPr="005621FA">
        <w:rPr>
          <w:rFonts w:ascii="Arial" w:hAnsi="Arial" w:cs="Arial"/>
          <w:sz w:val="22"/>
          <w:szCs w:val="22"/>
        </w:rPr>
        <w:t xml:space="preserve">naturalistic observation to measure pupil independence is that it </w:t>
      </w:r>
      <w:r w:rsidR="00100745" w:rsidRPr="005621FA">
        <w:rPr>
          <w:rFonts w:ascii="Arial" w:hAnsi="Arial" w:cs="Arial"/>
          <w:sz w:val="22"/>
          <w:szCs w:val="22"/>
        </w:rPr>
        <w:t xml:space="preserve">may be </w:t>
      </w:r>
      <w:r w:rsidR="005921DF" w:rsidRPr="005621FA">
        <w:rPr>
          <w:rFonts w:ascii="Arial" w:hAnsi="Arial" w:cs="Arial"/>
          <w:sz w:val="22"/>
          <w:szCs w:val="22"/>
        </w:rPr>
        <w:t>subject to observe</w:t>
      </w:r>
      <w:r w:rsidR="00224413" w:rsidRPr="005621FA">
        <w:rPr>
          <w:rFonts w:ascii="Arial" w:hAnsi="Arial" w:cs="Arial"/>
          <w:sz w:val="22"/>
          <w:szCs w:val="22"/>
        </w:rPr>
        <w:t>r</w:t>
      </w:r>
      <w:r w:rsidR="005921DF" w:rsidRPr="005621FA">
        <w:rPr>
          <w:rFonts w:ascii="Arial" w:hAnsi="Arial" w:cs="Arial"/>
          <w:sz w:val="22"/>
          <w:szCs w:val="22"/>
        </w:rPr>
        <w:t xml:space="preserve"> bias as different observers may interpret behaviour differently </w:t>
      </w:r>
      <w:sdt>
        <w:sdtPr>
          <w:rPr>
            <w:rFonts w:ascii="Arial" w:hAnsi="Arial" w:cs="Arial"/>
            <w:sz w:val="22"/>
            <w:szCs w:val="22"/>
          </w:rPr>
          <w:id w:val="-877387185"/>
          <w:citation/>
        </w:sdtPr>
        <w:sdtEndPr/>
        <w:sdtContent>
          <w:r w:rsidR="00B35A2E" w:rsidRPr="005621FA">
            <w:rPr>
              <w:rFonts w:ascii="Arial" w:hAnsi="Arial" w:cs="Arial"/>
              <w:sz w:val="22"/>
              <w:szCs w:val="22"/>
            </w:rPr>
            <w:fldChar w:fldCharType="begin"/>
          </w:r>
          <w:r w:rsidR="00B35A2E" w:rsidRPr="005621FA">
            <w:rPr>
              <w:rFonts w:ascii="Arial" w:hAnsi="Arial" w:cs="Arial"/>
              <w:sz w:val="22"/>
              <w:szCs w:val="22"/>
            </w:rPr>
            <w:instrText xml:space="preserve"> CITATION Mar14 \l 2057 </w:instrText>
          </w:r>
          <w:r w:rsidR="00B35A2E" w:rsidRPr="005621FA">
            <w:rPr>
              <w:rFonts w:ascii="Arial" w:hAnsi="Arial" w:cs="Arial"/>
              <w:sz w:val="22"/>
              <w:szCs w:val="22"/>
            </w:rPr>
            <w:fldChar w:fldCharType="separate"/>
          </w:r>
          <w:r w:rsidR="00B35A2E" w:rsidRPr="005621FA">
            <w:rPr>
              <w:rFonts w:ascii="Arial" w:hAnsi="Arial" w:cs="Arial"/>
              <w:noProof/>
              <w:sz w:val="22"/>
              <w:szCs w:val="22"/>
            </w:rPr>
            <w:t>(Markus &amp; Zenger, 2014)</w:t>
          </w:r>
          <w:r w:rsidR="00B35A2E" w:rsidRPr="005621FA">
            <w:rPr>
              <w:rFonts w:ascii="Arial" w:hAnsi="Arial" w:cs="Arial"/>
              <w:sz w:val="22"/>
              <w:szCs w:val="22"/>
            </w:rPr>
            <w:fldChar w:fldCharType="end"/>
          </w:r>
        </w:sdtContent>
      </w:sdt>
      <w:r w:rsidR="005921DF" w:rsidRPr="005621FA">
        <w:rPr>
          <w:rFonts w:ascii="Arial" w:hAnsi="Arial" w:cs="Arial"/>
          <w:sz w:val="22"/>
          <w:szCs w:val="22"/>
        </w:rPr>
        <w:t xml:space="preserve">. For this reason, </w:t>
      </w:r>
      <w:r w:rsidR="00B83AAC" w:rsidRPr="005621FA">
        <w:rPr>
          <w:rFonts w:ascii="Arial" w:hAnsi="Arial" w:cs="Arial"/>
          <w:sz w:val="22"/>
          <w:szCs w:val="22"/>
        </w:rPr>
        <w:t xml:space="preserve">the researcher used a predetermined observation </w:t>
      </w:r>
      <w:r w:rsidR="00100745" w:rsidRPr="005621FA">
        <w:rPr>
          <w:rFonts w:ascii="Arial" w:hAnsi="Arial" w:cs="Arial"/>
          <w:sz w:val="22"/>
          <w:szCs w:val="22"/>
        </w:rPr>
        <w:t xml:space="preserve">schedule, </w:t>
      </w:r>
      <w:r w:rsidR="005921DF" w:rsidRPr="005621FA">
        <w:rPr>
          <w:rFonts w:ascii="Arial" w:hAnsi="Arial" w:cs="Arial"/>
          <w:sz w:val="22"/>
          <w:szCs w:val="22"/>
        </w:rPr>
        <w:t xml:space="preserve">recording </w:t>
      </w:r>
      <w:r w:rsidR="006D33C7" w:rsidRPr="005621FA">
        <w:rPr>
          <w:rFonts w:ascii="Arial" w:hAnsi="Arial" w:cs="Arial"/>
          <w:sz w:val="22"/>
          <w:szCs w:val="22"/>
        </w:rPr>
        <w:t>learners’</w:t>
      </w:r>
      <w:r w:rsidR="00184B4F" w:rsidRPr="005621FA">
        <w:rPr>
          <w:rFonts w:ascii="Arial" w:hAnsi="Arial" w:cs="Arial"/>
          <w:sz w:val="22"/>
          <w:szCs w:val="22"/>
        </w:rPr>
        <w:t xml:space="preserve"> lev</w:t>
      </w:r>
      <w:r w:rsidR="005921DF" w:rsidRPr="005621FA">
        <w:rPr>
          <w:rFonts w:ascii="Arial" w:hAnsi="Arial" w:cs="Arial"/>
          <w:sz w:val="22"/>
          <w:szCs w:val="22"/>
        </w:rPr>
        <w:t xml:space="preserve">el of involvement </w:t>
      </w:r>
      <w:r w:rsidR="00100745" w:rsidRPr="005621FA">
        <w:rPr>
          <w:rFonts w:ascii="Arial" w:hAnsi="Arial" w:cs="Arial"/>
          <w:sz w:val="22"/>
          <w:szCs w:val="22"/>
        </w:rPr>
        <w:t xml:space="preserve">in the </w:t>
      </w:r>
      <w:r w:rsidR="00184B4F" w:rsidRPr="005621FA">
        <w:rPr>
          <w:rFonts w:ascii="Arial" w:hAnsi="Arial" w:cs="Arial"/>
          <w:sz w:val="22"/>
          <w:szCs w:val="22"/>
        </w:rPr>
        <w:t xml:space="preserve">activity </w:t>
      </w:r>
      <w:r w:rsidR="00C56850">
        <w:rPr>
          <w:rFonts w:ascii="Arial" w:hAnsi="Arial" w:cs="Arial"/>
          <w:sz w:val="22"/>
          <w:szCs w:val="22"/>
        </w:rPr>
        <w:t>based on the</w:t>
      </w:r>
      <w:r w:rsidR="005921DF" w:rsidRPr="005621FA">
        <w:rPr>
          <w:rFonts w:ascii="Arial" w:hAnsi="Arial" w:cs="Arial"/>
          <w:sz w:val="22"/>
          <w:szCs w:val="22"/>
        </w:rPr>
        <w:t xml:space="preserve"> Leuven Scale</w:t>
      </w:r>
      <w:r w:rsidR="003177F9" w:rsidRPr="005621FA">
        <w:rPr>
          <w:rFonts w:ascii="Arial" w:hAnsi="Arial" w:cs="Arial"/>
          <w:sz w:val="22"/>
          <w:szCs w:val="22"/>
        </w:rPr>
        <w:t xml:space="preserve">, collecting qualitative data results </w:t>
      </w:r>
      <w:sdt>
        <w:sdtPr>
          <w:rPr>
            <w:rFonts w:ascii="Arial" w:hAnsi="Arial" w:cs="Arial"/>
            <w:sz w:val="22"/>
            <w:szCs w:val="22"/>
          </w:rPr>
          <w:id w:val="1687099533"/>
          <w:citation/>
        </w:sdtPr>
        <w:sdtEndPr/>
        <w:sdtContent>
          <w:r w:rsidR="003177F9" w:rsidRPr="005621FA">
            <w:rPr>
              <w:rFonts w:ascii="Arial" w:hAnsi="Arial" w:cs="Arial"/>
              <w:sz w:val="22"/>
              <w:szCs w:val="22"/>
            </w:rPr>
            <w:fldChar w:fldCharType="begin"/>
          </w:r>
          <w:r w:rsidR="003177F9" w:rsidRPr="005621FA">
            <w:rPr>
              <w:rFonts w:ascii="Arial" w:hAnsi="Arial" w:cs="Arial"/>
              <w:sz w:val="22"/>
              <w:szCs w:val="22"/>
            </w:rPr>
            <w:instrText xml:space="preserve"> CITATION Mac20 \l 2057 </w:instrText>
          </w:r>
          <w:r w:rsidR="003177F9" w:rsidRPr="005621FA">
            <w:rPr>
              <w:rFonts w:ascii="Arial" w:hAnsi="Arial" w:cs="Arial"/>
              <w:sz w:val="22"/>
              <w:szCs w:val="22"/>
            </w:rPr>
            <w:fldChar w:fldCharType="separate"/>
          </w:r>
          <w:r w:rsidR="003177F9" w:rsidRPr="005621FA">
            <w:rPr>
              <w:rFonts w:ascii="Arial" w:hAnsi="Arial" w:cs="Arial"/>
              <w:noProof/>
              <w:sz w:val="22"/>
              <w:szCs w:val="22"/>
            </w:rPr>
            <w:t>(MacRae &amp; Jones, 2020)</w:t>
          </w:r>
          <w:r w:rsidR="003177F9" w:rsidRPr="005621FA">
            <w:rPr>
              <w:rFonts w:ascii="Arial" w:hAnsi="Arial" w:cs="Arial"/>
              <w:sz w:val="22"/>
              <w:szCs w:val="22"/>
            </w:rPr>
            <w:fldChar w:fldCharType="end"/>
          </w:r>
        </w:sdtContent>
      </w:sdt>
      <w:r w:rsidR="00184B4F" w:rsidRPr="005621FA">
        <w:rPr>
          <w:rFonts w:ascii="Arial" w:hAnsi="Arial" w:cs="Arial"/>
          <w:sz w:val="22"/>
          <w:szCs w:val="22"/>
        </w:rPr>
        <w:t xml:space="preserve">. </w:t>
      </w:r>
      <w:r w:rsidR="004F4D77" w:rsidRPr="005621FA">
        <w:rPr>
          <w:rFonts w:ascii="Arial" w:hAnsi="Arial" w:cs="Arial"/>
          <w:sz w:val="22"/>
          <w:szCs w:val="22"/>
        </w:rPr>
        <w:t xml:space="preserve">The </w:t>
      </w:r>
      <w:r w:rsidR="00215D02" w:rsidRPr="005621FA">
        <w:rPr>
          <w:rFonts w:ascii="Arial" w:hAnsi="Arial" w:cs="Arial"/>
          <w:sz w:val="22"/>
          <w:szCs w:val="22"/>
        </w:rPr>
        <w:t>Leuven Scale, first pioneered by Ferre La</w:t>
      </w:r>
      <w:r w:rsidR="005368D0" w:rsidRPr="005621FA">
        <w:rPr>
          <w:rFonts w:ascii="Arial" w:hAnsi="Arial" w:cs="Arial"/>
          <w:sz w:val="22"/>
          <w:szCs w:val="22"/>
        </w:rPr>
        <w:t>e</w:t>
      </w:r>
      <w:r w:rsidR="00215D02" w:rsidRPr="005621FA">
        <w:rPr>
          <w:rFonts w:ascii="Arial" w:hAnsi="Arial" w:cs="Arial"/>
          <w:sz w:val="22"/>
          <w:szCs w:val="22"/>
        </w:rPr>
        <w:t>vers</w:t>
      </w:r>
      <w:r w:rsidR="00895080" w:rsidRPr="005621FA">
        <w:rPr>
          <w:rFonts w:ascii="Arial" w:hAnsi="Arial" w:cs="Arial"/>
          <w:sz w:val="22"/>
          <w:szCs w:val="22"/>
        </w:rPr>
        <w:t xml:space="preserve">, </w:t>
      </w:r>
      <w:r w:rsidR="006C2D4C" w:rsidRPr="005621FA">
        <w:rPr>
          <w:rFonts w:ascii="Arial" w:hAnsi="Arial" w:cs="Arial"/>
          <w:sz w:val="22"/>
          <w:szCs w:val="22"/>
        </w:rPr>
        <w:t xml:space="preserve">is a tool used to measure children’s engagement </w:t>
      </w:r>
      <w:r w:rsidR="0050409D" w:rsidRPr="005621FA">
        <w:rPr>
          <w:rFonts w:ascii="Arial" w:hAnsi="Arial" w:cs="Arial"/>
          <w:sz w:val="22"/>
          <w:szCs w:val="22"/>
        </w:rPr>
        <w:t xml:space="preserve">in classrooms settings, </w:t>
      </w:r>
      <w:r w:rsidR="00213719" w:rsidRPr="005621FA">
        <w:rPr>
          <w:rFonts w:ascii="Arial" w:hAnsi="Arial" w:cs="Arial"/>
          <w:sz w:val="22"/>
          <w:szCs w:val="22"/>
        </w:rPr>
        <w:t>providing</w:t>
      </w:r>
      <w:r w:rsidR="0050409D" w:rsidRPr="005621FA">
        <w:rPr>
          <w:rFonts w:ascii="Arial" w:hAnsi="Arial" w:cs="Arial"/>
          <w:sz w:val="22"/>
          <w:szCs w:val="22"/>
        </w:rPr>
        <w:t xml:space="preserve"> insight into the factors that contri</w:t>
      </w:r>
      <w:r w:rsidR="00340011" w:rsidRPr="005621FA">
        <w:rPr>
          <w:rFonts w:ascii="Arial" w:hAnsi="Arial" w:cs="Arial"/>
          <w:sz w:val="22"/>
          <w:szCs w:val="22"/>
        </w:rPr>
        <w:t>bute</w:t>
      </w:r>
      <w:r w:rsidR="0050409D" w:rsidRPr="005621FA">
        <w:rPr>
          <w:rFonts w:ascii="Arial" w:hAnsi="Arial" w:cs="Arial"/>
          <w:sz w:val="22"/>
          <w:szCs w:val="22"/>
        </w:rPr>
        <w:t xml:space="preserve"> to their self-regulation </w:t>
      </w:r>
      <w:r w:rsidR="00FE57A8" w:rsidRPr="005621FA">
        <w:rPr>
          <w:rFonts w:ascii="Arial" w:hAnsi="Arial" w:cs="Arial"/>
          <w:sz w:val="22"/>
          <w:szCs w:val="22"/>
        </w:rPr>
        <w:t>(</w:t>
      </w:r>
      <w:r w:rsidR="00D3655B" w:rsidRPr="005621FA">
        <w:rPr>
          <w:rFonts w:ascii="Arial" w:hAnsi="Arial" w:cs="Arial"/>
          <w:sz w:val="22"/>
          <w:szCs w:val="22"/>
        </w:rPr>
        <w:t xml:space="preserve">Laevers, 1994; De Backet, et., 2013). </w:t>
      </w:r>
    </w:p>
    <w:p w14:paraId="2CEC4D6B" w14:textId="77777777" w:rsidR="005B0E88" w:rsidRPr="005621FA" w:rsidRDefault="005B0E88" w:rsidP="005621FA">
      <w:pPr>
        <w:spacing w:line="360" w:lineRule="auto"/>
        <w:rPr>
          <w:rFonts w:ascii="Arial" w:hAnsi="Arial" w:cs="Arial"/>
          <w:sz w:val="22"/>
          <w:szCs w:val="22"/>
        </w:rPr>
      </w:pPr>
    </w:p>
    <w:p w14:paraId="2473AD81" w14:textId="795FEA8C" w:rsidR="00213719" w:rsidRPr="005621FA" w:rsidRDefault="005C640F" w:rsidP="005621FA">
      <w:pPr>
        <w:spacing w:line="360" w:lineRule="auto"/>
        <w:rPr>
          <w:rFonts w:ascii="Arial" w:hAnsi="Arial" w:cs="Arial"/>
          <w:sz w:val="22"/>
          <w:szCs w:val="22"/>
        </w:rPr>
      </w:pPr>
      <w:r w:rsidRPr="005621FA">
        <w:rPr>
          <w:rFonts w:ascii="Arial" w:hAnsi="Arial" w:cs="Arial"/>
          <w:sz w:val="22"/>
          <w:szCs w:val="22"/>
        </w:rPr>
        <w:t>As opposed to the standard</w:t>
      </w:r>
      <w:r w:rsidR="00395889" w:rsidRPr="005621FA">
        <w:rPr>
          <w:rFonts w:ascii="Arial" w:hAnsi="Arial" w:cs="Arial"/>
          <w:sz w:val="22"/>
          <w:szCs w:val="22"/>
        </w:rPr>
        <w:t xml:space="preserve"> five </w:t>
      </w:r>
      <w:r w:rsidR="00F74F3A" w:rsidRPr="005621FA">
        <w:rPr>
          <w:rFonts w:ascii="Arial" w:hAnsi="Arial" w:cs="Arial"/>
          <w:sz w:val="22"/>
          <w:szCs w:val="22"/>
        </w:rPr>
        <w:t>scale measure that the Leuven Scale is known for</w:t>
      </w:r>
      <w:r w:rsidR="005368D0" w:rsidRPr="005621FA">
        <w:rPr>
          <w:rFonts w:ascii="Arial" w:hAnsi="Arial" w:cs="Arial"/>
          <w:sz w:val="22"/>
          <w:szCs w:val="22"/>
        </w:rPr>
        <w:t xml:space="preserve"> (Laevers, </w:t>
      </w:r>
      <w:r w:rsidR="00E35C57" w:rsidRPr="005621FA">
        <w:rPr>
          <w:rFonts w:ascii="Arial" w:hAnsi="Arial" w:cs="Arial"/>
          <w:sz w:val="22"/>
          <w:szCs w:val="22"/>
        </w:rPr>
        <w:t xml:space="preserve">1994; </w:t>
      </w:r>
      <w:r w:rsidR="00525AF9" w:rsidRPr="005621FA">
        <w:rPr>
          <w:rFonts w:ascii="Arial" w:hAnsi="Arial" w:cs="Arial"/>
          <w:sz w:val="22"/>
          <w:szCs w:val="22"/>
        </w:rPr>
        <w:t>MacRae &amp; Jones, 2020)</w:t>
      </w:r>
      <w:r w:rsidR="00E5590B" w:rsidRPr="005621FA">
        <w:rPr>
          <w:rFonts w:ascii="Arial" w:hAnsi="Arial" w:cs="Arial"/>
          <w:sz w:val="22"/>
          <w:szCs w:val="22"/>
        </w:rPr>
        <w:t xml:space="preserve">, </w:t>
      </w:r>
      <w:r w:rsidR="00E30356" w:rsidRPr="005621FA">
        <w:rPr>
          <w:rFonts w:ascii="Arial" w:hAnsi="Arial" w:cs="Arial"/>
          <w:sz w:val="22"/>
          <w:szCs w:val="22"/>
        </w:rPr>
        <w:t xml:space="preserve">the scale was modified to present levels of independence in three levels; </w:t>
      </w:r>
      <w:r w:rsidR="00390D34" w:rsidRPr="005621FA">
        <w:rPr>
          <w:rFonts w:ascii="Arial" w:hAnsi="Arial" w:cs="Arial"/>
          <w:sz w:val="22"/>
          <w:szCs w:val="22"/>
        </w:rPr>
        <w:t xml:space="preserve">passive, active and independent. </w:t>
      </w:r>
      <w:r w:rsidR="00BC4057" w:rsidRPr="005621FA">
        <w:rPr>
          <w:rFonts w:ascii="Arial" w:hAnsi="Arial" w:cs="Arial"/>
          <w:sz w:val="22"/>
          <w:szCs w:val="22"/>
        </w:rPr>
        <w:t xml:space="preserve">Three </w:t>
      </w:r>
      <w:r w:rsidR="00180584" w:rsidRPr="005621FA">
        <w:rPr>
          <w:rFonts w:ascii="Arial" w:hAnsi="Arial" w:cs="Arial"/>
          <w:sz w:val="22"/>
          <w:szCs w:val="22"/>
        </w:rPr>
        <w:t xml:space="preserve">point scales have been found to be just as reliable as </w:t>
      </w:r>
      <w:r w:rsidR="00BC4057" w:rsidRPr="005621FA">
        <w:rPr>
          <w:rFonts w:ascii="Arial" w:hAnsi="Arial" w:cs="Arial"/>
          <w:sz w:val="22"/>
          <w:szCs w:val="22"/>
        </w:rPr>
        <w:t xml:space="preserve"> five </w:t>
      </w:r>
      <w:r w:rsidR="00180584" w:rsidRPr="005621FA">
        <w:rPr>
          <w:rFonts w:ascii="Arial" w:hAnsi="Arial" w:cs="Arial"/>
          <w:sz w:val="22"/>
          <w:szCs w:val="22"/>
        </w:rPr>
        <w:t>point scales</w:t>
      </w:r>
      <w:r w:rsidR="00BC4057" w:rsidRPr="005621FA">
        <w:rPr>
          <w:rFonts w:ascii="Arial" w:hAnsi="Arial" w:cs="Arial"/>
          <w:sz w:val="22"/>
          <w:szCs w:val="22"/>
        </w:rPr>
        <w:t xml:space="preserve"> (Jamieson, 2004; Jackson, 2009), </w:t>
      </w:r>
      <w:r w:rsidR="002120A2" w:rsidRPr="005621FA">
        <w:rPr>
          <w:rFonts w:ascii="Arial" w:hAnsi="Arial" w:cs="Arial"/>
          <w:sz w:val="22"/>
          <w:szCs w:val="22"/>
        </w:rPr>
        <w:t>and by</w:t>
      </w:r>
      <w:r w:rsidR="00712A3E" w:rsidRPr="005621FA">
        <w:rPr>
          <w:rFonts w:ascii="Arial" w:hAnsi="Arial" w:cs="Arial"/>
          <w:sz w:val="22"/>
          <w:szCs w:val="22"/>
        </w:rPr>
        <w:t xml:space="preserve"> </w:t>
      </w:r>
      <w:r w:rsidR="00E86E1F" w:rsidRPr="005621FA">
        <w:rPr>
          <w:rFonts w:ascii="Arial" w:hAnsi="Arial" w:cs="Arial"/>
          <w:sz w:val="22"/>
          <w:szCs w:val="22"/>
        </w:rPr>
        <w:t>utilising</w:t>
      </w:r>
      <w:r w:rsidR="00712A3E" w:rsidRPr="005621FA">
        <w:rPr>
          <w:rFonts w:ascii="Arial" w:hAnsi="Arial" w:cs="Arial"/>
          <w:sz w:val="22"/>
          <w:szCs w:val="22"/>
        </w:rPr>
        <w:t xml:space="preserve"> the Leuven Scale</w:t>
      </w:r>
      <w:r w:rsidR="00395889" w:rsidRPr="005621FA">
        <w:rPr>
          <w:rFonts w:ascii="Arial" w:hAnsi="Arial" w:cs="Arial"/>
          <w:sz w:val="22"/>
          <w:szCs w:val="22"/>
        </w:rPr>
        <w:t xml:space="preserve"> in this way</w:t>
      </w:r>
      <w:r w:rsidR="00712A3E" w:rsidRPr="005621FA">
        <w:rPr>
          <w:rFonts w:ascii="Arial" w:hAnsi="Arial" w:cs="Arial"/>
          <w:sz w:val="22"/>
          <w:szCs w:val="22"/>
        </w:rPr>
        <w:t xml:space="preserve">, the researcher was able to gather data in a </w:t>
      </w:r>
      <w:r w:rsidR="00E86E1F" w:rsidRPr="005621FA">
        <w:rPr>
          <w:rFonts w:ascii="Arial" w:hAnsi="Arial" w:cs="Arial"/>
          <w:sz w:val="22"/>
          <w:szCs w:val="22"/>
        </w:rPr>
        <w:t>standardised</w:t>
      </w:r>
      <w:r w:rsidR="00712A3E" w:rsidRPr="005621FA">
        <w:rPr>
          <w:rFonts w:ascii="Arial" w:hAnsi="Arial" w:cs="Arial"/>
          <w:sz w:val="22"/>
          <w:szCs w:val="22"/>
        </w:rPr>
        <w:t xml:space="preserve"> manner and present it using a consistent coding system, </w:t>
      </w:r>
      <w:r w:rsidR="00E86E1F" w:rsidRPr="005621FA">
        <w:rPr>
          <w:rFonts w:ascii="Arial" w:hAnsi="Arial" w:cs="Arial"/>
          <w:sz w:val="22"/>
          <w:szCs w:val="22"/>
        </w:rPr>
        <w:t>increasing the credibility of the findings</w:t>
      </w:r>
      <w:r w:rsidR="00462AE2" w:rsidRPr="005621FA">
        <w:rPr>
          <w:rFonts w:ascii="Arial" w:hAnsi="Arial" w:cs="Arial"/>
          <w:sz w:val="22"/>
          <w:szCs w:val="22"/>
        </w:rPr>
        <w:t xml:space="preserve"> </w:t>
      </w:r>
      <w:sdt>
        <w:sdtPr>
          <w:rPr>
            <w:rFonts w:ascii="Arial" w:hAnsi="Arial" w:cs="Arial"/>
            <w:sz w:val="22"/>
            <w:szCs w:val="22"/>
          </w:rPr>
          <w:id w:val="-1349704291"/>
          <w:citation/>
        </w:sdtPr>
        <w:sdtEndPr/>
        <w:sdtContent>
          <w:r w:rsidR="00462AE2" w:rsidRPr="005621FA">
            <w:rPr>
              <w:rFonts w:ascii="Arial" w:hAnsi="Arial" w:cs="Arial"/>
              <w:sz w:val="22"/>
              <w:szCs w:val="22"/>
            </w:rPr>
            <w:fldChar w:fldCharType="begin"/>
          </w:r>
          <w:r w:rsidR="00462AE2" w:rsidRPr="005621FA">
            <w:rPr>
              <w:rFonts w:ascii="Arial" w:hAnsi="Arial" w:cs="Arial"/>
              <w:sz w:val="22"/>
              <w:szCs w:val="22"/>
            </w:rPr>
            <w:instrText xml:space="preserve"> CITATION Sal15 \l 2057 </w:instrText>
          </w:r>
          <w:r w:rsidR="00462AE2" w:rsidRPr="005621FA">
            <w:rPr>
              <w:rFonts w:ascii="Arial" w:hAnsi="Arial" w:cs="Arial"/>
              <w:sz w:val="22"/>
              <w:szCs w:val="22"/>
            </w:rPr>
            <w:fldChar w:fldCharType="separate"/>
          </w:r>
          <w:r w:rsidR="00462AE2" w:rsidRPr="005621FA">
            <w:rPr>
              <w:rFonts w:ascii="Arial" w:hAnsi="Arial" w:cs="Arial"/>
              <w:noProof/>
              <w:sz w:val="22"/>
              <w:szCs w:val="22"/>
            </w:rPr>
            <w:t>(Saldaña, 2015)</w:t>
          </w:r>
          <w:r w:rsidR="00462AE2" w:rsidRPr="005621FA">
            <w:rPr>
              <w:rFonts w:ascii="Arial" w:hAnsi="Arial" w:cs="Arial"/>
              <w:sz w:val="22"/>
              <w:szCs w:val="22"/>
            </w:rPr>
            <w:fldChar w:fldCharType="end"/>
          </w:r>
        </w:sdtContent>
      </w:sdt>
      <w:r w:rsidR="00E86E1F" w:rsidRPr="005621FA">
        <w:rPr>
          <w:rFonts w:ascii="Arial" w:hAnsi="Arial" w:cs="Arial"/>
          <w:sz w:val="22"/>
          <w:szCs w:val="22"/>
        </w:rPr>
        <w:t xml:space="preserve">. </w:t>
      </w:r>
      <w:r w:rsidR="00213719" w:rsidRPr="005621FA">
        <w:rPr>
          <w:rFonts w:ascii="Arial" w:hAnsi="Arial" w:cs="Arial"/>
          <w:sz w:val="22"/>
          <w:szCs w:val="22"/>
        </w:rPr>
        <w:t xml:space="preserve">Furthermore, a naturalistic observation is typically an unstructured method of observation </w:t>
      </w:r>
      <w:sdt>
        <w:sdtPr>
          <w:rPr>
            <w:rFonts w:ascii="Arial" w:hAnsi="Arial" w:cs="Arial"/>
            <w:sz w:val="22"/>
            <w:szCs w:val="22"/>
          </w:rPr>
          <w:id w:val="877286450"/>
          <w:citation/>
        </w:sdtPr>
        <w:sdtEndPr/>
        <w:sdtContent>
          <w:r w:rsidR="00213719" w:rsidRPr="005621FA">
            <w:rPr>
              <w:rFonts w:ascii="Arial" w:hAnsi="Arial" w:cs="Arial"/>
              <w:sz w:val="22"/>
              <w:szCs w:val="22"/>
            </w:rPr>
            <w:fldChar w:fldCharType="begin"/>
          </w:r>
          <w:r w:rsidR="00213719" w:rsidRPr="005621FA">
            <w:rPr>
              <w:rFonts w:ascii="Arial" w:hAnsi="Arial" w:cs="Arial"/>
              <w:sz w:val="22"/>
              <w:szCs w:val="22"/>
            </w:rPr>
            <w:instrText xml:space="preserve"> CITATION Bra20 \l 2057 </w:instrText>
          </w:r>
          <w:r w:rsidR="00213719" w:rsidRPr="005621FA">
            <w:rPr>
              <w:rFonts w:ascii="Arial" w:hAnsi="Arial" w:cs="Arial"/>
              <w:sz w:val="22"/>
              <w:szCs w:val="22"/>
            </w:rPr>
            <w:fldChar w:fldCharType="separate"/>
          </w:r>
          <w:r w:rsidR="00213719" w:rsidRPr="005621FA">
            <w:rPr>
              <w:rFonts w:ascii="Arial" w:hAnsi="Arial" w:cs="Arial"/>
              <w:noProof/>
              <w:sz w:val="22"/>
              <w:szCs w:val="22"/>
            </w:rPr>
            <w:t>(Bradley, 2020)</w:t>
          </w:r>
          <w:r w:rsidR="00213719" w:rsidRPr="005621FA">
            <w:rPr>
              <w:rFonts w:ascii="Arial" w:hAnsi="Arial" w:cs="Arial"/>
              <w:sz w:val="22"/>
              <w:szCs w:val="22"/>
            </w:rPr>
            <w:fldChar w:fldCharType="end"/>
          </w:r>
        </w:sdtContent>
      </w:sdt>
      <w:r w:rsidR="00213719" w:rsidRPr="005621FA">
        <w:rPr>
          <w:rFonts w:ascii="Arial" w:hAnsi="Arial" w:cs="Arial"/>
          <w:sz w:val="22"/>
          <w:szCs w:val="22"/>
        </w:rPr>
        <w:t>, and the use of the Leuven Scale introduced structure to the observation process</w:t>
      </w:r>
      <w:r w:rsidR="00200CC4" w:rsidRPr="005621FA">
        <w:rPr>
          <w:rFonts w:ascii="Arial" w:hAnsi="Arial" w:cs="Arial"/>
          <w:sz w:val="22"/>
          <w:szCs w:val="22"/>
        </w:rPr>
        <w:t>, increasing the reliability of the data collected and reducing the likelihood of observer bias influencing the results.</w:t>
      </w:r>
    </w:p>
    <w:p w14:paraId="402C74EB" w14:textId="6C0D7A46" w:rsidR="004F4D77" w:rsidRPr="005621FA" w:rsidRDefault="004F4D77" w:rsidP="005621FA">
      <w:pPr>
        <w:pStyle w:val="AssignBody"/>
        <w:rPr>
          <w:rFonts w:cs="Arial"/>
        </w:rPr>
      </w:pPr>
    </w:p>
    <w:p w14:paraId="55E811C8" w14:textId="67090FC8" w:rsidR="00754A94" w:rsidRPr="005621FA" w:rsidRDefault="00F254D4" w:rsidP="005621FA">
      <w:pPr>
        <w:pStyle w:val="AssignBody"/>
        <w:rPr>
          <w:rFonts w:cs="Arial"/>
        </w:rPr>
      </w:pPr>
      <w:r w:rsidRPr="005621FA">
        <w:rPr>
          <w:rFonts w:cs="Arial"/>
        </w:rPr>
        <w:lastRenderedPageBreak/>
        <w:t>To further mitigate the impact of observer bias, the observation process was conducted twice. This increased the reliability of the data</w:t>
      </w:r>
      <w:r w:rsidR="00C50CA1" w:rsidRPr="005621FA">
        <w:rPr>
          <w:rFonts w:cs="Arial"/>
        </w:rPr>
        <w:t xml:space="preserve"> as it ensured further consistency in the data </w:t>
      </w:r>
      <w:r w:rsidR="00E03C22" w:rsidRPr="005621FA">
        <w:rPr>
          <w:rFonts w:cs="Arial"/>
        </w:rPr>
        <w:t xml:space="preserve">allowing for more informed conclusions to be </w:t>
      </w:r>
      <w:r w:rsidR="00E97A4F" w:rsidRPr="005621FA">
        <w:rPr>
          <w:rFonts w:cs="Arial"/>
        </w:rPr>
        <w:t>drawn</w:t>
      </w:r>
      <w:r w:rsidR="006A626C" w:rsidRPr="005621FA">
        <w:rPr>
          <w:rFonts w:cs="Arial"/>
        </w:rPr>
        <w:t xml:space="preserve"> </w:t>
      </w:r>
      <w:sdt>
        <w:sdtPr>
          <w:rPr>
            <w:rFonts w:cs="Arial"/>
          </w:rPr>
          <w:id w:val="-1982062641"/>
          <w:citation/>
        </w:sdtPr>
        <w:sdtEndPr/>
        <w:sdtContent>
          <w:r w:rsidR="006A626C" w:rsidRPr="005621FA">
            <w:rPr>
              <w:rFonts w:cs="Arial"/>
            </w:rPr>
            <w:fldChar w:fldCharType="begin"/>
          </w:r>
          <w:r w:rsidR="006A626C" w:rsidRPr="005621FA">
            <w:rPr>
              <w:rFonts w:cs="Arial"/>
            </w:rPr>
            <w:instrText xml:space="preserve"> CITATION DAg13 \l 2057 </w:instrText>
          </w:r>
          <w:r w:rsidR="006A626C" w:rsidRPr="005621FA">
            <w:rPr>
              <w:rFonts w:cs="Arial"/>
            </w:rPr>
            <w:fldChar w:fldCharType="separate"/>
          </w:r>
          <w:r w:rsidR="006A626C" w:rsidRPr="005621FA">
            <w:rPr>
              <w:rFonts w:cs="Arial"/>
              <w:noProof/>
            </w:rPr>
            <w:t>(D'Agostino, et al., 2013)</w:t>
          </w:r>
          <w:r w:rsidR="006A626C" w:rsidRPr="005621FA">
            <w:rPr>
              <w:rFonts w:cs="Arial"/>
            </w:rPr>
            <w:fldChar w:fldCharType="end"/>
          </w:r>
        </w:sdtContent>
      </w:sdt>
      <w:r w:rsidR="006A626C" w:rsidRPr="005621FA">
        <w:rPr>
          <w:rFonts w:cs="Arial"/>
        </w:rPr>
        <w:t xml:space="preserve">. </w:t>
      </w:r>
      <w:r w:rsidR="00273A7C" w:rsidRPr="005621FA">
        <w:rPr>
          <w:rFonts w:cs="Arial"/>
        </w:rPr>
        <w:t xml:space="preserve">Using the same sample of learners for observation as was used during interviews </w:t>
      </w:r>
      <w:r w:rsidR="00175398" w:rsidRPr="005621FA">
        <w:rPr>
          <w:rFonts w:cs="Arial"/>
        </w:rPr>
        <w:t>provided</w:t>
      </w:r>
      <w:r w:rsidR="00273A7C" w:rsidRPr="005621FA">
        <w:rPr>
          <w:rFonts w:cs="Arial"/>
        </w:rPr>
        <w:t xml:space="preserve"> the researcher with a more complete understanding o</w:t>
      </w:r>
      <w:r w:rsidR="00A556E6" w:rsidRPr="005621FA">
        <w:rPr>
          <w:rFonts w:cs="Arial"/>
        </w:rPr>
        <w:t xml:space="preserve">f how learners </w:t>
      </w:r>
      <w:r w:rsidR="009D01EE" w:rsidRPr="005621FA">
        <w:rPr>
          <w:rFonts w:cs="Arial"/>
        </w:rPr>
        <w:t>are supported in becoming healthy, confident individuals through developing pupil independence.</w:t>
      </w:r>
      <w:r w:rsidR="00612748" w:rsidRPr="005621FA">
        <w:rPr>
          <w:rFonts w:cs="Arial"/>
        </w:rPr>
        <w:t xml:space="preserve"> </w:t>
      </w:r>
      <w:r w:rsidR="00581960" w:rsidRPr="005621FA">
        <w:rPr>
          <w:rFonts w:cs="Arial"/>
        </w:rPr>
        <w:t xml:space="preserve">Alongside reducing variability in the data </w:t>
      </w:r>
      <w:sdt>
        <w:sdtPr>
          <w:rPr>
            <w:rFonts w:cs="Arial"/>
          </w:rPr>
          <w:id w:val="-221829913"/>
          <w:citation/>
        </w:sdtPr>
        <w:sdtEndPr/>
        <w:sdtContent>
          <w:r w:rsidR="00672EC0" w:rsidRPr="005621FA">
            <w:rPr>
              <w:rFonts w:cs="Arial"/>
            </w:rPr>
            <w:fldChar w:fldCharType="begin"/>
          </w:r>
          <w:r w:rsidR="003664F7">
            <w:rPr>
              <w:rFonts w:cs="Arial"/>
            </w:rPr>
            <w:instrText xml:space="preserve">CITATION Coh11 \l 2057 </w:instrText>
          </w:r>
          <w:r w:rsidR="00672EC0" w:rsidRPr="005621FA">
            <w:rPr>
              <w:rFonts w:cs="Arial"/>
            </w:rPr>
            <w:fldChar w:fldCharType="separate"/>
          </w:r>
          <w:r w:rsidR="003664F7" w:rsidRPr="003664F7">
            <w:rPr>
              <w:rFonts w:cs="Arial"/>
              <w:noProof/>
            </w:rPr>
            <w:t>(Cohen &amp; Manion, 2013)</w:t>
          </w:r>
          <w:r w:rsidR="00672EC0" w:rsidRPr="005621FA">
            <w:rPr>
              <w:rFonts w:cs="Arial"/>
            </w:rPr>
            <w:fldChar w:fldCharType="end"/>
          </w:r>
        </w:sdtContent>
      </w:sdt>
      <w:r w:rsidR="00672EC0" w:rsidRPr="005621FA">
        <w:rPr>
          <w:rFonts w:cs="Arial"/>
        </w:rPr>
        <w:t xml:space="preserve">, </w:t>
      </w:r>
      <w:r w:rsidR="00612748" w:rsidRPr="005621FA">
        <w:rPr>
          <w:rFonts w:cs="Arial"/>
        </w:rPr>
        <w:t xml:space="preserve">using the same sample of learners ensured </w:t>
      </w:r>
      <w:r w:rsidR="00DD7EF0" w:rsidRPr="005621FA">
        <w:rPr>
          <w:rFonts w:cs="Arial"/>
        </w:rPr>
        <w:t>that the data collected was more representative of the learners’ experience as a whole, rather than just a subset of the population</w:t>
      </w:r>
      <w:r w:rsidR="00E35A16" w:rsidRPr="005621FA">
        <w:rPr>
          <w:rFonts w:cs="Arial"/>
        </w:rPr>
        <w:t xml:space="preserve"> </w:t>
      </w:r>
      <w:sdt>
        <w:sdtPr>
          <w:rPr>
            <w:rFonts w:cs="Arial"/>
          </w:rPr>
          <w:id w:val="199287792"/>
          <w:citation/>
        </w:sdtPr>
        <w:sdtEndPr/>
        <w:sdtContent>
          <w:r w:rsidR="001A5D49" w:rsidRPr="005621FA">
            <w:rPr>
              <w:rFonts w:cs="Arial"/>
            </w:rPr>
            <w:fldChar w:fldCharType="begin"/>
          </w:r>
          <w:r w:rsidR="001A5D49" w:rsidRPr="005621FA">
            <w:rPr>
              <w:rFonts w:cs="Arial"/>
            </w:rPr>
            <w:instrText xml:space="preserve">CITATION Den141 \l 2057 </w:instrText>
          </w:r>
          <w:r w:rsidR="001A5D49" w:rsidRPr="005621FA">
            <w:rPr>
              <w:rFonts w:cs="Arial"/>
            </w:rPr>
            <w:fldChar w:fldCharType="separate"/>
          </w:r>
          <w:r w:rsidR="001A5D49" w:rsidRPr="005621FA">
            <w:rPr>
              <w:rFonts w:cs="Arial"/>
              <w:noProof/>
            </w:rPr>
            <w:t>(Denscombe, 2014)</w:t>
          </w:r>
          <w:r w:rsidR="001A5D49" w:rsidRPr="005621FA">
            <w:rPr>
              <w:rFonts w:cs="Arial"/>
            </w:rPr>
            <w:fldChar w:fldCharType="end"/>
          </w:r>
        </w:sdtContent>
      </w:sdt>
      <w:r w:rsidR="001A5D49" w:rsidRPr="005621FA">
        <w:rPr>
          <w:rFonts w:cs="Arial"/>
        </w:rPr>
        <w:t xml:space="preserve">. </w:t>
      </w:r>
      <w:r w:rsidR="00642E50" w:rsidRPr="005621FA">
        <w:rPr>
          <w:rFonts w:cs="Arial"/>
        </w:rPr>
        <w:t xml:space="preserve">This increased </w:t>
      </w:r>
      <w:r w:rsidR="00E6448F" w:rsidRPr="005621FA">
        <w:rPr>
          <w:rFonts w:cs="Arial"/>
        </w:rPr>
        <w:t xml:space="preserve">the </w:t>
      </w:r>
      <w:r w:rsidR="00642E50" w:rsidRPr="005621FA">
        <w:rPr>
          <w:rFonts w:cs="Arial"/>
        </w:rPr>
        <w:t xml:space="preserve">generalisability </w:t>
      </w:r>
      <w:r w:rsidR="00E6448F" w:rsidRPr="005621FA">
        <w:rPr>
          <w:rFonts w:cs="Arial"/>
        </w:rPr>
        <w:t>of the findings to other year five learners,</w:t>
      </w:r>
      <w:r w:rsidR="00B06F5B" w:rsidRPr="005621FA">
        <w:rPr>
          <w:rFonts w:cs="Arial"/>
        </w:rPr>
        <w:t xml:space="preserve"> informing the decision for the intervention implemented </w:t>
      </w:r>
      <w:r w:rsidR="00840042" w:rsidRPr="005621FA">
        <w:rPr>
          <w:rFonts w:cs="Arial"/>
        </w:rPr>
        <w:t xml:space="preserve">to support </w:t>
      </w:r>
      <w:r w:rsidR="00BC4BEB" w:rsidRPr="005621FA">
        <w:rPr>
          <w:rFonts w:cs="Arial"/>
        </w:rPr>
        <w:t xml:space="preserve">School A as a </w:t>
      </w:r>
      <w:r w:rsidR="00C56850" w:rsidRPr="005621FA">
        <w:rPr>
          <w:rFonts w:cs="Arial"/>
        </w:rPr>
        <w:t>whole school</w:t>
      </w:r>
      <w:r w:rsidR="00FD44D2" w:rsidRPr="005621FA">
        <w:rPr>
          <w:rFonts w:cs="Arial"/>
        </w:rPr>
        <w:t xml:space="preserve"> (</w:t>
      </w:r>
      <w:r w:rsidR="008A6535" w:rsidRPr="005621FA">
        <w:rPr>
          <w:rFonts w:cs="Arial"/>
        </w:rPr>
        <w:t>Ap</w:t>
      </w:r>
      <w:r w:rsidR="00691C54" w:rsidRPr="005621FA">
        <w:rPr>
          <w:rFonts w:cs="Arial"/>
        </w:rPr>
        <w:t>pendix 8</w:t>
      </w:r>
      <w:r w:rsidR="008A6535" w:rsidRPr="005621FA">
        <w:rPr>
          <w:rFonts w:cs="Arial"/>
        </w:rPr>
        <w:t>)</w:t>
      </w:r>
      <w:r w:rsidR="00840042" w:rsidRPr="005621FA">
        <w:rPr>
          <w:rFonts w:cs="Arial"/>
        </w:rPr>
        <w:t>.</w:t>
      </w:r>
      <w:r w:rsidR="00B06F5B" w:rsidRPr="005621FA">
        <w:rPr>
          <w:rFonts w:cs="Arial"/>
        </w:rPr>
        <w:t xml:space="preserve"> </w:t>
      </w:r>
    </w:p>
    <w:p w14:paraId="1496C97F" w14:textId="77777777" w:rsidR="00B551AF" w:rsidRPr="005621FA" w:rsidRDefault="00B551AF" w:rsidP="005621FA">
      <w:pPr>
        <w:pStyle w:val="AssignBody"/>
        <w:rPr>
          <w:rFonts w:cs="Arial"/>
        </w:rPr>
      </w:pPr>
    </w:p>
    <w:p w14:paraId="324E1D72" w14:textId="4D11410C" w:rsidR="00851F42" w:rsidRPr="005621FA" w:rsidRDefault="00DC0C40" w:rsidP="005621FA">
      <w:pPr>
        <w:pStyle w:val="AssignBody"/>
        <w:rPr>
          <w:rFonts w:cs="Arial"/>
          <w:color w:val="000000" w:themeColor="text1"/>
        </w:rPr>
      </w:pPr>
      <w:r w:rsidRPr="005621FA">
        <w:rPr>
          <w:rFonts w:cs="Arial"/>
          <w:color w:val="000000" w:themeColor="text1"/>
        </w:rPr>
        <w:t xml:space="preserve">An increased awareness of ethical consideration was </w:t>
      </w:r>
      <w:r w:rsidR="00CF630F" w:rsidRPr="005621FA">
        <w:rPr>
          <w:rFonts w:cs="Arial"/>
          <w:color w:val="000000" w:themeColor="text1"/>
        </w:rPr>
        <w:t>demonstrated throughout the study</w:t>
      </w:r>
      <w:r w:rsidR="00A37B12" w:rsidRPr="005621FA">
        <w:rPr>
          <w:rFonts w:cs="Arial"/>
          <w:color w:val="000000" w:themeColor="text1"/>
        </w:rPr>
        <w:t xml:space="preserve">. Put simply, ethics can be understood as principles and values that guide moral conduct </w:t>
      </w:r>
      <w:r w:rsidR="00DD0A48" w:rsidRPr="005621FA">
        <w:rPr>
          <w:rFonts w:cs="Arial"/>
          <w:color w:val="000000" w:themeColor="text1"/>
        </w:rPr>
        <w:t>(Alderson &amp; Morrow, 2011; Israel, 201</w:t>
      </w:r>
      <w:r w:rsidR="008E3197">
        <w:rPr>
          <w:rFonts w:cs="Arial"/>
          <w:color w:val="000000" w:themeColor="text1"/>
        </w:rPr>
        <w:t>5</w:t>
      </w:r>
      <w:r w:rsidR="00DD0A48" w:rsidRPr="005621FA">
        <w:rPr>
          <w:rFonts w:cs="Arial"/>
          <w:color w:val="000000" w:themeColor="text1"/>
        </w:rPr>
        <w:t xml:space="preserve">). </w:t>
      </w:r>
      <w:r w:rsidR="00AB69A8" w:rsidRPr="005621FA">
        <w:rPr>
          <w:rFonts w:cs="Arial"/>
          <w:color w:val="000000" w:themeColor="text1"/>
        </w:rPr>
        <w:t xml:space="preserve">The guidelines established by the British Education Research Association (BERA) provide a framework for identifying and addressing potential ethical concerns in research. These guidelines encompass a range of methods that can be employed to mitigate the risk of harm to research participants </w:t>
      </w:r>
      <w:sdt>
        <w:sdtPr>
          <w:rPr>
            <w:rFonts w:cs="Arial"/>
            <w:color w:val="000000" w:themeColor="text1"/>
          </w:rPr>
          <w:id w:val="188798971"/>
          <w:citation/>
        </w:sdtPr>
        <w:sdtEndPr/>
        <w:sdtContent>
          <w:r w:rsidR="00AB69A8" w:rsidRPr="005621FA">
            <w:rPr>
              <w:rFonts w:cs="Arial"/>
              <w:color w:val="000000" w:themeColor="text1"/>
            </w:rPr>
            <w:fldChar w:fldCharType="begin"/>
          </w:r>
          <w:r w:rsidR="00AB69A8" w:rsidRPr="005621FA">
            <w:rPr>
              <w:rFonts w:cs="Arial"/>
              <w:color w:val="000000" w:themeColor="text1"/>
            </w:rPr>
            <w:instrText xml:space="preserve"> CITATION BER18 \l 2057 </w:instrText>
          </w:r>
          <w:r w:rsidR="00AB69A8" w:rsidRPr="005621FA">
            <w:rPr>
              <w:rFonts w:cs="Arial"/>
              <w:color w:val="000000" w:themeColor="text1"/>
            </w:rPr>
            <w:fldChar w:fldCharType="separate"/>
          </w:r>
          <w:r w:rsidR="00AB69A8" w:rsidRPr="005621FA">
            <w:rPr>
              <w:rFonts w:eastAsiaTheme="minorHAnsi" w:cs="Arial"/>
              <w:noProof/>
              <w:color w:val="000000" w:themeColor="text1"/>
            </w:rPr>
            <w:t>(BERA, 2018)</w:t>
          </w:r>
          <w:r w:rsidR="00AB69A8" w:rsidRPr="005621FA">
            <w:rPr>
              <w:rFonts w:cs="Arial"/>
              <w:color w:val="000000" w:themeColor="text1"/>
            </w:rPr>
            <w:fldChar w:fldCharType="end"/>
          </w:r>
        </w:sdtContent>
      </w:sdt>
      <w:r w:rsidR="00AB69A8" w:rsidRPr="005621FA">
        <w:rPr>
          <w:rFonts w:cs="Arial"/>
          <w:color w:val="000000" w:themeColor="text1"/>
        </w:rPr>
        <w:t>.</w:t>
      </w:r>
      <w:r w:rsidR="00A61D6D" w:rsidRPr="005621FA">
        <w:rPr>
          <w:rFonts w:cs="Arial"/>
          <w:color w:val="000000" w:themeColor="text1"/>
        </w:rPr>
        <w:t xml:space="preserve"> During the completion of an ethics form (A</w:t>
      </w:r>
      <w:r w:rsidR="00691C54" w:rsidRPr="005621FA">
        <w:rPr>
          <w:rFonts w:cs="Arial"/>
          <w:color w:val="000000" w:themeColor="text1"/>
        </w:rPr>
        <w:t>ppendix 9</w:t>
      </w:r>
      <w:r w:rsidR="00A61D6D" w:rsidRPr="005621FA">
        <w:rPr>
          <w:rFonts w:cs="Arial"/>
          <w:color w:val="000000" w:themeColor="text1"/>
        </w:rPr>
        <w:t xml:space="preserve">), </w:t>
      </w:r>
      <w:r w:rsidR="00423744" w:rsidRPr="005621FA">
        <w:rPr>
          <w:rFonts w:cs="Arial"/>
          <w:color w:val="000000" w:themeColor="text1"/>
        </w:rPr>
        <w:t xml:space="preserve">BERA guidelines </w:t>
      </w:r>
      <w:r w:rsidR="00F9321D" w:rsidRPr="005621FA">
        <w:rPr>
          <w:rFonts w:cs="Arial"/>
          <w:color w:val="000000" w:themeColor="text1"/>
        </w:rPr>
        <w:t xml:space="preserve">were extensively utilised to ensure that research was conducted in an ethical manner. </w:t>
      </w:r>
      <w:r w:rsidR="003C4F12" w:rsidRPr="005621FA">
        <w:rPr>
          <w:rFonts w:cs="Arial"/>
          <w:color w:val="000000" w:themeColor="text1"/>
        </w:rPr>
        <w:t xml:space="preserve">The ethics form provided a framework for identifying and addressing any potential ethical concerns and helped to ensure that the participants' rights and welfare were protected throughout the research process </w:t>
      </w:r>
      <w:sdt>
        <w:sdtPr>
          <w:rPr>
            <w:rFonts w:cs="Arial"/>
            <w:color w:val="000000" w:themeColor="text1"/>
          </w:rPr>
          <w:id w:val="-1992317406"/>
          <w:citation/>
        </w:sdtPr>
        <w:sdtEndPr/>
        <w:sdtContent>
          <w:r w:rsidR="003C4F12" w:rsidRPr="005621FA">
            <w:rPr>
              <w:rFonts w:cs="Arial"/>
              <w:color w:val="000000" w:themeColor="text1"/>
            </w:rPr>
            <w:fldChar w:fldCharType="begin"/>
          </w:r>
          <w:r w:rsidR="003C4F12" w:rsidRPr="005621FA">
            <w:rPr>
              <w:rFonts w:cs="Arial"/>
              <w:color w:val="000000" w:themeColor="text1"/>
            </w:rPr>
            <w:instrText xml:space="preserve"> CITATION Lew04 \l 2057 </w:instrText>
          </w:r>
          <w:r w:rsidR="003C4F12" w:rsidRPr="005621FA">
            <w:rPr>
              <w:rFonts w:cs="Arial"/>
              <w:color w:val="000000" w:themeColor="text1"/>
            </w:rPr>
            <w:fldChar w:fldCharType="separate"/>
          </w:r>
          <w:r w:rsidR="003C4F12" w:rsidRPr="005621FA">
            <w:rPr>
              <w:rFonts w:cs="Arial"/>
              <w:noProof/>
              <w:color w:val="000000" w:themeColor="text1"/>
            </w:rPr>
            <w:t>(Lewis, et al., 2004)</w:t>
          </w:r>
          <w:r w:rsidR="003C4F12" w:rsidRPr="005621FA">
            <w:rPr>
              <w:rFonts w:cs="Arial"/>
              <w:color w:val="000000" w:themeColor="text1"/>
            </w:rPr>
            <w:fldChar w:fldCharType="end"/>
          </w:r>
        </w:sdtContent>
      </w:sdt>
    </w:p>
    <w:p w14:paraId="35421ADF" w14:textId="77777777" w:rsidR="00851F42" w:rsidRPr="005621FA" w:rsidRDefault="00851F42" w:rsidP="005621FA">
      <w:pPr>
        <w:pStyle w:val="AssignBody"/>
        <w:rPr>
          <w:rFonts w:cs="Arial"/>
          <w:color w:val="000000" w:themeColor="text1"/>
        </w:rPr>
      </w:pPr>
    </w:p>
    <w:p w14:paraId="415D7C9F" w14:textId="4260F2EC" w:rsidR="00392EE4" w:rsidRPr="005621FA" w:rsidRDefault="000B6885" w:rsidP="005621FA">
      <w:pPr>
        <w:pStyle w:val="AssignBody"/>
        <w:rPr>
          <w:rFonts w:cs="Arial"/>
          <w:color w:val="000000" w:themeColor="text1"/>
        </w:rPr>
      </w:pPr>
      <w:r w:rsidRPr="005621FA">
        <w:rPr>
          <w:rFonts w:cs="Arial"/>
          <w:color w:val="000000" w:themeColor="text1"/>
        </w:rPr>
        <w:t xml:space="preserve">In accordance with the BERA guidelines and the Education Workforce Council Code of Conduct </w:t>
      </w:r>
      <w:sdt>
        <w:sdtPr>
          <w:rPr>
            <w:rFonts w:cs="Arial"/>
            <w:color w:val="000000" w:themeColor="text1"/>
          </w:rPr>
          <w:id w:val="-1108341573"/>
          <w:citation/>
        </w:sdtPr>
        <w:sdtEndPr/>
        <w:sdtContent>
          <w:r w:rsidRPr="005621FA">
            <w:rPr>
              <w:rFonts w:cs="Arial"/>
              <w:color w:val="000000" w:themeColor="text1"/>
            </w:rPr>
            <w:fldChar w:fldCharType="begin"/>
          </w:r>
          <w:r w:rsidRPr="005621FA">
            <w:rPr>
              <w:rFonts w:cs="Arial"/>
              <w:color w:val="000000" w:themeColor="text1"/>
            </w:rPr>
            <w:instrText xml:space="preserve"> CITATION EWC19 \l 2057 </w:instrText>
          </w:r>
          <w:r w:rsidRPr="005621FA">
            <w:rPr>
              <w:rFonts w:cs="Arial"/>
              <w:color w:val="000000" w:themeColor="text1"/>
            </w:rPr>
            <w:fldChar w:fldCharType="separate"/>
          </w:r>
          <w:r w:rsidRPr="005621FA">
            <w:rPr>
              <w:rFonts w:cs="Arial"/>
              <w:noProof/>
              <w:color w:val="000000" w:themeColor="text1"/>
            </w:rPr>
            <w:t>(EWC, 2019)</w:t>
          </w:r>
          <w:r w:rsidRPr="005621FA">
            <w:rPr>
              <w:rFonts w:cs="Arial"/>
              <w:color w:val="000000" w:themeColor="text1"/>
            </w:rPr>
            <w:fldChar w:fldCharType="end"/>
          </w:r>
        </w:sdtContent>
      </w:sdt>
      <w:r w:rsidRPr="005621FA">
        <w:rPr>
          <w:rFonts w:cs="Arial"/>
          <w:color w:val="000000" w:themeColor="text1"/>
        </w:rPr>
        <w:t xml:space="preserve">, </w:t>
      </w:r>
      <w:r w:rsidR="00331115" w:rsidRPr="005621FA">
        <w:rPr>
          <w:rFonts w:cs="Arial"/>
          <w:color w:val="000000" w:themeColor="text1"/>
        </w:rPr>
        <w:t>a consent form was developed to obtain informed consent for the voice recording of learner interviews (A</w:t>
      </w:r>
      <w:r w:rsidR="00691C54" w:rsidRPr="005621FA">
        <w:rPr>
          <w:rFonts w:cs="Arial"/>
          <w:color w:val="000000" w:themeColor="text1"/>
        </w:rPr>
        <w:t>ppendix 10</w:t>
      </w:r>
      <w:r w:rsidR="00331115" w:rsidRPr="005621FA">
        <w:rPr>
          <w:rFonts w:cs="Arial"/>
          <w:color w:val="000000" w:themeColor="text1"/>
        </w:rPr>
        <w:t xml:space="preserve">). </w:t>
      </w:r>
      <w:r w:rsidR="00E92169" w:rsidRPr="005621FA">
        <w:rPr>
          <w:rFonts w:cs="Arial"/>
          <w:color w:val="000000" w:themeColor="text1"/>
        </w:rPr>
        <w:t xml:space="preserve">Obtaining consent from the teacher </w:t>
      </w:r>
      <w:r w:rsidR="001B6B5A" w:rsidRPr="005621FA">
        <w:rPr>
          <w:rFonts w:cs="Arial"/>
          <w:color w:val="000000" w:themeColor="text1"/>
        </w:rPr>
        <w:t>for</w:t>
      </w:r>
      <w:r w:rsidR="00E92169" w:rsidRPr="005621FA">
        <w:rPr>
          <w:rFonts w:cs="Arial"/>
          <w:color w:val="000000" w:themeColor="text1"/>
        </w:rPr>
        <w:t xml:space="preserve"> the learners was crucial in maintaining ethical research practice, as informed consent can only be granted by individuals who are over the age of eighteen</w:t>
      </w:r>
      <w:r w:rsidR="00392EE4" w:rsidRPr="005621FA">
        <w:rPr>
          <w:rFonts w:cs="Arial"/>
          <w:color w:val="000000" w:themeColor="text1"/>
        </w:rPr>
        <w:t xml:space="preserve"> </w:t>
      </w:r>
      <w:sdt>
        <w:sdtPr>
          <w:rPr>
            <w:rFonts w:cs="Arial"/>
          </w:rPr>
          <w:id w:val="-701631874"/>
          <w:citation/>
        </w:sdtPr>
        <w:sdtEndPr/>
        <w:sdtContent>
          <w:r w:rsidR="00392EE4" w:rsidRPr="005621FA">
            <w:rPr>
              <w:rFonts w:cs="Arial"/>
            </w:rPr>
            <w:fldChar w:fldCharType="begin"/>
          </w:r>
          <w:r w:rsidR="00392EE4" w:rsidRPr="005621FA">
            <w:rPr>
              <w:rFonts w:cs="Arial"/>
            </w:rPr>
            <w:instrText xml:space="preserve"> CITATION Ald111 \l 2057 </w:instrText>
          </w:r>
          <w:r w:rsidR="00392EE4" w:rsidRPr="005621FA">
            <w:rPr>
              <w:rFonts w:cs="Arial"/>
            </w:rPr>
            <w:fldChar w:fldCharType="separate"/>
          </w:r>
          <w:r w:rsidR="00392EE4" w:rsidRPr="005621FA">
            <w:rPr>
              <w:rFonts w:eastAsiaTheme="minorHAnsi" w:cs="Arial"/>
              <w:noProof/>
            </w:rPr>
            <w:t>(Alderson &amp; Morrow, 2011)</w:t>
          </w:r>
          <w:r w:rsidR="00392EE4" w:rsidRPr="005621FA">
            <w:rPr>
              <w:rFonts w:cs="Arial"/>
            </w:rPr>
            <w:fldChar w:fldCharType="end"/>
          </w:r>
        </w:sdtContent>
      </w:sdt>
      <w:r w:rsidR="00392EE4" w:rsidRPr="005621FA">
        <w:rPr>
          <w:rFonts w:cs="Arial"/>
        </w:rPr>
        <w:t xml:space="preserve">. </w:t>
      </w:r>
    </w:p>
    <w:p w14:paraId="3CFEA835" w14:textId="31502C3E" w:rsidR="00391502" w:rsidRPr="005621FA" w:rsidRDefault="00391502" w:rsidP="005621FA">
      <w:pPr>
        <w:spacing w:line="360" w:lineRule="auto"/>
        <w:rPr>
          <w:rFonts w:ascii="Arial" w:hAnsi="Arial" w:cs="Arial"/>
          <w:color w:val="000000" w:themeColor="text1"/>
          <w:sz w:val="22"/>
          <w:szCs w:val="22"/>
        </w:rPr>
      </w:pPr>
    </w:p>
    <w:p w14:paraId="4E436190" w14:textId="6D25A12B" w:rsidR="00D14FFC" w:rsidRPr="005621FA" w:rsidRDefault="00E04B2B" w:rsidP="005621FA">
      <w:pPr>
        <w:spacing w:line="360" w:lineRule="auto"/>
        <w:rPr>
          <w:rFonts w:ascii="Arial" w:hAnsi="Arial" w:cs="Arial"/>
          <w:color w:val="000000" w:themeColor="text1"/>
          <w:sz w:val="22"/>
          <w:szCs w:val="22"/>
        </w:rPr>
      </w:pPr>
      <w:r w:rsidRPr="005621FA">
        <w:rPr>
          <w:rFonts w:ascii="Arial" w:hAnsi="Arial" w:cs="Arial"/>
          <w:color w:val="000000" w:themeColor="text1"/>
          <w:sz w:val="22"/>
          <w:szCs w:val="22"/>
        </w:rPr>
        <w:t xml:space="preserve">While the learners were not able to provide informed consent due to their age and cognitive development </w:t>
      </w:r>
      <w:sdt>
        <w:sdtPr>
          <w:rPr>
            <w:rFonts w:ascii="Arial" w:hAnsi="Arial" w:cs="Arial"/>
            <w:color w:val="000000" w:themeColor="text1"/>
            <w:sz w:val="22"/>
            <w:szCs w:val="22"/>
          </w:rPr>
          <w:id w:val="417301002"/>
          <w:citation/>
        </w:sdtPr>
        <w:sdtEndPr/>
        <w:sdtContent>
          <w:r w:rsidR="00BF20F5" w:rsidRPr="005621FA">
            <w:rPr>
              <w:rFonts w:ascii="Arial" w:hAnsi="Arial" w:cs="Arial"/>
              <w:color w:val="000000" w:themeColor="text1"/>
              <w:sz w:val="22"/>
              <w:szCs w:val="22"/>
            </w:rPr>
            <w:fldChar w:fldCharType="begin"/>
          </w:r>
          <w:r w:rsidR="00BF20F5" w:rsidRPr="005621FA">
            <w:rPr>
              <w:rFonts w:ascii="Arial" w:hAnsi="Arial" w:cs="Arial"/>
              <w:color w:val="000000" w:themeColor="text1"/>
              <w:sz w:val="22"/>
              <w:szCs w:val="22"/>
            </w:rPr>
            <w:instrText xml:space="preserve"> CITATION Dan111 \l 2057 </w:instrText>
          </w:r>
          <w:r w:rsidR="00BF20F5" w:rsidRPr="005621FA">
            <w:rPr>
              <w:rFonts w:ascii="Arial" w:hAnsi="Arial" w:cs="Arial"/>
              <w:color w:val="000000" w:themeColor="text1"/>
              <w:sz w:val="22"/>
              <w:szCs w:val="22"/>
            </w:rPr>
            <w:fldChar w:fldCharType="separate"/>
          </w:r>
          <w:r w:rsidR="00BF20F5" w:rsidRPr="005621FA">
            <w:rPr>
              <w:rFonts w:ascii="Arial" w:hAnsi="Arial" w:cs="Arial"/>
              <w:noProof/>
              <w:color w:val="000000" w:themeColor="text1"/>
              <w:sz w:val="22"/>
              <w:szCs w:val="22"/>
            </w:rPr>
            <w:t>(Danby, et al., 2011)</w:t>
          </w:r>
          <w:r w:rsidR="00BF20F5" w:rsidRPr="005621FA">
            <w:rPr>
              <w:rFonts w:ascii="Arial" w:hAnsi="Arial" w:cs="Arial"/>
              <w:color w:val="000000" w:themeColor="text1"/>
              <w:sz w:val="22"/>
              <w:szCs w:val="22"/>
            </w:rPr>
            <w:fldChar w:fldCharType="end"/>
          </w:r>
        </w:sdtContent>
      </w:sdt>
      <w:r w:rsidR="00BF20F5" w:rsidRPr="005621FA">
        <w:rPr>
          <w:rFonts w:ascii="Arial" w:hAnsi="Arial" w:cs="Arial"/>
          <w:color w:val="000000" w:themeColor="text1"/>
          <w:sz w:val="22"/>
          <w:szCs w:val="22"/>
        </w:rPr>
        <w:t xml:space="preserve">, </w:t>
      </w:r>
      <w:r w:rsidR="007E702F" w:rsidRPr="005621FA">
        <w:rPr>
          <w:rFonts w:ascii="Arial" w:hAnsi="Arial" w:cs="Arial"/>
          <w:color w:val="000000" w:themeColor="text1"/>
          <w:sz w:val="22"/>
          <w:szCs w:val="22"/>
        </w:rPr>
        <w:t>they were able to provide assent</w:t>
      </w:r>
      <w:r w:rsidR="001430FB" w:rsidRPr="005621FA">
        <w:rPr>
          <w:rFonts w:ascii="Arial" w:hAnsi="Arial" w:cs="Arial"/>
          <w:color w:val="000000" w:themeColor="text1"/>
          <w:sz w:val="22"/>
          <w:szCs w:val="22"/>
        </w:rPr>
        <w:t xml:space="preserve">. This involved engaging them in an age-appropriate discussion that explained the research project's purpose, procedures, and potential risks and benefits </w:t>
      </w:r>
      <w:sdt>
        <w:sdtPr>
          <w:rPr>
            <w:rFonts w:ascii="Arial" w:hAnsi="Arial" w:cs="Arial"/>
            <w:sz w:val="22"/>
            <w:szCs w:val="22"/>
          </w:rPr>
          <w:id w:val="-753973922"/>
          <w:citation/>
        </w:sdtPr>
        <w:sdtEndPr/>
        <w:sdtContent>
          <w:r w:rsidR="00F24086" w:rsidRPr="005621FA">
            <w:rPr>
              <w:rFonts w:ascii="Arial" w:hAnsi="Arial" w:cs="Arial"/>
              <w:sz w:val="22"/>
              <w:szCs w:val="22"/>
            </w:rPr>
            <w:fldChar w:fldCharType="begin"/>
          </w:r>
          <w:r w:rsidR="008E3197">
            <w:rPr>
              <w:rFonts w:ascii="Arial" w:hAnsi="Arial" w:cs="Arial"/>
              <w:sz w:val="22"/>
              <w:szCs w:val="22"/>
            </w:rPr>
            <w:instrText xml:space="preserve">CITATION Isr14 \l 2057 </w:instrText>
          </w:r>
          <w:r w:rsidR="00F24086" w:rsidRPr="005621FA">
            <w:rPr>
              <w:rFonts w:ascii="Arial" w:hAnsi="Arial" w:cs="Arial"/>
              <w:sz w:val="22"/>
              <w:szCs w:val="22"/>
            </w:rPr>
            <w:fldChar w:fldCharType="separate"/>
          </w:r>
          <w:r w:rsidR="008E3197" w:rsidRPr="008E3197">
            <w:rPr>
              <w:rFonts w:ascii="Arial" w:hAnsi="Arial" w:cs="Arial"/>
              <w:noProof/>
              <w:sz w:val="22"/>
              <w:szCs w:val="22"/>
            </w:rPr>
            <w:t>(Israel, 2015)</w:t>
          </w:r>
          <w:r w:rsidR="00F24086" w:rsidRPr="005621FA">
            <w:rPr>
              <w:rFonts w:ascii="Arial" w:hAnsi="Arial" w:cs="Arial"/>
              <w:sz w:val="22"/>
              <w:szCs w:val="22"/>
            </w:rPr>
            <w:fldChar w:fldCharType="end"/>
          </w:r>
        </w:sdtContent>
      </w:sdt>
      <w:r w:rsidR="00F24086" w:rsidRPr="005621FA">
        <w:rPr>
          <w:rFonts w:ascii="Arial" w:hAnsi="Arial" w:cs="Arial"/>
          <w:sz w:val="22"/>
          <w:szCs w:val="22"/>
        </w:rPr>
        <w:t>.</w:t>
      </w:r>
      <w:r w:rsidR="00D9063B" w:rsidRPr="005621FA">
        <w:rPr>
          <w:rFonts w:ascii="Arial" w:hAnsi="Arial" w:cs="Arial"/>
          <w:sz w:val="22"/>
          <w:szCs w:val="22"/>
        </w:rPr>
        <w:t xml:space="preserve"> Through this process, the learners were able to understand and agree to participate in the research to the best of their ability (Blackburn, 2018).</w:t>
      </w:r>
      <w:r w:rsidR="00F24086" w:rsidRPr="005621FA">
        <w:rPr>
          <w:rFonts w:ascii="Arial" w:hAnsi="Arial" w:cs="Arial"/>
          <w:sz w:val="22"/>
          <w:szCs w:val="22"/>
        </w:rPr>
        <w:t xml:space="preserve"> </w:t>
      </w:r>
      <w:r w:rsidR="00CA085D" w:rsidRPr="005621FA">
        <w:rPr>
          <w:rFonts w:ascii="Arial" w:hAnsi="Arial" w:cs="Arial"/>
          <w:sz w:val="22"/>
          <w:szCs w:val="22"/>
        </w:rPr>
        <w:t>Furthermore</w:t>
      </w:r>
      <w:r w:rsidR="009F4CB8" w:rsidRPr="005621FA">
        <w:rPr>
          <w:rFonts w:ascii="Arial" w:hAnsi="Arial" w:cs="Arial"/>
          <w:sz w:val="22"/>
          <w:szCs w:val="22"/>
        </w:rPr>
        <w:t xml:space="preserve">, the learners were </w:t>
      </w:r>
      <w:r w:rsidR="00CA085D" w:rsidRPr="005621FA">
        <w:rPr>
          <w:rFonts w:ascii="Arial" w:hAnsi="Arial" w:cs="Arial"/>
          <w:sz w:val="22"/>
          <w:szCs w:val="22"/>
        </w:rPr>
        <w:t>informed of their right to withdraw</w:t>
      </w:r>
      <w:r w:rsidR="00F322A9" w:rsidRPr="005621FA">
        <w:rPr>
          <w:rFonts w:ascii="Arial" w:hAnsi="Arial" w:cs="Arial"/>
          <w:sz w:val="22"/>
          <w:szCs w:val="22"/>
        </w:rPr>
        <w:t xml:space="preserve"> </w:t>
      </w:r>
      <w:sdt>
        <w:sdtPr>
          <w:rPr>
            <w:rFonts w:ascii="Arial" w:hAnsi="Arial" w:cs="Arial"/>
            <w:color w:val="000000" w:themeColor="text1"/>
            <w:sz w:val="22"/>
            <w:szCs w:val="22"/>
          </w:rPr>
          <w:id w:val="-621455140"/>
          <w:citation/>
        </w:sdtPr>
        <w:sdtEndPr/>
        <w:sdtContent>
          <w:r w:rsidR="00F322A9" w:rsidRPr="005621FA">
            <w:rPr>
              <w:rFonts w:ascii="Arial" w:hAnsi="Arial" w:cs="Arial"/>
              <w:color w:val="000000" w:themeColor="text1"/>
              <w:sz w:val="22"/>
              <w:szCs w:val="22"/>
            </w:rPr>
            <w:fldChar w:fldCharType="begin"/>
          </w:r>
          <w:r w:rsidR="00F322A9" w:rsidRPr="005621FA">
            <w:rPr>
              <w:rFonts w:ascii="Arial" w:hAnsi="Arial" w:cs="Arial"/>
              <w:color w:val="000000" w:themeColor="text1"/>
              <w:sz w:val="22"/>
              <w:szCs w:val="22"/>
            </w:rPr>
            <w:instrText xml:space="preserve">CITATION Sch11 \l 2057 </w:instrText>
          </w:r>
          <w:r w:rsidR="00F322A9" w:rsidRPr="005621FA">
            <w:rPr>
              <w:rFonts w:ascii="Arial" w:hAnsi="Arial" w:cs="Arial"/>
              <w:color w:val="000000" w:themeColor="text1"/>
              <w:sz w:val="22"/>
              <w:szCs w:val="22"/>
            </w:rPr>
            <w:fldChar w:fldCharType="separate"/>
          </w:r>
          <w:r w:rsidR="00F322A9" w:rsidRPr="005621FA">
            <w:rPr>
              <w:rFonts w:ascii="Arial" w:hAnsi="Arial" w:cs="Arial"/>
              <w:noProof/>
              <w:color w:val="000000" w:themeColor="text1"/>
              <w:sz w:val="22"/>
              <w:szCs w:val="22"/>
            </w:rPr>
            <w:t>(Schaefer &amp; Wertheimer, 2011)</w:t>
          </w:r>
          <w:r w:rsidR="00F322A9" w:rsidRPr="005621FA">
            <w:rPr>
              <w:rFonts w:ascii="Arial" w:hAnsi="Arial" w:cs="Arial"/>
              <w:color w:val="000000" w:themeColor="text1"/>
              <w:sz w:val="22"/>
              <w:szCs w:val="22"/>
            </w:rPr>
            <w:fldChar w:fldCharType="end"/>
          </w:r>
        </w:sdtContent>
      </w:sdt>
      <w:r w:rsidR="00F322A9" w:rsidRPr="005621FA">
        <w:rPr>
          <w:rFonts w:ascii="Arial" w:hAnsi="Arial" w:cs="Arial"/>
          <w:color w:val="000000" w:themeColor="text1"/>
          <w:sz w:val="22"/>
          <w:szCs w:val="22"/>
        </w:rPr>
        <w:t xml:space="preserve">. </w:t>
      </w:r>
      <w:r w:rsidR="00D2048C" w:rsidRPr="005621FA">
        <w:rPr>
          <w:rFonts w:ascii="Arial" w:hAnsi="Arial" w:cs="Arial"/>
          <w:color w:val="000000" w:themeColor="text1"/>
          <w:sz w:val="22"/>
          <w:szCs w:val="22"/>
        </w:rPr>
        <w:t xml:space="preserve">The learners were provided with easy-to-use flashcards in </w:t>
      </w:r>
      <w:r w:rsidR="00D2048C" w:rsidRPr="005621FA">
        <w:rPr>
          <w:rFonts w:ascii="Arial" w:hAnsi="Arial" w:cs="Arial"/>
          <w:color w:val="000000" w:themeColor="text1"/>
          <w:sz w:val="22"/>
          <w:szCs w:val="22"/>
        </w:rPr>
        <w:lastRenderedPageBreak/>
        <w:t xml:space="preserve">green and red colours to express their satisfaction or dissatisfaction with proceeding to the next question (Appendix </w:t>
      </w:r>
      <w:r w:rsidR="00812E35" w:rsidRPr="005621FA">
        <w:rPr>
          <w:rFonts w:ascii="Arial" w:hAnsi="Arial" w:cs="Arial"/>
          <w:color w:val="000000" w:themeColor="text1"/>
          <w:sz w:val="22"/>
          <w:szCs w:val="22"/>
        </w:rPr>
        <w:t>11</w:t>
      </w:r>
      <w:r w:rsidR="00D2048C" w:rsidRPr="005621FA">
        <w:rPr>
          <w:rFonts w:ascii="Arial" w:hAnsi="Arial" w:cs="Arial"/>
          <w:color w:val="000000" w:themeColor="text1"/>
          <w:sz w:val="22"/>
          <w:szCs w:val="22"/>
        </w:rPr>
        <w:t>).</w:t>
      </w:r>
      <w:r w:rsidR="0089703A" w:rsidRPr="005621FA">
        <w:rPr>
          <w:rFonts w:ascii="Arial" w:hAnsi="Arial" w:cs="Arial"/>
          <w:color w:val="000000" w:themeColor="text1"/>
          <w:sz w:val="22"/>
          <w:szCs w:val="22"/>
        </w:rPr>
        <w:t xml:space="preserve"> </w:t>
      </w:r>
      <w:r w:rsidR="00967E7A" w:rsidRPr="005621FA">
        <w:rPr>
          <w:rFonts w:ascii="Arial" w:hAnsi="Arial" w:cs="Arial"/>
          <w:color w:val="000000" w:themeColor="text1"/>
          <w:sz w:val="22"/>
          <w:szCs w:val="22"/>
        </w:rPr>
        <w:t xml:space="preserve">Adhering to regulations outlined in the General Data Protection Regulation, </w:t>
      </w:r>
      <w:r w:rsidR="00894FF5" w:rsidRPr="005621FA">
        <w:rPr>
          <w:rFonts w:ascii="Arial" w:hAnsi="Arial" w:cs="Arial"/>
          <w:color w:val="000000" w:themeColor="text1"/>
          <w:sz w:val="22"/>
          <w:szCs w:val="22"/>
        </w:rPr>
        <w:t>participants privacy and protection was ensured</w:t>
      </w:r>
      <w:r w:rsidR="00A33338" w:rsidRPr="005621FA">
        <w:rPr>
          <w:rFonts w:ascii="Arial" w:hAnsi="Arial" w:cs="Arial"/>
          <w:color w:val="000000" w:themeColor="text1"/>
          <w:sz w:val="22"/>
          <w:szCs w:val="22"/>
        </w:rPr>
        <w:t xml:space="preserve"> through</w:t>
      </w:r>
      <w:r w:rsidR="005F0F5E" w:rsidRPr="005621FA">
        <w:rPr>
          <w:rFonts w:ascii="Arial" w:hAnsi="Arial" w:cs="Arial"/>
          <w:color w:val="000000" w:themeColor="text1"/>
          <w:sz w:val="22"/>
          <w:szCs w:val="22"/>
        </w:rPr>
        <w:t xml:space="preserve"> maintaining their anonymity </w:t>
      </w:r>
      <w:sdt>
        <w:sdtPr>
          <w:rPr>
            <w:rFonts w:ascii="Arial" w:hAnsi="Arial" w:cs="Arial"/>
            <w:color w:val="000000" w:themeColor="text1"/>
            <w:sz w:val="22"/>
            <w:szCs w:val="22"/>
          </w:rPr>
          <w:id w:val="793175837"/>
          <w:citation/>
        </w:sdtPr>
        <w:sdtEndPr/>
        <w:sdtContent>
          <w:r w:rsidR="005F0F5E" w:rsidRPr="005621FA">
            <w:rPr>
              <w:rFonts w:ascii="Arial" w:hAnsi="Arial" w:cs="Arial"/>
              <w:color w:val="000000" w:themeColor="text1"/>
              <w:sz w:val="22"/>
              <w:szCs w:val="22"/>
            </w:rPr>
            <w:fldChar w:fldCharType="begin"/>
          </w:r>
          <w:r w:rsidR="005F0F5E" w:rsidRPr="005621FA">
            <w:rPr>
              <w:rFonts w:ascii="Arial" w:hAnsi="Arial" w:cs="Arial"/>
              <w:color w:val="000000" w:themeColor="text1"/>
              <w:sz w:val="22"/>
              <w:szCs w:val="22"/>
            </w:rPr>
            <w:instrText xml:space="preserve"> CITATION Inf18 \l 2057 </w:instrText>
          </w:r>
          <w:r w:rsidR="005F0F5E" w:rsidRPr="005621FA">
            <w:rPr>
              <w:rFonts w:ascii="Arial" w:hAnsi="Arial" w:cs="Arial"/>
              <w:color w:val="000000" w:themeColor="text1"/>
              <w:sz w:val="22"/>
              <w:szCs w:val="22"/>
            </w:rPr>
            <w:fldChar w:fldCharType="separate"/>
          </w:r>
          <w:r w:rsidR="005F0F5E" w:rsidRPr="005621FA">
            <w:rPr>
              <w:rFonts w:ascii="Arial" w:hAnsi="Arial" w:cs="Arial"/>
              <w:noProof/>
              <w:color w:val="000000" w:themeColor="text1"/>
              <w:sz w:val="22"/>
              <w:szCs w:val="22"/>
            </w:rPr>
            <w:t>(Information Commissioner's Office, 2018)</w:t>
          </w:r>
          <w:r w:rsidR="005F0F5E" w:rsidRPr="005621FA">
            <w:rPr>
              <w:rFonts w:ascii="Arial" w:hAnsi="Arial" w:cs="Arial"/>
              <w:color w:val="000000" w:themeColor="text1"/>
              <w:sz w:val="22"/>
              <w:szCs w:val="22"/>
            </w:rPr>
            <w:fldChar w:fldCharType="end"/>
          </w:r>
        </w:sdtContent>
      </w:sdt>
      <w:r w:rsidR="005F0F5E" w:rsidRPr="005621FA">
        <w:rPr>
          <w:rFonts w:ascii="Arial" w:hAnsi="Arial" w:cs="Arial"/>
          <w:color w:val="000000" w:themeColor="text1"/>
          <w:sz w:val="22"/>
          <w:szCs w:val="22"/>
        </w:rPr>
        <w:t xml:space="preserve">. </w:t>
      </w:r>
      <w:r w:rsidR="00D14FFC" w:rsidRPr="005621FA">
        <w:rPr>
          <w:rFonts w:ascii="Arial" w:hAnsi="Arial" w:cs="Arial"/>
          <w:color w:val="000000" w:themeColor="text1"/>
          <w:sz w:val="22"/>
          <w:szCs w:val="22"/>
        </w:rPr>
        <w:t>As stated in the ethics form (App</w:t>
      </w:r>
      <w:r w:rsidR="00812E35" w:rsidRPr="005621FA">
        <w:rPr>
          <w:rFonts w:ascii="Arial" w:hAnsi="Arial" w:cs="Arial"/>
          <w:color w:val="000000" w:themeColor="text1"/>
          <w:sz w:val="22"/>
          <w:szCs w:val="22"/>
        </w:rPr>
        <w:t>endix 9)</w:t>
      </w:r>
      <w:r w:rsidR="00D14FFC" w:rsidRPr="005621FA">
        <w:rPr>
          <w:rFonts w:ascii="Arial" w:hAnsi="Arial" w:cs="Arial"/>
          <w:color w:val="000000" w:themeColor="text1"/>
          <w:sz w:val="22"/>
          <w:szCs w:val="22"/>
        </w:rPr>
        <w:t xml:space="preserve"> data was de-identified at the point of collection and securely stored on password-encrypted devices.</w:t>
      </w:r>
      <w:r w:rsidR="00B551AF" w:rsidRPr="005621FA">
        <w:rPr>
          <w:rFonts w:ascii="Arial" w:hAnsi="Arial" w:cs="Arial"/>
          <w:color w:val="000000" w:themeColor="text1"/>
          <w:sz w:val="22"/>
          <w:szCs w:val="22"/>
        </w:rPr>
        <w:t xml:space="preserve"> </w:t>
      </w:r>
      <w:r w:rsidR="001A6A1A" w:rsidRPr="005621FA">
        <w:rPr>
          <w:rFonts w:ascii="Arial" w:hAnsi="Arial" w:cs="Arial"/>
          <w:color w:val="000000" w:themeColor="text1"/>
          <w:sz w:val="22"/>
          <w:szCs w:val="22"/>
        </w:rPr>
        <w:t>Further</w:t>
      </w:r>
      <w:r w:rsidR="00C90FDA" w:rsidRPr="005621FA">
        <w:rPr>
          <w:rFonts w:ascii="Arial" w:hAnsi="Arial" w:cs="Arial"/>
          <w:color w:val="000000" w:themeColor="text1"/>
          <w:sz w:val="22"/>
          <w:szCs w:val="22"/>
        </w:rPr>
        <w:t xml:space="preserve"> ensuring confidentiality of all data, it was </w:t>
      </w:r>
      <w:r w:rsidR="001A6A1A" w:rsidRPr="005621FA">
        <w:rPr>
          <w:rFonts w:ascii="Arial" w:hAnsi="Arial" w:cs="Arial"/>
          <w:color w:val="000000" w:themeColor="text1"/>
          <w:sz w:val="22"/>
          <w:szCs w:val="22"/>
        </w:rPr>
        <w:t xml:space="preserve">only available to those who required it for the purpose of this study, respecting </w:t>
      </w:r>
      <w:r w:rsidR="0060008F" w:rsidRPr="005621FA">
        <w:rPr>
          <w:rFonts w:ascii="Arial" w:hAnsi="Arial" w:cs="Arial"/>
          <w:color w:val="000000" w:themeColor="text1"/>
          <w:sz w:val="22"/>
          <w:szCs w:val="22"/>
        </w:rPr>
        <w:t>the participants' right to privacy and protecting their personal information</w:t>
      </w:r>
      <w:r w:rsidR="00DB6A56" w:rsidRPr="005621FA">
        <w:rPr>
          <w:rFonts w:ascii="Arial" w:hAnsi="Arial" w:cs="Arial"/>
          <w:color w:val="000000" w:themeColor="text1"/>
          <w:sz w:val="22"/>
          <w:szCs w:val="22"/>
        </w:rPr>
        <w:t xml:space="preserve"> </w:t>
      </w:r>
      <w:sdt>
        <w:sdtPr>
          <w:rPr>
            <w:rFonts w:ascii="Arial" w:hAnsi="Arial" w:cs="Arial"/>
            <w:color w:val="000000" w:themeColor="text1"/>
            <w:sz w:val="22"/>
            <w:szCs w:val="22"/>
          </w:rPr>
          <w:id w:val="1735651049"/>
          <w:citation/>
        </w:sdtPr>
        <w:sdtEndPr/>
        <w:sdtContent>
          <w:r w:rsidR="00DB6A56" w:rsidRPr="005621FA">
            <w:rPr>
              <w:rFonts w:ascii="Arial" w:hAnsi="Arial" w:cs="Arial"/>
              <w:color w:val="000000" w:themeColor="text1"/>
              <w:sz w:val="22"/>
              <w:szCs w:val="22"/>
            </w:rPr>
            <w:fldChar w:fldCharType="begin"/>
          </w:r>
          <w:r w:rsidR="00DB6A56" w:rsidRPr="005621FA">
            <w:rPr>
              <w:rFonts w:ascii="Arial" w:hAnsi="Arial" w:cs="Arial"/>
              <w:color w:val="000000" w:themeColor="text1"/>
              <w:sz w:val="22"/>
              <w:szCs w:val="22"/>
            </w:rPr>
            <w:instrText xml:space="preserve"> CITATION Jon19 \l 2057 </w:instrText>
          </w:r>
          <w:r w:rsidR="00DB6A56" w:rsidRPr="005621FA">
            <w:rPr>
              <w:rFonts w:ascii="Arial" w:hAnsi="Arial" w:cs="Arial"/>
              <w:color w:val="000000" w:themeColor="text1"/>
              <w:sz w:val="22"/>
              <w:szCs w:val="22"/>
            </w:rPr>
            <w:fldChar w:fldCharType="separate"/>
          </w:r>
          <w:r w:rsidR="00DB6A56" w:rsidRPr="005621FA">
            <w:rPr>
              <w:rFonts w:ascii="Arial" w:hAnsi="Arial" w:cs="Arial"/>
              <w:noProof/>
              <w:color w:val="000000" w:themeColor="text1"/>
              <w:sz w:val="22"/>
              <w:szCs w:val="22"/>
            </w:rPr>
            <w:t>(Jones &amp; Smith, 2019)</w:t>
          </w:r>
          <w:r w:rsidR="00DB6A56" w:rsidRPr="005621FA">
            <w:rPr>
              <w:rFonts w:ascii="Arial" w:hAnsi="Arial" w:cs="Arial"/>
              <w:color w:val="000000" w:themeColor="text1"/>
              <w:sz w:val="22"/>
              <w:szCs w:val="22"/>
            </w:rPr>
            <w:fldChar w:fldCharType="end"/>
          </w:r>
        </w:sdtContent>
      </w:sdt>
      <w:r w:rsidR="00DB6A56" w:rsidRPr="005621FA">
        <w:rPr>
          <w:rFonts w:ascii="Arial" w:hAnsi="Arial" w:cs="Arial"/>
          <w:color w:val="000000" w:themeColor="text1"/>
          <w:sz w:val="22"/>
          <w:szCs w:val="22"/>
        </w:rPr>
        <w:t>.</w:t>
      </w:r>
    </w:p>
    <w:p w14:paraId="0A02A550" w14:textId="77777777" w:rsidR="00D14FFC" w:rsidRPr="005621FA" w:rsidRDefault="00D14FFC" w:rsidP="005621FA">
      <w:pPr>
        <w:spacing w:line="360" w:lineRule="auto"/>
        <w:rPr>
          <w:rFonts w:ascii="Arial" w:hAnsi="Arial" w:cs="Arial"/>
          <w:color w:val="000000" w:themeColor="text1"/>
          <w:sz w:val="22"/>
          <w:szCs w:val="22"/>
        </w:rPr>
      </w:pPr>
    </w:p>
    <w:p w14:paraId="5FD10258" w14:textId="31BAA46E" w:rsidR="002935FA" w:rsidRPr="00840B12" w:rsidRDefault="00D30910" w:rsidP="005621FA">
      <w:pPr>
        <w:spacing w:line="360" w:lineRule="auto"/>
        <w:rPr>
          <w:rFonts w:ascii="Arial" w:hAnsi="Arial" w:cs="Arial"/>
          <w:color w:val="000000" w:themeColor="text1"/>
          <w:sz w:val="22"/>
          <w:szCs w:val="22"/>
          <w:highlight w:val="magenta"/>
        </w:rPr>
      </w:pPr>
      <w:r w:rsidRPr="005621FA">
        <w:rPr>
          <w:rFonts w:ascii="Arial" w:hAnsi="Arial" w:cs="Arial"/>
          <w:color w:val="000000" w:themeColor="text1"/>
          <w:sz w:val="22"/>
          <w:szCs w:val="22"/>
        </w:rPr>
        <w:t>The research study concludes</w:t>
      </w:r>
      <w:r w:rsidR="006A2293" w:rsidRPr="005621FA">
        <w:rPr>
          <w:rFonts w:ascii="Arial" w:hAnsi="Arial" w:cs="Arial"/>
          <w:color w:val="000000" w:themeColor="text1"/>
          <w:sz w:val="22"/>
          <w:szCs w:val="22"/>
        </w:rPr>
        <w:t xml:space="preserve"> </w:t>
      </w:r>
      <w:r w:rsidR="009E2A82" w:rsidRPr="005621FA">
        <w:rPr>
          <w:rFonts w:ascii="Arial" w:hAnsi="Arial" w:cs="Arial"/>
          <w:color w:val="000000" w:themeColor="text1"/>
          <w:sz w:val="22"/>
          <w:szCs w:val="22"/>
        </w:rPr>
        <w:t xml:space="preserve">that the cultivation of positive morale and a supportive classroom environment can contribute positively to the development of pupil independence by </w:t>
      </w:r>
      <w:r w:rsidR="009E2A82" w:rsidRPr="00840B12">
        <w:rPr>
          <w:rFonts w:ascii="Arial" w:hAnsi="Arial" w:cs="Arial"/>
          <w:color w:val="000000" w:themeColor="text1"/>
          <w:sz w:val="22"/>
          <w:szCs w:val="22"/>
        </w:rPr>
        <w:t>enhancing learners' confidence and motivation (</w:t>
      </w:r>
      <w:r w:rsidR="00E00F70" w:rsidRPr="00840B12">
        <w:rPr>
          <w:rFonts w:ascii="Arial" w:hAnsi="Arial" w:cs="Arial"/>
          <w:color w:val="000000" w:themeColor="text1"/>
          <w:sz w:val="22"/>
          <w:szCs w:val="22"/>
        </w:rPr>
        <w:t>Table 1-Appendix 12</w:t>
      </w:r>
      <w:r w:rsidR="00840B12" w:rsidRPr="00840B12">
        <w:rPr>
          <w:rFonts w:ascii="Arial" w:hAnsi="Arial" w:cs="Arial"/>
          <w:color w:val="000000" w:themeColor="text1"/>
          <w:sz w:val="22"/>
          <w:szCs w:val="22"/>
        </w:rPr>
        <w:t>). The findings reinforce</w:t>
      </w:r>
      <w:r w:rsidR="001F0B41" w:rsidRPr="00840B12">
        <w:rPr>
          <w:rFonts w:ascii="Arial" w:hAnsi="Arial" w:cs="Arial"/>
          <w:color w:val="000000" w:themeColor="text1"/>
          <w:sz w:val="22"/>
          <w:szCs w:val="22"/>
        </w:rPr>
        <w:t xml:space="preserve"> </w:t>
      </w:r>
      <w:r w:rsidR="00F00A0A" w:rsidRPr="00840B12">
        <w:rPr>
          <w:rFonts w:ascii="Arial" w:hAnsi="Arial" w:cs="Arial"/>
          <w:color w:val="000000" w:themeColor="text1"/>
          <w:sz w:val="22"/>
          <w:szCs w:val="22"/>
        </w:rPr>
        <w:t xml:space="preserve">Grinsven (2009) and Dweck’s (2017) </w:t>
      </w:r>
      <w:r w:rsidR="001C5AF2" w:rsidRPr="00840B12">
        <w:rPr>
          <w:rFonts w:ascii="Arial" w:hAnsi="Arial" w:cs="Arial"/>
          <w:color w:val="000000" w:themeColor="text1"/>
          <w:sz w:val="22"/>
          <w:szCs w:val="22"/>
        </w:rPr>
        <w:t>view</w:t>
      </w:r>
      <w:r w:rsidR="002935FA" w:rsidRPr="00840B12">
        <w:rPr>
          <w:rFonts w:ascii="Arial" w:hAnsi="Arial" w:cs="Arial"/>
          <w:color w:val="000000" w:themeColor="text1"/>
          <w:sz w:val="22"/>
          <w:szCs w:val="22"/>
        </w:rPr>
        <w:t xml:space="preserve"> that</w:t>
      </w:r>
      <w:r w:rsidR="00754C69" w:rsidRPr="00840B12">
        <w:rPr>
          <w:rFonts w:ascii="Arial" w:hAnsi="Arial" w:cs="Arial"/>
          <w:color w:val="000000" w:themeColor="text1"/>
          <w:sz w:val="22"/>
          <w:szCs w:val="22"/>
        </w:rPr>
        <w:t xml:space="preserve"> </w:t>
      </w:r>
      <w:r w:rsidR="00BC545D">
        <w:rPr>
          <w:rFonts w:ascii="Arial" w:hAnsi="Arial" w:cs="Arial"/>
          <w:color w:val="000000" w:themeColor="text1"/>
          <w:sz w:val="22"/>
          <w:szCs w:val="22"/>
        </w:rPr>
        <w:t xml:space="preserve">positive reinforcement and </w:t>
      </w:r>
      <w:r w:rsidR="00754C69" w:rsidRPr="00840B12">
        <w:rPr>
          <w:rFonts w:ascii="Arial" w:hAnsi="Arial" w:cs="Arial"/>
          <w:color w:val="000000" w:themeColor="text1"/>
          <w:sz w:val="22"/>
          <w:szCs w:val="22"/>
        </w:rPr>
        <w:t>encouraging a growth mindset</w:t>
      </w:r>
      <w:r w:rsidR="00206831" w:rsidRPr="00840B12">
        <w:rPr>
          <w:rFonts w:ascii="Arial" w:hAnsi="Arial" w:cs="Arial"/>
          <w:color w:val="000000" w:themeColor="text1"/>
          <w:sz w:val="22"/>
          <w:szCs w:val="22"/>
        </w:rPr>
        <w:t xml:space="preserve"> </w:t>
      </w:r>
      <w:r w:rsidR="00981E6E" w:rsidRPr="00840B12">
        <w:rPr>
          <w:rFonts w:ascii="Arial" w:hAnsi="Arial" w:cs="Arial"/>
          <w:color w:val="000000" w:themeColor="text1"/>
          <w:sz w:val="22"/>
          <w:szCs w:val="22"/>
        </w:rPr>
        <w:t xml:space="preserve">develops pupil independence. </w:t>
      </w:r>
      <w:r w:rsidR="00840B12" w:rsidRPr="00840B12">
        <w:rPr>
          <w:rFonts w:ascii="Arial" w:hAnsi="Arial" w:cs="Arial"/>
          <w:color w:val="000000" w:themeColor="text1"/>
          <w:sz w:val="22"/>
          <w:szCs w:val="22"/>
        </w:rPr>
        <w:t>A</w:t>
      </w:r>
      <w:r w:rsidR="00E00F70" w:rsidRPr="00840B12">
        <w:rPr>
          <w:rFonts w:ascii="Arial" w:hAnsi="Arial" w:cs="Arial"/>
          <w:color w:val="000000" w:themeColor="text1"/>
          <w:sz w:val="22"/>
          <w:szCs w:val="22"/>
        </w:rPr>
        <w:t xml:space="preserve">ll questionnaire participants </w:t>
      </w:r>
      <w:r w:rsidR="00AA5CF1" w:rsidRPr="00840B12">
        <w:rPr>
          <w:rFonts w:ascii="Arial" w:hAnsi="Arial" w:cs="Arial"/>
          <w:color w:val="000000" w:themeColor="text1"/>
          <w:sz w:val="22"/>
          <w:szCs w:val="22"/>
        </w:rPr>
        <w:t>highligh</w:t>
      </w:r>
      <w:r w:rsidR="001862E4" w:rsidRPr="00840B12">
        <w:rPr>
          <w:rFonts w:ascii="Arial" w:hAnsi="Arial" w:cs="Arial"/>
          <w:color w:val="000000" w:themeColor="text1"/>
          <w:sz w:val="22"/>
          <w:szCs w:val="22"/>
        </w:rPr>
        <w:t>ted</w:t>
      </w:r>
      <w:r w:rsidR="00AA5CF1" w:rsidRPr="00840B12">
        <w:rPr>
          <w:rFonts w:ascii="Arial" w:hAnsi="Arial" w:cs="Arial"/>
          <w:color w:val="000000" w:themeColor="text1"/>
          <w:sz w:val="22"/>
          <w:szCs w:val="22"/>
        </w:rPr>
        <w:t xml:space="preserve"> the</w:t>
      </w:r>
      <w:r w:rsidR="00074093" w:rsidRPr="00840B12">
        <w:rPr>
          <w:rFonts w:ascii="Arial" w:hAnsi="Arial" w:cs="Arial"/>
          <w:color w:val="000000" w:themeColor="text1"/>
          <w:sz w:val="22"/>
          <w:szCs w:val="22"/>
        </w:rPr>
        <w:t xml:space="preserve"> important role praise plays in ensuring learners feel supported to complete independent activity </w:t>
      </w:r>
      <w:r w:rsidR="00E00F70" w:rsidRPr="00840B12">
        <w:rPr>
          <w:rFonts w:ascii="Arial" w:hAnsi="Arial" w:cs="Arial"/>
          <w:color w:val="000000" w:themeColor="text1"/>
          <w:sz w:val="22"/>
          <w:szCs w:val="22"/>
        </w:rPr>
        <w:t>(Fig</w:t>
      </w:r>
      <w:r w:rsidR="003F663F" w:rsidRPr="00840B12">
        <w:rPr>
          <w:rFonts w:ascii="Arial" w:hAnsi="Arial" w:cs="Arial"/>
          <w:color w:val="000000" w:themeColor="text1"/>
          <w:sz w:val="22"/>
          <w:szCs w:val="22"/>
        </w:rPr>
        <w:t>.</w:t>
      </w:r>
      <w:r w:rsidR="00E00F70" w:rsidRPr="00840B12">
        <w:rPr>
          <w:rFonts w:ascii="Arial" w:hAnsi="Arial" w:cs="Arial"/>
          <w:color w:val="000000" w:themeColor="text1"/>
          <w:sz w:val="22"/>
          <w:szCs w:val="22"/>
        </w:rPr>
        <w:t xml:space="preserve"> A-Appendix 12)</w:t>
      </w:r>
      <w:r w:rsidR="005F63E4" w:rsidRPr="00840B12">
        <w:rPr>
          <w:rFonts w:ascii="Arial" w:hAnsi="Arial" w:cs="Arial"/>
          <w:color w:val="000000" w:themeColor="text1"/>
          <w:sz w:val="22"/>
          <w:szCs w:val="22"/>
        </w:rPr>
        <w:t>. Findings from the observation</w:t>
      </w:r>
      <w:r w:rsidR="001C5AF2" w:rsidRPr="00840B12">
        <w:rPr>
          <w:rFonts w:ascii="Arial" w:hAnsi="Arial" w:cs="Arial"/>
          <w:color w:val="000000" w:themeColor="text1"/>
          <w:sz w:val="22"/>
          <w:szCs w:val="22"/>
        </w:rPr>
        <w:t xml:space="preserve"> </w:t>
      </w:r>
      <w:r w:rsidR="00175B72" w:rsidRPr="00840B12">
        <w:rPr>
          <w:rFonts w:ascii="Arial" w:hAnsi="Arial" w:cs="Arial"/>
          <w:color w:val="000000" w:themeColor="text1"/>
          <w:sz w:val="22"/>
          <w:szCs w:val="22"/>
        </w:rPr>
        <w:t xml:space="preserve">further concur this as all pupils </w:t>
      </w:r>
      <w:r w:rsidR="00D305DB" w:rsidRPr="00840B12">
        <w:rPr>
          <w:rFonts w:ascii="Arial" w:hAnsi="Arial" w:cs="Arial"/>
          <w:color w:val="000000" w:themeColor="text1"/>
          <w:sz w:val="22"/>
          <w:szCs w:val="22"/>
        </w:rPr>
        <w:t xml:space="preserve">were observed to have the highest level of independent involvement in their work </w:t>
      </w:r>
      <w:r w:rsidR="00D96272" w:rsidRPr="00840B12">
        <w:rPr>
          <w:rFonts w:ascii="Arial" w:hAnsi="Arial" w:cs="Arial"/>
          <w:color w:val="000000" w:themeColor="text1"/>
          <w:sz w:val="22"/>
          <w:szCs w:val="22"/>
        </w:rPr>
        <w:t>following</w:t>
      </w:r>
      <w:r w:rsidR="00D305DB" w:rsidRPr="00840B12">
        <w:rPr>
          <w:rFonts w:ascii="Arial" w:hAnsi="Arial" w:cs="Arial"/>
          <w:color w:val="000000" w:themeColor="text1"/>
          <w:sz w:val="22"/>
          <w:szCs w:val="22"/>
        </w:rPr>
        <w:t xml:space="preserve"> being </w:t>
      </w:r>
      <w:r w:rsidR="009567CA" w:rsidRPr="00840B12">
        <w:rPr>
          <w:rFonts w:ascii="Arial" w:hAnsi="Arial" w:cs="Arial"/>
          <w:color w:val="000000" w:themeColor="text1"/>
          <w:sz w:val="22"/>
          <w:szCs w:val="22"/>
        </w:rPr>
        <w:t>praised</w:t>
      </w:r>
      <w:r w:rsidR="002E7BBA" w:rsidRPr="00840B12">
        <w:rPr>
          <w:rFonts w:ascii="Arial" w:hAnsi="Arial" w:cs="Arial"/>
          <w:color w:val="000000" w:themeColor="text1"/>
          <w:sz w:val="22"/>
          <w:szCs w:val="22"/>
        </w:rPr>
        <w:t xml:space="preserve"> (Fig.B</w:t>
      </w:r>
      <w:r w:rsidR="003F663F" w:rsidRPr="00840B12">
        <w:rPr>
          <w:rFonts w:ascii="Arial" w:hAnsi="Arial" w:cs="Arial"/>
          <w:color w:val="000000" w:themeColor="text1"/>
          <w:sz w:val="22"/>
          <w:szCs w:val="22"/>
        </w:rPr>
        <w:t>-</w:t>
      </w:r>
      <w:r w:rsidR="002E7BBA" w:rsidRPr="00840B12">
        <w:rPr>
          <w:rFonts w:ascii="Arial" w:hAnsi="Arial" w:cs="Arial"/>
          <w:color w:val="000000" w:themeColor="text1"/>
          <w:sz w:val="22"/>
          <w:szCs w:val="22"/>
        </w:rPr>
        <w:t>Appendix</w:t>
      </w:r>
      <w:r w:rsidR="002E7BBA" w:rsidRPr="005621FA">
        <w:rPr>
          <w:rFonts w:ascii="Arial" w:hAnsi="Arial" w:cs="Arial"/>
          <w:color w:val="000000" w:themeColor="text1"/>
          <w:sz w:val="22"/>
          <w:szCs w:val="22"/>
        </w:rPr>
        <w:t xml:space="preserve"> 12)</w:t>
      </w:r>
      <w:r w:rsidR="00D305DB" w:rsidRPr="005621FA">
        <w:rPr>
          <w:rFonts w:ascii="Arial" w:hAnsi="Arial" w:cs="Arial"/>
          <w:color w:val="000000" w:themeColor="text1"/>
          <w:sz w:val="22"/>
          <w:szCs w:val="22"/>
        </w:rPr>
        <w:t xml:space="preserve">. </w:t>
      </w:r>
      <w:r w:rsidR="00031F08" w:rsidRPr="005621FA">
        <w:rPr>
          <w:rFonts w:ascii="Arial" w:hAnsi="Arial" w:cs="Arial"/>
          <w:color w:val="000000" w:themeColor="text1"/>
          <w:sz w:val="22"/>
          <w:szCs w:val="22"/>
        </w:rPr>
        <w:t>Dewey’s theory that</w:t>
      </w:r>
      <w:r w:rsidR="00370780" w:rsidRPr="005621FA">
        <w:rPr>
          <w:rFonts w:ascii="Arial" w:hAnsi="Arial" w:cs="Arial"/>
          <w:color w:val="000000" w:themeColor="text1"/>
          <w:sz w:val="22"/>
          <w:szCs w:val="22"/>
        </w:rPr>
        <w:t xml:space="preserve"> </w:t>
      </w:r>
      <w:r w:rsidR="00122964" w:rsidRPr="005621FA">
        <w:rPr>
          <w:rFonts w:ascii="Arial" w:hAnsi="Arial" w:cs="Arial"/>
          <w:color w:val="000000" w:themeColor="text1"/>
          <w:sz w:val="22"/>
          <w:szCs w:val="22"/>
        </w:rPr>
        <w:t>supporting learner well-being leads to learners taking</w:t>
      </w:r>
      <w:r w:rsidR="00B2233F" w:rsidRPr="005621FA">
        <w:rPr>
          <w:rFonts w:ascii="Arial" w:hAnsi="Arial" w:cs="Arial"/>
          <w:color w:val="000000" w:themeColor="text1"/>
          <w:sz w:val="22"/>
          <w:szCs w:val="22"/>
        </w:rPr>
        <w:t xml:space="preserve"> risks is supported by the </w:t>
      </w:r>
      <w:r w:rsidR="00A07605" w:rsidRPr="005621FA">
        <w:rPr>
          <w:rFonts w:ascii="Arial" w:hAnsi="Arial" w:cs="Arial"/>
          <w:color w:val="000000" w:themeColor="text1"/>
          <w:sz w:val="22"/>
          <w:szCs w:val="22"/>
        </w:rPr>
        <w:t xml:space="preserve">qualitative data gathered </w:t>
      </w:r>
      <w:r w:rsidR="008938A9" w:rsidRPr="005621FA">
        <w:rPr>
          <w:rFonts w:ascii="Arial" w:hAnsi="Arial" w:cs="Arial"/>
          <w:color w:val="000000" w:themeColor="text1"/>
          <w:sz w:val="22"/>
          <w:szCs w:val="22"/>
        </w:rPr>
        <w:t>in the learner interview (Appendix 3), where all transcriptions highlighted in pink coagulate th</w:t>
      </w:r>
      <w:r w:rsidR="002C1AEB">
        <w:rPr>
          <w:rFonts w:ascii="Arial" w:hAnsi="Arial" w:cs="Arial"/>
          <w:color w:val="000000" w:themeColor="text1"/>
          <w:sz w:val="22"/>
          <w:szCs w:val="22"/>
        </w:rPr>
        <w:t>e</w:t>
      </w:r>
      <w:r w:rsidR="008938A9" w:rsidRPr="005621FA">
        <w:rPr>
          <w:rFonts w:ascii="Arial" w:hAnsi="Arial" w:cs="Arial"/>
          <w:color w:val="000000" w:themeColor="text1"/>
          <w:sz w:val="22"/>
          <w:szCs w:val="22"/>
        </w:rPr>
        <w:t xml:space="preserve"> theory (Dewey, </w:t>
      </w:r>
      <w:r w:rsidR="003F663F" w:rsidRPr="005621FA">
        <w:rPr>
          <w:rFonts w:ascii="Arial" w:hAnsi="Arial" w:cs="Arial"/>
          <w:color w:val="000000" w:themeColor="text1"/>
          <w:sz w:val="22"/>
          <w:szCs w:val="22"/>
        </w:rPr>
        <w:t xml:space="preserve">1938; Mozolev, 2020). </w:t>
      </w:r>
    </w:p>
    <w:p w14:paraId="29AD12B0" w14:textId="6FB2C546" w:rsidR="001C2FE0" w:rsidRPr="005621FA" w:rsidRDefault="001C2FE0" w:rsidP="005621FA">
      <w:pPr>
        <w:spacing w:line="360" w:lineRule="auto"/>
        <w:rPr>
          <w:rFonts w:ascii="Arial" w:hAnsi="Arial" w:cs="Arial"/>
          <w:color w:val="000000" w:themeColor="text1"/>
          <w:sz w:val="22"/>
          <w:szCs w:val="22"/>
        </w:rPr>
      </w:pPr>
    </w:p>
    <w:p w14:paraId="020066A5" w14:textId="77777777" w:rsidR="007F03F8" w:rsidRPr="005621FA" w:rsidRDefault="001C2FE0" w:rsidP="005621FA">
      <w:pPr>
        <w:spacing w:line="360" w:lineRule="auto"/>
        <w:rPr>
          <w:rFonts w:ascii="Arial" w:hAnsi="Arial" w:cs="Arial"/>
          <w:color w:val="000000" w:themeColor="text1"/>
          <w:sz w:val="22"/>
          <w:szCs w:val="22"/>
        </w:rPr>
      </w:pPr>
      <w:r w:rsidRPr="005621FA">
        <w:rPr>
          <w:rFonts w:ascii="Arial" w:hAnsi="Arial" w:cs="Arial"/>
          <w:color w:val="000000" w:themeColor="text1"/>
          <w:sz w:val="22"/>
          <w:szCs w:val="22"/>
        </w:rPr>
        <w:t>Research findings further align with the literature review, depicting that pupil independence extends beyond pupils working alone (Table 2-Appendix 12).</w:t>
      </w:r>
      <w:r w:rsidR="00FE0D04" w:rsidRPr="005621FA">
        <w:rPr>
          <w:rFonts w:ascii="Arial" w:hAnsi="Arial" w:cs="Arial"/>
          <w:color w:val="000000" w:themeColor="text1"/>
          <w:sz w:val="22"/>
          <w:szCs w:val="22"/>
        </w:rPr>
        <w:t xml:space="preserve"> Alongside </w:t>
      </w:r>
      <w:r w:rsidR="005C50C5" w:rsidRPr="005621FA">
        <w:rPr>
          <w:rFonts w:ascii="Arial" w:hAnsi="Arial" w:cs="Arial"/>
          <w:color w:val="000000" w:themeColor="text1"/>
          <w:sz w:val="22"/>
          <w:szCs w:val="22"/>
        </w:rPr>
        <w:t>all</w:t>
      </w:r>
      <w:r w:rsidR="00FE0D04" w:rsidRPr="005621FA">
        <w:rPr>
          <w:rFonts w:ascii="Arial" w:hAnsi="Arial" w:cs="Arial"/>
          <w:color w:val="000000" w:themeColor="text1"/>
          <w:sz w:val="22"/>
          <w:szCs w:val="22"/>
        </w:rPr>
        <w:t xml:space="preserve"> learners explicitly stating that they do not feel alone when in the classroom (Appendix 3), </w:t>
      </w:r>
      <w:r w:rsidR="007C37A8" w:rsidRPr="005621FA">
        <w:rPr>
          <w:rFonts w:ascii="Arial" w:hAnsi="Arial" w:cs="Arial"/>
          <w:color w:val="000000" w:themeColor="text1"/>
          <w:sz w:val="22"/>
          <w:szCs w:val="22"/>
        </w:rPr>
        <w:t>most pupils</w:t>
      </w:r>
      <w:r w:rsidR="00046CAE" w:rsidRPr="005621FA">
        <w:rPr>
          <w:rFonts w:ascii="Arial" w:hAnsi="Arial" w:cs="Arial"/>
          <w:color w:val="000000" w:themeColor="text1"/>
          <w:sz w:val="22"/>
          <w:szCs w:val="22"/>
        </w:rPr>
        <w:t xml:space="preserve"> stressed the importance of social interaction with their peers to promote independent learning.</w:t>
      </w:r>
      <w:r w:rsidR="008204B0" w:rsidRPr="005621FA">
        <w:rPr>
          <w:rFonts w:ascii="Arial" w:hAnsi="Arial" w:cs="Arial"/>
          <w:color w:val="000000" w:themeColor="text1"/>
          <w:sz w:val="22"/>
          <w:szCs w:val="22"/>
        </w:rPr>
        <w:t xml:space="preserve"> </w:t>
      </w:r>
      <w:r w:rsidR="00DE1BCA" w:rsidRPr="005621FA">
        <w:rPr>
          <w:rFonts w:ascii="Arial" w:hAnsi="Arial" w:cs="Arial"/>
          <w:color w:val="000000" w:themeColor="text1"/>
          <w:sz w:val="22"/>
          <w:szCs w:val="22"/>
        </w:rPr>
        <w:t xml:space="preserve">Furthermore, all staff </w:t>
      </w:r>
      <w:r w:rsidR="006971A7" w:rsidRPr="005621FA">
        <w:rPr>
          <w:rFonts w:ascii="Arial" w:hAnsi="Arial" w:cs="Arial"/>
          <w:color w:val="000000" w:themeColor="text1"/>
          <w:sz w:val="22"/>
          <w:szCs w:val="22"/>
        </w:rPr>
        <w:t>agreed</w:t>
      </w:r>
      <w:r w:rsidR="008204B0" w:rsidRPr="005621FA">
        <w:rPr>
          <w:rFonts w:ascii="Arial" w:hAnsi="Arial" w:cs="Arial"/>
          <w:color w:val="000000" w:themeColor="text1"/>
          <w:sz w:val="22"/>
          <w:szCs w:val="22"/>
        </w:rPr>
        <w:t xml:space="preserve"> that</w:t>
      </w:r>
      <w:r w:rsidR="006971A7" w:rsidRPr="005621FA">
        <w:rPr>
          <w:rFonts w:ascii="Arial" w:hAnsi="Arial" w:cs="Arial"/>
          <w:color w:val="000000" w:themeColor="text1"/>
          <w:sz w:val="22"/>
          <w:szCs w:val="22"/>
        </w:rPr>
        <w:t xml:space="preserve"> pupil independence encompasses more than a student’s ability to work on their own (F</w:t>
      </w:r>
      <w:r w:rsidR="003B4A1E" w:rsidRPr="005621FA">
        <w:rPr>
          <w:rFonts w:ascii="Arial" w:hAnsi="Arial" w:cs="Arial"/>
          <w:color w:val="000000" w:themeColor="text1"/>
          <w:sz w:val="22"/>
          <w:szCs w:val="22"/>
        </w:rPr>
        <w:t>ig. C-Appendix 12)</w:t>
      </w:r>
      <w:r w:rsidR="00DE1BCA" w:rsidRPr="005621FA">
        <w:rPr>
          <w:rFonts w:ascii="Arial" w:hAnsi="Arial" w:cs="Arial"/>
          <w:color w:val="000000" w:themeColor="text1"/>
          <w:sz w:val="22"/>
          <w:szCs w:val="22"/>
        </w:rPr>
        <w:t xml:space="preserve">. In the case </w:t>
      </w:r>
      <w:r w:rsidR="008204B0" w:rsidRPr="005621FA">
        <w:rPr>
          <w:rFonts w:ascii="Arial" w:hAnsi="Arial" w:cs="Arial"/>
          <w:color w:val="000000" w:themeColor="text1"/>
          <w:sz w:val="22"/>
          <w:szCs w:val="22"/>
        </w:rPr>
        <w:t>where one</w:t>
      </w:r>
      <w:r w:rsidR="00DE22ED" w:rsidRPr="005621FA">
        <w:rPr>
          <w:rFonts w:ascii="Arial" w:hAnsi="Arial" w:cs="Arial"/>
          <w:color w:val="000000" w:themeColor="text1"/>
          <w:sz w:val="22"/>
          <w:szCs w:val="22"/>
        </w:rPr>
        <w:t xml:space="preserve"> participant only somewhat agreed with the statement, their reasoning </w:t>
      </w:r>
      <w:r w:rsidR="008204B0" w:rsidRPr="005621FA">
        <w:rPr>
          <w:rFonts w:ascii="Arial" w:hAnsi="Arial" w:cs="Arial"/>
          <w:color w:val="000000" w:themeColor="text1"/>
          <w:sz w:val="22"/>
          <w:szCs w:val="22"/>
        </w:rPr>
        <w:t xml:space="preserve">concurred with the argument in the literature review </w:t>
      </w:r>
      <w:r w:rsidR="00D81F5A" w:rsidRPr="005621FA">
        <w:rPr>
          <w:rFonts w:ascii="Arial" w:hAnsi="Arial" w:cs="Arial"/>
          <w:color w:val="000000" w:themeColor="text1"/>
          <w:sz w:val="22"/>
          <w:szCs w:val="22"/>
        </w:rPr>
        <w:t>noting that excessive teacher guidance can hinder</w:t>
      </w:r>
      <w:r w:rsidR="008B2EB5" w:rsidRPr="005621FA">
        <w:rPr>
          <w:rFonts w:ascii="Arial" w:hAnsi="Arial" w:cs="Arial"/>
          <w:color w:val="000000" w:themeColor="text1"/>
          <w:sz w:val="22"/>
          <w:szCs w:val="22"/>
        </w:rPr>
        <w:t xml:space="preserve"> pupil independence (Lockhorst, et al., 2017). </w:t>
      </w:r>
      <w:r w:rsidR="005B4D9E" w:rsidRPr="005621FA">
        <w:rPr>
          <w:rFonts w:ascii="Arial" w:hAnsi="Arial" w:cs="Arial"/>
          <w:color w:val="000000" w:themeColor="text1"/>
          <w:sz w:val="22"/>
          <w:szCs w:val="22"/>
        </w:rPr>
        <w:t xml:space="preserve">The use of a planned self-assessment during the observation </w:t>
      </w:r>
      <w:r w:rsidR="001621B0" w:rsidRPr="005621FA">
        <w:rPr>
          <w:rFonts w:ascii="Arial" w:hAnsi="Arial" w:cs="Arial"/>
          <w:color w:val="000000" w:themeColor="text1"/>
          <w:sz w:val="22"/>
          <w:szCs w:val="22"/>
        </w:rPr>
        <w:t xml:space="preserve">coincided with </w:t>
      </w:r>
      <w:r w:rsidR="00174E15" w:rsidRPr="005621FA">
        <w:rPr>
          <w:rFonts w:ascii="Arial" w:hAnsi="Arial" w:cs="Arial"/>
          <w:color w:val="000000" w:themeColor="text1"/>
          <w:sz w:val="22"/>
          <w:szCs w:val="22"/>
        </w:rPr>
        <w:t xml:space="preserve">the assertion from </w:t>
      </w:r>
      <w:r w:rsidR="001621B0" w:rsidRPr="005621FA">
        <w:rPr>
          <w:rFonts w:ascii="Arial" w:hAnsi="Arial" w:cs="Arial"/>
          <w:color w:val="000000" w:themeColor="text1"/>
          <w:sz w:val="22"/>
          <w:szCs w:val="22"/>
        </w:rPr>
        <w:t>Black (2006) and Hattie and Timperley (2016)</w:t>
      </w:r>
      <w:r w:rsidR="00BB02B2" w:rsidRPr="005621FA">
        <w:rPr>
          <w:rFonts w:ascii="Arial" w:hAnsi="Arial" w:cs="Arial"/>
          <w:color w:val="000000" w:themeColor="text1"/>
          <w:sz w:val="22"/>
          <w:szCs w:val="22"/>
        </w:rPr>
        <w:t xml:space="preserve"> </w:t>
      </w:r>
      <w:r w:rsidR="00AE732E" w:rsidRPr="005621FA">
        <w:rPr>
          <w:rFonts w:ascii="Arial" w:hAnsi="Arial" w:cs="Arial"/>
          <w:color w:val="000000" w:themeColor="text1"/>
          <w:sz w:val="22"/>
          <w:szCs w:val="22"/>
        </w:rPr>
        <w:t xml:space="preserve">that </w:t>
      </w:r>
      <w:r w:rsidR="00B81EE0" w:rsidRPr="005621FA">
        <w:rPr>
          <w:rFonts w:ascii="Arial" w:hAnsi="Arial" w:cs="Arial"/>
          <w:color w:val="000000" w:themeColor="text1"/>
          <w:sz w:val="22"/>
          <w:szCs w:val="22"/>
        </w:rPr>
        <w:t>self-assessment</w:t>
      </w:r>
      <w:r w:rsidR="00AE732E" w:rsidRPr="005621FA">
        <w:rPr>
          <w:rFonts w:ascii="Arial" w:hAnsi="Arial" w:cs="Arial"/>
          <w:color w:val="000000" w:themeColor="text1"/>
          <w:sz w:val="22"/>
          <w:szCs w:val="22"/>
        </w:rPr>
        <w:t xml:space="preserve"> </w:t>
      </w:r>
      <w:r w:rsidR="00CF1C83" w:rsidRPr="005621FA">
        <w:rPr>
          <w:rFonts w:ascii="Arial" w:hAnsi="Arial" w:cs="Arial"/>
          <w:color w:val="000000" w:themeColor="text1"/>
          <w:sz w:val="22"/>
          <w:szCs w:val="22"/>
        </w:rPr>
        <w:t xml:space="preserve">promotes </w:t>
      </w:r>
      <w:r w:rsidR="00AE732E" w:rsidRPr="005621FA">
        <w:rPr>
          <w:rFonts w:ascii="Arial" w:hAnsi="Arial" w:cs="Arial"/>
          <w:color w:val="000000" w:themeColor="text1"/>
          <w:sz w:val="22"/>
          <w:szCs w:val="22"/>
        </w:rPr>
        <w:t>pupil independent through allowing learners to take ownership of their learning</w:t>
      </w:r>
      <w:r w:rsidR="00CF1C83" w:rsidRPr="005621FA">
        <w:rPr>
          <w:rFonts w:ascii="Arial" w:hAnsi="Arial" w:cs="Arial"/>
          <w:color w:val="000000" w:themeColor="text1"/>
          <w:sz w:val="22"/>
          <w:szCs w:val="22"/>
        </w:rPr>
        <w:t xml:space="preserve"> as all learners </w:t>
      </w:r>
      <w:r w:rsidR="00187017" w:rsidRPr="005621FA">
        <w:rPr>
          <w:rFonts w:ascii="Arial" w:hAnsi="Arial" w:cs="Arial"/>
          <w:color w:val="000000" w:themeColor="text1"/>
          <w:sz w:val="22"/>
          <w:szCs w:val="22"/>
        </w:rPr>
        <w:t>worked independently</w:t>
      </w:r>
      <w:r w:rsidR="00157AF1" w:rsidRPr="005621FA">
        <w:rPr>
          <w:rFonts w:ascii="Arial" w:hAnsi="Arial" w:cs="Arial"/>
          <w:color w:val="000000" w:themeColor="text1"/>
          <w:sz w:val="22"/>
          <w:szCs w:val="22"/>
        </w:rPr>
        <w:t xml:space="preserve"> or </w:t>
      </w:r>
      <w:r w:rsidR="00063689" w:rsidRPr="005621FA">
        <w:rPr>
          <w:rFonts w:ascii="Arial" w:hAnsi="Arial" w:cs="Arial"/>
          <w:color w:val="000000" w:themeColor="text1"/>
          <w:sz w:val="22"/>
          <w:szCs w:val="22"/>
        </w:rPr>
        <w:t>showed an increase in their level of independence</w:t>
      </w:r>
      <w:r w:rsidR="00CF1C83" w:rsidRPr="005621FA">
        <w:rPr>
          <w:rFonts w:ascii="Arial" w:hAnsi="Arial" w:cs="Arial"/>
          <w:color w:val="000000" w:themeColor="text1"/>
          <w:sz w:val="22"/>
          <w:szCs w:val="22"/>
        </w:rPr>
        <w:t xml:space="preserve"> </w:t>
      </w:r>
      <w:r w:rsidR="001C0484" w:rsidRPr="005621FA">
        <w:rPr>
          <w:rFonts w:ascii="Arial" w:hAnsi="Arial" w:cs="Arial"/>
          <w:color w:val="000000" w:themeColor="text1"/>
          <w:sz w:val="22"/>
          <w:szCs w:val="22"/>
        </w:rPr>
        <w:t>(Fig. E-Appendix 12)</w:t>
      </w:r>
      <w:r w:rsidR="00B81EE0" w:rsidRPr="005621FA">
        <w:rPr>
          <w:rFonts w:ascii="Arial" w:hAnsi="Arial" w:cs="Arial"/>
          <w:color w:val="000000" w:themeColor="text1"/>
          <w:sz w:val="22"/>
          <w:szCs w:val="22"/>
        </w:rPr>
        <w:t xml:space="preserve">. </w:t>
      </w:r>
    </w:p>
    <w:p w14:paraId="7F3C35A0" w14:textId="77777777" w:rsidR="007F03F8" w:rsidRPr="005621FA" w:rsidRDefault="007F03F8" w:rsidP="005621FA">
      <w:pPr>
        <w:spacing w:line="360" w:lineRule="auto"/>
        <w:rPr>
          <w:rFonts w:ascii="Arial" w:hAnsi="Arial" w:cs="Arial"/>
          <w:color w:val="000000" w:themeColor="text1"/>
          <w:sz w:val="22"/>
          <w:szCs w:val="22"/>
        </w:rPr>
      </w:pPr>
    </w:p>
    <w:p w14:paraId="25F19110" w14:textId="2F271245" w:rsidR="00FF6368" w:rsidRPr="005621FA" w:rsidRDefault="00FF6368" w:rsidP="005621FA">
      <w:pPr>
        <w:spacing w:line="360" w:lineRule="auto"/>
        <w:rPr>
          <w:rFonts w:ascii="Arial" w:hAnsi="Arial" w:cs="Arial"/>
          <w:color w:val="000000" w:themeColor="text1"/>
          <w:sz w:val="22"/>
          <w:szCs w:val="22"/>
        </w:rPr>
      </w:pPr>
      <w:r w:rsidRPr="005621FA">
        <w:rPr>
          <w:rFonts w:ascii="Arial" w:hAnsi="Arial" w:cs="Arial"/>
          <w:color w:val="000000" w:themeColor="text1"/>
          <w:sz w:val="22"/>
          <w:szCs w:val="22"/>
        </w:rPr>
        <w:lastRenderedPageBreak/>
        <w:t>Whilst the learners did not directly acknowledge the role that practitioners play in supporting pupil independence</w:t>
      </w:r>
      <w:r w:rsidR="00921D56" w:rsidRPr="005621FA">
        <w:rPr>
          <w:rFonts w:ascii="Arial" w:hAnsi="Arial" w:cs="Arial"/>
          <w:color w:val="000000" w:themeColor="text1"/>
          <w:sz w:val="22"/>
          <w:szCs w:val="22"/>
        </w:rPr>
        <w:t xml:space="preserve"> (Anstee, 2015)</w:t>
      </w:r>
      <w:r w:rsidRPr="005621FA">
        <w:rPr>
          <w:rFonts w:ascii="Arial" w:hAnsi="Arial" w:cs="Arial"/>
          <w:color w:val="000000" w:themeColor="text1"/>
          <w:sz w:val="22"/>
          <w:szCs w:val="22"/>
        </w:rPr>
        <w:t xml:space="preserve">, they did </w:t>
      </w:r>
      <w:r w:rsidR="00921D56" w:rsidRPr="005621FA">
        <w:rPr>
          <w:rFonts w:ascii="Arial" w:hAnsi="Arial" w:cs="Arial"/>
          <w:color w:val="000000" w:themeColor="text1"/>
          <w:sz w:val="22"/>
          <w:szCs w:val="22"/>
        </w:rPr>
        <w:t xml:space="preserve">strongly </w:t>
      </w:r>
      <w:r w:rsidR="006C3FBA" w:rsidRPr="005621FA">
        <w:rPr>
          <w:rFonts w:ascii="Arial" w:hAnsi="Arial" w:cs="Arial"/>
          <w:color w:val="000000" w:themeColor="text1"/>
          <w:sz w:val="22"/>
          <w:szCs w:val="22"/>
        </w:rPr>
        <w:t xml:space="preserve">determine </w:t>
      </w:r>
      <w:r w:rsidR="002A1B3D" w:rsidRPr="005621FA">
        <w:rPr>
          <w:rFonts w:ascii="Arial" w:hAnsi="Arial" w:cs="Arial"/>
          <w:color w:val="000000" w:themeColor="text1"/>
          <w:sz w:val="22"/>
          <w:szCs w:val="22"/>
        </w:rPr>
        <w:t xml:space="preserve">the importance of </w:t>
      </w:r>
      <w:r w:rsidR="00040681" w:rsidRPr="005621FA">
        <w:rPr>
          <w:rFonts w:ascii="Arial" w:hAnsi="Arial" w:cs="Arial"/>
          <w:color w:val="000000" w:themeColor="text1"/>
          <w:sz w:val="22"/>
          <w:szCs w:val="22"/>
        </w:rPr>
        <w:t xml:space="preserve">interacting with their peers </w:t>
      </w:r>
      <w:r w:rsidR="004B489E" w:rsidRPr="005621FA">
        <w:rPr>
          <w:rFonts w:ascii="Arial" w:hAnsi="Arial" w:cs="Arial"/>
          <w:color w:val="000000" w:themeColor="text1"/>
          <w:sz w:val="22"/>
          <w:szCs w:val="22"/>
        </w:rPr>
        <w:t>to feel confident in their learning</w:t>
      </w:r>
      <w:r w:rsidR="00B708E1" w:rsidRPr="005621FA">
        <w:rPr>
          <w:rFonts w:ascii="Arial" w:hAnsi="Arial" w:cs="Arial"/>
          <w:color w:val="000000" w:themeColor="text1"/>
          <w:sz w:val="22"/>
          <w:szCs w:val="22"/>
        </w:rPr>
        <w:t xml:space="preserve">. Fascinatingly, one learner </w:t>
      </w:r>
      <w:r w:rsidR="0031325D" w:rsidRPr="005621FA">
        <w:rPr>
          <w:rFonts w:ascii="Arial" w:hAnsi="Arial" w:cs="Arial"/>
          <w:color w:val="000000" w:themeColor="text1"/>
          <w:sz w:val="22"/>
          <w:szCs w:val="22"/>
        </w:rPr>
        <w:t>identified</w:t>
      </w:r>
      <w:r w:rsidR="00CF7397" w:rsidRPr="005621FA">
        <w:rPr>
          <w:rFonts w:ascii="Arial" w:hAnsi="Arial" w:cs="Arial"/>
          <w:color w:val="000000" w:themeColor="text1"/>
          <w:sz w:val="22"/>
          <w:szCs w:val="22"/>
        </w:rPr>
        <w:t xml:space="preserve"> </w:t>
      </w:r>
      <w:r w:rsidR="00EE6F10" w:rsidRPr="005621FA">
        <w:rPr>
          <w:rFonts w:ascii="Arial" w:hAnsi="Arial" w:cs="Arial"/>
          <w:color w:val="000000" w:themeColor="text1"/>
          <w:sz w:val="22"/>
          <w:szCs w:val="22"/>
        </w:rPr>
        <w:t xml:space="preserve">the relevance of Vygotsky’s sociocultural theory, highlighting </w:t>
      </w:r>
      <w:r w:rsidR="0031325D" w:rsidRPr="005621FA">
        <w:rPr>
          <w:rFonts w:ascii="Arial" w:hAnsi="Arial" w:cs="Arial"/>
          <w:color w:val="000000" w:themeColor="text1"/>
          <w:sz w:val="22"/>
          <w:szCs w:val="22"/>
        </w:rPr>
        <w:t>that through peer-assessment</w:t>
      </w:r>
      <w:r w:rsidR="005272A7" w:rsidRPr="005621FA">
        <w:rPr>
          <w:rFonts w:ascii="Arial" w:hAnsi="Arial" w:cs="Arial"/>
          <w:color w:val="000000" w:themeColor="text1"/>
          <w:sz w:val="22"/>
          <w:szCs w:val="22"/>
        </w:rPr>
        <w:t xml:space="preserve"> they built a new understanding</w:t>
      </w:r>
      <w:r w:rsidR="00FE0C8C" w:rsidRPr="005621FA">
        <w:rPr>
          <w:rFonts w:ascii="Arial" w:hAnsi="Arial" w:cs="Arial"/>
          <w:color w:val="000000" w:themeColor="text1"/>
          <w:sz w:val="22"/>
          <w:szCs w:val="22"/>
        </w:rPr>
        <w:t xml:space="preserve"> (Fig. 2.1-Appendix 12)</w:t>
      </w:r>
      <w:r w:rsidR="00EE6F10" w:rsidRPr="005621FA">
        <w:rPr>
          <w:rFonts w:ascii="Arial" w:hAnsi="Arial" w:cs="Arial"/>
          <w:color w:val="000000" w:themeColor="text1"/>
          <w:sz w:val="22"/>
          <w:szCs w:val="22"/>
        </w:rPr>
        <w:t xml:space="preserve">. </w:t>
      </w:r>
      <w:r w:rsidR="00424601" w:rsidRPr="005621FA">
        <w:rPr>
          <w:rFonts w:ascii="Arial" w:hAnsi="Arial" w:cs="Arial"/>
          <w:color w:val="000000" w:themeColor="text1"/>
          <w:sz w:val="22"/>
          <w:szCs w:val="22"/>
        </w:rPr>
        <w:t>Though the learner i</w:t>
      </w:r>
      <w:r w:rsidR="0008431A" w:rsidRPr="005621FA">
        <w:rPr>
          <w:rFonts w:ascii="Arial" w:hAnsi="Arial" w:cs="Arial"/>
          <w:color w:val="000000" w:themeColor="text1"/>
          <w:sz w:val="22"/>
          <w:szCs w:val="22"/>
        </w:rPr>
        <w:t>s</w:t>
      </w:r>
      <w:r w:rsidR="00424601" w:rsidRPr="005621FA">
        <w:rPr>
          <w:rFonts w:ascii="Arial" w:hAnsi="Arial" w:cs="Arial"/>
          <w:color w:val="000000" w:themeColor="text1"/>
          <w:sz w:val="22"/>
          <w:szCs w:val="22"/>
        </w:rPr>
        <w:t xml:space="preserve"> not explicitly referenc</w:t>
      </w:r>
      <w:r w:rsidR="0008431A" w:rsidRPr="005621FA">
        <w:rPr>
          <w:rFonts w:ascii="Arial" w:hAnsi="Arial" w:cs="Arial"/>
          <w:color w:val="000000" w:themeColor="text1"/>
          <w:sz w:val="22"/>
          <w:szCs w:val="22"/>
        </w:rPr>
        <w:t>ing</w:t>
      </w:r>
      <w:r w:rsidR="00424601" w:rsidRPr="005621FA">
        <w:rPr>
          <w:rFonts w:ascii="Arial" w:hAnsi="Arial" w:cs="Arial"/>
          <w:color w:val="000000" w:themeColor="text1"/>
          <w:sz w:val="22"/>
          <w:szCs w:val="22"/>
        </w:rPr>
        <w:t xml:space="preserve"> Vygotsky</w:t>
      </w:r>
      <w:r w:rsidR="0008431A" w:rsidRPr="005621FA">
        <w:rPr>
          <w:rFonts w:ascii="Arial" w:hAnsi="Arial" w:cs="Arial"/>
          <w:color w:val="000000" w:themeColor="text1"/>
          <w:sz w:val="22"/>
          <w:szCs w:val="22"/>
        </w:rPr>
        <w:t>’s theory, their</w:t>
      </w:r>
      <w:r w:rsidR="00284C52" w:rsidRPr="005621FA">
        <w:rPr>
          <w:rFonts w:ascii="Arial" w:hAnsi="Arial" w:cs="Arial"/>
          <w:color w:val="000000" w:themeColor="text1"/>
          <w:sz w:val="22"/>
          <w:szCs w:val="22"/>
        </w:rPr>
        <w:t xml:space="preserve"> opinion can be related to importance of social interaction with a more knowledge </w:t>
      </w:r>
      <w:r w:rsidR="007F03F8" w:rsidRPr="005621FA">
        <w:rPr>
          <w:rFonts w:ascii="Arial" w:hAnsi="Arial" w:cs="Arial"/>
          <w:color w:val="000000" w:themeColor="text1"/>
          <w:sz w:val="22"/>
          <w:szCs w:val="22"/>
        </w:rPr>
        <w:t>other highlighted in the literature review (</w:t>
      </w:r>
      <w:r w:rsidR="009E4FFB" w:rsidRPr="005621FA">
        <w:rPr>
          <w:rFonts w:ascii="Arial" w:hAnsi="Arial" w:cs="Arial"/>
          <w:color w:val="000000" w:themeColor="text1"/>
          <w:sz w:val="22"/>
          <w:szCs w:val="22"/>
        </w:rPr>
        <w:t>Vygotsky, 1978).</w:t>
      </w:r>
    </w:p>
    <w:p w14:paraId="6A6EA55C" w14:textId="77777777" w:rsidR="005B487E" w:rsidRPr="005621FA" w:rsidRDefault="005B487E" w:rsidP="005621FA">
      <w:pPr>
        <w:pStyle w:val="AssignBody"/>
        <w:rPr>
          <w:rFonts w:cs="Arial"/>
          <w:color w:val="000000" w:themeColor="text1"/>
        </w:rPr>
      </w:pPr>
    </w:p>
    <w:p w14:paraId="30F8C3E2" w14:textId="0EBD8CFC" w:rsidR="00DB1BAD" w:rsidRPr="005621FA" w:rsidRDefault="00044E19" w:rsidP="005621FA">
      <w:pPr>
        <w:pStyle w:val="AssignBody"/>
        <w:rPr>
          <w:rFonts w:cs="Arial"/>
          <w:color w:val="000000" w:themeColor="text1"/>
        </w:rPr>
      </w:pPr>
      <w:r w:rsidRPr="005621FA">
        <w:rPr>
          <w:rFonts w:cs="Arial"/>
          <w:color w:val="000000" w:themeColor="text1"/>
        </w:rPr>
        <w:t xml:space="preserve">A potential factor that </w:t>
      </w:r>
      <w:r w:rsidR="00697828" w:rsidRPr="005621FA">
        <w:rPr>
          <w:rFonts w:cs="Arial"/>
          <w:color w:val="000000" w:themeColor="text1"/>
        </w:rPr>
        <w:t xml:space="preserve">may have impacted the dependability of the data obtained from the learner interviews was the positionality of the researcher. </w:t>
      </w:r>
      <w:r w:rsidR="00C05822" w:rsidRPr="005621FA">
        <w:rPr>
          <w:rFonts w:cs="Arial"/>
          <w:color w:val="000000" w:themeColor="text1"/>
        </w:rPr>
        <w:t>Bourke (2014) agrees that this could pose a challenge and proposes that it is essential to acknowledge the researcher's social context to minimi</w:t>
      </w:r>
      <w:r w:rsidR="00940D76" w:rsidRPr="005621FA">
        <w:rPr>
          <w:rFonts w:cs="Arial"/>
          <w:color w:val="000000" w:themeColor="text1"/>
        </w:rPr>
        <w:t>s</w:t>
      </w:r>
      <w:r w:rsidR="00C05822" w:rsidRPr="005621FA">
        <w:rPr>
          <w:rFonts w:cs="Arial"/>
          <w:color w:val="000000" w:themeColor="text1"/>
        </w:rPr>
        <w:t xml:space="preserve">e </w:t>
      </w:r>
      <w:r w:rsidR="003845BC" w:rsidRPr="005621FA">
        <w:rPr>
          <w:rFonts w:cs="Arial"/>
          <w:color w:val="000000" w:themeColor="text1"/>
        </w:rPr>
        <w:t>any potential bias or influence</w:t>
      </w:r>
      <w:r w:rsidR="00C05822" w:rsidRPr="005621FA">
        <w:rPr>
          <w:rFonts w:cs="Arial"/>
          <w:color w:val="000000" w:themeColor="text1"/>
        </w:rPr>
        <w:t>.</w:t>
      </w:r>
      <w:r w:rsidR="003845BC" w:rsidRPr="005621FA">
        <w:rPr>
          <w:rFonts w:cs="Arial"/>
          <w:color w:val="000000" w:themeColor="text1"/>
        </w:rPr>
        <w:t xml:space="preserve"> </w:t>
      </w:r>
      <w:r w:rsidR="00D30B6B" w:rsidRPr="005621FA">
        <w:rPr>
          <w:rFonts w:cs="Arial"/>
          <w:color w:val="000000" w:themeColor="text1"/>
        </w:rPr>
        <w:t xml:space="preserve">As the researcher was </w:t>
      </w:r>
      <w:r w:rsidR="00E86CD7" w:rsidRPr="005621FA">
        <w:rPr>
          <w:rFonts w:cs="Arial"/>
          <w:color w:val="000000" w:themeColor="text1"/>
        </w:rPr>
        <w:t>also</w:t>
      </w:r>
      <w:r w:rsidR="00D30B6B" w:rsidRPr="005621FA">
        <w:rPr>
          <w:rFonts w:cs="Arial"/>
          <w:color w:val="000000" w:themeColor="text1"/>
        </w:rPr>
        <w:t xml:space="preserve"> </w:t>
      </w:r>
      <w:r w:rsidR="00E86CD7" w:rsidRPr="005621FA">
        <w:rPr>
          <w:rFonts w:cs="Arial"/>
          <w:color w:val="000000" w:themeColor="text1"/>
        </w:rPr>
        <w:t xml:space="preserve">the </w:t>
      </w:r>
      <w:r w:rsidR="002E5522" w:rsidRPr="005621FA">
        <w:rPr>
          <w:rFonts w:cs="Arial"/>
          <w:color w:val="000000" w:themeColor="text1"/>
        </w:rPr>
        <w:t xml:space="preserve">pupils’ </w:t>
      </w:r>
      <w:r w:rsidR="00E86CD7" w:rsidRPr="005621FA">
        <w:rPr>
          <w:rFonts w:cs="Arial"/>
          <w:color w:val="000000" w:themeColor="text1"/>
        </w:rPr>
        <w:t>teacher</w:t>
      </w:r>
      <w:r w:rsidR="00D30B6B" w:rsidRPr="005621FA">
        <w:rPr>
          <w:rFonts w:cs="Arial"/>
          <w:color w:val="000000" w:themeColor="text1"/>
        </w:rPr>
        <w:t>, there is a close bond between them, which made it challenging for the teacher-researcher to avoid asking questions that might elicit expected responses from the learners</w:t>
      </w:r>
      <w:r w:rsidR="00E2083B" w:rsidRPr="005621FA">
        <w:rPr>
          <w:rFonts w:cs="Arial"/>
          <w:color w:val="000000" w:themeColor="text1"/>
        </w:rPr>
        <w:t xml:space="preserve">. To prevent future uncertainties regarding the interview questions, it may be helpful to pilot them on a separate group of learners in the future </w:t>
      </w:r>
      <w:sdt>
        <w:sdtPr>
          <w:rPr>
            <w:rFonts w:cs="Arial"/>
            <w:color w:val="000000" w:themeColor="text1"/>
          </w:rPr>
          <w:id w:val="250401202"/>
          <w:citation/>
        </w:sdtPr>
        <w:sdtEndPr/>
        <w:sdtContent>
          <w:r w:rsidR="00DB1BAD" w:rsidRPr="005621FA">
            <w:rPr>
              <w:rFonts w:cs="Arial"/>
              <w:color w:val="000000" w:themeColor="text1"/>
            </w:rPr>
            <w:fldChar w:fldCharType="begin"/>
          </w:r>
          <w:r w:rsidR="00DB1BAD" w:rsidRPr="005621FA">
            <w:rPr>
              <w:rFonts w:cs="Arial"/>
              <w:color w:val="000000" w:themeColor="text1"/>
            </w:rPr>
            <w:instrText xml:space="preserve"> CITATION Coh13 \l 2057 </w:instrText>
          </w:r>
          <w:r w:rsidR="00DB1BAD" w:rsidRPr="005621FA">
            <w:rPr>
              <w:rFonts w:cs="Arial"/>
              <w:color w:val="000000" w:themeColor="text1"/>
            </w:rPr>
            <w:fldChar w:fldCharType="separate"/>
          </w:r>
          <w:r w:rsidR="00DB1BAD" w:rsidRPr="005621FA">
            <w:rPr>
              <w:rFonts w:cs="Arial"/>
              <w:noProof/>
              <w:color w:val="000000" w:themeColor="text1"/>
            </w:rPr>
            <w:t>(Cohen &amp; Manion, 2013)</w:t>
          </w:r>
          <w:r w:rsidR="00DB1BAD" w:rsidRPr="005621FA">
            <w:rPr>
              <w:rFonts w:cs="Arial"/>
              <w:color w:val="000000" w:themeColor="text1"/>
            </w:rPr>
            <w:fldChar w:fldCharType="end"/>
          </w:r>
        </w:sdtContent>
      </w:sdt>
      <w:r w:rsidR="00DB1BAD" w:rsidRPr="005621FA">
        <w:rPr>
          <w:rFonts w:cs="Arial"/>
          <w:color w:val="000000" w:themeColor="text1"/>
        </w:rPr>
        <w:t xml:space="preserve">. </w:t>
      </w:r>
      <w:r w:rsidR="009176F5" w:rsidRPr="005621FA">
        <w:rPr>
          <w:rFonts w:cs="Arial"/>
          <w:color w:val="000000" w:themeColor="text1"/>
        </w:rPr>
        <w:t>Such a pilot study could assist in assessing the comprehensibility of the questions asked by the researcher, helping to recognise any necessary adjustments</w:t>
      </w:r>
      <w:r w:rsidR="00576659">
        <w:rPr>
          <w:rFonts w:cs="Arial"/>
          <w:color w:val="000000" w:themeColor="text1"/>
        </w:rPr>
        <w:t xml:space="preserve"> (Thomas, 2017)</w:t>
      </w:r>
      <w:r w:rsidR="009176F5" w:rsidRPr="005621FA">
        <w:rPr>
          <w:rFonts w:cs="Arial"/>
          <w:color w:val="000000" w:themeColor="text1"/>
        </w:rPr>
        <w:t>.</w:t>
      </w:r>
    </w:p>
    <w:p w14:paraId="31E5DE37" w14:textId="77777777" w:rsidR="009176F5" w:rsidRPr="005621FA" w:rsidRDefault="009176F5" w:rsidP="005621FA">
      <w:pPr>
        <w:pStyle w:val="AssignBody"/>
        <w:rPr>
          <w:rFonts w:cs="Arial"/>
          <w:color w:val="000000" w:themeColor="text1"/>
        </w:rPr>
      </w:pPr>
    </w:p>
    <w:p w14:paraId="745F5DE0" w14:textId="50E71B4C" w:rsidR="00B90A72" w:rsidRPr="005621FA" w:rsidRDefault="0055142F" w:rsidP="005621FA">
      <w:pPr>
        <w:spacing w:line="360" w:lineRule="auto"/>
        <w:rPr>
          <w:rFonts w:ascii="Arial" w:hAnsi="Arial" w:cs="Arial"/>
          <w:color w:val="000000" w:themeColor="text1"/>
          <w:sz w:val="22"/>
          <w:szCs w:val="22"/>
        </w:rPr>
      </w:pPr>
      <w:r w:rsidRPr="005621FA">
        <w:rPr>
          <w:rFonts w:ascii="Arial" w:hAnsi="Arial" w:cs="Arial"/>
          <w:color w:val="000000" w:themeColor="text1"/>
          <w:sz w:val="22"/>
          <w:szCs w:val="22"/>
        </w:rPr>
        <w:t xml:space="preserve">The study was </w:t>
      </w:r>
      <w:r w:rsidR="009176F5" w:rsidRPr="005621FA">
        <w:rPr>
          <w:rFonts w:ascii="Arial" w:hAnsi="Arial" w:cs="Arial"/>
          <w:color w:val="000000" w:themeColor="text1"/>
          <w:sz w:val="22"/>
          <w:szCs w:val="22"/>
        </w:rPr>
        <w:t xml:space="preserve">further </w:t>
      </w:r>
      <w:r w:rsidRPr="005621FA">
        <w:rPr>
          <w:rFonts w:ascii="Arial" w:hAnsi="Arial" w:cs="Arial"/>
          <w:color w:val="000000" w:themeColor="text1"/>
          <w:sz w:val="22"/>
          <w:szCs w:val="22"/>
        </w:rPr>
        <w:t>limited by insufficient data gathered from the questionnaire</w:t>
      </w:r>
      <w:r w:rsidR="007E3E12" w:rsidRPr="005621FA">
        <w:rPr>
          <w:rFonts w:ascii="Arial" w:hAnsi="Arial" w:cs="Arial"/>
          <w:color w:val="000000" w:themeColor="text1"/>
          <w:sz w:val="22"/>
          <w:szCs w:val="22"/>
        </w:rPr>
        <w:t>, receiving only three responses</w:t>
      </w:r>
      <w:r w:rsidRPr="005621FA">
        <w:rPr>
          <w:rFonts w:ascii="Arial" w:hAnsi="Arial" w:cs="Arial"/>
          <w:color w:val="000000" w:themeColor="text1"/>
          <w:sz w:val="22"/>
          <w:szCs w:val="22"/>
        </w:rPr>
        <w:t xml:space="preserve">. </w:t>
      </w:r>
      <w:r w:rsidR="00A05978" w:rsidRPr="005621FA">
        <w:rPr>
          <w:rFonts w:ascii="Arial" w:hAnsi="Arial" w:cs="Arial"/>
          <w:color w:val="000000" w:themeColor="text1"/>
          <w:sz w:val="22"/>
          <w:szCs w:val="22"/>
        </w:rPr>
        <w:t>The anonymity of the questionnaire</w:t>
      </w:r>
      <w:r w:rsidR="00B90A72" w:rsidRPr="005621FA">
        <w:rPr>
          <w:rFonts w:ascii="Arial" w:hAnsi="Arial" w:cs="Arial"/>
          <w:color w:val="000000" w:themeColor="text1"/>
          <w:sz w:val="22"/>
          <w:szCs w:val="22"/>
        </w:rPr>
        <w:t xml:space="preserve"> may have led to this low response rate as staff were not compelled to answer </w:t>
      </w:r>
      <w:r w:rsidR="00DB1BAD" w:rsidRPr="005621FA">
        <w:rPr>
          <w:rFonts w:ascii="Arial" w:hAnsi="Arial" w:cs="Arial"/>
          <w:color w:val="000000" w:themeColor="text1"/>
          <w:sz w:val="22"/>
          <w:szCs w:val="22"/>
        </w:rPr>
        <w:t xml:space="preserve">(Denscombe, 2014). </w:t>
      </w:r>
      <w:r w:rsidR="00AF0CD2" w:rsidRPr="005621FA">
        <w:rPr>
          <w:rFonts w:ascii="Arial" w:hAnsi="Arial" w:cs="Arial"/>
          <w:color w:val="000000" w:themeColor="text1"/>
          <w:sz w:val="22"/>
          <w:szCs w:val="22"/>
        </w:rPr>
        <w:t xml:space="preserve">To improve </w:t>
      </w:r>
      <w:r w:rsidR="009176F5" w:rsidRPr="005621FA">
        <w:rPr>
          <w:rFonts w:ascii="Arial" w:hAnsi="Arial" w:cs="Arial"/>
          <w:color w:val="000000" w:themeColor="text1"/>
          <w:sz w:val="22"/>
          <w:szCs w:val="22"/>
        </w:rPr>
        <w:t>participation</w:t>
      </w:r>
      <w:r w:rsidR="00AF0CD2" w:rsidRPr="005621FA">
        <w:rPr>
          <w:rFonts w:ascii="Arial" w:hAnsi="Arial" w:cs="Arial"/>
          <w:color w:val="000000" w:themeColor="text1"/>
          <w:sz w:val="22"/>
          <w:szCs w:val="22"/>
        </w:rPr>
        <w:t xml:space="preserve"> in future studies, it may be worth considering the use of incentives to motivate participants to complete questionnaires, as suggested by Pucel (1971).</w:t>
      </w:r>
      <w:r w:rsidR="009733FB" w:rsidRPr="005621FA">
        <w:rPr>
          <w:rFonts w:ascii="Arial" w:hAnsi="Arial" w:cs="Arial"/>
          <w:sz w:val="22"/>
          <w:szCs w:val="22"/>
        </w:rPr>
        <w:t xml:space="preserve"> </w:t>
      </w:r>
      <w:r w:rsidR="009733FB" w:rsidRPr="005621FA">
        <w:rPr>
          <w:rFonts w:ascii="Arial" w:hAnsi="Arial" w:cs="Arial"/>
          <w:color w:val="000000" w:themeColor="text1"/>
          <w:sz w:val="22"/>
          <w:szCs w:val="22"/>
        </w:rPr>
        <w:t xml:space="preserve">a direct and polite email could be sent to staff members to emphasize the importance of their feedback in enhancing their teaching practice, alongside supporting the </w:t>
      </w:r>
      <w:r w:rsidR="005B487E" w:rsidRPr="005621FA">
        <w:rPr>
          <w:rFonts w:ascii="Arial" w:hAnsi="Arial" w:cs="Arial"/>
          <w:color w:val="000000" w:themeColor="text1"/>
          <w:sz w:val="22"/>
          <w:szCs w:val="22"/>
        </w:rPr>
        <w:t>researchers’</w:t>
      </w:r>
      <w:r w:rsidR="009733FB" w:rsidRPr="005621FA">
        <w:rPr>
          <w:rFonts w:ascii="Arial" w:hAnsi="Arial" w:cs="Arial"/>
          <w:color w:val="000000" w:themeColor="text1"/>
          <w:sz w:val="22"/>
          <w:szCs w:val="22"/>
        </w:rPr>
        <w:t xml:space="preserve"> study (Appendix 1</w:t>
      </w:r>
      <w:r w:rsidR="007D6413" w:rsidRPr="005621FA">
        <w:rPr>
          <w:rFonts w:ascii="Arial" w:hAnsi="Arial" w:cs="Arial"/>
          <w:color w:val="000000" w:themeColor="text1"/>
          <w:sz w:val="22"/>
          <w:szCs w:val="22"/>
        </w:rPr>
        <w:t>3</w:t>
      </w:r>
      <w:r w:rsidR="009733FB" w:rsidRPr="005621FA">
        <w:rPr>
          <w:rFonts w:ascii="Arial" w:hAnsi="Arial" w:cs="Arial"/>
          <w:color w:val="000000" w:themeColor="text1"/>
          <w:sz w:val="22"/>
          <w:szCs w:val="22"/>
        </w:rPr>
        <w:t>).</w:t>
      </w:r>
    </w:p>
    <w:p w14:paraId="4CF7738A" w14:textId="77777777" w:rsidR="005B487E" w:rsidRPr="005621FA" w:rsidRDefault="005B487E" w:rsidP="005621FA">
      <w:pPr>
        <w:spacing w:line="360" w:lineRule="auto"/>
        <w:rPr>
          <w:rFonts w:ascii="Arial" w:hAnsi="Arial" w:cs="Arial"/>
          <w:color w:val="000000" w:themeColor="text1"/>
          <w:sz w:val="22"/>
          <w:szCs w:val="22"/>
        </w:rPr>
      </w:pPr>
    </w:p>
    <w:p w14:paraId="1F36A204" w14:textId="37E4D95D" w:rsidR="00EF1613" w:rsidRPr="005621FA" w:rsidRDefault="00EF1613" w:rsidP="005621FA">
      <w:pPr>
        <w:spacing w:line="360" w:lineRule="auto"/>
        <w:rPr>
          <w:rFonts w:ascii="Arial" w:hAnsi="Arial" w:cs="Arial"/>
          <w:color w:val="000000" w:themeColor="text1"/>
          <w:sz w:val="22"/>
          <w:szCs w:val="22"/>
        </w:rPr>
      </w:pPr>
      <w:r w:rsidRPr="005621FA">
        <w:rPr>
          <w:rFonts w:ascii="Arial" w:hAnsi="Arial" w:cs="Arial"/>
          <w:color w:val="000000" w:themeColor="text1"/>
          <w:sz w:val="22"/>
          <w:szCs w:val="22"/>
        </w:rPr>
        <w:t xml:space="preserve">By exploring how learners are supported to become healthy, confident individuals through developing pupil independence, </w:t>
      </w:r>
      <w:r w:rsidR="002374B9" w:rsidRPr="005621FA">
        <w:rPr>
          <w:rFonts w:ascii="Arial" w:hAnsi="Arial" w:cs="Arial"/>
          <w:color w:val="000000" w:themeColor="text1"/>
          <w:sz w:val="22"/>
          <w:szCs w:val="22"/>
        </w:rPr>
        <w:t>this study</w:t>
      </w:r>
      <w:r w:rsidR="00F0413D" w:rsidRPr="005621FA">
        <w:rPr>
          <w:rFonts w:ascii="Arial" w:hAnsi="Arial" w:cs="Arial"/>
          <w:color w:val="000000" w:themeColor="text1"/>
          <w:sz w:val="22"/>
          <w:szCs w:val="22"/>
        </w:rPr>
        <w:t xml:space="preserve"> contributed to the understanding o</w:t>
      </w:r>
      <w:r w:rsidR="00E84E1F" w:rsidRPr="005621FA">
        <w:rPr>
          <w:rFonts w:ascii="Arial" w:hAnsi="Arial" w:cs="Arial"/>
          <w:color w:val="000000" w:themeColor="text1"/>
          <w:sz w:val="22"/>
          <w:szCs w:val="22"/>
        </w:rPr>
        <w:t>f</w:t>
      </w:r>
      <w:r w:rsidR="00F0413D" w:rsidRPr="005621FA">
        <w:rPr>
          <w:rFonts w:ascii="Arial" w:hAnsi="Arial" w:cs="Arial"/>
          <w:color w:val="000000" w:themeColor="text1"/>
          <w:sz w:val="22"/>
          <w:szCs w:val="22"/>
        </w:rPr>
        <w:t xml:space="preserve"> the crucial role </w:t>
      </w:r>
      <w:r w:rsidR="00E84E1F" w:rsidRPr="005621FA">
        <w:rPr>
          <w:rFonts w:ascii="Arial" w:hAnsi="Arial" w:cs="Arial"/>
          <w:color w:val="000000" w:themeColor="text1"/>
          <w:sz w:val="22"/>
          <w:szCs w:val="22"/>
        </w:rPr>
        <w:t>pupil independence has in promoting</w:t>
      </w:r>
      <w:r w:rsidR="00FC0B65" w:rsidRPr="005621FA">
        <w:rPr>
          <w:rFonts w:ascii="Arial" w:hAnsi="Arial" w:cs="Arial"/>
          <w:color w:val="000000" w:themeColor="text1"/>
          <w:sz w:val="22"/>
          <w:szCs w:val="22"/>
        </w:rPr>
        <w:t xml:space="preserve"> </w:t>
      </w:r>
      <w:r w:rsidR="00662EA5" w:rsidRPr="005621FA">
        <w:rPr>
          <w:rFonts w:ascii="Arial" w:hAnsi="Arial" w:cs="Arial"/>
          <w:color w:val="000000" w:themeColor="text1"/>
          <w:sz w:val="22"/>
          <w:szCs w:val="22"/>
        </w:rPr>
        <w:t>learners’</w:t>
      </w:r>
      <w:r w:rsidR="00FC0B65" w:rsidRPr="005621FA">
        <w:rPr>
          <w:rFonts w:ascii="Arial" w:hAnsi="Arial" w:cs="Arial"/>
          <w:color w:val="000000" w:themeColor="text1"/>
          <w:sz w:val="22"/>
          <w:szCs w:val="22"/>
        </w:rPr>
        <w:t xml:space="preserve"> confidence and </w:t>
      </w:r>
      <w:r w:rsidR="00BB389B" w:rsidRPr="005621FA">
        <w:rPr>
          <w:rFonts w:ascii="Arial" w:hAnsi="Arial" w:cs="Arial"/>
          <w:color w:val="000000" w:themeColor="text1"/>
          <w:sz w:val="22"/>
          <w:szCs w:val="22"/>
        </w:rPr>
        <w:t xml:space="preserve">overall </w:t>
      </w:r>
      <w:r w:rsidR="00FC0B65" w:rsidRPr="005621FA">
        <w:rPr>
          <w:rFonts w:ascii="Arial" w:hAnsi="Arial" w:cs="Arial"/>
          <w:color w:val="000000" w:themeColor="text1"/>
          <w:sz w:val="22"/>
          <w:szCs w:val="22"/>
        </w:rPr>
        <w:t xml:space="preserve">well-being </w:t>
      </w:r>
      <w:r w:rsidR="00DC5013" w:rsidRPr="005621FA">
        <w:rPr>
          <w:rFonts w:ascii="Arial" w:hAnsi="Arial" w:cs="Arial"/>
          <w:color w:val="000000" w:themeColor="text1"/>
          <w:sz w:val="22"/>
          <w:szCs w:val="22"/>
        </w:rPr>
        <w:t>(</w:t>
      </w:r>
      <w:r w:rsidR="00E451C2" w:rsidRPr="005621FA">
        <w:rPr>
          <w:rFonts w:ascii="Arial" w:hAnsi="Arial" w:cs="Arial"/>
          <w:color w:val="000000" w:themeColor="text1"/>
          <w:sz w:val="22"/>
          <w:szCs w:val="22"/>
        </w:rPr>
        <w:t>Dewey, 1938; Vygotsky, 1978; William &amp; Black, 2006</w:t>
      </w:r>
      <w:r w:rsidR="00255B22" w:rsidRPr="005621FA">
        <w:rPr>
          <w:rFonts w:ascii="Arial" w:hAnsi="Arial" w:cs="Arial"/>
          <w:color w:val="000000" w:themeColor="text1"/>
          <w:sz w:val="22"/>
          <w:szCs w:val="22"/>
        </w:rPr>
        <w:t xml:space="preserve">; Anstee, 2015; Dweck, 2017; </w:t>
      </w:r>
      <w:r w:rsidR="00DC5013" w:rsidRPr="005621FA">
        <w:rPr>
          <w:rFonts w:ascii="Arial" w:hAnsi="Arial" w:cs="Arial"/>
          <w:color w:val="000000" w:themeColor="text1"/>
          <w:sz w:val="22"/>
          <w:szCs w:val="22"/>
        </w:rPr>
        <w:t>Education Endowment Foundation, 2022).</w:t>
      </w:r>
    </w:p>
    <w:p w14:paraId="1D8A2D1C" w14:textId="77777777" w:rsidR="00EF1613" w:rsidRPr="005621FA" w:rsidRDefault="00EF1613" w:rsidP="005621FA">
      <w:pPr>
        <w:spacing w:line="360" w:lineRule="auto"/>
        <w:rPr>
          <w:rFonts w:ascii="Arial" w:hAnsi="Arial" w:cs="Arial"/>
          <w:color w:val="000000" w:themeColor="text1"/>
          <w:sz w:val="22"/>
          <w:szCs w:val="22"/>
        </w:rPr>
      </w:pPr>
    </w:p>
    <w:p w14:paraId="07CD8E60" w14:textId="4AA12FD2" w:rsidR="00226422" w:rsidRPr="005621FA" w:rsidRDefault="00226422" w:rsidP="005621FA">
      <w:pPr>
        <w:spacing w:line="360" w:lineRule="auto"/>
        <w:rPr>
          <w:rFonts w:ascii="Arial" w:hAnsi="Arial" w:cs="Arial"/>
          <w:color w:val="000000" w:themeColor="text1"/>
          <w:sz w:val="22"/>
          <w:szCs w:val="22"/>
        </w:rPr>
      </w:pPr>
      <w:r w:rsidRPr="005621FA">
        <w:rPr>
          <w:rFonts w:ascii="Arial" w:hAnsi="Arial" w:cs="Arial"/>
          <w:color w:val="000000" w:themeColor="text1"/>
          <w:sz w:val="22"/>
          <w:szCs w:val="22"/>
        </w:rPr>
        <w:t xml:space="preserve">In light of the research findings, the gap identified in literature regarding the direct relationship between developing pupil independence and supporting learners in becoming healthy, confident </w:t>
      </w:r>
      <w:r w:rsidR="00A80F7E" w:rsidRPr="005621FA">
        <w:rPr>
          <w:rFonts w:ascii="Arial" w:hAnsi="Arial" w:cs="Arial"/>
          <w:color w:val="000000" w:themeColor="text1"/>
          <w:sz w:val="22"/>
          <w:szCs w:val="22"/>
        </w:rPr>
        <w:t>indiv</w:t>
      </w:r>
      <w:r w:rsidR="00BB389B" w:rsidRPr="005621FA">
        <w:rPr>
          <w:rFonts w:ascii="Arial" w:hAnsi="Arial" w:cs="Arial"/>
          <w:color w:val="000000" w:themeColor="text1"/>
          <w:sz w:val="22"/>
          <w:szCs w:val="22"/>
        </w:rPr>
        <w:t>iduals</w:t>
      </w:r>
      <w:r w:rsidR="00A80F7E" w:rsidRPr="005621FA">
        <w:rPr>
          <w:rFonts w:ascii="Arial" w:hAnsi="Arial" w:cs="Arial"/>
          <w:color w:val="000000" w:themeColor="text1"/>
          <w:sz w:val="22"/>
          <w:szCs w:val="22"/>
        </w:rPr>
        <w:t xml:space="preserve"> in line with the Four Purposes </w:t>
      </w:r>
      <w:r w:rsidRPr="005621FA">
        <w:rPr>
          <w:rFonts w:ascii="Arial" w:hAnsi="Arial" w:cs="Arial"/>
          <w:color w:val="000000" w:themeColor="text1"/>
          <w:sz w:val="22"/>
          <w:szCs w:val="22"/>
        </w:rPr>
        <w:t xml:space="preserve">is still apparent. While it was widely acknowledged that pupil independence is an important aspect of learning and </w:t>
      </w:r>
      <w:r w:rsidRPr="005621FA">
        <w:rPr>
          <w:rFonts w:ascii="Arial" w:hAnsi="Arial" w:cs="Arial"/>
          <w:color w:val="000000" w:themeColor="text1"/>
          <w:sz w:val="22"/>
          <w:szCs w:val="22"/>
        </w:rPr>
        <w:lastRenderedPageBreak/>
        <w:t xml:space="preserve">developed in many ways (Appendix 12), there was no clear evidence demonstrating how it directly supported learners in becoming healthy, confident individuals. It was evident during the interviews that learners had limited knowledge on the Four Purposes (Appendix 3). The questionnaire findings concurred this as staff unanimously noted that they are not confident that the Four Purposes are understood by pupils (Appendix </w:t>
      </w:r>
      <w:r w:rsidR="007D6413" w:rsidRPr="005621FA">
        <w:rPr>
          <w:rFonts w:ascii="Arial" w:hAnsi="Arial" w:cs="Arial"/>
          <w:color w:val="000000" w:themeColor="text1"/>
          <w:sz w:val="22"/>
          <w:szCs w:val="22"/>
        </w:rPr>
        <w:t>6</w:t>
      </w:r>
      <w:r w:rsidRPr="005621FA">
        <w:rPr>
          <w:rFonts w:ascii="Arial" w:hAnsi="Arial" w:cs="Arial"/>
          <w:color w:val="000000" w:themeColor="text1"/>
          <w:sz w:val="22"/>
          <w:szCs w:val="22"/>
        </w:rPr>
        <w:t xml:space="preserve">). A possible intervention has been devised with the objective of enhancing learner development by fostering a deeper comprehension of the Four Purposes (Appendix 8). The proposed intervention is aimed at empowering learners to take greater control of their own learning, thereby promoting not only </w:t>
      </w:r>
      <w:r w:rsidR="00D2655A" w:rsidRPr="005621FA">
        <w:rPr>
          <w:rFonts w:ascii="Arial" w:hAnsi="Arial" w:cs="Arial"/>
          <w:color w:val="000000" w:themeColor="text1"/>
          <w:sz w:val="22"/>
          <w:szCs w:val="22"/>
        </w:rPr>
        <w:t>pupil independence</w:t>
      </w:r>
      <w:r w:rsidRPr="005621FA">
        <w:rPr>
          <w:rFonts w:ascii="Arial" w:hAnsi="Arial" w:cs="Arial"/>
          <w:color w:val="000000" w:themeColor="text1"/>
          <w:sz w:val="22"/>
          <w:szCs w:val="22"/>
        </w:rPr>
        <w:t>, but adopt</w:t>
      </w:r>
      <w:r w:rsidR="0004593E">
        <w:rPr>
          <w:rFonts w:ascii="Arial" w:hAnsi="Arial" w:cs="Arial"/>
          <w:color w:val="000000" w:themeColor="text1"/>
          <w:sz w:val="22"/>
          <w:szCs w:val="22"/>
        </w:rPr>
        <w:t>ing</w:t>
      </w:r>
      <w:r w:rsidRPr="005621FA">
        <w:rPr>
          <w:rFonts w:ascii="Arial" w:hAnsi="Arial" w:cs="Arial"/>
          <w:color w:val="000000" w:themeColor="text1"/>
          <w:sz w:val="22"/>
          <w:szCs w:val="22"/>
        </w:rPr>
        <w:t xml:space="preserve"> a broader perspective on education and pedagogy to facilitate learners' holistic development. </w:t>
      </w:r>
    </w:p>
    <w:p w14:paraId="0E7F7D63" w14:textId="4BFA07CB" w:rsidR="00FD44D2" w:rsidRPr="005621FA" w:rsidRDefault="00FD44D2" w:rsidP="005621FA">
      <w:pPr>
        <w:spacing w:line="360" w:lineRule="auto"/>
        <w:rPr>
          <w:rFonts w:ascii="Arial" w:hAnsi="Arial" w:cs="Arial"/>
          <w:color w:val="000000" w:themeColor="text1"/>
          <w:sz w:val="22"/>
          <w:szCs w:val="22"/>
        </w:rPr>
      </w:pPr>
    </w:p>
    <w:p w14:paraId="2EDB5BF3" w14:textId="5069EBC9" w:rsidR="00CA599D" w:rsidRPr="005621FA" w:rsidRDefault="00C63B20" w:rsidP="005621FA">
      <w:pPr>
        <w:spacing w:line="360" w:lineRule="auto"/>
        <w:rPr>
          <w:rFonts w:ascii="Arial" w:hAnsi="Arial" w:cs="Arial"/>
          <w:sz w:val="22"/>
          <w:szCs w:val="22"/>
        </w:rPr>
      </w:pPr>
      <w:r w:rsidRPr="005621FA">
        <w:rPr>
          <w:rFonts w:ascii="Arial" w:hAnsi="Arial" w:cs="Arial"/>
          <w:color w:val="000000" w:themeColor="text1"/>
          <w:sz w:val="22"/>
          <w:szCs w:val="22"/>
        </w:rPr>
        <w:t>Through the application and evaluation of various research tools</w:t>
      </w:r>
      <w:r w:rsidR="0051144F" w:rsidRPr="005621FA">
        <w:rPr>
          <w:rFonts w:ascii="Arial" w:hAnsi="Arial" w:cs="Arial"/>
          <w:color w:val="000000" w:themeColor="text1"/>
          <w:sz w:val="22"/>
          <w:szCs w:val="22"/>
        </w:rPr>
        <w:t xml:space="preserve">, </w:t>
      </w:r>
      <w:r w:rsidR="001D583E" w:rsidRPr="005621FA">
        <w:rPr>
          <w:rFonts w:ascii="Arial" w:hAnsi="Arial" w:cs="Arial"/>
          <w:color w:val="000000" w:themeColor="text1"/>
          <w:sz w:val="22"/>
          <w:szCs w:val="22"/>
        </w:rPr>
        <w:t>recognition</w:t>
      </w:r>
      <w:r w:rsidR="002C38C2" w:rsidRPr="005621FA">
        <w:rPr>
          <w:rFonts w:ascii="Arial" w:hAnsi="Arial" w:cs="Arial"/>
          <w:color w:val="000000" w:themeColor="text1"/>
          <w:sz w:val="22"/>
          <w:szCs w:val="22"/>
        </w:rPr>
        <w:t xml:space="preserve"> was shown towards the dispositions </w:t>
      </w:r>
      <w:r w:rsidR="001D583E" w:rsidRPr="005621FA">
        <w:rPr>
          <w:rFonts w:ascii="Arial" w:hAnsi="Arial" w:cs="Arial"/>
          <w:color w:val="000000" w:themeColor="text1"/>
          <w:sz w:val="22"/>
          <w:szCs w:val="22"/>
        </w:rPr>
        <w:t xml:space="preserve">of being an ethical and skilled </w:t>
      </w:r>
      <w:r w:rsidR="00BD6F88" w:rsidRPr="005621FA">
        <w:rPr>
          <w:rFonts w:ascii="Arial" w:hAnsi="Arial" w:cs="Arial"/>
          <w:color w:val="000000" w:themeColor="text1"/>
          <w:sz w:val="22"/>
          <w:szCs w:val="22"/>
        </w:rPr>
        <w:t xml:space="preserve">researcher </w:t>
      </w:r>
      <w:r w:rsidR="00BD6F88" w:rsidRPr="005621FA">
        <w:rPr>
          <w:rFonts w:ascii="Arial" w:hAnsi="Arial" w:cs="Arial"/>
          <w:sz w:val="22"/>
          <w:szCs w:val="22"/>
        </w:rPr>
        <w:t>(</w:t>
      </w:r>
      <w:r w:rsidR="006C25AB" w:rsidRPr="005621FA">
        <w:rPr>
          <w:rFonts w:ascii="Arial" w:hAnsi="Arial" w:cs="Arial"/>
          <w:sz w:val="22"/>
          <w:szCs w:val="22"/>
        </w:rPr>
        <w:t xml:space="preserve">UWTSD, 2022). </w:t>
      </w:r>
      <w:r w:rsidR="00347A8B" w:rsidRPr="005621FA">
        <w:rPr>
          <w:rFonts w:ascii="Arial" w:hAnsi="Arial" w:cs="Arial"/>
          <w:sz w:val="22"/>
          <w:szCs w:val="22"/>
        </w:rPr>
        <w:t>Reflecting</w:t>
      </w:r>
      <w:r w:rsidR="00687A5D" w:rsidRPr="005621FA">
        <w:rPr>
          <w:rFonts w:ascii="Arial" w:hAnsi="Arial" w:cs="Arial"/>
          <w:sz w:val="22"/>
          <w:szCs w:val="22"/>
        </w:rPr>
        <w:t xml:space="preserve"> </w:t>
      </w:r>
      <w:r w:rsidR="00347A8B">
        <w:rPr>
          <w:rFonts w:ascii="Arial" w:hAnsi="Arial" w:cs="Arial"/>
          <w:sz w:val="22"/>
          <w:szCs w:val="22"/>
        </w:rPr>
        <w:t xml:space="preserve">on </w:t>
      </w:r>
      <w:r w:rsidR="00687A5D" w:rsidRPr="005621FA">
        <w:rPr>
          <w:rFonts w:ascii="Arial" w:hAnsi="Arial" w:cs="Arial"/>
          <w:sz w:val="22"/>
          <w:szCs w:val="22"/>
        </w:rPr>
        <w:t xml:space="preserve">the ethical frameworks and implications of the research was paramount </w:t>
      </w:r>
      <w:r w:rsidR="00483ED5" w:rsidRPr="005621FA">
        <w:rPr>
          <w:rFonts w:ascii="Arial" w:hAnsi="Arial" w:cs="Arial"/>
          <w:sz w:val="22"/>
          <w:szCs w:val="22"/>
        </w:rPr>
        <w:t>to</w:t>
      </w:r>
      <w:r w:rsidR="00687A5D" w:rsidRPr="005621FA">
        <w:rPr>
          <w:rFonts w:ascii="Arial" w:hAnsi="Arial" w:cs="Arial"/>
          <w:sz w:val="22"/>
          <w:szCs w:val="22"/>
        </w:rPr>
        <w:t xml:space="preserve"> foster professional </w:t>
      </w:r>
      <w:r w:rsidR="00121DEA" w:rsidRPr="005621FA">
        <w:rPr>
          <w:rFonts w:ascii="Arial" w:hAnsi="Arial" w:cs="Arial"/>
          <w:sz w:val="22"/>
          <w:szCs w:val="22"/>
        </w:rPr>
        <w:t xml:space="preserve">and pedagogical </w:t>
      </w:r>
      <w:r w:rsidR="00687A5D" w:rsidRPr="005621FA">
        <w:rPr>
          <w:rFonts w:ascii="Arial" w:hAnsi="Arial" w:cs="Arial"/>
          <w:sz w:val="22"/>
          <w:szCs w:val="22"/>
        </w:rPr>
        <w:t>development</w:t>
      </w:r>
      <w:r w:rsidR="00DD1DDC" w:rsidRPr="005621FA">
        <w:rPr>
          <w:rFonts w:ascii="Arial" w:hAnsi="Arial" w:cs="Arial"/>
          <w:sz w:val="22"/>
          <w:szCs w:val="22"/>
        </w:rPr>
        <w:t xml:space="preserve"> and to gain a deeper understanding of the complexities involved in conducting research, particularly within the context of educat</w:t>
      </w:r>
      <w:r w:rsidR="00B57B45" w:rsidRPr="005621FA">
        <w:rPr>
          <w:rFonts w:ascii="Arial" w:hAnsi="Arial" w:cs="Arial"/>
          <w:sz w:val="22"/>
          <w:szCs w:val="22"/>
        </w:rPr>
        <w:t>ion (</w:t>
      </w:r>
      <w:r w:rsidR="003664F7" w:rsidRPr="003664F7">
        <w:rPr>
          <w:rFonts w:ascii="Arial" w:hAnsi="Arial" w:cs="Arial"/>
          <w:sz w:val="22"/>
          <w:szCs w:val="22"/>
        </w:rPr>
        <w:t>McNiff, 2012</w:t>
      </w:r>
      <w:r w:rsidR="003664F7">
        <w:rPr>
          <w:rFonts w:ascii="Arial" w:hAnsi="Arial" w:cs="Arial"/>
          <w:sz w:val="22"/>
          <w:szCs w:val="22"/>
        </w:rPr>
        <w:t xml:space="preserve">; </w:t>
      </w:r>
      <w:r w:rsidR="0008009E" w:rsidRPr="005621FA">
        <w:rPr>
          <w:rFonts w:ascii="Arial" w:hAnsi="Arial" w:cs="Arial"/>
          <w:sz w:val="22"/>
          <w:szCs w:val="22"/>
        </w:rPr>
        <w:t>Cohen &amp; Manion, 201</w:t>
      </w:r>
      <w:r w:rsidR="003664F7">
        <w:rPr>
          <w:rFonts w:ascii="Arial" w:hAnsi="Arial" w:cs="Arial"/>
          <w:sz w:val="22"/>
          <w:szCs w:val="22"/>
        </w:rPr>
        <w:t>3</w:t>
      </w:r>
      <w:r w:rsidR="0008009E" w:rsidRPr="005621FA">
        <w:rPr>
          <w:rFonts w:ascii="Arial" w:hAnsi="Arial" w:cs="Arial"/>
          <w:sz w:val="22"/>
          <w:szCs w:val="22"/>
        </w:rPr>
        <w:t>;</w:t>
      </w:r>
      <w:r w:rsidR="004E630B" w:rsidRPr="005621FA">
        <w:rPr>
          <w:rFonts w:ascii="Arial" w:hAnsi="Arial" w:cs="Arial"/>
          <w:sz w:val="22"/>
          <w:szCs w:val="22"/>
        </w:rPr>
        <w:t xml:space="preserve"> </w:t>
      </w:r>
      <w:r w:rsidR="00B57B45" w:rsidRPr="005621FA">
        <w:rPr>
          <w:rFonts w:ascii="Arial" w:hAnsi="Arial" w:cs="Arial"/>
          <w:sz w:val="22"/>
          <w:szCs w:val="22"/>
        </w:rPr>
        <w:t xml:space="preserve">Denscombe, 2014; </w:t>
      </w:r>
      <w:r w:rsidR="004E630B" w:rsidRPr="005621FA">
        <w:rPr>
          <w:rFonts w:ascii="Arial" w:hAnsi="Arial" w:cs="Arial"/>
          <w:sz w:val="22"/>
          <w:szCs w:val="22"/>
        </w:rPr>
        <w:t xml:space="preserve">Bell &amp; </w:t>
      </w:r>
      <w:r w:rsidR="00B57B45" w:rsidRPr="005621FA">
        <w:rPr>
          <w:rFonts w:ascii="Arial" w:hAnsi="Arial" w:cs="Arial"/>
          <w:sz w:val="22"/>
          <w:szCs w:val="22"/>
        </w:rPr>
        <w:t>Waters, 2018)</w:t>
      </w:r>
      <w:r w:rsidR="00800C4C" w:rsidRPr="005621FA">
        <w:rPr>
          <w:rFonts w:ascii="Arial" w:hAnsi="Arial" w:cs="Arial"/>
          <w:sz w:val="22"/>
          <w:szCs w:val="22"/>
        </w:rPr>
        <w:t>.</w:t>
      </w:r>
      <w:r w:rsidR="00347A8B">
        <w:rPr>
          <w:rFonts w:ascii="Arial" w:hAnsi="Arial" w:cs="Arial"/>
          <w:sz w:val="22"/>
          <w:szCs w:val="22"/>
        </w:rPr>
        <w:t xml:space="preserve"> </w:t>
      </w:r>
      <w:r w:rsidR="00E22B35">
        <w:rPr>
          <w:rFonts w:ascii="Arial" w:hAnsi="Arial" w:cs="Arial"/>
          <w:sz w:val="22"/>
          <w:szCs w:val="22"/>
        </w:rPr>
        <w:t xml:space="preserve">The field of </w:t>
      </w:r>
      <w:r w:rsidR="00B56A23">
        <w:rPr>
          <w:rFonts w:ascii="Arial" w:hAnsi="Arial" w:cs="Arial"/>
          <w:sz w:val="22"/>
          <w:szCs w:val="22"/>
        </w:rPr>
        <w:t>education</w:t>
      </w:r>
      <w:r w:rsidR="00E22B35">
        <w:rPr>
          <w:rFonts w:ascii="Arial" w:hAnsi="Arial" w:cs="Arial"/>
          <w:sz w:val="22"/>
          <w:szCs w:val="22"/>
        </w:rPr>
        <w:t xml:space="preserve"> is constantly </w:t>
      </w:r>
      <w:r w:rsidR="00B56A23">
        <w:rPr>
          <w:rFonts w:ascii="Arial" w:hAnsi="Arial" w:cs="Arial"/>
          <w:sz w:val="22"/>
          <w:szCs w:val="22"/>
        </w:rPr>
        <w:t xml:space="preserve">evolving </w:t>
      </w:r>
      <w:sdt>
        <w:sdtPr>
          <w:rPr>
            <w:rFonts w:ascii="Arial" w:hAnsi="Arial" w:cs="Arial"/>
            <w:sz w:val="22"/>
            <w:szCs w:val="22"/>
          </w:rPr>
          <w:id w:val="539247273"/>
          <w:citation/>
        </w:sdtPr>
        <w:sdtEndPr/>
        <w:sdtContent>
          <w:r w:rsidR="00A1012A">
            <w:rPr>
              <w:rFonts w:ascii="Arial" w:hAnsi="Arial" w:cs="Arial"/>
              <w:sz w:val="22"/>
              <w:szCs w:val="22"/>
            </w:rPr>
            <w:fldChar w:fldCharType="begin"/>
          </w:r>
          <w:r w:rsidR="00A1012A">
            <w:rPr>
              <w:rFonts w:ascii="Arial" w:hAnsi="Arial" w:cs="Arial"/>
              <w:sz w:val="22"/>
              <w:szCs w:val="22"/>
            </w:rPr>
            <w:instrText xml:space="preserve"> CITATION Bat19 \l 2057 </w:instrText>
          </w:r>
          <w:r w:rsidR="00A1012A">
            <w:rPr>
              <w:rFonts w:ascii="Arial" w:hAnsi="Arial" w:cs="Arial"/>
              <w:sz w:val="22"/>
              <w:szCs w:val="22"/>
            </w:rPr>
            <w:fldChar w:fldCharType="separate"/>
          </w:r>
          <w:r w:rsidR="00A1012A" w:rsidRPr="00A1012A">
            <w:rPr>
              <w:rFonts w:ascii="Arial" w:hAnsi="Arial" w:cs="Arial"/>
              <w:noProof/>
              <w:sz w:val="22"/>
              <w:szCs w:val="22"/>
            </w:rPr>
            <w:t>(Bates, 2019)</w:t>
          </w:r>
          <w:r w:rsidR="00A1012A">
            <w:rPr>
              <w:rFonts w:ascii="Arial" w:hAnsi="Arial" w:cs="Arial"/>
              <w:sz w:val="22"/>
              <w:szCs w:val="22"/>
            </w:rPr>
            <w:fldChar w:fldCharType="end"/>
          </w:r>
        </w:sdtContent>
      </w:sdt>
      <w:r w:rsidR="00A1012A">
        <w:rPr>
          <w:rFonts w:ascii="Arial" w:hAnsi="Arial" w:cs="Arial"/>
          <w:sz w:val="22"/>
          <w:szCs w:val="22"/>
        </w:rPr>
        <w:t xml:space="preserve">, </w:t>
      </w:r>
      <w:r w:rsidR="00FA23E5">
        <w:rPr>
          <w:rFonts w:ascii="Arial" w:hAnsi="Arial" w:cs="Arial"/>
          <w:sz w:val="22"/>
          <w:szCs w:val="22"/>
        </w:rPr>
        <w:t xml:space="preserve">and practitioners who are informed by research can strive to enhance </w:t>
      </w:r>
      <w:r w:rsidR="001A352C" w:rsidRPr="001A352C">
        <w:rPr>
          <w:rFonts w:ascii="Arial" w:hAnsi="Arial" w:cs="Arial"/>
          <w:sz w:val="22"/>
          <w:szCs w:val="22"/>
        </w:rPr>
        <w:t>their pedagogical practices in order to facilitate and promote learner progress.</w:t>
      </w:r>
    </w:p>
    <w:p w14:paraId="6D3EFA28" w14:textId="77777777" w:rsidR="00CA599D" w:rsidRPr="005621FA" w:rsidRDefault="00CA599D" w:rsidP="005621FA">
      <w:pPr>
        <w:spacing w:line="360" w:lineRule="auto"/>
        <w:rPr>
          <w:rFonts w:ascii="Arial" w:hAnsi="Arial" w:cs="Arial"/>
          <w:sz w:val="22"/>
          <w:szCs w:val="22"/>
        </w:rPr>
      </w:pPr>
    </w:p>
    <w:p w14:paraId="395187A5" w14:textId="20723565" w:rsidR="00226422" w:rsidRDefault="00422FDC" w:rsidP="005621FA">
      <w:pPr>
        <w:spacing w:line="360" w:lineRule="auto"/>
        <w:rPr>
          <w:rFonts w:ascii="Arial" w:hAnsi="Arial" w:cs="Arial"/>
          <w:sz w:val="22"/>
          <w:szCs w:val="22"/>
        </w:rPr>
      </w:pPr>
      <w:r w:rsidRPr="005621FA">
        <w:rPr>
          <w:rFonts w:ascii="Arial" w:hAnsi="Arial" w:cs="Arial"/>
          <w:sz w:val="22"/>
          <w:szCs w:val="22"/>
        </w:rPr>
        <w:t xml:space="preserve">Ultimately, this </w:t>
      </w:r>
      <w:r w:rsidR="00882D74" w:rsidRPr="005621FA">
        <w:rPr>
          <w:rFonts w:ascii="Arial" w:hAnsi="Arial" w:cs="Arial"/>
          <w:sz w:val="22"/>
          <w:szCs w:val="22"/>
        </w:rPr>
        <w:t xml:space="preserve">research study </w:t>
      </w:r>
      <w:r w:rsidR="004B477E" w:rsidRPr="005621FA">
        <w:rPr>
          <w:rFonts w:ascii="Arial" w:hAnsi="Arial" w:cs="Arial"/>
          <w:sz w:val="22"/>
          <w:szCs w:val="22"/>
        </w:rPr>
        <w:t xml:space="preserve">contributed to the </w:t>
      </w:r>
      <w:r w:rsidR="000548C2" w:rsidRPr="005621FA">
        <w:rPr>
          <w:rFonts w:ascii="Arial" w:hAnsi="Arial" w:cs="Arial"/>
          <w:sz w:val="22"/>
          <w:szCs w:val="22"/>
        </w:rPr>
        <w:t>pedagogical understanding</w:t>
      </w:r>
      <w:r w:rsidR="00083817" w:rsidRPr="005621FA">
        <w:rPr>
          <w:rFonts w:ascii="Arial" w:hAnsi="Arial" w:cs="Arial"/>
          <w:sz w:val="22"/>
          <w:szCs w:val="22"/>
        </w:rPr>
        <w:t xml:space="preserve"> of pupil </w:t>
      </w:r>
      <w:r w:rsidR="00B2146F" w:rsidRPr="005621FA">
        <w:rPr>
          <w:rFonts w:ascii="Arial" w:hAnsi="Arial" w:cs="Arial"/>
          <w:sz w:val="22"/>
          <w:szCs w:val="22"/>
        </w:rPr>
        <w:t>independence</w:t>
      </w:r>
      <w:r w:rsidR="00807B58" w:rsidRPr="005621FA">
        <w:rPr>
          <w:rFonts w:ascii="Arial" w:hAnsi="Arial" w:cs="Arial"/>
          <w:sz w:val="22"/>
          <w:szCs w:val="22"/>
        </w:rPr>
        <w:t xml:space="preserve">. It has </w:t>
      </w:r>
      <w:r w:rsidR="00374359" w:rsidRPr="005621FA">
        <w:rPr>
          <w:rFonts w:ascii="Arial" w:hAnsi="Arial" w:cs="Arial"/>
          <w:sz w:val="22"/>
          <w:szCs w:val="22"/>
        </w:rPr>
        <w:t>provid</w:t>
      </w:r>
      <w:r w:rsidR="00807B58" w:rsidRPr="005621FA">
        <w:rPr>
          <w:rFonts w:ascii="Arial" w:hAnsi="Arial" w:cs="Arial"/>
          <w:sz w:val="22"/>
          <w:szCs w:val="22"/>
        </w:rPr>
        <w:t>ed</w:t>
      </w:r>
      <w:r w:rsidR="00374359" w:rsidRPr="005621FA">
        <w:rPr>
          <w:rFonts w:ascii="Arial" w:hAnsi="Arial" w:cs="Arial"/>
          <w:sz w:val="22"/>
          <w:szCs w:val="22"/>
        </w:rPr>
        <w:t xml:space="preserve"> </w:t>
      </w:r>
      <w:r w:rsidR="002741AF" w:rsidRPr="005621FA">
        <w:rPr>
          <w:rFonts w:ascii="Arial" w:hAnsi="Arial" w:cs="Arial"/>
          <w:sz w:val="22"/>
          <w:szCs w:val="22"/>
        </w:rPr>
        <w:t xml:space="preserve">a </w:t>
      </w:r>
      <w:r w:rsidR="00374359" w:rsidRPr="005621FA">
        <w:rPr>
          <w:rFonts w:ascii="Arial" w:hAnsi="Arial" w:cs="Arial"/>
          <w:sz w:val="22"/>
          <w:szCs w:val="22"/>
        </w:rPr>
        <w:t xml:space="preserve">strong </w:t>
      </w:r>
      <w:r w:rsidR="00AF4B75" w:rsidRPr="005621FA">
        <w:rPr>
          <w:rFonts w:ascii="Arial" w:hAnsi="Arial" w:cs="Arial"/>
          <w:sz w:val="22"/>
          <w:szCs w:val="22"/>
        </w:rPr>
        <w:t>implication to practice</w:t>
      </w:r>
      <w:r w:rsidR="002741AF" w:rsidRPr="005621FA">
        <w:rPr>
          <w:rFonts w:ascii="Arial" w:hAnsi="Arial" w:cs="Arial"/>
          <w:sz w:val="22"/>
          <w:szCs w:val="22"/>
        </w:rPr>
        <w:t xml:space="preserve"> for further exploration into </w:t>
      </w:r>
      <w:r w:rsidR="00083817" w:rsidRPr="005621FA">
        <w:rPr>
          <w:rFonts w:ascii="Arial" w:hAnsi="Arial" w:cs="Arial"/>
          <w:sz w:val="22"/>
          <w:szCs w:val="22"/>
        </w:rPr>
        <w:t>how</w:t>
      </w:r>
      <w:r w:rsidR="006C0203" w:rsidRPr="005621FA">
        <w:rPr>
          <w:rFonts w:ascii="Arial" w:hAnsi="Arial" w:cs="Arial"/>
          <w:sz w:val="22"/>
          <w:szCs w:val="22"/>
        </w:rPr>
        <w:t xml:space="preserve"> the Four Purposes can be seamlessly embedded into future teaching practice</w:t>
      </w:r>
      <w:r w:rsidR="00B159D3" w:rsidRPr="005621FA">
        <w:rPr>
          <w:rFonts w:ascii="Arial" w:hAnsi="Arial" w:cs="Arial"/>
          <w:sz w:val="22"/>
          <w:szCs w:val="22"/>
        </w:rPr>
        <w:t>, empowering learners to reach their full hol</w:t>
      </w:r>
      <w:r w:rsidR="00F66B99" w:rsidRPr="005621FA">
        <w:rPr>
          <w:rFonts w:ascii="Arial" w:hAnsi="Arial" w:cs="Arial"/>
          <w:sz w:val="22"/>
          <w:szCs w:val="22"/>
        </w:rPr>
        <w:t>isti</w:t>
      </w:r>
      <w:r w:rsidR="00B159D3" w:rsidRPr="005621FA">
        <w:rPr>
          <w:rFonts w:ascii="Arial" w:hAnsi="Arial" w:cs="Arial"/>
          <w:sz w:val="22"/>
          <w:szCs w:val="22"/>
        </w:rPr>
        <w:t>c potential.</w:t>
      </w:r>
    </w:p>
    <w:p w14:paraId="58772F98" w14:textId="6F69B421" w:rsidR="00FA23E5" w:rsidRDefault="00FA23E5" w:rsidP="005621FA">
      <w:pPr>
        <w:spacing w:line="360" w:lineRule="auto"/>
        <w:rPr>
          <w:rFonts w:ascii="Arial" w:hAnsi="Arial" w:cs="Arial"/>
          <w:sz w:val="22"/>
          <w:szCs w:val="22"/>
        </w:rPr>
      </w:pPr>
    </w:p>
    <w:p w14:paraId="453054FE" w14:textId="6A39699D" w:rsidR="00FA23E5" w:rsidRDefault="00FA23E5" w:rsidP="005621FA">
      <w:pPr>
        <w:spacing w:line="360" w:lineRule="auto"/>
        <w:rPr>
          <w:rFonts w:ascii="Arial" w:hAnsi="Arial" w:cs="Arial"/>
          <w:sz w:val="22"/>
          <w:szCs w:val="22"/>
        </w:rPr>
      </w:pPr>
    </w:p>
    <w:p w14:paraId="3795A7F8" w14:textId="01C292A4" w:rsidR="00FA23E5" w:rsidRDefault="00FA23E5" w:rsidP="00FA23E5">
      <w:pPr>
        <w:spacing w:line="360" w:lineRule="auto"/>
        <w:jc w:val="right"/>
        <w:rPr>
          <w:rFonts w:ascii="Arial" w:hAnsi="Arial" w:cs="Arial"/>
          <w:sz w:val="22"/>
          <w:szCs w:val="22"/>
        </w:rPr>
      </w:pPr>
      <w:r>
        <w:rPr>
          <w:rFonts w:ascii="Arial" w:hAnsi="Arial" w:cs="Arial"/>
          <w:sz w:val="22"/>
          <w:szCs w:val="22"/>
        </w:rPr>
        <w:t>Word Count: 4,92</w:t>
      </w:r>
      <w:r w:rsidR="00BC545D">
        <w:rPr>
          <w:rFonts w:ascii="Arial" w:hAnsi="Arial" w:cs="Arial"/>
          <w:sz w:val="22"/>
          <w:szCs w:val="22"/>
        </w:rPr>
        <w:t>6</w:t>
      </w:r>
      <w:r>
        <w:rPr>
          <w:rFonts w:ascii="Arial" w:hAnsi="Arial" w:cs="Arial"/>
          <w:sz w:val="22"/>
          <w:szCs w:val="22"/>
        </w:rPr>
        <w:t xml:space="preserve"> / 4,950</w:t>
      </w:r>
    </w:p>
    <w:p w14:paraId="10E4130B" w14:textId="356A3802" w:rsidR="00FA23E5" w:rsidRDefault="00FA23E5" w:rsidP="00FA23E5">
      <w:pPr>
        <w:spacing w:line="360" w:lineRule="auto"/>
        <w:rPr>
          <w:rFonts w:ascii="Arial" w:hAnsi="Arial" w:cs="Arial"/>
          <w:sz w:val="22"/>
          <w:szCs w:val="22"/>
        </w:rPr>
      </w:pPr>
    </w:p>
    <w:p w14:paraId="46F3835C" w14:textId="77777777" w:rsidR="00FA23E5" w:rsidRDefault="00FA23E5">
      <w:pPr>
        <w:rPr>
          <w:rFonts w:ascii="Arial" w:hAnsi="Arial" w:cs="Arial"/>
          <w:sz w:val="22"/>
          <w:szCs w:val="22"/>
        </w:rPr>
      </w:pPr>
      <w:r>
        <w:rPr>
          <w:rFonts w:ascii="Arial" w:hAnsi="Arial" w:cs="Arial"/>
          <w:sz w:val="22"/>
          <w:szCs w:val="22"/>
        </w:rPr>
        <w:br w:type="page"/>
      </w:r>
    </w:p>
    <w:p w14:paraId="4DC90FA6" w14:textId="087AEFC2" w:rsidR="00FA23E5" w:rsidRDefault="00FA23E5" w:rsidP="00FA23E5">
      <w:pPr>
        <w:spacing w:line="360" w:lineRule="auto"/>
        <w:jc w:val="center"/>
        <w:rPr>
          <w:rFonts w:ascii="Arial" w:hAnsi="Arial" w:cs="Arial"/>
          <w:sz w:val="22"/>
          <w:szCs w:val="22"/>
          <w:u w:val="single"/>
        </w:rPr>
      </w:pPr>
      <w:r w:rsidRPr="00FA23E5">
        <w:rPr>
          <w:rFonts w:ascii="Arial" w:hAnsi="Arial" w:cs="Arial"/>
          <w:sz w:val="22"/>
          <w:szCs w:val="22"/>
          <w:u w:val="single"/>
        </w:rPr>
        <w:lastRenderedPageBreak/>
        <w:t>Reference</w:t>
      </w:r>
      <w:r>
        <w:rPr>
          <w:rFonts w:ascii="Arial" w:hAnsi="Arial" w:cs="Arial"/>
          <w:sz w:val="22"/>
          <w:szCs w:val="22"/>
          <w:u w:val="single"/>
        </w:rPr>
        <w:t xml:space="preserve"> List</w:t>
      </w:r>
    </w:p>
    <w:p w14:paraId="6F4C87B7" w14:textId="7AF5C3DD" w:rsidR="00FA23E5" w:rsidRDefault="00FA23E5" w:rsidP="00FA23E5">
      <w:pPr>
        <w:spacing w:line="360" w:lineRule="auto"/>
        <w:rPr>
          <w:rFonts w:ascii="Arial" w:hAnsi="Arial" w:cs="Arial"/>
          <w:sz w:val="22"/>
          <w:szCs w:val="22"/>
          <w:u w:val="single"/>
        </w:rPr>
      </w:pPr>
    </w:p>
    <w:p w14:paraId="58C696D7"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Alderson, P. &amp; Morrow, V., (2011) </w:t>
      </w:r>
      <w:r w:rsidRPr="00B31CCD">
        <w:rPr>
          <w:rFonts w:ascii="Arial" w:hAnsi="Arial" w:cs="Arial"/>
          <w:i/>
          <w:iCs/>
          <w:sz w:val="22"/>
          <w:szCs w:val="22"/>
        </w:rPr>
        <w:t>The ethics of research with children and young people: a practical handbook.</w:t>
      </w:r>
      <w:r w:rsidRPr="006654A5">
        <w:rPr>
          <w:rFonts w:ascii="Arial" w:hAnsi="Arial" w:cs="Arial"/>
          <w:sz w:val="22"/>
          <w:szCs w:val="22"/>
        </w:rPr>
        <w:t xml:space="preserve"> 2nd Edition ed. London: Sage Publications.</w:t>
      </w:r>
    </w:p>
    <w:p w14:paraId="55959809" w14:textId="77777777" w:rsidR="006654A5" w:rsidRPr="006654A5" w:rsidRDefault="006654A5" w:rsidP="006654A5">
      <w:pPr>
        <w:spacing w:line="360" w:lineRule="auto"/>
        <w:rPr>
          <w:rFonts w:ascii="Arial" w:hAnsi="Arial" w:cs="Arial"/>
          <w:sz w:val="22"/>
          <w:szCs w:val="22"/>
        </w:rPr>
      </w:pPr>
    </w:p>
    <w:p w14:paraId="66F67A9E"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Alderson, P. &amp; Morrow, V., (2011) </w:t>
      </w:r>
      <w:r w:rsidRPr="00BA7EB9">
        <w:rPr>
          <w:rFonts w:ascii="Arial" w:hAnsi="Arial" w:cs="Arial"/>
          <w:i/>
          <w:iCs/>
          <w:sz w:val="22"/>
          <w:szCs w:val="22"/>
        </w:rPr>
        <w:t>The Ethics of Research with Children and Young People: A Practical Handbook</w:t>
      </w:r>
      <w:r w:rsidRPr="006654A5">
        <w:rPr>
          <w:rFonts w:ascii="Arial" w:hAnsi="Arial" w:cs="Arial"/>
          <w:sz w:val="22"/>
          <w:szCs w:val="22"/>
        </w:rPr>
        <w:t>. London: Sage Publications Ltd.</w:t>
      </w:r>
    </w:p>
    <w:p w14:paraId="18CAE813" w14:textId="77777777" w:rsidR="006654A5" w:rsidRPr="006654A5" w:rsidRDefault="006654A5" w:rsidP="006654A5">
      <w:pPr>
        <w:spacing w:line="360" w:lineRule="auto"/>
        <w:rPr>
          <w:rFonts w:ascii="Arial" w:hAnsi="Arial" w:cs="Arial"/>
          <w:sz w:val="22"/>
          <w:szCs w:val="22"/>
        </w:rPr>
      </w:pPr>
    </w:p>
    <w:p w14:paraId="3B35F13A"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Alzahrani, F. &amp; Huang, J., (2020) </w:t>
      </w:r>
      <w:r w:rsidRPr="00BA7EB9">
        <w:rPr>
          <w:rFonts w:ascii="Arial" w:hAnsi="Arial" w:cs="Arial"/>
          <w:i/>
          <w:iCs/>
          <w:sz w:val="22"/>
          <w:szCs w:val="22"/>
        </w:rPr>
        <w:t>Teacher Time Crunch: Exploring the Factors Contributing to Teachers Feeling of Being Overworked</w:t>
      </w:r>
      <w:r w:rsidRPr="006654A5">
        <w:rPr>
          <w:rFonts w:ascii="Arial" w:hAnsi="Arial" w:cs="Arial"/>
          <w:sz w:val="22"/>
          <w:szCs w:val="22"/>
        </w:rPr>
        <w:t>. Journal of Educational Research and Practice, 10(2), pp. 147-148.</w:t>
      </w:r>
    </w:p>
    <w:p w14:paraId="1F740D1F" w14:textId="77777777" w:rsidR="006654A5" w:rsidRPr="006654A5" w:rsidRDefault="006654A5" w:rsidP="006654A5">
      <w:pPr>
        <w:spacing w:line="360" w:lineRule="auto"/>
        <w:rPr>
          <w:rFonts w:ascii="Arial" w:hAnsi="Arial" w:cs="Arial"/>
          <w:sz w:val="22"/>
          <w:szCs w:val="22"/>
        </w:rPr>
      </w:pPr>
    </w:p>
    <w:p w14:paraId="422829F1"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Anstee, P., (2015) </w:t>
      </w:r>
      <w:r w:rsidRPr="002A7C5C">
        <w:rPr>
          <w:rFonts w:ascii="Arial" w:hAnsi="Arial" w:cs="Arial"/>
          <w:i/>
          <w:iCs/>
          <w:sz w:val="22"/>
          <w:szCs w:val="22"/>
        </w:rPr>
        <w:t>Independent Learning Pocketbook</w:t>
      </w:r>
      <w:r w:rsidRPr="006654A5">
        <w:rPr>
          <w:rFonts w:ascii="Arial" w:hAnsi="Arial" w:cs="Arial"/>
          <w:sz w:val="22"/>
          <w:szCs w:val="22"/>
        </w:rPr>
        <w:t>. Hampshire: Teachers' Pocketbooks.</w:t>
      </w:r>
    </w:p>
    <w:p w14:paraId="19DDC790" w14:textId="77777777" w:rsidR="006654A5" w:rsidRPr="006654A5" w:rsidRDefault="006654A5" w:rsidP="006654A5">
      <w:pPr>
        <w:spacing w:line="360" w:lineRule="auto"/>
        <w:rPr>
          <w:rFonts w:ascii="Arial" w:hAnsi="Arial" w:cs="Arial"/>
          <w:sz w:val="22"/>
          <w:szCs w:val="22"/>
        </w:rPr>
      </w:pPr>
    </w:p>
    <w:p w14:paraId="6C3D9DF3"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Arthur, J., (2012) </w:t>
      </w:r>
      <w:r w:rsidRPr="002A7C5C">
        <w:rPr>
          <w:rFonts w:ascii="Arial" w:hAnsi="Arial" w:cs="Arial"/>
          <w:i/>
          <w:iCs/>
          <w:sz w:val="22"/>
          <w:szCs w:val="22"/>
        </w:rPr>
        <w:t>Research Methods and Methodologies in Education</w:t>
      </w:r>
      <w:r w:rsidRPr="006654A5">
        <w:rPr>
          <w:rFonts w:ascii="Arial" w:hAnsi="Arial" w:cs="Arial"/>
          <w:sz w:val="22"/>
          <w:szCs w:val="22"/>
        </w:rPr>
        <w:t>. London: Sage Publications Ltd.</w:t>
      </w:r>
    </w:p>
    <w:p w14:paraId="12E16DCA" w14:textId="77777777" w:rsidR="006654A5" w:rsidRPr="006654A5" w:rsidRDefault="006654A5" w:rsidP="006654A5">
      <w:pPr>
        <w:spacing w:line="360" w:lineRule="auto"/>
        <w:rPr>
          <w:rFonts w:ascii="Arial" w:hAnsi="Arial" w:cs="Arial"/>
          <w:sz w:val="22"/>
          <w:szCs w:val="22"/>
        </w:rPr>
      </w:pPr>
    </w:p>
    <w:p w14:paraId="6D3D9142"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Bandura, A., (1989) </w:t>
      </w:r>
      <w:r w:rsidRPr="002A7C5C">
        <w:rPr>
          <w:rFonts w:ascii="Arial" w:hAnsi="Arial" w:cs="Arial"/>
          <w:i/>
          <w:iCs/>
          <w:sz w:val="22"/>
          <w:szCs w:val="22"/>
        </w:rPr>
        <w:t>Social Cognitive Theory</w:t>
      </w:r>
      <w:r w:rsidRPr="006654A5">
        <w:rPr>
          <w:rFonts w:ascii="Arial" w:hAnsi="Arial" w:cs="Arial"/>
          <w:sz w:val="22"/>
          <w:szCs w:val="22"/>
        </w:rPr>
        <w:t>. In: R. Vasta, ed. Annals of Child Development VOL. 6. Six Theories of Child Development. Greenwich, CT: JAI Press, pp. 2-60.</w:t>
      </w:r>
    </w:p>
    <w:p w14:paraId="6DFA77A0" w14:textId="77777777" w:rsidR="006654A5" w:rsidRPr="006654A5" w:rsidRDefault="006654A5" w:rsidP="006654A5">
      <w:pPr>
        <w:spacing w:line="360" w:lineRule="auto"/>
        <w:rPr>
          <w:rFonts w:ascii="Arial" w:hAnsi="Arial" w:cs="Arial"/>
          <w:sz w:val="22"/>
          <w:szCs w:val="22"/>
        </w:rPr>
      </w:pPr>
    </w:p>
    <w:p w14:paraId="3CCC2FA2"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Bates, T., (2019) </w:t>
      </w:r>
      <w:r w:rsidRPr="002A7C5C">
        <w:rPr>
          <w:rFonts w:ascii="Arial" w:hAnsi="Arial" w:cs="Arial"/>
          <w:i/>
          <w:iCs/>
          <w:sz w:val="22"/>
          <w:szCs w:val="22"/>
        </w:rPr>
        <w:t>Teaching in a Digital Age: Guidelines for designing teaching</w:t>
      </w:r>
      <w:r w:rsidRPr="006654A5">
        <w:rPr>
          <w:rFonts w:ascii="Arial" w:hAnsi="Arial" w:cs="Arial"/>
          <w:sz w:val="22"/>
          <w:szCs w:val="22"/>
        </w:rPr>
        <w:t>. London: Sage Publications.</w:t>
      </w:r>
    </w:p>
    <w:p w14:paraId="004C3318" w14:textId="77777777" w:rsidR="006654A5" w:rsidRPr="006654A5" w:rsidRDefault="006654A5" w:rsidP="006654A5">
      <w:pPr>
        <w:spacing w:line="360" w:lineRule="auto"/>
        <w:rPr>
          <w:rFonts w:ascii="Arial" w:hAnsi="Arial" w:cs="Arial"/>
          <w:sz w:val="22"/>
          <w:szCs w:val="22"/>
        </w:rPr>
      </w:pPr>
    </w:p>
    <w:p w14:paraId="0650E003"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Baxter, P. &amp; Jack, S., (2015) </w:t>
      </w:r>
      <w:r w:rsidRPr="002A7C5C">
        <w:rPr>
          <w:rFonts w:ascii="Arial" w:hAnsi="Arial" w:cs="Arial"/>
          <w:i/>
          <w:iCs/>
          <w:sz w:val="22"/>
          <w:szCs w:val="22"/>
        </w:rPr>
        <w:t>Qualitative Case Study Methodology: Study Design and Implementation for Novice Researchers</w:t>
      </w:r>
      <w:r w:rsidRPr="006654A5">
        <w:rPr>
          <w:rFonts w:ascii="Arial" w:hAnsi="Arial" w:cs="Arial"/>
          <w:sz w:val="22"/>
          <w:szCs w:val="22"/>
        </w:rPr>
        <w:t>. The Qualitative Report, 13(4), p. 545.</w:t>
      </w:r>
    </w:p>
    <w:p w14:paraId="67AE80B8" w14:textId="77777777" w:rsidR="006654A5" w:rsidRPr="006654A5" w:rsidRDefault="006654A5" w:rsidP="006654A5">
      <w:pPr>
        <w:spacing w:line="360" w:lineRule="auto"/>
        <w:rPr>
          <w:rFonts w:ascii="Arial" w:hAnsi="Arial" w:cs="Arial"/>
          <w:sz w:val="22"/>
          <w:szCs w:val="22"/>
        </w:rPr>
      </w:pPr>
    </w:p>
    <w:p w14:paraId="2C8D12CF"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Bell, J. &amp; Waters, S., (2018) </w:t>
      </w:r>
      <w:r w:rsidRPr="002A7C5C">
        <w:rPr>
          <w:rFonts w:ascii="Arial" w:hAnsi="Arial" w:cs="Arial"/>
          <w:i/>
          <w:iCs/>
          <w:sz w:val="22"/>
          <w:szCs w:val="22"/>
        </w:rPr>
        <w:t>Doing Your Research Project: A guide for first time researchers</w:t>
      </w:r>
      <w:r w:rsidRPr="006654A5">
        <w:rPr>
          <w:rFonts w:ascii="Arial" w:hAnsi="Arial" w:cs="Arial"/>
          <w:sz w:val="22"/>
          <w:szCs w:val="22"/>
        </w:rPr>
        <w:t>. 7th ed. Maidenhead: Open University Press.</w:t>
      </w:r>
    </w:p>
    <w:p w14:paraId="3B175B7A" w14:textId="77777777" w:rsidR="006654A5" w:rsidRPr="006654A5" w:rsidRDefault="006654A5" w:rsidP="006654A5">
      <w:pPr>
        <w:spacing w:line="360" w:lineRule="auto"/>
        <w:rPr>
          <w:rFonts w:ascii="Arial" w:hAnsi="Arial" w:cs="Arial"/>
          <w:sz w:val="22"/>
          <w:szCs w:val="22"/>
        </w:rPr>
      </w:pPr>
    </w:p>
    <w:p w14:paraId="0A1D2DB7"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Benson, P., (2000) </w:t>
      </w:r>
      <w:r w:rsidRPr="002A7C5C">
        <w:rPr>
          <w:rFonts w:ascii="Arial" w:hAnsi="Arial" w:cs="Arial"/>
          <w:i/>
          <w:iCs/>
          <w:sz w:val="22"/>
          <w:szCs w:val="22"/>
        </w:rPr>
        <w:t>Autonomy as a learners' and teachers' right</w:t>
      </w:r>
      <w:r w:rsidRPr="006654A5">
        <w:rPr>
          <w:rFonts w:ascii="Arial" w:hAnsi="Arial" w:cs="Arial"/>
          <w:sz w:val="22"/>
          <w:szCs w:val="22"/>
        </w:rPr>
        <w:t>. In: B. Sinclair, I. McGrath &amp; I. Lamb, eds. Learner Autonomy, Teacher Autonomy: Future Directions. London: Longman, pp. 37-41.</w:t>
      </w:r>
    </w:p>
    <w:p w14:paraId="1C6F8985" w14:textId="77777777" w:rsidR="006654A5" w:rsidRPr="006654A5" w:rsidRDefault="006654A5" w:rsidP="006654A5">
      <w:pPr>
        <w:spacing w:line="360" w:lineRule="auto"/>
        <w:rPr>
          <w:rFonts w:ascii="Arial" w:hAnsi="Arial" w:cs="Arial"/>
          <w:sz w:val="22"/>
          <w:szCs w:val="22"/>
        </w:rPr>
      </w:pPr>
    </w:p>
    <w:p w14:paraId="7DFB6417"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BERA, (2018) </w:t>
      </w:r>
      <w:r w:rsidRPr="00071FDA">
        <w:rPr>
          <w:rFonts w:ascii="Arial" w:hAnsi="Arial" w:cs="Arial"/>
          <w:i/>
          <w:iCs/>
          <w:sz w:val="22"/>
          <w:szCs w:val="22"/>
        </w:rPr>
        <w:t>Ethical Guidelines for Educational Research</w:t>
      </w:r>
      <w:r w:rsidRPr="006654A5">
        <w:rPr>
          <w:rFonts w:ascii="Arial" w:hAnsi="Arial" w:cs="Arial"/>
          <w:sz w:val="22"/>
          <w:szCs w:val="22"/>
        </w:rPr>
        <w:t>. fourth edition ed. London: British Educational Research Association.</w:t>
      </w:r>
    </w:p>
    <w:p w14:paraId="303BD013" w14:textId="77777777" w:rsidR="006654A5" w:rsidRPr="006654A5" w:rsidRDefault="006654A5" w:rsidP="006654A5">
      <w:pPr>
        <w:spacing w:line="360" w:lineRule="auto"/>
        <w:rPr>
          <w:rFonts w:ascii="Arial" w:hAnsi="Arial" w:cs="Arial"/>
          <w:sz w:val="22"/>
          <w:szCs w:val="22"/>
        </w:rPr>
      </w:pPr>
    </w:p>
    <w:p w14:paraId="01AA3D5A"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lastRenderedPageBreak/>
        <w:t xml:space="preserve">Biesta, G., (2015) </w:t>
      </w:r>
      <w:r w:rsidRPr="00071FDA">
        <w:rPr>
          <w:rFonts w:ascii="Arial" w:hAnsi="Arial" w:cs="Arial"/>
          <w:i/>
          <w:iCs/>
          <w:sz w:val="22"/>
          <w:szCs w:val="22"/>
        </w:rPr>
        <w:t>What is education for? On good education, teacher judgement, and educational professionalism</w:t>
      </w:r>
      <w:r w:rsidRPr="006654A5">
        <w:rPr>
          <w:rFonts w:ascii="Arial" w:hAnsi="Arial" w:cs="Arial"/>
          <w:sz w:val="22"/>
          <w:szCs w:val="22"/>
        </w:rPr>
        <w:t>. European Journal of Education, 50(1), pp. 75-87.</w:t>
      </w:r>
    </w:p>
    <w:p w14:paraId="7B004E01" w14:textId="77777777" w:rsidR="006654A5" w:rsidRPr="006654A5" w:rsidRDefault="006654A5" w:rsidP="006654A5">
      <w:pPr>
        <w:spacing w:line="360" w:lineRule="auto"/>
        <w:rPr>
          <w:rFonts w:ascii="Arial" w:hAnsi="Arial" w:cs="Arial"/>
          <w:sz w:val="22"/>
          <w:szCs w:val="22"/>
        </w:rPr>
      </w:pPr>
    </w:p>
    <w:p w14:paraId="55BD71ED" w14:textId="77777777" w:rsidR="006654A5" w:rsidRPr="00071FDA" w:rsidRDefault="006654A5" w:rsidP="006654A5">
      <w:pPr>
        <w:spacing w:line="360" w:lineRule="auto"/>
        <w:rPr>
          <w:rFonts w:ascii="Arial" w:hAnsi="Arial" w:cs="Arial"/>
          <w:i/>
          <w:iCs/>
          <w:sz w:val="22"/>
          <w:szCs w:val="22"/>
        </w:rPr>
      </w:pPr>
      <w:r w:rsidRPr="006654A5">
        <w:rPr>
          <w:rFonts w:ascii="Arial" w:hAnsi="Arial" w:cs="Arial"/>
          <w:sz w:val="22"/>
          <w:szCs w:val="22"/>
        </w:rPr>
        <w:t xml:space="preserve">Blackburn, C. (2018) </w:t>
      </w:r>
      <w:r w:rsidRPr="00071FDA">
        <w:rPr>
          <w:rFonts w:ascii="Arial" w:hAnsi="Arial" w:cs="Arial"/>
          <w:i/>
          <w:iCs/>
          <w:sz w:val="22"/>
          <w:szCs w:val="22"/>
        </w:rPr>
        <w:t xml:space="preserve">Researching with young and developmentally young children: </w:t>
      </w:r>
      <w:proofErr w:type="gramStart"/>
      <w:r w:rsidRPr="00071FDA">
        <w:rPr>
          <w:rFonts w:ascii="Arial" w:hAnsi="Arial" w:cs="Arial"/>
          <w:i/>
          <w:iCs/>
          <w:sz w:val="22"/>
          <w:szCs w:val="22"/>
        </w:rPr>
        <w:t>Ethical</w:t>
      </w:r>
      <w:proofErr w:type="gramEnd"/>
      <w:r w:rsidRPr="00071FDA">
        <w:rPr>
          <w:rFonts w:ascii="Arial" w:hAnsi="Arial" w:cs="Arial"/>
          <w:i/>
          <w:iCs/>
          <w:sz w:val="22"/>
          <w:szCs w:val="22"/>
        </w:rPr>
        <w:t xml:space="preserve"> </w:t>
      </w:r>
    </w:p>
    <w:p w14:paraId="5FC87653" w14:textId="77777777" w:rsidR="006654A5" w:rsidRPr="006654A5" w:rsidRDefault="006654A5" w:rsidP="006654A5">
      <w:pPr>
        <w:spacing w:line="360" w:lineRule="auto"/>
        <w:rPr>
          <w:rFonts w:ascii="Arial" w:hAnsi="Arial" w:cs="Arial"/>
          <w:sz w:val="22"/>
          <w:szCs w:val="22"/>
        </w:rPr>
      </w:pPr>
      <w:r w:rsidRPr="00071FDA">
        <w:rPr>
          <w:rFonts w:ascii="Arial" w:hAnsi="Arial" w:cs="Arial"/>
          <w:i/>
          <w:iCs/>
          <w:sz w:val="22"/>
          <w:szCs w:val="22"/>
        </w:rPr>
        <w:t>considerations, dilemmas, and compromises</w:t>
      </w:r>
      <w:r w:rsidRPr="006654A5">
        <w:rPr>
          <w:rFonts w:ascii="Arial" w:hAnsi="Arial" w:cs="Arial"/>
          <w:sz w:val="22"/>
          <w:szCs w:val="22"/>
        </w:rPr>
        <w:t>. In BERA Bites: Early Childhood, Issue 1</w:t>
      </w:r>
    </w:p>
    <w:p w14:paraId="28703734" w14:textId="77777777" w:rsidR="006654A5" w:rsidRPr="006654A5" w:rsidRDefault="006654A5" w:rsidP="006654A5">
      <w:pPr>
        <w:spacing w:line="360" w:lineRule="auto"/>
        <w:rPr>
          <w:rFonts w:ascii="Arial" w:hAnsi="Arial" w:cs="Arial"/>
          <w:sz w:val="22"/>
          <w:szCs w:val="22"/>
        </w:rPr>
      </w:pPr>
    </w:p>
    <w:p w14:paraId="740292B0"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Boud, D., (2013) </w:t>
      </w:r>
      <w:r w:rsidRPr="00071FDA">
        <w:rPr>
          <w:rFonts w:ascii="Arial" w:hAnsi="Arial" w:cs="Arial"/>
          <w:i/>
          <w:iCs/>
          <w:sz w:val="22"/>
          <w:szCs w:val="22"/>
        </w:rPr>
        <w:t>Reflection: Turning Experience into Learning</w:t>
      </w:r>
      <w:r w:rsidRPr="006654A5">
        <w:rPr>
          <w:rFonts w:ascii="Arial" w:hAnsi="Arial" w:cs="Arial"/>
          <w:sz w:val="22"/>
          <w:szCs w:val="22"/>
        </w:rPr>
        <w:t>. 1st Edition ed. London: Routledge.</w:t>
      </w:r>
    </w:p>
    <w:p w14:paraId="21C2711C" w14:textId="77777777" w:rsidR="006654A5" w:rsidRPr="006654A5" w:rsidRDefault="006654A5" w:rsidP="006654A5">
      <w:pPr>
        <w:spacing w:line="360" w:lineRule="auto"/>
        <w:rPr>
          <w:rFonts w:ascii="Arial" w:hAnsi="Arial" w:cs="Arial"/>
          <w:sz w:val="22"/>
          <w:szCs w:val="22"/>
        </w:rPr>
      </w:pPr>
    </w:p>
    <w:p w14:paraId="3B7A0CB9"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Boud, D., (2014) </w:t>
      </w:r>
      <w:r w:rsidRPr="00071FDA">
        <w:rPr>
          <w:rFonts w:ascii="Arial" w:hAnsi="Arial" w:cs="Arial"/>
          <w:i/>
          <w:iCs/>
          <w:sz w:val="22"/>
          <w:szCs w:val="22"/>
        </w:rPr>
        <w:t>Assessment 2020: Seven propositions for assessment reform</w:t>
      </w:r>
      <w:r w:rsidRPr="006654A5">
        <w:rPr>
          <w:rFonts w:ascii="Arial" w:hAnsi="Arial" w:cs="Arial"/>
          <w:sz w:val="22"/>
          <w:szCs w:val="22"/>
        </w:rPr>
        <w:t>, Sydney: University of Technology Sydney.</w:t>
      </w:r>
    </w:p>
    <w:p w14:paraId="5446EEF8" w14:textId="77777777" w:rsidR="006654A5" w:rsidRPr="006654A5" w:rsidRDefault="006654A5" w:rsidP="006654A5">
      <w:pPr>
        <w:spacing w:line="360" w:lineRule="auto"/>
        <w:rPr>
          <w:rFonts w:ascii="Arial" w:hAnsi="Arial" w:cs="Arial"/>
          <w:sz w:val="22"/>
          <w:szCs w:val="22"/>
        </w:rPr>
      </w:pPr>
    </w:p>
    <w:p w14:paraId="404A9129"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Boud, D., Calkins, S., Ashwin, P. &amp; Hallett, F., (2020) </w:t>
      </w:r>
      <w:r w:rsidRPr="00071FDA">
        <w:rPr>
          <w:rFonts w:ascii="Arial" w:hAnsi="Arial" w:cs="Arial"/>
          <w:i/>
          <w:iCs/>
          <w:sz w:val="22"/>
          <w:szCs w:val="22"/>
        </w:rPr>
        <w:t>Reflective teaching in higher education</w:t>
      </w:r>
      <w:r w:rsidRPr="006654A5">
        <w:rPr>
          <w:rFonts w:ascii="Arial" w:hAnsi="Arial" w:cs="Arial"/>
          <w:sz w:val="22"/>
          <w:szCs w:val="22"/>
        </w:rPr>
        <w:t>. 2nd Edition ed. London: Bloomsbury Publishing.</w:t>
      </w:r>
    </w:p>
    <w:p w14:paraId="07AFAF69" w14:textId="77777777" w:rsidR="006654A5" w:rsidRPr="006654A5" w:rsidRDefault="006654A5" w:rsidP="006654A5">
      <w:pPr>
        <w:spacing w:line="360" w:lineRule="auto"/>
        <w:rPr>
          <w:rFonts w:ascii="Arial" w:hAnsi="Arial" w:cs="Arial"/>
          <w:sz w:val="22"/>
          <w:szCs w:val="22"/>
        </w:rPr>
      </w:pPr>
    </w:p>
    <w:p w14:paraId="79E8F6A1"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Boud, D. &amp; Falchikov, N., (2007) </w:t>
      </w:r>
      <w:r w:rsidRPr="00071FDA">
        <w:rPr>
          <w:rFonts w:ascii="Arial" w:hAnsi="Arial" w:cs="Arial"/>
          <w:i/>
          <w:iCs/>
          <w:sz w:val="22"/>
          <w:szCs w:val="22"/>
        </w:rPr>
        <w:t>Rethinking assessment in higher education: Learning for the longer term</w:t>
      </w:r>
      <w:r w:rsidRPr="006654A5">
        <w:rPr>
          <w:rFonts w:ascii="Arial" w:hAnsi="Arial" w:cs="Arial"/>
          <w:sz w:val="22"/>
          <w:szCs w:val="22"/>
        </w:rPr>
        <w:t>. London: Routledge.</w:t>
      </w:r>
    </w:p>
    <w:p w14:paraId="794A741F" w14:textId="77777777" w:rsidR="006654A5" w:rsidRPr="006654A5" w:rsidRDefault="006654A5" w:rsidP="006654A5">
      <w:pPr>
        <w:spacing w:line="360" w:lineRule="auto"/>
        <w:rPr>
          <w:rFonts w:ascii="Arial" w:hAnsi="Arial" w:cs="Arial"/>
          <w:sz w:val="22"/>
          <w:szCs w:val="22"/>
        </w:rPr>
      </w:pPr>
    </w:p>
    <w:p w14:paraId="3855D05C"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Bourke, B., (2014) </w:t>
      </w:r>
      <w:r w:rsidRPr="00071FDA">
        <w:rPr>
          <w:rFonts w:ascii="Arial" w:hAnsi="Arial" w:cs="Arial"/>
          <w:i/>
          <w:iCs/>
          <w:sz w:val="22"/>
          <w:szCs w:val="22"/>
        </w:rPr>
        <w:t>Positionality: Reflecting on the Research Process. The Qualitative Report,</w:t>
      </w:r>
      <w:r w:rsidRPr="006654A5">
        <w:rPr>
          <w:rFonts w:ascii="Arial" w:hAnsi="Arial" w:cs="Arial"/>
          <w:sz w:val="22"/>
          <w:szCs w:val="22"/>
        </w:rPr>
        <w:t xml:space="preserve"> 19(33), pp. 2-9.</w:t>
      </w:r>
    </w:p>
    <w:p w14:paraId="4F272014" w14:textId="77777777" w:rsidR="006654A5" w:rsidRPr="006654A5" w:rsidRDefault="006654A5" w:rsidP="006654A5">
      <w:pPr>
        <w:spacing w:line="360" w:lineRule="auto"/>
        <w:rPr>
          <w:rFonts w:ascii="Arial" w:hAnsi="Arial" w:cs="Arial"/>
          <w:sz w:val="22"/>
          <w:szCs w:val="22"/>
        </w:rPr>
      </w:pPr>
    </w:p>
    <w:p w14:paraId="2B06841F"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Bradley, R., (2020) </w:t>
      </w:r>
      <w:r w:rsidRPr="00071FDA">
        <w:rPr>
          <w:rFonts w:ascii="Arial" w:hAnsi="Arial" w:cs="Arial"/>
          <w:i/>
          <w:iCs/>
          <w:sz w:val="22"/>
          <w:szCs w:val="22"/>
        </w:rPr>
        <w:t>Naturalistic Child Observation.</w:t>
      </w:r>
      <w:r w:rsidRPr="006654A5">
        <w:rPr>
          <w:rFonts w:ascii="Arial" w:hAnsi="Arial" w:cs="Arial"/>
          <w:sz w:val="22"/>
          <w:szCs w:val="22"/>
        </w:rPr>
        <w:t xml:space="preserve"> Gettysburg Social Sciences Review, 5(1), p. 32.</w:t>
      </w:r>
    </w:p>
    <w:p w14:paraId="34075F78" w14:textId="77777777" w:rsidR="006654A5" w:rsidRPr="006654A5" w:rsidRDefault="006654A5" w:rsidP="006654A5">
      <w:pPr>
        <w:spacing w:line="360" w:lineRule="auto"/>
        <w:rPr>
          <w:rFonts w:ascii="Arial" w:hAnsi="Arial" w:cs="Arial"/>
          <w:sz w:val="22"/>
          <w:szCs w:val="22"/>
        </w:rPr>
      </w:pPr>
    </w:p>
    <w:p w14:paraId="19E66001"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Braun, V., Clarke, V. &amp; Terry, G., (2014) </w:t>
      </w:r>
      <w:r w:rsidRPr="00833E8E">
        <w:rPr>
          <w:rFonts w:ascii="Arial" w:hAnsi="Arial" w:cs="Arial"/>
          <w:i/>
          <w:iCs/>
          <w:sz w:val="22"/>
          <w:szCs w:val="22"/>
        </w:rPr>
        <w:t>Thematic Analysis. In: M. Myers &amp; D. Buchanan, eds. Qualitative Research in Business and Management</w:t>
      </w:r>
      <w:r w:rsidRPr="006654A5">
        <w:rPr>
          <w:rFonts w:ascii="Arial" w:hAnsi="Arial" w:cs="Arial"/>
          <w:sz w:val="22"/>
          <w:szCs w:val="22"/>
        </w:rPr>
        <w:t>. Thousand Oaks, CA: Sage Publications, pp. 24-50.</w:t>
      </w:r>
    </w:p>
    <w:p w14:paraId="35FDBEEF" w14:textId="77777777" w:rsidR="006654A5" w:rsidRPr="006654A5" w:rsidRDefault="006654A5" w:rsidP="006654A5">
      <w:pPr>
        <w:spacing w:line="360" w:lineRule="auto"/>
        <w:rPr>
          <w:rFonts w:ascii="Arial" w:hAnsi="Arial" w:cs="Arial"/>
          <w:sz w:val="22"/>
          <w:szCs w:val="22"/>
        </w:rPr>
      </w:pPr>
    </w:p>
    <w:p w14:paraId="6292B5FB"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Briggs, A. &amp; Coleman, M., (2002) </w:t>
      </w:r>
      <w:r w:rsidRPr="00833E8E">
        <w:rPr>
          <w:rFonts w:ascii="Arial" w:hAnsi="Arial" w:cs="Arial"/>
          <w:i/>
          <w:iCs/>
          <w:sz w:val="22"/>
          <w:szCs w:val="22"/>
        </w:rPr>
        <w:t>Research Methods in Educational Leadership and Management</w:t>
      </w:r>
      <w:r w:rsidRPr="006654A5">
        <w:rPr>
          <w:rFonts w:ascii="Arial" w:hAnsi="Arial" w:cs="Arial"/>
          <w:sz w:val="22"/>
          <w:szCs w:val="22"/>
        </w:rPr>
        <w:t>. London: SAGE Publications.</w:t>
      </w:r>
    </w:p>
    <w:p w14:paraId="315C5240" w14:textId="77777777" w:rsidR="006654A5" w:rsidRPr="006654A5" w:rsidRDefault="006654A5" w:rsidP="006654A5">
      <w:pPr>
        <w:spacing w:line="360" w:lineRule="auto"/>
        <w:rPr>
          <w:rFonts w:ascii="Arial" w:hAnsi="Arial" w:cs="Arial"/>
          <w:sz w:val="22"/>
          <w:szCs w:val="22"/>
        </w:rPr>
      </w:pPr>
    </w:p>
    <w:p w14:paraId="3DCC2297"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Broekkamp, H. &amp; Van Hout-Wolters, B., (2007) </w:t>
      </w:r>
      <w:r w:rsidRPr="00833E8E">
        <w:rPr>
          <w:rFonts w:ascii="Arial" w:hAnsi="Arial" w:cs="Arial"/>
          <w:i/>
          <w:iCs/>
          <w:sz w:val="22"/>
          <w:szCs w:val="22"/>
        </w:rPr>
        <w:t>The gap between educational research and practice: A literature, symposium, and questionnaire</w:t>
      </w:r>
      <w:r w:rsidRPr="006654A5">
        <w:rPr>
          <w:rFonts w:ascii="Arial" w:hAnsi="Arial" w:cs="Arial"/>
          <w:sz w:val="22"/>
          <w:szCs w:val="22"/>
        </w:rPr>
        <w:t>. Educational Research and Evaluation, 13(10).</w:t>
      </w:r>
    </w:p>
    <w:p w14:paraId="5B57BD51" w14:textId="77777777" w:rsidR="006654A5" w:rsidRPr="006654A5" w:rsidRDefault="006654A5" w:rsidP="006654A5">
      <w:pPr>
        <w:spacing w:line="360" w:lineRule="auto"/>
        <w:rPr>
          <w:rFonts w:ascii="Arial" w:hAnsi="Arial" w:cs="Arial"/>
          <w:sz w:val="22"/>
          <w:szCs w:val="22"/>
        </w:rPr>
      </w:pPr>
    </w:p>
    <w:p w14:paraId="5006AAAF"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Cohen, L. &amp; Manion, L., (2013) </w:t>
      </w:r>
      <w:r w:rsidRPr="00833E8E">
        <w:rPr>
          <w:rFonts w:ascii="Arial" w:hAnsi="Arial" w:cs="Arial"/>
          <w:i/>
          <w:iCs/>
          <w:sz w:val="22"/>
          <w:szCs w:val="22"/>
        </w:rPr>
        <w:t>Research Methods in Education</w:t>
      </w:r>
      <w:r w:rsidRPr="006654A5">
        <w:rPr>
          <w:rFonts w:ascii="Arial" w:hAnsi="Arial" w:cs="Arial"/>
          <w:sz w:val="22"/>
          <w:szCs w:val="22"/>
        </w:rPr>
        <w:t>. London: Sage Publications Ltd.</w:t>
      </w:r>
    </w:p>
    <w:p w14:paraId="2ACEE8BF" w14:textId="77777777" w:rsidR="006654A5" w:rsidRPr="006654A5" w:rsidRDefault="006654A5" w:rsidP="006654A5">
      <w:pPr>
        <w:spacing w:line="360" w:lineRule="auto"/>
        <w:rPr>
          <w:rFonts w:ascii="Arial" w:hAnsi="Arial" w:cs="Arial"/>
          <w:sz w:val="22"/>
          <w:szCs w:val="22"/>
        </w:rPr>
      </w:pPr>
    </w:p>
    <w:p w14:paraId="5EC3B3D0"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Cresswell, J., (2007) </w:t>
      </w:r>
      <w:r w:rsidRPr="00833E8E">
        <w:rPr>
          <w:rFonts w:ascii="Arial" w:hAnsi="Arial" w:cs="Arial"/>
          <w:i/>
          <w:iCs/>
          <w:sz w:val="22"/>
          <w:szCs w:val="22"/>
        </w:rPr>
        <w:t>Qualitative Inquiry and Research Design: Choosing among Five Traditions</w:t>
      </w:r>
      <w:r w:rsidRPr="006654A5">
        <w:rPr>
          <w:rFonts w:ascii="Arial" w:hAnsi="Arial" w:cs="Arial"/>
          <w:sz w:val="22"/>
          <w:szCs w:val="22"/>
        </w:rPr>
        <w:t>. 2nd Edition ed. Thousand Oaks, CA: Sage Publication.</w:t>
      </w:r>
    </w:p>
    <w:p w14:paraId="14D616E5" w14:textId="77777777" w:rsidR="006654A5" w:rsidRPr="006654A5" w:rsidRDefault="006654A5" w:rsidP="006654A5">
      <w:pPr>
        <w:spacing w:line="360" w:lineRule="auto"/>
        <w:rPr>
          <w:rFonts w:ascii="Arial" w:hAnsi="Arial" w:cs="Arial"/>
          <w:sz w:val="22"/>
          <w:szCs w:val="22"/>
        </w:rPr>
      </w:pPr>
    </w:p>
    <w:p w14:paraId="74390AFB"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Creswell, J., (2013) </w:t>
      </w:r>
      <w:r w:rsidRPr="00833E8E">
        <w:rPr>
          <w:rFonts w:ascii="Arial" w:hAnsi="Arial" w:cs="Arial"/>
          <w:i/>
          <w:iCs/>
          <w:sz w:val="22"/>
          <w:szCs w:val="22"/>
        </w:rPr>
        <w:t>Qualitative inquiry and research design: Choosing among five approaches</w:t>
      </w:r>
      <w:r w:rsidRPr="006654A5">
        <w:rPr>
          <w:rFonts w:ascii="Arial" w:hAnsi="Arial" w:cs="Arial"/>
          <w:sz w:val="22"/>
          <w:szCs w:val="22"/>
        </w:rPr>
        <w:t>. Thousand Oaks, CA: Sage Publications.</w:t>
      </w:r>
    </w:p>
    <w:p w14:paraId="4B673D70" w14:textId="77777777" w:rsidR="006654A5" w:rsidRPr="006654A5" w:rsidRDefault="006654A5" w:rsidP="006654A5">
      <w:pPr>
        <w:spacing w:line="360" w:lineRule="auto"/>
        <w:rPr>
          <w:rFonts w:ascii="Arial" w:hAnsi="Arial" w:cs="Arial"/>
          <w:sz w:val="22"/>
          <w:szCs w:val="22"/>
        </w:rPr>
      </w:pPr>
    </w:p>
    <w:p w14:paraId="52ACCE13"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D'Agostino, J. V., Mann, E. A. &amp; Harty, K. R., (2013) </w:t>
      </w:r>
      <w:r w:rsidRPr="00833E8E">
        <w:rPr>
          <w:rFonts w:ascii="Arial" w:hAnsi="Arial" w:cs="Arial"/>
          <w:i/>
          <w:iCs/>
          <w:sz w:val="22"/>
          <w:szCs w:val="22"/>
        </w:rPr>
        <w:t>The effect of observation number and observation duration on measurement error in classroom observational data</w:t>
      </w:r>
      <w:r w:rsidRPr="006654A5">
        <w:rPr>
          <w:rFonts w:ascii="Arial" w:hAnsi="Arial" w:cs="Arial"/>
          <w:sz w:val="22"/>
          <w:szCs w:val="22"/>
        </w:rPr>
        <w:t>. Journal of School Psychology, 51(3), pp. 399-412.</w:t>
      </w:r>
    </w:p>
    <w:p w14:paraId="4A6A8751" w14:textId="77777777" w:rsidR="006654A5" w:rsidRPr="006654A5" w:rsidRDefault="006654A5" w:rsidP="006654A5">
      <w:pPr>
        <w:spacing w:line="360" w:lineRule="auto"/>
        <w:rPr>
          <w:rFonts w:ascii="Arial" w:hAnsi="Arial" w:cs="Arial"/>
          <w:sz w:val="22"/>
          <w:szCs w:val="22"/>
        </w:rPr>
      </w:pPr>
    </w:p>
    <w:p w14:paraId="73D61526"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Danby, S., Ewing, L. &amp; Thorpe, K., (2011) </w:t>
      </w:r>
      <w:r w:rsidRPr="00833E8E">
        <w:rPr>
          <w:rFonts w:ascii="Arial" w:hAnsi="Arial" w:cs="Arial"/>
          <w:i/>
          <w:iCs/>
          <w:sz w:val="22"/>
          <w:szCs w:val="22"/>
        </w:rPr>
        <w:t>The novice researcher: interviewing young children</w:t>
      </w:r>
      <w:r w:rsidRPr="006654A5">
        <w:rPr>
          <w:rFonts w:ascii="Arial" w:hAnsi="Arial" w:cs="Arial"/>
          <w:sz w:val="22"/>
          <w:szCs w:val="22"/>
        </w:rPr>
        <w:t>. Qualitative Enquiry, 17(1), pp. 74-84.</w:t>
      </w:r>
    </w:p>
    <w:p w14:paraId="76F65421" w14:textId="77777777" w:rsidR="006654A5" w:rsidRPr="006654A5" w:rsidRDefault="006654A5" w:rsidP="006654A5">
      <w:pPr>
        <w:spacing w:line="360" w:lineRule="auto"/>
        <w:rPr>
          <w:rFonts w:ascii="Arial" w:hAnsi="Arial" w:cs="Arial"/>
          <w:sz w:val="22"/>
          <w:szCs w:val="22"/>
        </w:rPr>
      </w:pPr>
    </w:p>
    <w:p w14:paraId="6306639B"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Davies, G., (2022). </w:t>
      </w:r>
      <w:r w:rsidRPr="00833E8E">
        <w:rPr>
          <w:rFonts w:ascii="Arial" w:hAnsi="Arial" w:cs="Arial"/>
          <w:i/>
          <w:iCs/>
          <w:sz w:val="22"/>
          <w:szCs w:val="22"/>
        </w:rPr>
        <w:t>Brief discussion on how pupil independence is developed in School A</w:t>
      </w:r>
      <w:r w:rsidRPr="006654A5">
        <w:rPr>
          <w:rFonts w:ascii="Arial" w:hAnsi="Arial" w:cs="Arial"/>
          <w:sz w:val="22"/>
          <w:szCs w:val="22"/>
        </w:rPr>
        <w:t xml:space="preserve"> [Interview] (23 November 2022).</w:t>
      </w:r>
    </w:p>
    <w:p w14:paraId="072827A0" w14:textId="77777777" w:rsidR="006654A5" w:rsidRPr="006654A5" w:rsidRDefault="006654A5" w:rsidP="006654A5">
      <w:pPr>
        <w:spacing w:line="360" w:lineRule="auto"/>
        <w:rPr>
          <w:rFonts w:ascii="Arial" w:hAnsi="Arial" w:cs="Arial"/>
          <w:sz w:val="22"/>
          <w:szCs w:val="22"/>
        </w:rPr>
      </w:pPr>
    </w:p>
    <w:p w14:paraId="2A84D156"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De Backer, J., Van den Noortgate, W. &amp; Van den Eden, P., (2013) </w:t>
      </w:r>
      <w:r w:rsidRPr="008D457F">
        <w:rPr>
          <w:rFonts w:ascii="Arial" w:hAnsi="Arial" w:cs="Arial"/>
          <w:i/>
          <w:iCs/>
          <w:sz w:val="22"/>
          <w:szCs w:val="22"/>
        </w:rPr>
        <w:t>Assessing student involvement with the Leuven scale: Psychometric properties and guidelines for use.</w:t>
      </w:r>
      <w:r w:rsidRPr="006654A5">
        <w:rPr>
          <w:rFonts w:ascii="Arial" w:hAnsi="Arial" w:cs="Arial"/>
          <w:sz w:val="22"/>
          <w:szCs w:val="22"/>
        </w:rPr>
        <w:t xml:space="preserve"> European Journal of Psychological Assessment, 29(2), pp. 86-94.</w:t>
      </w:r>
    </w:p>
    <w:p w14:paraId="445F8A29" w14:textId="77777777" w:rsidR="006654A5" w:rsidRPr="006654A5" w:rsidRDefault="006654A5" w:rsidP="006654A5">
      <w:pPr>
        <w:spacing w:line="360" w:lineRule="auto"/>
        <w:rPr>
          <w:rFonts w:ascii="Arial" w:hAnsi="Arial" w:cs="Arial"/>
          <w:sz w:val="22"/>
          <w:szCs w:val="22"/>
        </w:rPr>
      </w:pPr>
    </w:p>
    <w:p w14:paraId="20443065"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Denscombe, M., (2014) </w:t>
      </w:r>
      <w:r w:rsidRPr="008D457F">
        <w:rPr>
          <w:rFonts w:ascii="Arial" w:hAnsi="Arial" w:cs="Arial"/>
          <w:i/>
          <w:iCs/>
          <w:sz w:val="22"/>
          <w:szCs w:val="22"/>
        </w:rPr>
        <w:t>Good Research Guide for Small-Scale Social Research Projects</w:t>
      </w:r>
      <w:r w:rsidRPr="006654A5">
        <w:rPr>
          <w:rFonts w:ascii="Arial" w:hAnsi="Arial" w:cs="Arial"/>
          <w:sz w:val="22"/>
          <w:szCs w:val="22"/>
        </w:rPr>
        <w:t>. 5th Edition ed. Mainhead: Open University Press.</w:t>
      </w:r>
    </w:p>
    <w:p w14:paraId="730162F0" w14:textId="77777777" w:rsidR="006654A5" w:rsidRPr="006654A5" w:rsidRDefault="006654A5" w:rsidP="006654A5">
      <w:pPr>
        <w:spacing w:line="360" w:lineRule="auto"/>
        <w:rPr>
          <w:rFonts w:ascii="Arial" w:hAnsi="Arial" w:cs="Arial"/>
          <w:sz w:val="22"/>
          <w:szCs w:val="22"/>
        </w:rPr>
      </w:pPr>
    </w:p>
    <w:p w14:paraId="173D7FA2"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Denzin, N. &amp; Lincoln, Y., (2018) </w:t>
      </w:r>
      <w:r w:rsidRPr="008D457F">
        <w:rPr>
          <w:rFonts w:ascii="Arial" w:hAnsi="Arial" w:cs="Arial"/>
          <w:i/>
          <w:iCs/>
          <w:sz w:val="22"/>
          <w:szCs w:val="22"/>
        </w:rPr>
        <w:t>The Sage Handbook of Qualitative Research</w:t>
      </w:r>
      <w:r w:rsidRPr="006654A5">
        <w:rPr>
          <w:rFonts w:ascii="Arial" w:hAnsi="Arial" w:cs="Arial"/>
          <w:sz w:val="22"/>
          <w:szCs w:val="22"/>
        </w:rPr>
        <w:t>. Thousand Oaks, CA: Sage Publications.</w:t>
      </w:r>
    </w:p>
    <w:p w14:paraId="2D5639CD" w14:textId="77777777" w:rsidR="006654A5" w:rsidRPr="006654A5" w:rsidRDefault="006654A5" w:rsidP="006654A5">
      <w:pPr>
        <w:spacing w:line="360" w:lineRule="auto"/>
        <w:rPr>
          <w:rFonts w:ascii="Arial" w:hAnsi="Arial" w:cs="Arial"/>
          <w:sz w:val="22"/>
          <w:szCs w:val="22"/>
        </w:rPr>
      </w:pPr>
    </w:p>
    <w:p w14:paraId="5FF4400B"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Department for Education, (2017) </w:t>
      </w:r>
      <w:r w:rsidRPr="00791A9E">
        <w:rPr>
          <w:rFonts w:ascii="Arial" w:hAnsi="Arial" w:cs="Arial"/>
          <w:i/>
          <w:iCs/>
          <w:sz w:val="22"/>
          <w:szCs w:val="22"/>
        </w:rPr>
        <w:t>Teacher Workload Survey: Research report</w:t>
      </w:r>
      <w:r w:rsidRPr="006654A5">
        <w:rPr>
          <w:rFonts w:ascii="Arial" w:hAnsi="Arial" w:cs="Arial"/>
          <w:sz w:val="22"/>
          <w:szCs w:val="22"/>
        </w:rPr>
        <w:t>, London: DfE.</w:t>
      </w:r>
    </w:p>
    <w:p w14:paraId="3849C648" w14:textId="77777777" w:rsidR="006654A5" w:rsidRPr="006654A5" w:rsidRDefault="006654A5" w:rsidP="006654A5">
      <w:pPr>
        <w:spacing w:line="360" w:lineRule="auto"/>
        <w:rPr>
          <w:rFonts w:ascii="Arial" w:hAnsi="Arial" w:cs="Arial"/>
          <w:sz w:val="22"/>
          <w:szCs w:val="22"/>
        </w:rPr>
      </w:pPr>
    </w:p>
    <w:p w14:paraId="01487B4C"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Dewey, J., (1938) </w:t>
      </w:r>
      <w:r w:rsidRPr="00791A9E">
        <w:rPr>
          <w:rFonts w:ascii="Arial" w:hAnsi="Arial" w:cs="Arial"/>
          <w:i/>
          <w:iCs/>
          <w:sz w:val="22"/>
          <w:szCs w:val="22"/>
        </w:rPr>
        <w:t>Experience &amp; Education.</w:t>
      </w:r>
      <w:r w:rsidRPr="006654A5">
        <w:rPr>
          <w:rFonts w:ascii="Arial" w:hAnsi="Arial" w:cs="Arial"/>
          <w:sz w:val="22"/>
          <w:szCs w:val="22"/>
        </w:rPr>
        <w:t xml:space="preserve"> New York: Kappa Delta Pi Publications.</w:t>
      </w:r>
    </w:p>
    <w:p w14:paraId="54AEBC7E" w14:textId="77777777" w:rsidR="006654A5" w:rsidRPr="006654A5" w:rsidRDefault="006654A5" w:rsidP="006654A5">
      <w:pPr>
        <w:spacing w:line="360" w:lineRule="auto"/>
        <w:rPr>
          <w:rFonts w:ascii="Arial" w:hAnsi="Arial" w:cs="Arial"/>
          <w:sz w:val="22"/>
          <w:szCs w:val="22"/>
        </w:rPr>
      </w:pPr>
    </w:p>
    <w:p w14:paraId="4E821C38"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Duff, P. &amp; Urdy, J., (2016) </w:t>
      </w:r>
      <w:r w:rsidRPr="00791A9E">
        <w:rPr>
          <w:rFonts w:ascii="Arial" w:hAnsi="Arial" w:cs="Arial"/>
          <w:i/>
          <w:iCs/>
          <w:sz w:val="22"/>
          <w:szCs w:val="22"/>
        </w:rPr>
        <w:t>Case Study Research in Applied Linguistics</w:t>
      </w:r>
      <w:r w:rsidRPr="006654A5">
        <w:rPr>
          <w:rFonts w:ascii="Arial" w:hAnsi="Arial" w:cs="Arial"/>
          <w:sz w:val="22"/>
          <w:szCs w:val="22"/>
        </w:rPr>
        <w:t>. New York: Routledge.</w:t>
      </w:r>
    </w:p>
    <w:p w14:paraId="70816B9B" w14:textId="42926CCC"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Education Endowment Foundation, </w:t>
      </w:r>
      <w:r w:rsidR="00791A9E">
        <w:rPr>
          <w:rFonts w:ascii="Arial" w:hAnsi="Arial" w:cs="Arial"/>
          <w:sz w:val="22"/>
          <w:szCs w:val="22"/>
        </w:rPr>
        <w:t>(</w:t>
      </w:r>
      <w:r w:rsidRPr="006654A5">
        <w:rPr>
          <w:rFonts w:ascii="Arial" w:hAnsi="Arial" w:cs="Arial"/>
          <w:sz w:val="22"/>
          <w:szCs w:val="22"/>
        </w:rPr>
        <w:t>2022</w:t>
      </w:r>
      <w:r w:rsidR="00791A9E">
        <w:rPr>
          <w:rFonts w:ascii="Arial" w:hAnsi="Arial" w:cs="Arial"/>
          <w:sz w:val="22"/>
          <w:szCs w:val="22"/>
        </w:rPr>
        <w:t>)</w:t>
      </w:r>
      <w:r w:rsidRPr="006654A5">
        <w:rPr>
          <w:rFonts w:ascii="Arial" w:hAnsi="Arial" w:cs="Arial"/>
          <w:sz w:val="22"/>
          <w:szCs w:val="22"/>
        </w:rPr>
        <w:t xml:space="preserve"> </w:t>
      </w:r>
      <w:r w:rsidRPr="00791A9E">
        <w:rPr>
          <w:rFonts w:ascii="Arial" w:hAnsi="Arial" w:cs="Arial"/>
          <w:i/>
          <w:iCs/>
          <w:sz w:val="22"/>
          <w:szCs w:val="22"/>
        </w:rPr>
        <w:t>The Impact of COVID-19 on Learning: A review of the evidence</w:t>
      </w:r>
      <w:r w:rsidRPr="006654A5">
        <w:rPr>
          <w:rFonts w:ascii="Arial" w:hAnsi="Arial" w:cs="Arial"/>
          <w:sz w:val="22"/>
          <w:szCs w:val="22"/>
        </w:rPr>
        <w:t>, London: Education Endowment Foundation.</w:t>
      </w:r>
    </w:p>
    <w:p w14:paraId="3009FC4A" w14:textId="77777777" w:rsidR="006654A5" w:rsidRPr="006654A5" w:rsidRDefault="006654A5" w:rsidP="006654A5">
      <w:pPr>
        <w:spacing w:line="360" w:lineRule="auto"/>
        <w:rPr>
          <w:rFonts w:ascii="Arial" w:hAnsi="Arial" w:cs="Arial"/>
          <w:sz w:val="22"/>
          <w:szCs w:val="22"/>
        </w:rPr>
      </w:pPr>
    </w:p>
    <w:p w14:paraId="0A207AC7"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lastRenderedPageBreak/>
        <w:t xml:space="preserve">Dweck, C., (2017) </w:t>
      </w:r>
      <w:r w:rsidRPr="00791A9E">
        <w:rPr>
          <w:rFonts w:ascii="Arial" w:hAnsi="Arial" w:cs="Arial"/>
          <w:i/>
          <w:iCs/>
          <w:sz w:val="22"/>
          <w:szCs w:val="22"/>
        </w:rPr>
        <w:t>Mindset: Changing the way you think to fulfil your potential</w:t>
      </w:r>
      <w:r w:rsidRPr="006654A5">
        <w:rPr>
          <w:rFonts w:ascii="Arial" w:hAnsi="Arial" w:cs="Arial"/>
          <w:sz w:val="22"/>
          <w:szCs w:val="22"/>
        </w:rPr>
        <w:t>. 6th ed. London: Robinson.</w:t>
      </w:r>
    </w:p>
    <w:p w14:paraId="1B12DA3E" w14:textId="77777777" w:rsidR="006654A5" w:rsidRPr="006654A5" w:rsidRDefault="006654A5" w:rsidP="006654A5">
      <w:pPr>
        <w:spacing w:line="360" w:lineRule="auto"/>
        <w:rPr>
          <w:rFonts w:ascii="Arial" w:hAnsi="Arial" w:cs="Arial"/>
          <w:sz w:val="22"/>
          <w:szCs w:val="22"/>
        </w:rPr>
      </w:pPr>
    </w:p>
    <w:p w14:paraId="3D4B4DF9"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Education Endowment Foundation, (2018) </w:t>
      </w:r>
      <w:r w:rsidRPr="00791A9E">
        <w:rPr>
          <w:rFonts w:ascii="Arial" w:hAnsi="Arial" w:cs="Arial"/>
          <w:i/>
          <w:iCs/>
          <w:sz w:val="22"/>
          <w:szCs w:val="22"/>
        </w:rPr>
        <w:t>Metacognition and Self-Regulated Learning: Guidance Report,</w:t>
      </w:r>
      <w:r w:rsidRPr="006654A5">
        <w:rPr>
          <w:rFonts w:ascii="Arial" w:hAnsi="Arial" w:cs="Arial"/>
          <w:sz w:val="22"/>
          <w:szCs w:val="22"/>
        </w:rPr>
        <w:t xml:space="preserve"> London: Education Endowment Foundation.</w:t>
      </w:r>
    </w:p>
    <w:p w14:paraId="0CFB0DF2" w14:textId="77777777" w:rsidR="006654A5" w:rsidRPr="006654A5" w:rsidRDefault="006654A5" w:rsidP="006654A5">
      <w:pPr>
        <w:spacing w:line="360" w:lineRule="auto"/>
        <w:rPr>
          <w:rFonts w:ascii="Arial" w:hAnsi="Arial" w:cs="Arial"/>
          <w:sz w:val="22"/>
          <w:szCs w:val="22"/>
        </w:rPr>
      </w:pPr>
    </w:p>
    <w:p w14:paraId="1652B124"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Education Endowment Foundation, (2022) The Impact of COVID-19 on Learning: A review of the evidence, London: Education Endowment Foundation.</w:t>
      </w:r>
    </w:p>
    <w:p w14:paraId="7D627CB4" w14:textId="77777777" w:rsidR="006654A5" w:rsidRPr="006654A5" w:rsidRDefault="006654A5" w:rsidP="006654A5">
      <w:pPr>
        <w:spacing w:line="360" w:lineRule="auto"/>
        <w:rPr>
          <w:rFonts w:ascii="Arial" w:hAnsi="Arial" w:cs="Arial"/>
          <w:sz w:val="22"/>
          <w:szCs w:val="22"/>
        </w:rPr>
      </w:pPr>
    </w:p>
    <w:p w14:paraId="4657024C"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Estyn, (2018) </w:t>
      </w:r>
      <w:r w:rsidRPr="00791A9E">
        <w:rPr>
          <w:rFonts w:ascii="Arial" w:hAnsi="Arial" w:cs="Arial"/>
          <w:i/>
          <w:iCs/>
          <w:sz w:val="22"/>
          <w:szCs w:val="22"/>
        </w:rPr>
        <w:t>Creating strategies to develop pupils' independence</w:t>
      </w:r>
      <w:r w:rsidRPr="006654A5">
        <w:rPr>
          <w:rFonts w:ascii="Arial" w:hAnsi="Arial" w:cs="Arial"/>
          <w:sz w:val="22"/>
          <w:szCs w:val="22"/>
        </w:rPr>
        <w:t xml:space="preserve">. [Online] </w:t>
      </w:r>
    </w:p>
    <w:p w14:paraId="12FFEFA9"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Available at: https://www.estyn.gov.wales/effective-practice/creating-strategies-develop-pupils-independence</w:t>
      </w:r>
    </w:p>
    <w:p w14:paraId="7F99D5E5"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[Accessed 4 February 2023].</w:t>
      </w:r>
    </w:p>
    <w:p w14:paraId="4BAFB88A" w14:textId="77777777" w:rsidR="006654A5" w:rsidRPr="006654A5" w:rsidRDefault="006654A5" w:rsidP="006654A5">
      <w:pPr>
        <w:spacing w:line="360" w:lineRule="auto"/>
        <w:rPr>
          <w:rFonts w:ascii="Arial" w:hAnsi="Arial" w:cs="Arial"/>
          <w:sz w:val="22"/>
          <w:szCs w:val="22"/>
        </w:rPr>
      </w:pPr>
    </w:p>
    <w:p w14:paraId="2F4753D6"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Estyn, (2020) </w:t>
      </w:r>
      <w:r w:rsidRPr="001D754C">
        <w:rPr>
          <w:rFonts w:ascii="Arial" w:hAnsi="Arial" w:cs="Arial"/>
          <w:i/>
          <w:iCs/>
          <w:sz w:val="22"/>
          <w:szCs w:val="22"/>
        </w:rPr>
        <w:t>Developing pupils' independence and life skills</w:t>
      </w:r>
      <w:r w:rsidRPr="006654A5">
        <w:rPr>
          <w:rFonts w:ascii="Arial" w:hAnsi="Arial" w:cs="Arial"/>
          <w:sz w:val="22"/>
          <w:szCs w:val="22"/>
        </w:rPr>
        <w:t xml:space="preserve">. [Online] </w:t>
      </w:r>
    </w:p>
    <w:p w14:paraId="5E67FA14"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Available at: https://www.estyn.gov.wales/effective-practice/developing-pupils-independence-and-life-skills</w:t>
      </w:r>
    </w:p>
    <w:p w14:paraId="55F1BA17"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[Accessed 5 February 2023].</w:t>
      </w:r>
    </w:p>
    <w:p w14:paraId="357CE29E" w14:textId="77777777" w:rsidR="006654A5" w:rsidRPr="006654A5" w:rsidRDefault="006654A5" w:rsidP="006654A5">
      <w:pPr>
        <w:spacing w:line="360" w:lineRule="auto"/>
        <w:rPr>
          <w:rFonts w:ascii="Arial" w:hAnsi="Arial" w:cs="Arial"/>
          <w:sz w:val="22"/>
          <w:szCs w:val="22"/>
        </w:rPr>
      </w:pPr>
    </w:p>
    <w:p w14:paraId="130E8E35"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Estyn, (2022) </w:t>
      </w:r>
      <w:r w:rsidRPr="001D754C">
        <w:rPr>
          <w:rFonts w:ascii="Arial" w:hAnsi="Arial" w:cs="Arial"/>
          <w:i/>
          <w:iCs/>
          <w:sz w:val="22"/>
          <w:szCs w:val="22"/>
        </w:rPr>
        <w:t>Our current plans</w:t>
      </w:r>
      <w:r w:rsidRPr="006654A5">
        <w:rPr>
          <w:rFonts w:ascii="Arial" w:hAnsi="Arial" w:cs="Arial"/>
          <w:sz w:val="22"/>
          <w:szCs w:val="22"/>
        </w:rPr>
        <w:t xml:space="preserve">. [Online] </w:t>
      </w:r>
    </w:p>
    <w:p w14:paraId="307253AF"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Available at: https://www.estyn.gov.wales/inspection/our-current-plans</w:t>
      </w:r>
    </w:p>
    <w:p w14:paraId="2D011E8B"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[Accessed 3 January 2023].</w:t>
      </w:r>
    </w:p>
    <w:p w14:paraId="1EFD764B" w14:textId="77777777" w:rsidR="006654A5" w:rsidRPr="006654A5" w:rsidRDefault="006654A5" w:rsidP="006654A5">
      <w:pPr>
        <w:spacing w:line="360" w:lineRule="auto"/>
        <w:rPr>
          <w:rFonts w:ascii="Arial" w:hAnsi="Arial" w:cs="Arial"/>
          <w:sz w:val="22"/>
          <w:szCs w:val="22"/>
        </w:rPr>
      </w:pPr>
    </w:p>
    <w:p w14:paraId="7CAFCCC5"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EWC, (2019). </w:t>
      </w:r>
      <w:r w:rsidRPr="001D754C">
        <w:rPr>
          <w:rFonts w:ascii="Arial" w:hAnsi="Arial" w:cs="Arial"/>
          <w:i/>
          <w:iCs/>
          <w:sz w:val="22"/>
          <w:szCs w:val="22"/>
        </w:rPr>
        <w:t>Code of Professional Conduct and Practice for registrants with the EWC,</w:t>
      </w:r>
      <w:r w:rsidRPr="006654A5">
        <w:rPr>
          <w:rFonts w:ascii="Arial" w:hAnsi="Arial" w:cs="Arial"/>
          <w:sz w:val="22"/>
          <w:szCs w:val="22"/>
        </w:rPr>
        <w:t xml:space="preserve"> Cardiff: EWC.</w:t>
      </w:r>
    </w:p>
    <w:p w14:paraId="7F4FA43D" w14:textId="77777777" w:rsidR="006654A5" w:rsidRPr="006654A5" w:rsidRDefault="006654A5" w:rsidP="006654A5">
      <w:pPr>
        <w:spacing w:line="360" w:lineRule="auto"/>
        <w:rPr>
          <w:rFonts w:ascii="Arial" w:hAnsi="Arial" w:cs="Arial"/>
          <w:sz w:val="22"/>
          <w:szCs w:val="22"/>
        </w:rPr>
      </w:pPr>
    </w:p>
    <w:p w14:paraId="2D5CAFF9"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Flyvbkerg, B., (2006) </w:t>
      </w:r>
      <w:r w:rsidRPr="004377B7">
        <w:rPr>
          <w:rFonts w:ascii="Arial" w:hAnsi="Arial" w:cs="Arial"/>
          <w:i/>
          <w:iCs/>
          <w:sz w:val="22"/>
          <w:szCs w:val="22"/>
        </w:rPr>
        <w:t>Five misunderstanding about case-study research</w:t>
      </w:r>
      <w:r w:rsidRPr="006654A5">
        <w:rPr>
          <w:rFonts w:ascii="Arial" w:hAnsi="Arial" w:cs="Arial"/>
          <w:sz w:val="22"/>
          <w:szCs w:val="22"/>
        </w:rPr>
        <w:t>. Qualitative inquiry, 12(2), pp. 219-245.</w:t>
      </w:r>
    </w:p>
    <w:p w14:paraId="57D7A804" w14:textId="77777777" w:rsidR="006654A5" w:rsidRPr="006654A5" w:rsidRDefault="006654A5" w:rsidP="006654A5">
      <w:pPr>
        <w:spacing w:line="360" w:lineRule="auto"/>
        <w:rPr>
          <w:rFonts w:ascii="Arial" w:hAnsi="Arial" w:cs="Arial"/>
          <w:sz w:val="22"/>
          <w:szCs w:val="22"/>
        </w:rPr>
      </w:pPr>
    </w:p>
    <w:p w14:paraId="07558303"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Freire, P., (1992) </w:t>
      </w:r>
      <w:r w:rsidRPr="004377B7">
        <w:rPr>
          <w:rFonts w:ascii="Arial" w:hAnsi="Arial" w:cs="Arial"/>
          <w:i/>
          <w:iCs/>
          <w:sz w:val="22"/>
          <w:szCs w:val="22"/>
        </w:rPr>
        <w:t>Pedagogy of Hope</w:t>
      </w:r>
      <w:r w:rsidRPr="006654A5">
        <w:rPr>
          <w:rFonts w:ascii="Arial" w:hAnsi="Arial" w:cs="Arial"/>
          <w:sz w:val="22"/>
          <w:szCs w:val="22"/>
        </w:rPr>
        <w:t>. New York: Bloomsbury Publishing.</w:t>
      </w:r>
    </w:p>
    <w:p w14:paraId="768FD098" w14:textId="77777777" w:rsidR="006654A5" w:rsidRPr="006654A5" w:rsidRDefault="006654A5" w:rsidP="006654A5">
      <w:pPr>
        <w:spacing w:line="360" w:lineRule="auto"/>
        <w:rPr>
          <w:rFonts w:ascii="Arial" w:hAnsi="Arial" w:cs="Arial"/>
          <w:sz w:val="22"/>
          <w:szCs w:val="22"/>
        </w:rPr>
      </w:pPr>
    </w:p>
    <w:p w14:paraId="06425481"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Gatley, J., (2020) </w:t>
      </w:r>
      <w:r w:rsidRPr="004377B7">
        <w:rPr>
          <w:rFonts w:ascii="Arial" w:hAnsi="Arial" w:cs="Arial"/>
          <w:i/>
          <w:iCs/>
          <w:sz w:val="22"/>
          <w:szCs w:val="22"/>
        </w:rPr>
        <w:t>Can the New Welsh Curriculum achieve its purpose?</w:t>
      </w:r>
      <w:r w:rsidRPr="006654A5">
        <w:rPr>
          <w:rFonts w:ascii="Arial" w:hAnsi="Arial" w:cs="Arial"/>
          <w:sz w:val="22"/>
          <w:szCs w:val="22"/>
        </w:rPr>
        <w:t xml:space="preserve"> The Curriculum Journal, 31(2), pp. 202-214.</w:t>
      </w:r>
    </w:p>
    <w:p w14:paraId="39B080F3" w14:textId="77777777" w:rsidR="006654A5" w:rsidRPr="006654A5" w:rsidRDefault="006654A5" w:rsidP="006654A5">
      <w:pPr>
        <w:spacing w:line="360" w:lineRule="auto"/>
        <w:rPr>
          <w:rFonts w:ascii="Arial" w:hAnsi="Arial" w:cs="Arial"/>
          <w:sz w:val="22"/>
          <w:szCs w:val="22"/>
        </w:rPr>
      </w:pPr>
    </w:p>
    <w:p w14:paraId="434FCAEF"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Grinsven, L., (2009) </w:t>
      </w:r>
      <w:r w:rsidRPr="004377B7">
        <w:rPr>
          <w:rFonts w:ascii="Arial" w:hAnsi="Arial" w:cs="Arial"/>
          <w:i/>
          <w:iCs/>
          <w:sz w:val="22"/>
          <w:szCs w:val="22"/>
        </w:rPr>
        <w:t>Learning opportunities to support student self-regulation: comparing different instructional formats</w:t>
      </w:r>
      <w:r w:rsidRPr="006654A5">
        <w:rPr>
          <w:rFonts w:ascii="Arial" w:hAnsi="Arial" w:cs="Arial"/>
          <w:sz w:val="22"/>
          <w:szCs w:val="22"/>
        </w:rPr>
        <w:t>. Educational Research, 48(1), pp. 78-90.</w:t>
      </w:r>
    </w:p>
    <w:p w14:paraId="672918CD" w14:textId="77777777" w:rsidR="006654A5" w:rsidRPr="006654A5" w:rsidRDefault="006654A5" w:rsidP="006654A5">
      <w:pPr>
        <w:spacing w:line="360" w:lineRule="auto"/>
        <w:rPr>
          <w:rFonts w:ascii="Arial" w:hAnsi="Arial" w:cs="Arial"/>
          <w:sz w:val="22"/>
          <w:szCs w:val="22"/>
        </w:rPr>
      </w:pPr>
    </w:p>
    <w:p w14:paraId="2EA9527B"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lastRenderedPageBreak/>
        <w:t xml:space="preserve">Gurr, D. &amp; Collis, L., (2017) </w:t>
      </w:r>
      <w:r w:rsidRPr="004377B7">
        <w:rPr>
          <w:rFonts w:ascii="Arial" w:hAnsi="Arial" w:cs="Arial"/>
          <w:i/>
          <w:iCs/>
          <w:sz w:val="22"/>
          <w:szCs w:val="22"/>
        </w:rPr>
        <w:t>Teacher Time Use: An International Review</w:t>
      </w:r>
      <w:r w:rsidRPr="006654A5">
        <w:rPr>
          <w:rFonts w:ascii="Arial" w:hAnsi="Arial" w:cs="Arial"/>
          <w:sz w:val="22"/>
          <w:szCs w:val="22"/>
        </w:rPr>
        <w:t>. Educational Research and Evaluation, 23(2), pp. 59-76</w:t>
      </w:r>
    </w:p>
    <w:p w14:paraId="30CE02A4"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DOI: 10.1080/13803611.2017.1281447</w:t>
      </w:r>
    </w:p>
    <w:p w14:paraId="6A480BC4"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w:t>
      </w:r>
    </w:p>
    <w:p w14:paraId="68F85543"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Hargreaves, E., (2014) </w:t>
      </w:r>
      <w:r w:rsidRPr="004377B7">
        <w:rPr>
          <w:rFonts w:ascii="Arial" w:hAnsi="Arial" w:cs="Arial"/>
          <w:i/>
          <w:iCs/>
          <w:sz w:val="22"/>
          <w:szCs w:val="22"/>
        </w:rPr>
        <w:t>The practice of promoting primary pupils' autonomy</w:t>
      </w:r>
      <w:r w:rsidRPr="006654A5">
        <w:rPr>
          <w:rFonts w:ascii="Arial" w:hAnsi="Arial" w:cs="Arial"/>
          <w:sz w:val="22"/>
          <w:szCs w:val="22"/>
        </w:rPr>
        <w:t>. Educational Research, 56(3), pp. 295-297.</w:t>
      </w:r>
    </w:p>
    <w:p w14:paraId="19EBDD3C" w14:textId="77777777" w:rsidR="006654A5" w:rsidRPr="006654A5" w:rsidRDefault="006654A5" w:rsidP="006654A5">
      <w:pPr>
        <w:spacing w:line="360" w:lineRule="auto"/>
        <w:rPr>
          <w:rFonts w:ascii="Arial" w:hAnsi="Arial" w:cs="Arial"/>
          <w:sz w:val="22"/>
          <w:szCs w:val="22"/>
        </w:rPr>
      </w:pPr>
    </w:p>
    <w:p w14:paraId="0892FDDF"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Harvey, V. S. &amp; Chickie-Wolfe, L., (2014) </w:t>
      </w:r>
      <w:r w:rsidRPr="004377B7">
        <w:rPr>
          <w:rFonts w:ascii="Arial" w:hAnsi="Arial" w:cs="Arial"/>
          <w:i/>
          <w:iCs/>
          <w:sz w:val="22"/>
          <w:szCs w:val="22"/>
        </w:rPr>
        <w:t>Fostering Independent Learning.</w:t>
      </w:r>
      <w:r w:rsidRPr="006654A5">
        <w:rPr>
          <w:rFonts w:ascii="Arial" w:hAnsi="Arial" w:cs="Arial"/>
          <w:sz w:val="22"/>
          <w:szCs w:val="22"/>
        </w:rPr>
        <w:t xml:space="preserve"> Third Edition ed. London: The Guildford Press.</w:t>
      </w:r>
    </w:p>
    <w:p w14:paraId="0A221AE6" w14:textId="77777777" w:rsidR="006654A5" w:rsidRPr="006654A5" w:rsidRDefault="006654A5" w:rsidP="006654A5">
      <w:pPr>
        <w:spacing w:line="360" w:lineRule="auto"/>
        <w:rPr>
          <w:rFonts w:ascii="Arial" w:hAnsi="Arial" w:cs="Arial"/>
          <w:sz w:val="22"/>
          <w:szCs w:val="22"/>
        </w:rPr>
      </w:pPr>
    </w:p>
    <w:p w14:paraId="596E9696"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Hattie, J. &amp; Timperley, H., (2016) </w:t>
      </w:r>
      <w:r w:rsidRPr="004377B7">
        <w:rPr>
          <w:rFonts w:ascii="Arial" w:hAnsi="Arial" w:cs="Arial"/>
          <w:i/>
          <w:iCs/>
          <w:sz w:val="22"/>
          <w:szCs w:val="22"/>
        </w:rPr>
        <w:t>The Power of Feedback</w:t>
      </w:r>
      <w:r w:rsidRPr="006654A5">
        <w:rPr>
          <w:rFonts w:ascii="Arial" w:hAnsi="Arial" w:cs="Arial"/>
          <w:sz w:val="22"/>
          <w:szCs w:val="22"/>
        </w:rPr>
        <w:t>. Review of Educational Research, 777(1), pp. 134-154.</w:t>
      </w:r>
    </w:p>
    <w:p w14:paraId="0293D8B4" w14:textId="77777777" w:rsidR="006654A5" w:rsidRPr="006654A5" w:rsidRDefault="006654A5" w:rsidP="006654A5">
      <w:pPr>
        <w:spacing w:line="360" w:lineRule="auto"/>
        <w:rPr>
          <w:rFonts w:ascii="Arial" w:hAnsi="Arial" w:cs="Arial"/>
          <w:sz w:val="22"/>
          <w:szCs w:val="22"/>
        </w:rPr>
      </w:pPr>
    </w:p>
    <w:p w14:paraId="7CED2D8E"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Henderson, M., (2019) </w:t>
      </w:r>
      <w:r w:rsidRPr="004377B7">
        <w:rPr>
          <w:rFonts w:ascii="Arial" w:hAnsi="Arial" w:cs="Arial"/>
          <w:i/>
          <w:iCs/>
          <w:sz w:val="22"/>
          <w:szCs w:val="22"/>
        </w:rPr>
        <w:t>The challenges of feedback in higher education</w:t>
      </w:r>
      <w:r w:rsidRPr="006654A5">
        <w:rPr>
          <w:rFonts w:ascii="Arial" w:hAnsi="Arial" w:cs="Arial"/>
          <w:sz w:val="22"/>
          <w:szCs w:val="22"/>
        </w:rPr>
        <w:t>. Assessment &amp; Evaluation in Higher Education, 44(8), pp. 1237-1252.</w:t>
      </w:r>
    </w:p>
    <w:p w14:paraId="31F99B52" w14:textId="77777777" w:rsidR="006654A5" w:rsidRPr="006654A5" w:rsidRDefault="006654A5" w:rsidP="006654A5">
      <w:pPr>
        <w:spacing w:line="360" w:lineRule="auto"/>
        <w:rPr>
          <w:rFonts w:ascii="Arial" w:hAnsi="Arial" w:cs="Arial"/>
          <w:sz w:val="22"/>
          <w:szCs w:val="22"/>
        </w:rPr>
      </w:pPr>
    </w:p>
    <w:p w14:paraId="4FC87793"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Holec, H., (1979) </w:t>
      </w:r>
      <w:r w:rsidRPr="004377B7">
        <w:rPr>
          <w:rFonts w:ascii="Arial" w:hAnsi="Arial" w:cs="Arial"/>
          <w:i/>
          <w:iCs/>
          <w:sz w:val="22"/>
          <w:szCs w:val="22"/>
        </w:rPr>
        <w:t>Autonomy in Foreign Language Learning</w:t>
      </w:r>
      <w:r w:rsidRPr="006654A5">
        <w:rPr>
          <w:rFonts w:ascii="Arial" w:hAnsi="Arial" w:cs="Arial"/>
          <w:sz w:val="22"/>
          <w:szCs w:val="22"/>
        </w:rPr>
        <w:t>. Oxford: Pergamon.</w:t>
      </w:r>
    </w:p>
    <w:p w14:paraId="58A013A0" w14:textId="77777777" w:rsidR="006654A5" w:rsidRPr="006654A5" w:rsidRDefault="006654A5" w:rsidP="006654A5">
      <w:pPr>
        <w:spacing w:line="360" w:lineRule="auto"/>
        <w:rPr>
          <w:rFonts w:ascii="Arial" w:hAnsi="Arial" w:cs="Arial"/>
          <w:sz w:val="22"/>
          <w:szCs w:val="22"/>
        </w:rPr>
      </w:pPr>
    </w:p>
    <w:p w14:paraId="101DB712"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Information Commissioner's Office, (2018) </w:t>
      </w:r>
      <w:r w:rsidRPr="004377B7">
        <w:rPr>
          <w:rFonts w:ascii="Arial" w:hAnsi="Arial" w:cs="Arial"/>
          <w:i/>
          <w:iCs/>
          <w:sz w:val="22"/>
          <w:szCs w:val="22"/>
        </w:rPr>
        <w:t xml:space="preserve">Guide to the General Data Protection Regulation </w:t>
      </w:r>
      <w:r w:rsidRPr="006654A5">
        <w:rPr>
          <w:rFonts w:ascii="Arial" w:hAnsi="Arial" w:cs="Arial"/>
          <w:sz w:val="22"/>
          <w:szCs w:val="22"/>
        </w:rPr>
        <w:t>(GDPR), London: ICO.</w:t>
      </w:r>
    </w:p>
    <w:p w14:paraId="5F04EE20" w14:textId="77777777" w:rsidR="006654A5" w:rsidRPr="006654A5" w:rsidRDefault="006654A5" w:rsidP="006654A5">
      <w:pPr>
        <w:spacing w:line="360" w:lineRule="auto"/>
        <w:rPr>
          <w:rFonts w:ascii="Arial" w:hAnsi="Arial" w:cs="Arial"/>
          <w:sz w:val="22"/>
          <w:szCs w:val="22"/>
        </w:rPr>
      </w:pPr>
    </w:p>
    <w:p w14:paraId="5B30317E"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Israel, M., (2015) </w:t>
      </w:r>
      <w:r w:rsidRPr="004377B7">
        <w:rPr>
          <w:rFonts w:ascii="Arial" w:hAnsi="Arial" w:cs="Arial"/>
          <w:i/>
          <w:iCs/>
          <w:sz w:val="22"/>
          <w:szCs w:val="22"/>
        </w:rPr>
        <w:t>Research Ethics and Integrity for Social Scientists: Beyond Regulatory Compliance</w:t>
      </w:r>
      <w:r w:rsidRPr="006654A5">
        <w:rPr>
          <w:rFonts w:ascii="Arial" w:hAnsi="Arial" w:cs="Arial"/>
          <w:sz w:val="22"/>
          <w:szCs w:val="22"/>
        </w:rPr>
        <w:t>. London: Sage Publications Ltd.</w:t>
      </w:r>
    </w:p>
    <w:p w14:paraId="62E78FE1" w14:textId="77777777" w:rsidR="006654A5" w:rsidRPr="006654A5" w:rsidRDefault="006654A5" w:rsidP="006654A5">
      <w:pPr>
        <w:spacing w:line="360" w:lineRule="auto"/>
        <w:rPr>
          <w:rFonts w:ascii="Arial" w:hAnsi="Arial" w:cs="Arial"/>
          <w:sz w:val="22"/>
          <w:szCs w:val="22"/>
        </w:rPr>
      </w:pPr>
    </w:p>
    <w:p w14:paraId="68879429"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Jones, M. A. &amp; Smith, B. T., (2019) </w:t>
      </w:r>
      <w:r w:rsidRPr="004377B7">
        <w:rPr>
          <w:rFonts w:ascii="Arial" w:hAnsi="Arial" w:cs="Arial"/>
          <w:i/>
          <w:iCs/>
          <w:sz w:val="22"/>
          <w:szCs w:val="22"/>
        </w:rPr>
        <w:t>Ensuring Confidentiality in Research Studies: An Exploration of Best Practices</w:t>
      </w:r>
      <w:r w:rsidRPr="006654A5">
        <w:rPr>
          <w:rFonts w:ascii="Arial" w:hAnsi="Arial" w:cs="Arial"/>
          <w:sz w:val="22"/>
          <w:szCs w:val="22"/>
        </w:rPr>
        <w:t>. Journal of Research Administration, 50(2), pp. 25-34.</w:t>
      </w:r>
    </w:p>
    <w:p w14:paraId="344BD88A" w14:textId="77777777" w:rsidR="006654A5" w:rsidRPr="006654A5" w:rsidRDefault="006654A5" w:rsidP="006654A5">
      <w:pPr>
        <w:spacing w:line="360" w:lineRule="auto"/>
        <w:rPr>
          <w:rFonts w:ascii="Arial" w:hAnsi="Arial" w:cs="Arial"/>
          <w:sz w:val="22"/>
          <w:szCs w:val="22"/>
        </w:rPr>
      </w:pPr>
    </w:p>
    <w:p w14:paraId="5CBEF255"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Kalton, G., Roberts, J. &amp; Holt, D., (1980) </w:t>
      </w:r>
      <w:r w:rsidRPr="004377B7">
        <w:rPr>
          <w:rFonts w:ascii="Arial" w:hAnsi="Arial" w:cs="Arial"/>
          <w:i/>
          <w:iCs/>
          <w:sz w:val="22"/>
          <w:szCs w:val="22"/>
        </w:rPr>
        <w:t>The Effects of Offering a Middle Response Option with Opinion Questions.</w:t>
      </w:r>
      <w:r w:rsidRPr="006654A5">
        <w:rPr>
          <w:rFonts w:ascii="Arial" w:hAnsi="Arial" w:cs="Arial"/>
          <w:sz w:val="22"/>
          <w:szCs w:val="22"/>
        </w:rPr>
        <w:t xml:space="preserve"> Journal of the Royal Statistical Society, 29(1), pp. 65-78.</w:t>
      </w:r>
    </w:p>
    <w:p w14:paraId="24639CAB" w14:textId="77777777" w:rsidR="006654A5" w:rsidRPr="006654A5" w:rsidRDefault="006654A5" w:rsidP="006654A5">
      <w:pPr>
        <w:spacing w:line="360" w:lineRule="auto"/>
        <w:rPr>
          <w:rFonts w:ascii="Arial" w:hAnsi="Arial" w:cs="Arial"/>
          <w:sz w:val="22"/>
          <w:szCs w:val="22"/>
        </w:rPr>
      </w:pPr>
    </w:p>
    <w:p w14:paraId="1C7E1448"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Leavers, F., (2005) </w:t>
      </w:r>
      <w:r w:rsidRPr="00E75A81">
        <w:rPr>
          <w:rFonts w:ascii="Arial" w:hAnsi="Arial" w:cs="Arial"/>
          <w:i/>
          <w:iCs/>
          <w:sz w:val="22"/>
          <w:szCs w:val="22"/>
        </w:rPr>
        <w:t>Well-being and Involvement in Care Settings. A Process -oriented Self-evaluation Instrument</w:t>
      </w:r>
      <w:r w:rsidRPr="006654A5">
        <w:rPr>
          <w:rFonts w:ascii="Arial" w:hAnsi="Arial" w:cs="Arial"/>
          <w:sz w:val="22"/>
          <w:szCs w:val="22"/>
        </w:rPr>
        <w:t>. Leuven: Kind &amp; Gezin and Research Centre for Experiential Education.</w:t>
      </w:r>
    </w:p>
    <w:p w14:paraId="2BDCBE90" w14:textId="77777777" w:rsidR="006654A5" w:rsidRPr="006654A5" w:rsidRDefault="006654A5" w:rsidP="006654A5">
      <w:pPr>
        <w:spacing w:line="360" w:lineRule="auto"/>
        <w:rPr>
          <w:rFonts w:ascii="Arial" w:hAnsi="Arial" w:cs="Arial"/>
          <w:sz w:val="22"/>
          <w:szCs w:val="22"/>
        </w:rPr>
      </w:pPr>
    </w:p>
    <w:p w14:paraId="4E875AD3"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Laevers, F., (1994) </w:t>
      </w:r>
      <w:r w:rsidRPr="00E75A81">
        <w:rPr>
          <w:rFonts w:ascii="Arial" w:hAnsi="Arial" w:cs="Arial"/>
          <w:i/>
          <w:iCs/>
          <w:sz w:val="22"/>
          <w:szCs w:val="22"/>
        </w:rPr>
        <w:t>The Leuven Involvement Scale for young children: Manual and applications.</w:t>
      </w:r>
      <w:r w:rsidRPr="006654A5">
        <w:rPr>
          <w:rFonts w:ascii="Arial" w:hAnsi="Arial" w:cs="Arial"/>
          <w:sz w:val="22"/>
          <w:szCs w:val="22"/>
        </w:rPr>
        <w:t xml:space="preserve"> Leuven: Leuven University Press.</w:t>
      </w:r>
    </w:p>
    <w:p w14:paraId="39B4398D" w14:textId="77777777" w:rsidR="006654A5" w:rsidRPr="006654A5" w:rsidRDefault="006654A5" w:rsidP="006654A5">
      <w:pPr>
        <w:spacing w:line="360" w:lineRule="auto"/>
        <w:rPr>
          <w:rFonts w:ascii="Arial" w:hAnsi="Arial" w:cs="Arial"/>
          <w:sz w:val="22"/>
          <w:szCs w:val="22"/>
        </w:rPr>
      </w:pPr>
    </w:p>
    <w:p w14:paraId="5210BB73"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lastRenderedPageBreak/>
        <w:t xml:space="preserve">Lewis, V. et al., (2004) </w:t>
      </w:r>
      <w:r w:rsidRPr="00571712">
        <w:rPr>
          <w:rFonts w:ascii="Arial" w:hAnsi="Arial" w:cs="Arial"/>
          <w:i/>
          <w:iCs/>
          <w:sz w:val="22"/>
          <w:szCs w:val="22"/>
        </w:rPr>
        <w:t>The Reality of Research with Children and Young People</w:t>
      </w:r>
      <w:r w:rsidRPr="006654A5">
        <w:rPr>
          <w:rFonts w:ascii="Arial" w:hAnsi="Arial" w:cs="Arial"/>
          <w:sz w:val="22"/>
          <w:szCs w:val="22"/>
        </w:rPr>
        <w:t>. London: Sage Publications.</w:t>
      </w:r>
    </w:p>
    <w:p w14:paraId="66F413D3" w14:textId="77777777" w:rsidR="006654A5" w:rsidRPr="006654A5" w:rsidRDefault="006654A5" w:rsidP="006654A5">
      <w:pPr>
        <w:spacing w:line="360" w:lineRule="auto"/>
        <w:rPr>
          <w:rFonts w:ascii="Arial" w:hAnsi="Arial" w:cs="Arial"/>
          <w:sz w:val="22"/>
          <w:szCs w:val="22"/>
        </w:rPr>
      </w:pPr>
    </w:p>
    <w:p w14:paraId="3CA978D1"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Linnenbrink-Garcia, L. &amp; Pekrun, R., (2011) </w:t>
      </w:r>
      <w:r w:rsidRPr="00571712">
        <w:rPr>
          <w:rFonts w:ascii="Arial" w:hAnsi="Arial" w:cs="Arial"/>
          <w:i/>
          <w:iCs/>
          <w:sz w:val="22"/>
          <w:szCs w:val="22"/>
        </w:rPr>
        <w:t>Students' emotions and academic engagement: Introduction to the special issue</w:t>
      </w:r>
      <w:r w:rsidRPr="006654A5">
        <w:rPr>
          <w:rFonts w:ascii="Arial" w:hAnsi="Arial" w:cs="Arial"/>
          <w:sz w:val="22"/>
          <w:szCs w:val="22"/>
        </w:rPr>
        <w:t>. Contemporary Educational Psychology, 36(1), pp. 2-3.</w:t>
      </w:r>
    </w:p>
    <w:p w14:paraId="4C8CCABC" w14:textId="77777777" w:rsidR="006654A5" w:rsidRPr="006654A5" w:rsidRDefault="006654A5" w:rsidP="006654A5">
      <w:pPr>
        <w:spacing w:line="360" w:lineRule="auto"/>
        <w:rPr>
          <w:rFonts w:ascii="Arial" w:hAnsi="Arial" w:cs="Arial"/>
          <w:sz w:val="22"/>
          <w:szCs w:val="22"/>
        </w:rPr>
      </w:pPr>
    </w:p>
    <w:p w14:paraId="504A5BD9"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Lockhorst, D., Wubbels, T. &amp; Van Oers, B., (2017) </w:t>
      </w:r>
      <w:r w:rsidRPr="00571712">
        <w:rPr>
          <w:rFonts w:ascii="Arial" w:hAnsi="Arial" w:cs="Arial"/>
          <w:i/>
          <w:iCs/>
          <w:sz w:val="22"/>
          <w:szCs w:val="22"/>
        </w:rPr>
        <w:t>Educational dialogues and the fostering of pupils' independence: the practices of two teachers</w:t>
      </w:r>
      <w:r w:rsidRPr="006654A5">
        <w:rPr>
          <w:rFonts w:ascii="Arial" w:hAnsi="Arial" w:cs="Arial"/>
          <w:sz w:val="22"/>
          <w:szCs w:val="22"/>
        </w:rPr>
        <w:t>. Journal of Curriculum Studies, 12(1), pp. 103-117.</w:t>
      </w:r>
    </w:p>
    <w:p w14:paraId="4FB26D98" w14:textId="77777777" w:rsidR="006654A5" w:rsidRPr="006654A5" w:rsidRDefault="006654A5" w:rsidP="006654A5">
      <w:pPr>
        <w:spacing w:line="360" w:lineRule="auto"/>
        <w:rPr>
          <w:rFonts w:ascii="Arial" w:hAnsi="Arial" w:cs="Arial"/>
          <w:sz w:val="22"/>
          <w:szCs w:val="22"/>
        </w:rPr>
      </w:pPr>
    </w:p>
    <w:p w14:paraId="0B23514A"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MacRae, C. &amp; Jones, L., (2020) </w:t>
      </w:r>
      <w:r w:rsidRPr="00571712">
        <w:rPr>
          <w:rFonts w:ascii="Arial" w:hAnsi="Arial" w:cs="Arial"/>
          <w:i/>
          <w:iCs/>
          <w:sz w:val="22"/>
          <w:szCs w:val="22"/>
        </w:rPr>
        <w:t>A philosophical reflection on the "Leuven Scale" and young children's expressions of involvement.</w:t>
      </w:r>
      <w:r w:rsidRPr="006654A5">
        <w:rPr>
          <w:rFonts w:ascii="Arial" w:hAnsi="Arial" w:cs="Arial"/>
          <w:sz w:val="22"/>
          <w:szCs w:val="22"/>
        </w:rPr>
        <w:t xml:space="preserve"> International Journal of Qualitative Studies in Education, 36(2), pp. 234-246.</w:t>
      </w:r>
    </w:p>
    <w:p w14:paraId="64F23B07" w14:textId="77777777" w:rsidR="006654A5" w:rsidRPr="006654A5" w:rsidRDefault="006654A5" w:rsidP="006654A5">
      <w:pPr>
        <w:spacing w:line="360" w:lineRule="auto"/>
        <w:rPr>
          <w:rFonts w:ascii="Arial" w:hAnsi="Arial" w:cs="Arial"/>
          <w:sz w:val="22"/>
          <w:szCs w:val="22"/>
        </w:rPr>
      </w:pPr>
    </w:p>
    <w:p w14:paraId="3BCF6FC2"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Markus, K. A. &amp; Zenger, J., (2014) </w:t>
      </w:r>
      <w:r w:rsidRPr="00571712">
        <w:rPr>
          <w:rFonts w:ascii="Arial" w:hAnsi="Arial" w:cs="Arial"/>
          <w:i/>
          <w:iCs/>
          <w:sz w:val="22"/>
          <w:szCs w:val="22"/>
        </w:rPr>
        <w:t xml:space="preserve">Naturalistic Observation. </w:t>
      </w:r>
      <w:r w:rsidRPr="006654A5">
        <w:rPr>
          <w:rFonts w:ascii="Arial" w:hAnsi="Arial" w:cs="Arial"/>
          <w:sz w:val="22"/>
          <w:szCs w:val="22"/>
        </w:rPr>
        <w:t>In: H. T. Reis &amp; C. M. Judd, eds. Handbook of research methods in social and personality psychology. Cambridge: Cambridge University Press, pp. 125-145.</w:t>
      </w:r>
    </w:p>
    <w:p w14:paraId="1FFF34C1" w14:textId="77777777" w:rsidR="006654A5" w:rsidRPr="006654A5" w:rsidRDefault="006654A5" w:rsidP="006654A5">
      <w:pPr>
        <w:spacing w:line="360" w:lineRule="auto"/>
        <w:rPr>
          <w:rFonts w:ascii="Arial" w:hAnsi="Arial" w:cs="Arial"/>
          <w:sz w:val="22"/>
          <w:szCs w:val="22"/>
        </w:rPr>
      </w:pPr>
    </w:p>
    <w:p w14:paraId="1C978A56"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Marzano, R., (2017) </w:t>
      </w:r>
      <w:r w:rsidRPr="00571712">
        <w:rPr>
          <w:rFonts w:ascii="Arial" w:hAnsi="Arial" w:cs="Arial"/>
          <w:i/>
          <w:iCs/>
          <w:sz w:val="22"/>
          <w:szCs w:val="22"/>
        </w:rPr>
        <w:t>The New Art and Science of Teaching</w:t>
      </w:r>
      <w:r w:rsidRPr="006654A5">
        <w:rPr>
          <w:rFonts w:ascii="Arial" w:hAnsi="Arial" w:cs="Arial"/>
          <w:sz w:val="22"/>
          <w:szCs w:val="22"/>
        </w:rPr>
        <w:t>. Victoria: Hawker Brownlow Education.</w:t>
      </w:r>
    </w:p>
    <w:p w14:paraId="7CA2BDE2" w14:textId="77777777" w:rsidR="006654A5" w:rsidRPr="006654A5" w:rsidRDefault="006654A5" w:rsidP="006654A5">
      <w:pPr>
        <w:spacing w:line="360" w:lineRule="auto"/>
        <w:rPr>
          <w:rFonts w:ascii="Arial" w:hAnsi="Arial" w:cs="Arial"/>
          <w:sz w:val="22"/>
          <w:szCs w:val="22"/>
        </w:rPr>
      </w:pPr>
    </w:p>
    <w:p w14:paraId="0A5B9399"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May, T. &amp; Perry, B., (2011) </w:t>
      </w:r>
      <w:r w:rsidRPr="00571712">
        <w:rPr>
          <w:rFonts w:ascii="Arial" w:hAnsi="Arial" w:cs="Arial"/>
          <w:i/>
          <w:iCs/>
          <w:sz w:val="22"/>
          <w:szCs w:val="22"/>
        </w:rPr>
        <w:t>Social Research and Reflexivity: Content, Consequence and Context.</w:t>
      </w:r>
      <w:r w:rsidRPr="006654A5">
        <w:rPr>
          <w:rFonts w:ascii="Arial" w:hAnsi="Arial" w:cs="Arial"/>
          <w:sz w:val="22"/>
          <w:szCs w:val="22"/>
        </w:rPr>
        <w:t xml:space="preserve"> London: Sage Publications.</w:t>
      </w:r>
    </w:p>
    <w:p w14:paraId="7639F7DF" w14:textId="77777777" w:rsidR="006654A5" w:rsidRPr="006654A5" w:rsidRDefault="006654A5" w:rsidP="006654A5">
      <w:pPr>
        <w:spacing w:line="360" w:lineRule="auto"/>
        <w:rPr>
          <w:rFonts w:ascii="Arial" w:hAnsi="Arial" w:cs="Arial"/>
          <w:sz w:val="22"/>
          <w:szCs w:val="22"/>
        </w:rPr>
      </w:pPr>
    </w:p>
    <w:p w14:paraId="28E7150F"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McNiff, J., (2012) </w:t>
      </w:r>
      <w:r w:rsidRPr="00571712">
        <w:rPr>
          <w:rFonts w:ascii="Arial" w:hAnsi="Arial" w:cs="Arial"/>
          <w:i/>
          <w:iCs/>
          <w:sz w:val="22"/>
          <w:szCs w:val="22"/>
        </w:rPr>
        <w:t>Action Research: Principles and practice</w:t>
      </w:r>
      <w:r w:rsidRPr="006654A5">
        <w:rPr>
          <w:rFonts w:ascii="Arial" w:hAnsi="Arial" w:cs="Arial"/>
          <w:sz w:val="22"/>
          <w:szCs w:val="22"/>
        </w:rPr>
        <w:t>. London: Routledge.</w:t>
      </w:r>
    </w:p>
    <w:p w14:paraId="441F9B6B" w14:textId="77777777" w:rsidR="006654A5" w:rsidRPr="006654A5" w:rsidRDefault="006654A5" w:rsidP="006654A5">
      <w:pPr>
        <w:spacing w:line="360" w:lineRule="auto"/>
        <w:rPr>
          <w:rFonts w:ascii="Arial" w:hAnsi="Arial" w:cs="Arial"/>
          <w:sz w:val="22"/>
          <w:szCs w:val="22"/>
        </w:rPr>
      </w:pPr>
    </w:p>
    <w:p w14:paraId="0B9A2FD7"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Merriam, S., (2015) </w:t>
      </w:r>
      <w:r w:rsidRPr="00571712">
        <w:rPr>
          <w:rFonts w:ascii="Arial" w:hAnsi="Arial" w:cs="Arial"/>
          <w:i/>
          <w:iCs/>
          <w:sz w:val="22"/>
          <w:szCs w:val="22"/>
        </w:rPr>
        <w:t>Qualitative Research: A Guide to Design and Implementation</w:t>
      </w:r>
      <w:r w:rsidRPr="006654A5">
        <w:rPr>
          <w:rFonts w:ascii="Arial" w:hAnsi="Arial" w:cs="Arial"/>
          <w:sz w:val="22"/>
          <w:szCs w:val="22"/>
        </w:rPr>
        <w:t>. 4th Edition ed. San Francisco: Jossey-Bass.</w:t>
      </w:r>
    </w:p>
    <w:p w14:paraId="352A0806" w14:textId="77777777" w:rsidR="006654A5" w:rsidRPr="006654A5" w:rsidRDefault="006654A5" w:rsidP="006654A5">
      <w:pPr>
        <w:spacing w:line="360" w:lineRule="auto"/>
        <w:rPr>
          <w:rFonts w:ascii="Arial" w:hAnsi="Arial" w:cs="Arial"/>
          <w:sz w:val="22"/>
          <w:szCs w:val="22"/>
        </w:rPr>
      </w:pPr>
    </w:p>
    <w:p w14:paraId="28829B82"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Moore, M. G., (2013) </w:t>
      </w:r>
      <w:r w:rsidRPr="00571712">
        <w:rPr>
          <w:rFonts w:ascii="Arial" w:hAnsi="Arial" w:cs="Arial"/>
          <w:i/>
          <w:iCs/>
          <w:sz w:val="22"/>
          <w:szCs w:val="22"/>
        </w:rPr>
        <w:t>Continuing education and distance education: a marriage of convenience</w:t>
      </w:r>
      <w:r w:rsidRPr="006654A5">
        <w:rPr>
          <w:rFonts w:ascii="Arial" w:hAnsi="Arial" w:cs="Arial"/>
          <w:sz w:val="22"/>
          <w:szCs w:val="22"/>
        </w:rPr>
        <w:t>. The University of the Fraser Valley Research Review, 4(3), pp. 3-13.</w:t>
      </w:r>
    </w:p>
    <w:p w14:paraId="35948F16" w14:textId="77777777" w:rsidR="006654A5" w:rsidRPr="006654A5" w:rsidRDefault="006654A5" w:rsidP="006654A5">
      <w:pPr>
        <w:spacing w:line="360" w:lineRule="auto"/>
        <w:rPr>
          <w:rFonts w:ascii="Arial" w:hAnsi="Arial" w:cs="Arial"/>
          <w:sz w:val="22"/>
          <w:szCs w:val="22"/>
        </w:rPr>
      </w:pPr>
    </w:p>
    <w:p w14:paraId="1F421610"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Mozolev, O., (2020) </w:t>
      </w:r>
      <w:r w:rsidRPr="00571712">
        <w:rPr>
          <w:rFonts w:ascii="Arial" w:hAnsi="Arial" w:cs="Arial"/>
          <w:i/>
          <w:iCs/>
          <w:sz w:val="22"/>
          <w:szCs w:val="22"/>
        </w:rPr>
        <w:t xml:space="preserve">The influence of value-orientated teaching upon vital competences formation of 7-9 year old pupils during independent working. </w:t>
      </w:r>
      <w:r w:rsidRPr="006654A5">
        <w:rPr>
          <w:rFonts w:ascii="Arial" w:hAnsi="Arial" w:cs="Arial"/>
          <w:sz w:val="22"/>
          <w:szCs w:val="22"/>
        </w:rPr>
        <w:t>Institutional repository of the Khmelnitsky Humanisation and Pedagogical Academy, 3(2), pp. 217-289.</w:t>
      </w:r>
    </w:p>
    <w:p w14:paraId="455519D6" w14:textId="77777777" w:rsidR="006654A5" w:rsidRPr="006654A5" w:rsidRDefault="006654A5" w:rsidP="006654A5">
      <w:pPr>
        <w:spacing w:line="360" w:lineRule="auto"/>
        <w:rPr>
          <w:rFonts w:ascii="Arial" w:hAnsi="Arial" w:cs="Arial"/>
          <w:sz w:val="22"/>
          <w:szCs w:val="22"/>
        </w:rPr>
      </w:pPr>
    </w:p>
    <w:p w14:paraId="6CCCFF28"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lastRenderedPageBreak/>
        <w:t xml:space="preserve">Mulder, H. &amp; Busch, G., (2010) </w:t>
      </w:r>
      <w:r w:rsidRPr="00571712">
        <w:rPr>
          <w:rFonts w:ascii="Arial" w:hAnsi="Arial" w:cs="Arial"/>
          <w:i/>
          <w:iCs/>
          <w:sz w:val="22"/>
          <w:szCs w:val="22"/>
        </w:rPr>
        <w:t>Empowering children and young people in Wales</w:t>
      </w:r>
      <w:r w:rsidRPr="006654A5">
        <w:rPr>
          <w:rFonts w:ascii="Arial" w:hAnsi="Arial" w:cs="Arial"/>
          <w:sz w:val="22"/>
          <w:szCs w:val="22"/>
        </w:rPr>
        <w:t>. Education Today, Volume 60, pp. 14-15.</w:t>
      </w:r>
    </w:p>
    <w:p w14:paraId="0F658843" w14:textId="77777777" w:rsidR="006654A5" w:rsidRPr="006654A5" w:rsidRDefault="006654A5" w:rsidP="006654A5">
      <w:pPr>
        <w:spacing w:line="360" w:lineRule="auto"/>
        <w:rPr>
          <w:rFonts w:ascii="Arial" w:hAnsi="Arial" w:cs="Arial"/>
          <w:sz w:val="22"/>
          <w:szCs w:val="22"/>
        </w:rPr>
      </w:pPr>
    </w:p>
    <w:p w14:paraId="45292704"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Noffke, S. &amp; Somekh, B., (2013) </w:t>
      </w:r>
      <w:r w:rsidRPr="00571712">
        <w:rPr>
          <w:rFonts w:ascii="Arial" w:hAnsi="Arial" w:cs="Arial"/>
          <w:i/>
          <w:iCs/>
          <w:sz w:val="22"/>
          <w:szCs w:val="22"/>
        </w:rPr>
        <w:t>The SAGE Handbook of Educational Action Research.</w:t>
      </w:r>
      <w:r w:rsidRPr="006654A5">
        <w:rPr>
          <w:rFonts w:ascii="Arial" w:hAnsi="Arial" w:cs="Arial"/>
          <w:sz w:val="22"/>
          <w:szCs w:val="22"/>
        </w:rPr>
        <w:t xml:space="preserve"> London: SAGE Publications Ltd.</w:t>
      </w:r>
    </w:p>
    <w:p w14:paraId="56CA9287" w14:textId="77777777" w:rsidR="006654A5" w:rsidRPr="006654A5" w:rsidRDefault="006654A5" w:rsidP="006654A5">
      <w:pPr>
        <w:spacing w:line="360" w:lineRule="auto"/>
        <w:rPr>
          <w:rFonts w:ascii="Arial" w:hAnsi="Arial" w:cs="Arial"/>
          <w:sz w:val="22"/>
          <w:szCs w:val="22"/>
        </w:rPr>
      </w:pPr>
    </w:p>
    <w:p w14:paraId="34642939"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Nowell, L., Norris, J. &amp; White, D., (2017) </w:t>
      </w:r>
      <w:r w:rsidRPr="00571712">
        <w:rPr>
          <w:rFonts w:ascii="Arial" w:hAnsi="Arial" w:cs="Arial"/>
          <w:i/>
          <w:iCs/>
          <w:sz w:val="22"/>
          <w:szCs w:val="22"/>
        </w:rPr>
        <w:t>Thematic analysis: Striving to meet the trustworthiness criteria.</w:t>
      </w:r>
      <w:r w:rsidRPr="006654A5">
        <w:rPr>
          <w:rFonts w:ascii="Arial" w:hAnsi="Arial" w:cs="Arial"/>
          <w:sz w:val="22"/>
          <w:szCs w:val="22"/>
        </w:rPr>
        <w:t xml:space="preserve"> International Journal of Qualitative Methods, 16(1).</w:t>
      </w:r>
    </w:p>
    <w:p w14:paraId="018E43EE" w14:textId="77777777" w:rsidR="006654A5" w:rsidRPr="006654A5" w:rsidRDefault="006654A5" w:rsidP="006654A5">
      <w:pPr>
        <w:spacing w:line="360" w:lineRule="auto"/>
        <w:rPr>
          <w:rFonts w:ascii="Arial" w:hAnsi="Arial" w:cs="Arial"/>
          <w:sz w:val="22"/>
          <w:szCs w:val="22"/>
        </w:rPr>
      </w:pPr>
    </w:p>
    <w:p w14:paraId="49D0BB3B"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Orchard, J. &amp; Winch, C., (2015) </w:t>
      </w:r>
      <w:r w:rsidRPr="00571712">
        <w:rPr>
          <w:rFonts w:ascii="Arial" w:hAnsi="Arial" w:cs="Arial"/>
          <w:i/>
          <w:iCs/>
          <w:sz w:val="22"/>
          <w:szCs w:val="22"/>
        </w:rPr>
        <w:t>What training do teachers need? Why theory is necessary to good teaching</w:t>
      </w:r>
      <w:r w:rsidRPr="006654A5">
        <w:rPr>
          <w:rFonts w:ascii="Arial" w:hAnsi="Arial" w:cs="Arial"/>
          <w:sz w:val="22"/>
          <w:szCs w:val="22"/>
        </w:rPr>
        <w:t>, Birmingham: Wiley Blackwell.</w:t>
      </w:r>
    </w:p>
    <w:p w14:paraId="67ABA1FF" w14:textId="77777777" w:rsidR="006654A5" w:rsidRPr="006654A5" w:rsidRDefault="006654A5" w:rsidP="006654A5">
      <w:pPr>
        <w:spacing w:line="360" w:lineRule="auto"/>
        <w:rPr>
          <w:rFonts w:ascii="Arial" w:hAnsi="Arial" w:cs="Arial"/>
          <w:sz w:val="22"/>
          <w:szCs w:val="22"/>
        </w:rPr>
      </w:pPr>
    </w:p>
    <w:p w14:paraId="3E729797"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Oswald, M. &amp; Grosjean, S., (2012) </w:t>
      </w:r>
      <w:r w:rsidRPr="00571712">
        <w:rPr>
          <w:rFonts w:ascii="Arial" w:hAnsi="Arial" w:cs="Arial"/>
          <w:i/>
          <w:iCs/>
          <w:sz w:val="22"/>
          <w:szCs w:val="22"/>
        </w:rPr>
        <w:t>Confirmation Bias. In: Cognitive Illusions: A Handbook on Fallacies and Biases in Thinking, Judgement and Memory</w:t>
      </w:r>
      <w:r w:rsidRPr="006654A5">
        <w:rPr>
          <w:rFonts w:ascii="Arial" w:hAnsi="Arial" w:cs="Arial"/>
          <w:sz w:val="22"/>
          <w:szCs w:val="22"/>
        </w:rPr>
        <w:t>. London: Taylor &amp; Francis, pp. 81-87.</w:t>
      </w:r>
    </w:p>
    <w:p w14:paraId="4D2E6188" w14:textId="77777777" w:rsidR="006654A5" w:rsidRPr="006654A5" w:rsidRDefault="006654A5" w:rsidP="006654A5">
      <w:pPr>
        <w:spacing w:line="360" w:lineRule="auto"/>
        <w:rPr>
          <w:rFonts w:ascii="Arial" w:hAnsi="Arial" w:cs="Arial"/>
          <w:sz w:val="22"/>
          <w:szCs w:val="22"/>
        </w:rPr>
      </w:pPr>
    </w:p>
    <w:p w14:paraId="07608AE8"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Paltridge, B. &amp; Phakiti, A., (2011) </w:t>
      </w:r>
      <w:r w:rsidRPr="00571712">
        <w:rPr>
          <w:rFonts w:ascii="Arial" w:hAnsi="Arial" w:cs="Arial"/>
          <w:i/>
          <w:iCs/>
          <w:sz w:val="22"/>
          <w:szCs w:val="22"/>
        </w:rPr>
        <w:t>Continuum Companion to Research Methods in Applied Linguistics</w:t>
      </w:r>
      <w:r w:rsidRPr="006654A5">
        <w:rPr>
          <w:rFonts w:ascii="Arial" w:hAnsi="Arial" w:cs="Arial"/>
          <w:sz w:val="22"/>
          <w:szCs w:val="22"/>
        </w:rPr>
        <w:t>. New York: Continuum International Publishing Group.</w:t>
      </w:r>
    </w:p>
    <w:p w14:paraId="1DBD9A5C" w14:textId="77777777" w:rsidR="006654A5" w:rsidRPr="006654A5" w:rsidRDefault="006654A5" w:rsidP="006654A5">
      <w:pPr>
        <w:spacing w:line="360" w:lineRule="auto"/>
        <w:rPr>
          <w:rFonts w:ascii="Arial" w:hAnsi="Arial" w:cs="Arial"/>
          <w:sz w:val="22"/>
          <w:szCs w:val="22"/>
        </w:rPr>
      </w:pPr>
    </w:p>
    <w:p w14:paraId="0DD7781E"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Patton, M., (2015). </w:t>
      </w:r>
      <w:r w:rsidRPr="00571712">
        <w:rPr>
          <w:rFonts w:ascii="Arial" w:hAnsi="Arial" w:cs="Arial"/>
          <w:i/>
          <w:iCs/>
          <w:sz w:val="22"/>
          <w:szCs w:val="22"/>
        </w:rPr>
        <w:t>Qualitative research &amp; evaluation methods: Integrating practice</w:t>
      </w:r>
      <w:r w:rsidRPr="006654A5">
        <w:rPr>
          <w:rFonts w:ascii="Arial" w:hAnsi="Arial" w:cs="Arial"/>
          <w:sz w:val="22"/>
          <w:szCs w:val="22"/>
        </w:rPr>
        <w:t>. New York: Sage Publications.</w:t>
      </w:r>
    </w:p>
    <w:p w14:paraId="1E27CF52" w14:textId="77777777" w:rsidR="006654A5" w:rsidRPr="006654A5" w:rsidRDefault="006654A5" w:rsidP="006654A5">
      <w:pPr>
        <w:spacing w:line="360" w:lineRule="auto"/>
        <w:rPr>
          <w:rFonts w:ascii="Arial" w:hAnsi="Arial" w:cs="Arial"/>
          <w:sz w:val="22"/>
          <w:szCs w:val="22"/>
        </w:rPr>
      </w:pPr>
    </w:p>
    <w:p w14:paraId="78494E02"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Piaget, J., (1950) </w:t>
      </w:r>
      <w:r w:rsidRPr="00571712">
        <w:rPr>
          <w:rFonts w:ascii="Arial" w:hAnsi="Arial" w:cs="Arial"/>
          <w:i/>
          <w:iCs/>
          <w:sz w:val="22"/>
          <w:szCs w:val="22"/>
        </w:rPr>
        <w:t>The Psychology of Intelligence.</w:t>
      </w:r>
      <w:r w:rsidRPr="006654A5">
        <w:rPr>
          <w:rFonts w:ascii="Arial" w:hAnsi="Arial" w:cs="Arial"/>
          <w:sz w:val="22"/>
          <w:szCs w:val="22"/>
        </w:rPr>
        <w:t xml:space="preserve"> New York: Routledge &amp; Kegan Paul Ltd.</w:t>
      </w:r>
    </w:p>
    <w:p w14:paraId="2F429F09" w14:textId="77777777" w:rsidR="006654A5" w:rsidRPr="006654A5" w:rsidRDefault="006654A5" w:rsidP="006654A5">
      <w:pPr>
        <w:spacing w:line="360" w:lineRule="auto"/>
        <w:rPr>
          <w:rFonts w:ascii="Arial" w:hAnsi="Arial" w:cs="Arial"/>
          <w:sz w:val="22"/>
          <w:szCs w:val="22"/>
        </w:rPr>
      </w:pPr>
    </w:p>
    <w:p w14:paraId="29DBDCEF"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Pucel, D., (1971) </w:t>
      </w:r>
      <w:r w:rsidRPr="00571712">
        <w:rPr>
          <w:rFonts w:ascii="Arial" w:hAnsi="Arial" w:cs="Arial"/>
          <w:i/>
          <w:iCs/>
          <w:sz w:val="22"/>
          <w:szCs w:val="22"/>
        </w:rPr>
        <w:t>Questionnaire Follow up Returns as a Function of Incentives and Responder Characteristics</w:t>
      </w:r>
      <w:r w:rsidRPr="006654A5">
        <w:rPr>
          <w:rFonts w:ascii="Arial" w:hAnsi="Arial" w:cs="Arial"/>
          <w:sz w:val="22"/>
          <w:szCs w:val="22"/>
        </w:rPr>
        <w:t>. Vocational Guidance Quarterly, 19(2), pp. 186-191.</w:t>
      </w:r>
    </w:p>
    <w:p w14:paraId="72B78D4B" w14:textId="77777777" w:rsidR="006654A5" w:rsidRPr="006654A5" w:rsidRDefault="006654A5" w:rsidP="006654A5">
      <w:pPr>
        <w:spacing w:line="360" w:lineRule="auto"/>
        <w:rPr>
          <w:rFonts w:ascii="Arial" w:hAnsi="Arial" w:cs="Arial"/>
          <w:sz w:val="22"/>
          <w:szCs w:val="22"/>
        </w:rPr>
      </w:pPr>
    </w:p>
    <w:p w14:paraId="06B47999"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Robert, Y., (2014) </w:t>
      </w:r>
      <w:r w:rsidRPr="00571712">
        <w:rPr>
          <w:rFonts w:ascii="Arial" w:hAnsi="Arial" w:cs="Arial"/>
          <w:i/>
          <w:iCs/>
          <w:sz w:val="22"/>
          <w:szCs w:val="22"/>
        </w:rPr>
        <w:t>Case Study Research: Design and Methods</w:t>
      </w:r>
      <w:r w:rsidRPr="006654A5">
        <w:rPr>
          <w:rFonts w:ascii="Arial" w:hAnsi="Arial" w:cs="Arial"/>
          <w:sz w:val="22"/>
          <w:szCs w:val="22"/>
        </w:rPr>
        <w:t>. Thousand Oaks, California: Sage Publications.</w:t>
      </w:r>
    </w:p>
    <w:p w14:paraId="54A9A617" w14:textId="77777777" w:rsidR="006654A5" w:rsidRPr="006654A5" w:rsidRDefault="006654A5" w:rsidP="006654A5">
      <w:pPr>
        <w:spacing w:line="360" w:lineRule="auto"/>
        <w:rPr>
          <w:rFonts w:ascii="Arial" w:hAnsi="Arial" w:cs="Arial"/>
          <w:sz w:val="22"/>
          <w:szCs w:val="22"/>
        </w:rPr>
      </w:pPr>
    </w:p>
    <w:p w14:paraId="0B55B373" w14:textId="32B3889D"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Rosenshine, B., (2012) </w:t>
      </w:r>
      <w:r w:rsidRPr="00571712">
        <w:rPr>
          <w:rFonts w:ascii="Arial" w:hAnsi="Arial" w:cs="Arial"/>
          <w:i/>
          <w:iCs/>
          <w:sz w:val="22"/>
          <w:szCs w:val="22"/>
        </w:rPr>
        <w:t>Principles of Instruction: Research-Based Strategies That All Teachers Should Know</w:t>
      </w:r>
      <w:r w:rsidRPr="006654A5">
        <w:rPr>
          <w:rFonts w:ascii="Arial" w:hAnsi="Arial" w:cs="Arial"/>
          <w:sz w:val="22"/>
          <w:szCs w:val="22"/>
        </w:rPr>
        <w:t xml:space="preserve">, </w:t>
      </w:r>
      <w:r w:rsidR="00D73C62">
        <w:rPr>
          <w:rFonts w:ascii="Arial" w:hAnsi="Arial" w:cs="Arial"/>
          <w:sz w:val="22"/>
          <w:szCs w:val="22"/>
        </w:rPr>
        <w:t>S.L</w:t>
      </w:r>
      <w:r w:rsidRPr="006654A5">
        <w:rPr>
          <w:rFonts w:ascii="Arial" w:hAnsi="Arial" w:cs="Arial"/>
          <w:sz w:val="22"/>
          <w:szCs w:val="22"/>
        </w:rPr>
        <w:t>: American Educator.</w:t>
      </w:r>
    </w:p>
    <w:p w14:paraId="71D1F640" w14:textId="77777777" w:rsidR="006654A5" w:rsidRPr="006654A5" w:rsidRDefault="006654A5" w:rsidP="006654A5">
      <w:pPr>
        <w:spacing w:line="360" w:lineRule="auto"/>
        <w:rPr>
          <w:rFonts w:ascii="Arial" w:hAnsi="Arial" w:cs="Arial"/>
          <w:sz w:val="22"/>
          <w:szCs w:val="22"/>
        </w:rPr>
      </w:pPr>
    </w:p>
    <w:p w14:paraId="1EE0ED4A"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Rowley, J., (2003) </w:t>
      </w:r>
      <w:r w:rsidRPr="00D73C62">
        <w:rPr>
          <w:rFonts w:ascii="Arial" w:hAnsi="Arial" w:cs="Arial"/>
          <w:i/>
          <w:iCs/>
          <w:sz w:val="22"/>
          <w:szCs w:val="22"/>
        </w:rPr>
        <w:t>Designing student feedback questionnaires</w:t>
      </w:r>
      <w:r w:rsidRPr="006654A5">
        <w:rPr>
          <w:rFonts w:ascii="Arial" w:hAnsi="Arial" w:cs="Arial"/>
          <w:sz w:val="22"/>
          <w:szCs w:val="22"/>
        </w:rPr>
        <w:t>. Quality Assurance in Education, 11(3), pp. 47-83.</w:t>
      </w:r>
    </w:p>
    <w:p w14:paraId="35FBE30F" w14:textId="77777777" w:rsidR="006654A5" w:rsidRPr="006654A5" w:rsidRDefault="006654A5" w:rsidP="006654A5">
      <w:pPr>
        <w:spacing w:line="360" w:lineRule="auto"/>
        <w:rPr>
          <w:rFonts w:ascii="Arial" w:hAnsi="Arial" w:cs="Arial"/>
          <w:sz w:val="22"/>
          <w:szCs w:val="22"/>
        </w:rPr>
      </w:pPr>
    </w:p>
    <w:p w14:paraId="1B42929D"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lastRenderedPageBreak/>
        <w:t xml:space="preserve">Saldaña, J., (2015) </w:t>
      </w:r>
      <w:r w:rsidRPr="00D73C62">
        <w:rPr>
          <w:rFonts w:ascii="Arial" w:hAnsi="Arial" w:cs="Arial"/>
          <w:i/>
          <w:iCs/>
          <w:sz w:val="22"/>
          <w:szCs w:val="22"/>
        </w:rPr>
        <w:t>The Coding Manual for Qualitative Researchers</w:t>
      </w:r>
      <w:r w:rsidRPr="006654A5">
        <w:rPr>
          <w:rFonts w:ascii="Arial" w:hAnsi="Arial" w:cs="Arial"/>
          <w:sz w:val="22"/>
          <w:szCs w:val="22"/>
        </w:rPr>
        <w:t>. Thousand Oaks, CA: Sage Publications.</w:t>
      </w:r>
    </w:p>
    <w:p w14:paraId="63FF548B" w14:textId="77777777" w:rsidR="006654A5" w:rsidRPr="006654A5" w:rsidRDefault="006654A5" w:rsidP="006654A5">
      <w:pPr>
        <w:spacing w:line="360" w:lineRule="auto"/>
        <w:rPr>
          <w:rFonts w:ascii="Arial" w:hAnsi="Arial" w:cs="Arial"/>
          <w:sz w:val="22"/>
          <w:szCs w:val="22"/>
        </w:rPr>
      </w:pPr>
    </w:p>
    <w:p w14:paraId="555B4B96"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Sanjari, M., Bahramnexahd, F. &amp; Shoghi, M., (2014) </w:t>
      </w:r>
      <w:r w:rsidRPr="00D73C62">
        <w:rPr>
          <w:rFonts w:ascii="Arial" w:hAnsi="Arial" w:cs="Arial"/>
          <w:i/>
          <w:iCs/>
          <w:sz w:val="22"/>
          <w:szCs w:val="22"/>
        </w:rPr>
        <w:t>Ethical challenges of researchers in qualitative students: the necessity to develop a specific guideline</w:t>
      </w:r>
      <w:r w:rsidRPr="006654A5">
        <w:rPr>
          <w:rFonts w:ascii="Arial" w:hAnsi="Arial" w:cs="Arial"/>
          <w:sz w:val="22"/>
          <w:szCs w:val="22"/>
        </w:rPr>
        <w:t>. Journal of Medical Ethics, 7(14), p. 37.</w:t>
      </w:r>
    </w:p>
    <w:p w14:paraId="2A6F9355" w14:textId="77777777" w:rsidR="006654A5" w:rsidRPr="006654A5" w:rsidRDefault="006654A5" w:rsidP="006654A5">
      <w:pPr>
        <w:spacing w:line="360" w:lineRule="auto"/>
        <w:rPr>
          <w:rFonts w:ascii="Arial" w:hAnsi="Arial" w:cs="Arial"/>
          <w:sz w:val="22"/>
          <w:szCs w:val="22"/>
        </w:rPr>
      </w:pPr>
    </w:p>
    <w:p w14:paraId="1573F58E"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Saris, W. &amp; Gallhofer, I. N., (2014) </w:t>
      </w:r>
      <w:r w:rsidRPr="00D73C62">
        <w:rPr>
          <w:rFonts w:ascii="Arial" w:hAnsi="Arial" w:cs="Arial"/>
          <w:i/>
          <w:iCs/>
          <w:sz w:val="22"/>
          <w:szCs w:val="22"/>
        </w:rPr>
        <w:t>Design, Evaluation, and Analysis of Questionnaires for Survey Research</w:t>
      </w:r>
      <w:r w:rsidRPr="006654A5">
        <w:rPr>
          <w:rFonts w:ascii="Arial" w:hAnsi="Arial" w:cs="Arial"/>
          <w:sz w:val="22"/>
          <w:szCs w:val="22"/>
        </w:rPr>
        <w:t>. West Sussex: John Wiley &amp; Sons.</w:t>
      </w:r>
    </w:p>
    <w:p w14:paraId="1C9FFB9D" w14:textId="77777777" w:rsidR="006654A5" w:rsidRPr="006654A5" w:rsidRDefault="006654A5" w:rsidP="006654A5">
      <w:pPr>
        <w:spacing w:line="360" w:lineRule="auto"/>
        <w:rPr>
          <w:rFonts w:ascii="Arial" w:hAnsi="Arial" w:cs="Arial"/>
          <w:sz w:val="22"/>
          <w:szCs w:val="22"/>
        </w:rPr>
      </w:pPr>
    </w:p>
    <w:p w14:paraId="40848443"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Schaefer, G. &amp; Wertheimer, A., (2011) </w:t>
      </w:r>
      <w:r w:rsidRPr="00D73C62">
        <w:rPr>
          <w:rFonts w:ascii="Arial" w:hAnsi="Arial" w:cs="Arial"/>
          <w:i/>
          <w:iCs/>
          <w:sz w:val="22"/>
          <w:szCs w:val="22"/>
        </w:rPr>
        <w:t>The Right to Withdraw from Research. Institute of Ethics Journal</w:t>
      </w:r>
      <w:r w:rsidRPr="006654A5">
        <w:rPr>
          <w:rFonts w:ascii="Arial" w:hAnsi="Arial" w:cs="Arial"/>
          <w:sz w:val="22"/>
          <w:szCs w:val="22"/>
        </w:rPr>
        <w:t>, 20(4), pp. 329-352.</w:t>
      </w:r>
    </w:p>
    <w:p w14:paraId="36D2CA18" w14:textId="77777777" w:rsidR="006654A5" w:rsidRPr="006654A5" w:rsidRDefault="006654A5" w:rsidP="006654A5">
      <w:pPr>
        <w:spacing w:line="360" w:lineRule="auto"/>
        <w:rPr>
          <w:rFonts w:ascii="Arial" w:hAnsi="Arial" w:cs="Arial"/>
          <w:sz w:val="22"/>
          <w:szCs w:val="22"/>
        </w:rPr>
      </w:pPr>
    </w:p>
    <w:p w14:paraId="4F9FC6B2"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Senedd Research, (2021) </w:t>
      </w:r>
      <w:r w:rsidRPr="00D73C62">
        <w:rPr>
          <w:rFonts w:ascii="Arial" w:hAnsi="Arial" w:cs="Arial"/>
          <w:i/>
          <w:iCs/>
          <w:sz w:val="22"/>
          <w:szCs w:val="22"/>
        </w:rPr>
        <w:t>Donaldson Review: The 'purpose' and content of a curriculum for Wales</w:t>
      </w:r>
      <w:r w:rsidRPr="006654A5">
        <w:rPr>
          <w:rFonts w:ascii="Arial" w:hAnsi="Arial" w:cs="Arial"/>
          <w:sz w:val="22"/>
          <w:szCs w:val="22"/>
        </w:rPr>
        <w:t>, Cardiff: Senedd Business.</w:t>
      </w:r>
    </w:p>
    <w:p w14:paraId="3F967B8C" w14:textId="77777777" w:rsidR="006654A5" w:rsidRPr="006654A5" w:rsidRDefault="006654A5" w:rsidP="006654A5">
      <w:pPr>
        <w:spacing w:line="360" w:lineRule="auto"/>
        <w:rPr>
          <w:rFonts w:ascii="Arial" w:hAnsi="Arial" w:cs="Arial"/>
          <w:sz w:val="22"/>
          <w:szCs w:val="22"/>
        </w:rPr>
      </w:pPr>
    </w:p>
    <w:p w14:paraId="0B0E7E62"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Stake, R. E., (2006) </w:t>
      </w:r>
      <w:r w:rsidRPr="00D73C62">
        <w:rPr>
          <w:rFonts w:ascii="Arial" w:hAnsi="Arial" w:cs="Arial"/>
          <w:i/>
          <w:iCs/>
          <w:sz w:val="22"/>
          <w:szCs w:val="22"/>
        </w:rPr>
        <w:t>Multiple Case Study Analysis</w:t>
      </w:r>
      <w:r w:rsidRPr="006654A5">
        <w:rPr>
          <w:rFonts w:ascii="Arial" w:hAnsi="Arial" w:cs="Arial"/>
          <w:sz w:val="22"/>
          <w:szCs w:val="22"/>
        </w:rPr>
        <w:t>. New York: The Guildford Press.</w:t>
      </w:r>
    </w:p>
    <w:p w14:paraId="461324E2" w14:textId="77777777" w:rsidR="006654A5" w:rsidRPr="006654A5" w:rsidRDefault="006654A5" w:rsidP="006654A5">
      <w:pPr>
        <w:spacing w:line="360" w:lineRule="auto"/>
        <w:rPr>
          <w:rFonts w:ascii="Arial" w:hAnsi="Arial" w:cs="Arial"/>
          <w:sz w:val="22"/>
          <w:szCs w:val="22"/>
        </w:rPr>
      </w:pPr>
    </w:p>
    <w:p w14:paraId="677ABD2D"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Tight, M (2010) </w:t>
      </w:r>
      <w:r w:rsidRPr="00D73C62">
        <w:rPr>
          <w:rFonts w:ascii="Arial" w:hAnsi="Arial" w:cs="Arial"/>
          <w:i/>
          <w:iCs/>
          <w:sz w:val="22"/>
          <w:szCs w:val="22"/>
        </w:rPr>
        <w:t>The curious case of case study: a viewpoint,</w:t>
      </w:r>
      <w:r w:rsidRPr="006654A5">
        <w:rPr>
          <w:rFonts w:ascii="Arial" w:hAnsi="Arial" w:cs="Arial"/>
          <w:sz w:val="22"/>
          <w:szCs w:val="22"/>
        </w:rPr>
        <w:t xml:space="preserve"> International Journal of Social Research Methodology, 13:4, 329-339, DOI: 10.1080/13645570903187181</w:t>
      </w:r>
    </w:p>
    <w:p w14:paraId="6AB867B3" w14:textId="77777777" w:rsidR="006654A5" w:rsidRPr="006654A5" w:rsidRDefault="006654A5" w:rsidP="006654A5">
      <w:pPr>
        <w:spacing w:line="360" w:lineRule="auto"/>
        <w:rPr>
          <w:rFonts w:ascii="Arial" w:hAnsi="Arial" w:cs="Arial"/>
          <w:sz w:val="22"/>
          <w:szCs w:val="22"/>
        </w:rPr>
      </w:pPr>
    </w:p>
    <w:p w14:paraId="3F6F1DA3"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Thody, A., (2006). </w:t>
      </w:r>
      <w:r w:rsidRPr="00C2326E">
        <w:rPr>
          <w:rFonts w:ascii="Arial" w:hAnsi="Arial" w:cs="Arial"/>
          <w:i/>
          <w:iCs/>
          <w:sz w:val="22"/>
          <w:szCs w:val="22"/>
        </w:rPr>
        <w:t>Writing and Presenting Research</w:t>
      </w:r>
      <w:r w:rsidRPr="006654A5">
        <w:rPr>
          <w:rFonts w:ascii="Arial" w:hAnsi="Arial" w:cs="Arial"/>
          <w:sz w:val="22"/>
          <w:szCs w:val="22"/>
        </w:rPr>
        <w:t>. London: Sage Publications Ltd.</w:t>
      </w:r>
    </w:p>
    <w:p w14:paraId="24D0C75D" w14:textId="77777777" w:rsidR="006654A5" w:rsidRPr="006654A5" w:rsidRDefault="006654A5" w:rsidP="006654A5">
      <w:pPr>
        <w:spacing w:line="360" w:lineRule="auto"/>
        <w:rPr>
          <w:rFonts w:ascii="Arial" w:hAnsi="Arial" w:cs="Arial"/>
          <w:sz w:val="22"/>
          <w:szCs w:val="22"/>
        </w:rPr>
      </w:pPr>
    </w:p>
    <w:p w14:paraId="787D09C2"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Thomas, B., (2019). </w:t>
      </w:r>
      <w:r w:rsidRPr="00C2326E">
        <w:rPr>
          <w:rFonts w:ascii="Arial" w:hAnsi="Arial" w:cs="Arial"/>
          <w:i/>
          <w:iCs/>
          <w:sz w:val="22"/>
          <w:szCs w:val="22"/>
        </w:rPr>
        <w:t>Education in the Field in the Post-Neuropsychopharmacology Era.</w:t>
      </w:r>
      <w:r w:rsidRPr="006654A5">
        <w:rPr>
          <w:rFonts w:ascii="Arial" w:hAnsi="Arial" w:cs="Arial"/>
          <w:sz w:val="22"/>
          <w:szCs w:val="22"/>
        </w:rPr>
        <w:t xml:space="preserve"> Neuropsychopharmacology in Historical Perspective, 6(3), pp. 56-83.</w:t>
      </w:r>
    </w:p>
    <w:p w14:paraId="6FEC428C" w14:textId="77777777" w:rsidR="006654A5" w:rsidRPr="006654A5" w:rsidRDefault="006654A5" w:rsidP="006654A5">
      <w:pPr>
        <w:spacing w:line="360" w:lineRule="auto"/>
        <w:rPr>
          <w:rFonts w:ascii="Arial" w:hAnsi="Arial" w:cs="Arial"/>
          <w:sz w:val="22"/>
          <w:szCs w:val="22"/>
        </w:rPr>
      </w:pPr>
    </w:p>
    <w:p w14:paraId="55C1E46D"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Thomas, D., (2006) </w:t>
      </w:r>
      <w:r w:rsidRPr="00C2326E">
        <w:rPr>
          <w:rFonts w:ascii="Arial" w:hAnsi="Arial" w:cs="Arial"/>
          <w:i/>
          <w:iCs/>
          <w:sz w:val="22"/>
          <w:szCs w:val="22"/>
        </w:rPr>
        <w:t>A general inductive approach for analysing qualitative evaluation data.</w:t>
      </w:r>
      <w:r w:rsidRPr="006654A5">
        <w:rPr>
          <w:rFonts w:ascii="Arial" w:hAnsi="Arial" w:cs="Arial"/>
          <w:sz w:val="22"/>
          <w:szCs w:val="22"/>
        </w:rPr>
        <w:t xml:space="preserve"> American Journal of Evaluation, 27(2), pp. 237-246.</w:t>
      </w:r>
    </w:p>
    <w:p w14:paraId="0A651546" w14:textId="77777777" w:rsidR="006654A5" w:rsidRPr="006654A5" w:rsidRDefault="006654A5" w:rsidP="006654A5">
      <w:pPr>
        <w:spacing w:line="360" w:lineRule="auto"/>
        <w:rPr>
          <w:rFonts w:ascii="Arial" w:hAnsi="Arial" w:cs="Arial"/>
          <w:sz w:val="22"/>
          <w:szCs w:val="22"/>
        </w:rPr>
      </w:pPr>
    </w:p>
    <w:p w14:paraId="62EDD294"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Thomas, G., (2017) </w:t>
      </w:r>
      <w:r w:rsidRPr="00C2326E">
        <w:rPr>
          <w:rFonts w:ascii="Arial" w:hAnsi="Arial" w:cs="Arial"/>
          <w:i/>
          <w:iCs/>
          <w:sz w:val="22"/>
          <w:szCs w:val="22"/>
        </w:rPr>
        <w:t>How to Do Your Research Project: A Guide for Students</w:t>
      </w:r>
      <w:r w:rsidRPr="006654A5">
        <w:rPr>
          <w:rFonts w:ascii="Arial" w:hAnsi="Arial" w:cs="Arial"/>
          <w:sz w:val="22"/>
          <w:szCs w:val="22"/>
        </w:rPr>
        <w:t>. 3rd Edition ed. London: Sage Publications Ltd.</w:t>
      </w:r>
    </w:p>
    <w:p w14:paraId="58B461CA" w14:textId="77777777" w:rsidR="006654A5" w:rsidRPr="006654A5" w:rsidRDefault="006654A5" w:rsidP="006654A5">
      <w:pPr>
        <w:spacing w:line="360" w:lineRule="auto"/>
        <w:rPr>
          <w:rFonts w:ascii="Arial" w:hAnsi="Arial" w:cs="Arial"/>
          <w:sz w:val="22"/>
          <w:szCs w:val="22"/>
        </w:rPr>
      </w:pPr>
    </w:p>
    <w:p w14:paraId="1B185D0C"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Tong, A., Sainsbury, P. &amp; Craig, J., (2007) </w:t>
      </w:r>
      <w:r w:rsidRPr="00C2326E">
        <w:rPr>
          <w:rFonts w:ascii="Arial" w:hAnsi="Arial" w:cs="Arial"/>
          <w:i/>
          <w:iCs/>
          <w:sz w:val="22"/>
          <w:szCs w:val="22"/>
        </w:rPr>
        <w:t>Consolidated criteria for reporting qualitative research: a 32-item checklist.</w:t>
      </w:r>
      <w:r w:rsidRPr="006654A5">
        <w:rPr>
          <w:rFonts w:ascii="Arial" w:hAnsi="Arial" w:cs="Arial"/>
          <w:sz w:val="22"/>
          <w:szCs w:val="22"/>
        </w:rPr>
        <w:t xml:space="preserve"> International Journal for Quality in Health Care, 19(6), pp. 349-357.</w:t>
      </w:r>
    </w:p>
    <w:p w14:paraId="10B666F6" w14:textId="77777777" w:rsidR="006654A5" w:rsidRPr="006654A5" w:rsidRDefault="006654A5" w:rsidP="006654A5">
      <w:pPr>
        <w:spacing w:line="360" w:lineRule="auto"/>
        <w:rPr>
          <w:rFonts w:ascii="Arial" w:hAnsi="Arial" w:cs="Arial"/>
          <w:sz w:val="22"/>
          <w:szCs w:val="22"/>
        </w:rPr>
      </w:pPr>
    </w:p>
    <w:p w14:paraId="4098976D"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UWTSD, (2022) </w:t>
      </w:r>
      <w:r w:rsidRPr="00C2326E">
        <w:rPr>
          <w:rFonts w:ascii="Arial" w:hAnsi="Arial" w:cs="Arial"/>
          <w:i/>
          <w:iCs/>
          <w:sz w:val="22"/>
          <w:szCs w:val="22"/>
        </w:rPr>
        <w:t>Research in Education</w:t>
      </w:r>
      <w:r w:rsidRPr="006654A5">
        <w:rPr>
          <w:rFonts w:ascii="Arial" w:hAnsi="Arial" w:cs="Arial"/>
          <w:sz w:val="22"/>
          <w:szCs w:val="22"/>
        </w:rPr>
        <w:t xml:space="preserve">. [Online] </w:t>
      </w:r>
    </w:p>
    <w:p w14:paraId="38F602F2"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lastRenderedPageBreak/>
        <w:t>Available at: https://www.uwtsd.ac.uk/research/education-communities/</w:t>
      </w:r>
    </w:p>
    <w:p w14:paraId="50DBC94B"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[Accessed 11 April 2022].</w:t>
      </w:r>
    </w:p>
    <w:p w14:paraId="1AC611BF" w14:textId="77777777" w:rsidR="006654A5" w:rsidRPr="006654A5" w:rsidRDefault="006654A5" w:rsidP="006654A5">
      <w:pPr>
        <w:spacing w:line="360" w:lineRule="auto"/>
        <w:rPr>
          <w:rFonts w:ascii="Arial" w:hAnsi="Arial" w:cs="Arial"/>
          <w:sz w:val="22"/>
          <w:szCs w:val="22"/>
        </w:rPr>
      </w:pPr>
    </w:p>
    <w:p w14:paraId="3BA39B83"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Vygotsky, L., (1978) </w:t>
      </w:r>
      <w:r w:rsidRPr="00C2326E">
        <w:rPr>
          <w:rFonts w:ascii="Arial" w:hAnsi="Arial" w:cs="Arial"/>
          <w:i/>
          <w:iCs/>
          <w:sz w:val="22"/>
          <w:szCs w:val="22"/>
        </w:rPr>
        <w:t>Mind in Society: The Development of Higher Psychological Processes.</w:t>
      </w:r>
      <w:r w:rsidRPr="006654A5">
        <w:rPr>
          <w:rFonts w:ascii="Arial" w:hAnsi="Arial" w:cs="Arial"/>
          <w:sz w:val="22"/>
          <w:szCs w:val="22"/>
        </w:rPr>
        <w:t xml:space="preserve"> Cambridge: Harvard University Press.</w:t>
      </w:r>
    </w:p>
    <w:p w14:paraId="0E91C33D" w14:textId="77777777" w:rsidR="006654A5" w:rsidRPr="006654A5" w:rsidRDefault="006654A5" w:rsidP="006654A5">
      <w:pPr>
        <w:spacing w:line="360" w:lineRule="auto"/>
        <w:rPr>
          <w:rFonts w:ascii="Arial" w:hAnsi="Arial" w:cs="Arial"/>
          <w:sz w:val="22"/>
          <w:szCs w:val="22"/>
        </w:rPr>
      </w:pPr>
    </w:p>
    <w:p w14:paraId="08FBBC0D"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Warwick, P. et al., (2016) </w:t>
      </w:r>
      <w:r w:rsidRPr="00C2326E">
        <w:rPr>
          <w:rFonts w:ascii="Arial" w:hAnsi="Arial" w:cs="Arial"/>
          <w:i/>
          <w:iCs/>
          <w:sz w:val="22"/>
          <w:szCs w:val="22"/>
        </w:rPr>
        <w:t>Connecting observations of student and teacher learning: an examination of dialogic processes in Lesson Study discussions in mathematics</w:t>
      </w:r>
      <w:r w:rsidRPr="006654A5">
        <w:rPr>
          <w:rFonts w:ascii="Arial" w:hAnsi="Arial" w:cs="Arial"/>
          <w:sz w:val="22"/>
          <w:szCs w:val="22"/>
        </w:rPr>
        <w:t>. ZDM Mathematics Education, 48(4).</w:t>
      </w:r>
    </w:p>
    <w:p w14:paraId="3C69FDBD" w14:textId="77777777" w:rsidR="006654A5" w:rsidRPr="006654A5" w:rsidRDefault="006654A5" w:rsidP="006654A5">
      <w:pPr>
        <w:spacing w:line="360" w:lineRule="auto"/>
        <w:rPr>
          <w:rFonts w:ascii="Arial" w:hAnsi="Arial" w:cs="Arial"/>
          <w:sz w:val="22"/>
          <w:szCs w:val="22"/>
        </w:rPr>
      </w:pPr>
    </w:p>
    <w:p w14:paraId="49380C48"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Welsh Government, (2022) </w:t>
      </w:r>
      <w:r w:rsidRPr="00C2326E">
        <w:rPr>
          <w:rFonts w:ascii="Arial" w:hAnsi="Arial" w:cs="Arial"/>
          <w:i/>
          <w:iCs/>
          <w:sz w:val="22"/>
          <w:szCs w:val="22"/>
        </w:rPr>
        <w:t>Curriculum design and the four purposes</w:t>
      </w:r>
      <w:r w:rsidRPr="006654A5">
        <w:rPr>
          <w:rFonts w:ascii="Arial" w:hAnsi="Arial" w:cs="Arial"/>
          <w:sz w:val="22"/>
          <w:szCs w:val="22"/>
        </w:rPr>
        <w:t xml:space="preserve">. [Online] </w:t>
      </w:r>
    </w:p>
    <w:p w14:paraId="063C1115"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Available at: https://hwb.gov.wales/curriculum-for-wales/designing-your-curriculum/developing-a-vision-for-curriculum-design/#curriculum-design-and-the-four-purposes</w:t>
      </w:r>
    </w:p>
    <w:p w14:paraId="49680DD2"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[Accessed 4 February 2023].</w:t>
      </w:r>
    </w:p>
    <w:p w14:paraId="37E71E29" w14:textId="77777777" w:rsidR="006654A5" w:rsidRPr="006654A5" w:rsidRDefault="006654A5" w:rsidP="006654A5">
      <w:pPr>
        <w:spacing w:line="360" w:lineRule="auto"/>
        <w:rPr>
          <w:rFonts w:ascii="Arial" w:hAnsi="Arial" w:cs="Arial"/>
          <w:sz w:val="22"/>
          <w:szCs w:val="22"/>
        </w:rPr>
      </w:pPr>
    </w:p>
    <w:p w14:paraId="387CE1D0"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Welsh Government, (2020). </w:t>
      </w:r>
      <w:r w:rsidRPr="00C2326E">
        <w:rPr>
          <w:rFonts w:ascii="Arial" w:hAnsi="Arial" w:cs="Arial"/>
          <w:i/>
          <w:iCs/>
          <w:sz w:val="22"/>
          <w:szCs w:val="22"/>
        </w:rPr>
        <w:t>Education in Wales: Our national mission</w:t>
      </w:r>
      <w:r w:rsidRPr="006654A5">
        <w:rPr>
          <w:rFonts w:ascii="Arial" w:hAnsi="Arial" w:cs="Arial"/>
          <w:sz w:val="22"/>
          <w:szCs w:val="22"/>
        </w:rPr>
        <w:t xml:space="preserve">. [Online] </w:t>
      </w:r>
    </w:p>
    <w:p w14:paraId="29EFB704"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Available at: https://www.gov.wales/sites/default/files/publications/2020-01/education-in-wales-our-national-mission.pdf</w:t>
      </w:r>
    </w:p>
    <w:p w14:paraId="6C4CCEBF"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[Accessed 5 February 2023].</w:t>
      </w:r>
    </w:p>
    <w:p w14:paraId="59A45B5D" w14:textId="77777777" w:rsidR="006654A5" w:rsidRPr="006654A5" w:rsidRDefault="006654A5" w:rsidP="006654A5">
      <w:pPr>
        <w:spacing w:line="360" w:lineRule="auto"/>
        <w:rPr>
          <w:rFonts w:ascii="Arial" w:hAnsi="Arial" w:cs="Arial"/>
          <w:sz w:val="22"/>
          <w:szCs w:val="22"/>
        </w:rPr>
      </w:pPr>
    </w:p>
    <w:p w14:paraId="1151E0DF"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Welsh Government, (2019) </w:t>
      </w:r>
      <w:r w:rsidRPr="00C2326E">
        <w:rPr>
          <w:rFonts w:ascii="Arial" w:hAnsi="Arial" w:cs="Arial"/>
          <w:i/>
          <w:iCs/>
          <w:sz w:val="22"/>
          <w:szCs w:val="22"/>
        </w:rPr>
        <w:t>Professional standards for teaching and leadership</w:t>
      </w:r>
      <w:r w:rsidRPr="006654A5">
        <w:rPr>
          <w:rFonts w:ascii="Arial" w:hAnsi="Arial" w:cs="Arial"/>
          <w:sz w:val="22"/>
          <w:szCs w:val="22"/>
        </w:rPr>
        <w:t>, Cardiff: OGL.</w:t>
      </w:r>
    </w:p>
    <w:p w14:paraId="14ADED08" w14:textId="77777777" w:rsidR="006654A5" w:rsidRPr="006654A5" w:rsidRDefault="006654A5" w:rsidP="006654A5">
      <w:pPr>
        <w:spacing w:line="360" w:lineRule="auto"/>
        <w:rPr>
          <w:rFonts w:ascii="Arial" w:hAnsi="Arial" w:cs="Arial"/>
          <w:sz w:val="22"/>
          <w:szCs w:val="22"/>
        </w:rPr>
      </w:pPr>
    </w:p>
    <w:p w14:paraId="6F6B140F"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Welsh Government, (2020). </w:t>
      </w:r>
      <w:r w:rsidRPr="00C2326E">
        <w:rPr>
          <w:rFonts w:ascii="Arial" w:hAnsi="Arial" w:cs="Arial"/>
          <w:i/>
          <w:iCs/>
          <w:sz w:val="22"/>
          <w:szCs w:val="22"/>
        </w:rPr>
        <w:t>Renew and reform: supporting learners' wellbeing and progression. Our education COIVD-19 recovery plan</w:t>
      </w:r>
      <w:proofErr w:type="gramStart"/>
      <w:r w:rsidRPr="006654A5">
        <w:rPr>
          <w:rFonts w:ascii="Arial" w:hAnsi="Arial" w:cs="Arial"/>
          <w:sz w:val="22"/>
          <w:szCs w:val="22"/>
        </w:rPr>
        <w:t>. ,</w:t>
      </w:r>
      <w:proofErr w:type="gramEnd"/>
      <w:r w:rsidRPr="006654A5">
        <w:rPr>
          <w:rFonts w:ascii="Arial" w:hAnsi="Arial" w:cs="Arial"/>
          <w:sz w:val="22"/>
          <w:szCs w:val="22"/>
        </w:rPr>
        <w:t xml:space="preserve"> Cardiff: WG.</w:t>
      </w:r>
    </w:p>
    <w:p w14:paraId="79ED8094" w14:textId="77777777" w:rsidR="006654A5" w:rsidRPr="006654A5" w:rsidRDefault="006654A5" w:rsidP="006654A5">
      <w:pPr>
        <w:spacing w:line="360" w:lineRule="auto"/>
        <w:rPr>
          <w:rFonts w:ascii="Arial" w:hAnsi="Arial" w:cs="Arial"/>
          <w:sz w:val="22"/>
          <w:szCs w:val="22"/>
        </w:rPr>
      </w:pPr>
    </w:p>
    <w:p w14:paraId="276A94CB"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Welsh Government, (2023) </w:t>
      </w:r>
      <w:r w:rsidRPr="00C2326E">
        <w:rPr>
          <w:rFonts w:ascii="Arial" w:hAnsi="Arial" w:cs="Arial"/>
          <w:i/>
          <w:iCs/>
          <w:sz w:val="22"/>
          <w:szCs w:val="22"/>
        </w:rPr>
        <w:t>Curriculum for Wales</w:t>
      </w:r>
      <w:r w:rsidRPr="006654A5">
        <w:rPr>
          <w:rFonts w:ascii="Arial" w:hAnsi="Arial" w:cs="Arial"/>
          <w:sz w:val="22"/>
          <w:szCs w:val="22"/>
        </w:rPr>
        <w:t xml:space="preserve">. [Online] </w:t>
      </w:r>
    </w:p>
    <w:p w14:paraId="3EDB004B"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Available at: https://hwb.gov.wales/curriculum-for-wales</w:t>
      </w:r>
    </w:p>
    <w:p w14:paraId="72A72133"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[Accessed 3 February 2023].</w:t>
      </w:r>
    </w:p>
    <w:p w14:paraId="10B18735" w14:textId="77777777" w:rsidR="006654A5" w:rsidRPr="006654A5" w:rsidRDefault="006654A5" w:rsidP="006654A5">
      <w:pPr>
        <w:spacing w:line="360" w:lineRule="auto"/>
        <w:rPr>
          <w:rFonts w:ascii="Arial" w:hAnsi="Arial" w:cs="Arial"/>
          <w:sz w:val="22"/>
          <w:szCs w:val="22"/>
        </w:rPr>
      </w:pPr>
    </w:p>
    <w:p w14:paraId="059CC277"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Wieviorka, M., (1992). </w:t>
      </w:r>
      <w:r w:rsidRPr="00C2326E">
        <w:rPr>
          <w:rFonts w:ascii="Arial" w:hAnsi="Arial" w:cs="Arial"/>
          <w:i/>
          <w:iCs/>
          <w:sz w:val="22"/>
          <w:szCs w:val="22"/>
        </w:rPr>
        <w:t>Case studies: history or sociology</w:t>
      </w:r>
      <w:r w:rsidRPr="006654A5">
        <w:rPr>
          <w:rFonts w:ascii="Arial" w:hAnsi="Arial" w:cs="Arial"/>
          <w:sz w:val="22"/>
          <w:szCs w:val="22"/>
        </w:rPr>
        <w:t>? In: C. Ragin &amp; H. Becker, eds. What is a case? Exploring the Foundations of Social Inquiry. Cambridge: Cambridge University Press, pp. 159-172.</w:t>
      </w:r>
    </w:p>
    <w:p w14:paraId="69DD0A46" w14:textId="77777777" w:rsidR="006654A5" w:rsidRPr="006654A5" w:rsidRDefault="006654A5" w:rsidP="006654A5">
      <w:pPr>
        <w:spacing w:line="360" w:lineRule="auto"/>
        <w:rPr>
          <w:rFonts w:ascii="Arial" w:hAnsi="Arial" w:cs="Arial"/>
          <w:sz w:val="22"/>
          <w:szCs w:val="22"/>
        </w:rPr>
      </w:pPr>
    </w:p>
    <w:p w14:paraId="5FDFFE5D"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Wiliam, D. &amp; Black, P., (2006) </w:t>
      </w:r>
      <w:r w:rsidRPr="00C2326E">
        <w:rPr>
          <w:rFonts w:ascii="Arial" w:hAnsi="Arial" w:cs="Arial"/>
          <w:i/>
          <w:iCs/>
          <w:sz w:val="22"/>
          <w:szCs w:val="22"/>
        </w:rPr>
        <w:t>Inside the black box</w:t>
      </w:r>
      <w:r w:rsidRPr="006654A5">
        <w:rPr>
          <w:rFonts w:ascii="Arial" w:hAnsi="Arial" w:cs="Arial"/>
          <w:sz w:val="22"/>
          <w:szCs w:val="22"/>
        </w:rPr>
        <w:t>. In: K. C. London, ed. Raising standards through classroom assessment. London: GL Assessment Limited, p. 2.</w:t>
      </w:r>
    </w:p>
    <w:p w14:paraId="2F2E14F2" w14:textId="77777777" w:rsidR="006654A5" w:rsidRPr="006654A5" w:rsidRDefault="006654A5" w:rsidP="006654A5">
      <w:pPr>
        <w:spacing w:line="360" w:lineRule="auto"/>
        <w:rPr>
          <w:rFonts w:ascii="Arial" w:hAnsi="Arial" w:cs="Arial"/>
          <w:sz w:val="22"/>
          <w:szCs w:val="22"/>
        </w:rPr>
      </w:pPr>
    </w:p>
    <w:p w14:paraId="15E6559E"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Wiliam, D. &amp; Lee, C., (2005) </w:t>
      </w:r>
      <w:r w:rsidRPr="00C2326E">
        <w:rPr>
          <w:rFonts w:ascii="Arial" w:hAnsi="Arial" w:cs="Arial"/>
          <w:i/>
          <w:iCs/>
          <w:sz w:val="22"/>
          <w:szCs w:val="22"/>
        </w:rPr>
        <w:t>Studying changes in the practice of two teachers developing assessment for learning.</w:t>
      </w:r>
      <w:r w:rsidRPr="006654A5">
        <w:rPr>
          <w:rFonts w:ascii="Arial" w:hAnsi="Arial" w:cs="Arial"/>
          <w:sz w:val="22"/>
          <w:szCs w:val="22"/>
        </w:rPr>
        <w:t xml:space="preserve"> Teacher Development, 9(1), pp. 265-283.</w:t>
      </w:r>
    </w:p>
    <w:p w14:paraId="406F4FBC" w14:textId="77777777" w:rsidR="006654A5" w:rsidRPr="006654A5" w:rsidRDefault="006654A5" w:rsidP="006654A5">
      <w:pPr>
        <w:spacing w:line="360" w:lineRule="auto"/>
        <w:rPr>
          <w:rFonts w:ascii="Arial" w:hAnsi="Arial" w:cs="Arial"/>
          <w:sz w:val="22"/>
          <w:szCs w:val="22"/>
        </w:rPr>
      </w:pPr>
    </w:p>
    <w:p w14:paraId="0952C820"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Williams, K., (2003) </w:t>
      </w:r>
      <w:r w:rsidRPr="00C2326E">
        <w:rPr>
          <w:rFonts w:ascii="Arial" w:hAnsi="Arial" w:cs="Arial"/>
          <w:i/>
          <w:iCs/>
          <w:sz w:val="22"/>
          <w:szCs w:val="22"/>
        </w:rPr>
        <w:t>Promoting Independent Learning in the Primary Classroom</w:t>
      </w:r>
      <w:r w:rsidRPr="006654A5">
        <w:rPr>
          <w:rFonts w:ascii="Arial" w:hAnsi="Arial" w:cs="Arial"/>
          <w:sz w:val="22"/>
          <w:szCs w:val="22"/>
        </w:rPr>
        <w:t>. Buckingham: Open University Press.</w:t>
      </w:r>
    </w:p>
    <w:p w14:paraId="47D42B85" w14:textId="77777777" w:rsidR="006654A5" w:rsidRPr="006654A5" w:rsidRDefault="006654A5" w:rsidP="006654A5">
      <w:pPr>
        <w:spacing w:line="360" w:lineRule="auto"/>
        <w:rPr>
          <w:rFonts w:ascii="Arial" w:hAnsi="Arial" w:cs="Arial"/>
          <w:sz w:val="22"/>
          <w:szCs w:val="22"/>
        </w:rPr>
      </w:pPr>
    </w:p>
    <w:p w14:paraId="31967A7D" w14:textId="77777777" w:rsidR="006654A5" w:rsidRPr="006654A5" w:rsidRDefault="006654A5" w:rsidP="006654A5">
      <w:pPr>
        <w:spacing w:line="360" w:lineRule="auto"/>
        <w:rPr>
          <w:rFonts w:ascii="Arial" w:hAnsi="Arial" w:cs="Arial"/>
          <w:sz w:val="22"/>
          <w:szCs w:val="22"/>
        </w:rPr>
      </w:pPr>
      <w:r w:rsidRPr="006654A5">
        <w:rPr>
          <w:rFonts w:ascii="Arial" w:hAnsi="Arial" w:cs="Arial"/>
          <w:sz w:val="22"/>
          <w:szCs w:val="22"/>
        </w:rPr>
        <w:t xml:space="preserve">Yin, R., (2014) </w:t>
      </w:r>
      <w:r w:rsidRPr="00C2326E">
        <w:rPr>
          <w:rFonts w:ascii="Arial" w:hAnsi="Arial" w:cs="Arial"/>
          <w:i/>
          <w:iCs/>
          <w:sz w:val="22"/>
          <w:szCs w:val="22"/>
        </w:rPr>
        <w:t>Case Study Research: Design and Methods.</w:t>
      </w:r>
      <w:r w:rsidRPr="006654A5">
        <w:rPr>
          <w:rFonts w:ascii="Arial" w:hAnsi="Arial" w:cs="Arial"/>
          <w:sz w:val="22"/>
          <w:szCs w:val="22"/>
        </w:rPr>
        <w:t xml:space="preserve"> 5th Edition ed. Thousand Oaks, CA: Sage Publications.</w:t>
      </w:r>
    </w:p>
    <w:p w14:paraId="74E5D9D6" w14:textId="77777777" w:rsidR="006654A5" w:rsidRPr="006654A5" w:rsidRDefault="006654A5" w:rsidP="006654A5">
      <w:pPr>
        <w:spacing w:line="360" w:lineRule="auto"/>
        <w:rPr>
          <w:rFonts w:ascii="Arial" w:hAnsi="Arial" w:cs="Arial"/>
          <w:sz w:val="22"/>
          <w:szCs w:val="22"/>
        </w:rPr>
      </w:pPr>
    </w:p>
    <w:p w14:paraId="30E2CB13" w14:textId="77777777" w:rsidR="006654A5" w:rsidRPr="006654A5" w:rsidRDefault="006654A5" w:rsidP="006654A5">
      <w:pPr>
        <w:spacing w:line="360" w:lineRule="auto"/>
        <w:rPr>
          <w:rFonts w:ascii="Arial" w:hAnsi="Arial" w:cs="Arial"/>
          <w:sz w:val="22"/>
          <w:szCs w:val="22"/>
        </w:rPr>
      </w:pPr>
    </w:p>
    <w:p w14:paraId="079553C6" w14:textId="77777777" w:rsidR="006654A5" w:rsidRPr="006654A5" w:rsidRDefault="006654A5" w:rsidP="006654A5">
      <w:pPr>
        <w:spacing w:line="360" w:lineRule="auto"/>
        <w:rPr>
          <w:rFonts w:ascii="Arial" w:hAnsi="Arial" w:cs="Arial"/>
          <w:sz w:val="22"/>
          <w:szCs w:val="22"/>
        </w:rPr>
      </w:pPr>
    </w:p>
    <w:p w14:paraId="06BB8B6E" w14:textId="77777777" w:rsidR="006654A5" w:rsidRPr="006654A5" w:rsidRDefault="006654A5" w:rsidP="006654A5">
      <w:pPr>
        <w:spacing w:line="360" w:lineRule="auto"/>
        <w:rPr>
          <w:rFonts w:ascii="Arial" w:hAnsi="Arial" w:cs="Arial"/>
          <w:sz w:val="22"/>
          <w:szCs w:val="22"/>
        </w:rPr>
      </w:pPr>
    </w:p>
    <w:p w14:paraId="63E0ACC9" w14:textId="77777777" w:rsidR="006654A5" w:rsidRPr="006654A5" w:rsidRDefault="006654A5" w:rsidP="006654A5">
      <w:pPr>
        <w:spacing w:line="360" w:lineRule="auto"/>
        <w:rPr>
          <w:rFonts w:ascii="Arial" w:hAnsi="Arial" w:cs="Arial"/>
          <w:sz w:val="22"/>
          <w:szCs w:val="22"/>
        </w:rPr>
      </w:pPr>
    </w:p>
    <w:p w14:paraId="3D519334" w14:textId="77777777" w:rsidR="006654A5" w:rsidRPr="006654A5" w:rsidRDefault="006654A5" w:rsidP="006654A5">
      <w:pPr>
        <w:spacing w:line="360" w:lineRule="auto"/>
        <w:rPr>
          <w:rFonts w:ascii="Arial" w:hAnsi="Arial" w:cs="Arial"/>
          <w:sz w:val="22"/>
          <w:szCs w:val="22"/>
        </w:rPr>
      </w:pPr>
    </w:p>
    <w:p w14:paraId="4168017A" w14:textId="77777777" w:rsidR="00FA23E5" w:rsidRPr="006654A5" w:rsidRDefault="00FA23E5" w:rsidP="00FA23E5">
      <w:pPr>
        <w:spacing w:line="360" w:lineRule="auto"/>
        <w:rPr>
          <w:rFonts w:ascii="Arial" w:hAnsi="Arial" w:cs="Arial"/>
          <w:sz w:val="22"/>
          <w:szCs w:val="22"/>
        </w:rPr>
      </w:pPr>
    </w:p>
    <w:sectPr w:rsidR="00FA23E5" w:rsidRPr="006654A5" w:rsidSect="00C0473C">
      <w:headerReference w:type="default" r:id="rId8"/>
      <w:footerReference w:type="even"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701EB" w14:textId="77777777" w:rsidR="00311781" w:rsidRDefault="00311781" w:rsidP="002A07A2">
      <w:r>
        <w:separator/>
      </w:r>
    </w:p>
  </w:endnote>
  <w:endnote w:type="continuationSeparator" w:id="0">
    <w:p w14:paraId="5D0E2BE8" w14:textId="77777777" w:rsidR="00311781" w:rsidRDefault="00311781" w:rsidP="002A0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4508672"/>
      <w:docPartObj>
        <w:docPartGallery w:val="Page Numbers (Bottom of Page)"/>
        <w:docPartUnique/>
      </w:docPartObj>
    </w:sdtPr>
    <w:sdtEndPr>
      <w:rPr>
        <w:rStyle w:val="PageNumber"/>
      </w:rPr>
    </w:sdtEndPr>
    <w:sdtContent>
      <w:p w14:paraId="3ABE997B" w14:textId="14063AAE" w:rsidR="00C0473C" w:rsidRDefault="00C0473C" w:rsidP="00460A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E455D7" w14:textId="77777777" w:rsidR="00C0473C" w:rsidRDefault="00C0473C" w:rsidP="00C0473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0527369"/>
      <w:docPartObj>
        <w:docPartGallery w:val="Page Numbers (Bottom of Page)"/>
        <w:docPartUnique/>
      </w:docPartObj>
    </w:sdtPr>
    <w:sdtEndPr>
      <w:rPr>
        <w:rStyle w:val="PageNumber"/>
      </w:rPr>
    </w:sdtEndPr>
    <w:sdtContent>
      <w:p w14:paraId="23E14DEF" w14:textId="59523785" w:rsidR="00C0473C" w:rsidRDefault="00C0473C" w:rsidP="00460A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4DF00F" w14:textId="714A2A4C" w:rsidR="00C0473C" w:rsidRDefault="00C0473C" w:rsidP="00C0473C">
    <w:pPr>
      <w:pStyle w:val="Footer"/>
      <w:ind w:right="3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60B69" w14:textId="77777777" w:rsidR="00311781" w:rsidRDefault="00311781" w:rsidP="002A07A2">
      <w:r>
        <w:separator/>
      </w:r>
    </w:p>
  </w:footnote>
  <w:footnote w:type="continuationSeparator" w:id="0">
    <w:p w14:paraId="3C9A7872" w14:textId="77777777" w:rsidR="00311781" w:rsidRDefault="00311781" w:rsidP="002A07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328EA" w14:textId="092255EC" w:rsidR="002A07A2" w:rsidRPr="002A07A2" w:rsidRDefault="002A07A2" w:rsidP="002A07A2">
    <w:pPr>
      <w:pStyle w:val="Header"/>
      <w:rPr>
        <w:rFonts w:asciiTheme="majorHAnsi" w:hAnsiTheme="majorHAnsi" w:cstheme="majorHAnsi"/>
        <w:color w:val="808080" w:themeColor="background1" w:themeShade="80"/>
      </w:rPr>
    </w:pPr>
    <w:r w:rsidRPr="002A07A2">
      <w:rPr>
        <w:rFonts w:asciiTheme="majorHAnsi" w:hAnsiTheme="majorHAnsi" w:cstheme="majorHAnsi"/>
        <w:color w:val="808080" w:themeColor="background1" w:themeShade="80"/>
      </w:rPr>
      <w:t>ECAD</w:t>
    </w:r>
    <w:r w:rsidR="00C02025">
      <w:rPr>
        <w:rFonts w:asciiTheme="majorHAnsi" w:hAnsiTheme="majorHAnsi" w:cstheme="majorHAnsi"/>
        <w:color w:val="808080" w:themeColor="background1" w:themeShade="80"/>
      </w:rPr>
      <w:t>6</w:t>
    </w:r>
    <w:r w:rsidRPr="002A07A2">
      <w:rPr>
        <w:rFonts w:asciiTheme="majorHAnsi" w:hAnsiTheme="majorHAnsi" w:cstheme="majorHAnsi"/>
        <w:color w:val="808080" w:themeColor="background1" w:themeShade="80"/>
      </w:rPr>
      <w:t xml:space="preserve">010 Assignment                                                </w:t>
    </w:r>
    <w:r>
      <w:rPr>
        <w:rFonts w:asciiTheme="majorHAnsi" w:hAnsiTheme="majorHAnsi" w:cstheme="majorHAnsi"/>
        <w:color w:val="808080" w:themeColor="background1" w:themeShade="80"/>
      </w:rPr>
      <w:t xml:space="preserve">                        </w:t>
    </w:r>
    <w:r w:rsidRPr="002A07A2">
      <w:rPr>
        <w:rFonts w:asciiTheme="majorHAnsi" w:hAnsiTheme="majorHAnsi" w:cstheme="majorHAnsi"/>
        <w:color w:val="808080" w:themeColor="background1" w:themeShade="80"/>
      </w:rPr>
      <w:t xml:space="preserve">       Student number: 1605158</w:t>
    </w:r>
  </w:p>
  <w:p w14:paraId="09E885A4" w14:textId="077D6C5F" w:rsidR="002A07A2" w:rsidRPr="002A07A2" w:rsidRDefault="002A07A2" w:rsidP="002A07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13986"/>
    <w:multiLevelType w:val="multilevel"/>
    <w:tmpl w:val="FEA6C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1A1BA9"/>
    <w:multiLevelType w:val="hybridMultilevel"/>
    <w:tmpl w:val="8ED2A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E39B6"/>
    <w:multiLevelType w:val="hybridMultilevel"/>
    <w:tmpl w:val="8946D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8A0C25"/>
    <w:multiLevelType w:val="hybridMultilevel"/>
    <w:tmpl w:val="1480C37A"/>
    <w:lvl w:ilvl="0" w:tplc="E3EE9C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5C1530"/>
    <w:multiLevelType w:val="hybridMultilevel"/>
    <w:tmpl w:val="6218BD3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C545BC"/>
    <w:multiLevelType w:val="hybridMultilevel"/>
    <w:tmpl w:val="F3803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C93D1B"/>
    <w:multiLevelType w:val="hybridMultilevel"/>
    <w:tmpl w:val="0AACE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FF7408"/>
    <w:multiLevelType w:val="hybridMultilevel"/>
    <w:tmpl w:val="3556A2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92726E7"/>
    <w:multiLevelType w:val="hybridMultilevel"/>
    <w:tmpl w:val="3ED25C24"/>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9" w15:restartNumberingAfterBreak="0">
    <w:nsid w:val="4AD0404C"/>
    <w:multiLevelType w:val="hybridMultilevel"/>
    <w:tmpl w:val="DE9CA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A363E2"/>
    <w:multiLevelType w:val="hybridMultilevel"/>
    <w:tmpl w:val="82EC1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4C4EE4"/>
    <w:multiLevelType w:val="multilevel"/>
    <w:tmpl w:val="71401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2591878">
    <w:abstractNumId w:val="10"/>
  </w:num>
  <w:num w:numId="2" w16cid:durableId="1625696529">
    <w:abstractNumId w:val="5"/>
  </w:num>
  <w:num w:numId="3" w16cid:durableId="1808234288">
    <w:abstractNumId w:val="9"/>
  </w:num>
  <w:num w:numId="4" w16cid:durableId="6644366">
    <w:abstractNumId w:val="4"/>
  </w:num>
  <w:num w:numId="5" w16cid:durableId="95910448">
    <w:abstractNumId w:val="7"/>
  </w:num>
  <w:num w:numId="6" w16cid:durableId="1224176785">
    <w:abstractNumId w:val="11"/>
  </w:num>
  <w:num w:numId="7" w16cid:durableId="1272081519">
    <w:abstractNumId w:val="0"/>
  </w:num>
  <w:num w:numId="8" w16cid:durableId="1066221128">
    <w:abstractNumId w:val="1"/>
  </w:num>
  <w:num w:numId="9" w16cid:durableId="173881711">
    <w:abstractNumId w:val="2"/>
  </w:num>
  <w:num w:numId="10" w16cid:durableId="52705364">
    <w:abstractNumId w:val="6"/>
  </w:num>
  <w:num w:numId="11" w16cid:durableId="47996478">
    <w:abstractNumId w:val="8"/>
  </w:num>
  <w:num w:numId="12" w16cid:durableId="9090765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7A2"/>
    <w:rsid w:val="00000FD4"/>
    <w:rsid w:val="00003631"/>
    <w:rsid w:val="000064B6"/>
    <w:rsid w:val="000137ED"/>
    <w:rsid w:val="00014C43"/>
    <w:rsid w:val="00022B29"/>
    <w:rsid w:val="000231C2"/>
    <w:rsid w:val="00031F08"/>
    <w:rsid w:val="00034226"/>
    <w:rsid w:val="0003601C"/>
    <w:rsid w:val="00040067"/>
    <w:rsid w:val="00040681"/>
    <w:rsid w:val="000407CD"/>
    <w:rsid w:val="000411E9"/>
    <w:rsid w:val="00042DEB"/>
    <w:rsid w:val="000434A3"/>
    <w:rsid w:val="00044E19"/>
    <w:rsid w:val="0004593E"/>
    <w:rsid w:val="00046CAE"/>
    <w:rsid w:val="000520CA"/>
    <w:rsid w:val="000548C2"/>
    <w:rsid w:val="00055EBA"/>
    <w:rsid w:val="00062571"/>
    <w:rsid w:val="00063689"/>
    <w:rsid w:val="00066E7F"/>
    <w:rsid w:val="0007051B"/>
    <w:rsid w:val="000710AC"/>
    <w:rsid w:val="00071FDA"/>
    <w:rsid w:val="00074093"/>
    <w:rsid w:val="0008009E"/>
    <w:rsid w:val="000810CF"/>
    <w:rsid w:val="0008206E"/>
    <w:rsid w:val="00083817"/>
    <w:rsid w:val="0008431A"/>
    <w:rsid w:val="000879FC"/>
    <w:rsid w:val="0009055D"/>
    <w:rsid w:val="0009122B"/>
    <w:rsid w:val="00091411"/>
    <w:rsid w:val="00097469"/>
    <w:rsid w:val="000977D6"/>
    <w:rsid w:val="00097843"/>
    <w:rsid w:val="000A2D2F"/>
    <w:rsid w:val="000A7A49"/>
    <w:rsid w:val="000B1131"/>
    <w:rsid w:val="000B2CE1"/>
    <w:rsid w:val="000B6885"/>
    <w:rsid w:val="000C538E"/>
    <w:rsid w:val="000C6A02"/>
    <w:rsid w:val="000D4F31"/>
    <w:rsid w:val="000D767D"/>
    <w:rsid w:val="000E0087"/>
    <w:rsid w:val="000E0F23"/>
    <w:rsid w:val="000E158F"/>
    <w:rsid w:val="000E2B2E"/>
    <w:rsid w:val="000E3AB3"/>
    <w:rsid w:val="000E412B"/>
    <w:rsid w:val="000E73DD"/>
    <w:rsid w:val="00100745"/>
    <w:rsid w:val="00102F81"/>
    <w:rsid w:val="00110142"/>
    <w:rsid w:val="00113727"/>
    <w:rsid w:val="00113AD3"/>
    <w:rsid w:val="00115348"/>
    <w:rsid w:val="001218E1"/>
    <w:rsid w:val="00121DEA"/>
    <w:rsid w:val="00122964"/>
    <w:rsid w:val="001330EE"/>
    <w:rsid w:val="00137417"/>
    <w:rsid w:val="00140FCE"/>
    <w:rsid w:val="001430FB"/>
    <w:rsid w:val="001469C5"/>
    <w:rsid w:val="001473CF"/>
    <w:rsid w:val="00154EEB"/>
    <w:rsid w:val="0015551C"/>
    <w:rsid w:val="00157AF1"/>
    <w:rsid w:val="001621B0"/>
    <w:rsid w:val="00164B61"/>
    <w:rsid w:val="00164E12"/>
    <w:rsid w:val="00165F63"/>
    <w:rsid w:val="00166A56"/>
    <w:rsid w:val="001735EF"/>
    <w:rsid w:val="0017409E"/>
    <w:rsid w:val="00174E15"/>
    <w:rsid w:val="00175398"/>
    <w:rsid w:val="00175B72"/>
    <w:rsid w:val="001762BD"/>
    <w:rsid w:val="001803BD"/>
    <w:rsid w:val="00180584"/>
    <w:rsid w:val="00181420"/>
    <w:rsid w:val="00184B4F"/>
    <w:rsid w:val="001853E1"/>
    <w:rsid w:val="001862E4"/>
    <w:rsid w:val="001866E1"/>
    <w:rsid w:val="00187017"/>
    <w:rsid w:val="00190359"/>
    <w:rsid w:val="00193488"/>
    <w:rsid w:val="001943BE"/>
    <w:rsid w:val="001A2C08"/>
    <w:rsid w:val="001A352C"/>
    <w:rsid w:val="001A5D49"/>
    <w:rsid w:val="001A6A1A"/>
    <w:rsid w:val="001A6C01"/>
    <w:rsid w:val="001B1A8B"/>
    <w:rsid w:val="001B1AC7"/>
    <w:rsid w:val="001B1CAC"/>
    <w:rsid w:val="001B23C3"/>
    <w:rsid w:val="001B283B"/>
    <w:rsid w:val="001B2BE1"/>
    <w:rsid w:val="001B58DE"/>
    <w:rsid w:val="001B6B5A"/>
    <w:rsid w:val="001C0484"/>
    <w:rsid w:val="001C2FE0"/>
    <w:rsid w:val="001C3CD4"/>
    <w:rsid w:val="001C4301"/>
    <w:rsid w:val="001C5AF2"/>
    <w:rsid w:val="001D134E"/>
    <w:rsid w:val="001D16C6"/>
    <w:rsid w:val="001D3619"/>
    <w:rsid w:val="001D463D"/>
    <w:rsid w:val="001D4D0C"/>
    <w:rsid w:val="001D583E"/>
    <w:rsid w:val="001D62CD"/>
    <w:rsid w:val="001D754C"/>
    <w:rsid w:val="001D771D"/>
    <w:rsid w:val="001E0CBF"/>
    <w:rsid w:val="001E30C5"/>
    <w:rsid w:val="001E56F7"/>
    <w:rsid w:val="001E73C3"/>
    <w:rsid w:val="001E7D2B"/>
    <w:rsid w:val="001F0B41"/>
    <w:rsid w:val="001F4307"/>
    <w:rsid w:val="00200CC4"/>
    <w:rsid w:val="00201B7C"/>
    <w:rsid w:val="00201DD8"/>
    <w:rsid w:val="00201E6F"/>
    <w:rsid w:val="0020256B"/>
    <w:rsid w:val="00202EE2"/>
    <w:rsid w:val="00203AE6"/>
    <w:rsid w:val="00206831"/>
    <w:rsid w:val="00211674"/>
    <w:rsid w:val="002120A2"/>
    <w:rsid w:val="002135DE"/>
    <w:rsid w:val="00213719"/>
    <w:rsid w:val="00215D02"/>
    <w:rsid w:val="00216844"/>
    <w:rsid w:val="00216ABB"/>
    <w:rsid w:val="00216AF5"/>
    <w:rsid w:val="00223B7A"/>
    <w:rsid w:val="00224413"/>
    <w:rsid w:val="00226422"/>
    <w:rsid w:val="00233CE0"/>
    <w:rsid w:val="00234A3E"/>
    <w:rsid w:val="002374B9"/>
    <w:rsid w:val="002411BF"/>
    <w:rsid w:val="00241BC4"/>
    <w:rsid w:val="00241E45"/>
    <w:rsid w:val="002436BC"/>
    <w:rsid w:val="00255B22"/>
    <w:rsid w:val="0026047E"/>
    <w:rsid w:val="00265A51"/>
    <w:rsid w:val="002707A0"/>
    <w:rsid w:val="0027351F"/>
    <w:rsid w:val="00273A7C"/>
    <w:rsid w:val="002741AF"/>
    <w:rsid w:val="00275381"/>
    <w:rsid w:val="00284C52"/>
    <w:rsid w:val="002854CB"/>
    <w:rsid w:val="00285D0C"/>
    <w:rsid w:val="002935FA"/>
    <w:rsid w:val="002A07A2"/>
    <w:rsid w:val="002A0FB3"/>
    <w:rsid w:val="002A196B"/>
    <w:rsid w:val="002A1B3D"/>
    <w:rsid w:val="002A2142"/>
    <w:rsid w:val="002A7C5C"/>
    <w:rsid w:val="002B4C77"/>
    <w:rsid w:val="002B6CE9"/>
    <w:rsid w:val="002B74A4"/>
    <w:rsid w:val="002C038E"/>
    <w:rsid w:val="002C1AEB"/>
    <w:rsid w:val="002C2F5B"/>
    <w:rsid w:val="002C38C2"/>
    <w:rsid w:val="002D2430"/>
    <w:rsid w:val="002D27FD"/>
    <w:rsid w:val="002E5522"/>
    <w:rsid w:val="002E7BBA"/>
    <w:rsid w:val="002F1FAF"/>
    <w:rsid w:val="002F5197"/>
    <w:rsid w:val="00301C6D"/>
    <w:rsid w:val="003032CB"/>
    <w:rsid w:val="00306283"/>
    <w:rsid w:val="00310830"/>
    <w:rsid w:val="00311781"/>
    <w:rsid w:val="0031325D"/>
    <w:rsid w:val="00316074"/>
    <w:rsid w:val="0031610A"/>
    <w:rsid w:val="003177F9"/>
    <w:rsid w:val="00317EC5"/>
    <w:rsid w:val="003206BB"/>
    <w:rsid w:val="003213BC"/>
    <w:rsid w:val="003230FD"/>
    <w:rsid w:val="0032684E"/>
    <w:rsid w:val="00331115"/>
    <w:rsid w:val="00337AEA"/>
    <w:rsid w:val="00340011"/>
    <w:rsid w:val="00341EEF"/>
    <w:rsid w:val="00347A8B"/>
    <w:rsid w:val="003522E9"/>
    <w:rsid w:val="00352E5E"/>
    <w:rsid w:val="00352F39"/>
    <w:rsid w:val="00355117"/>
    <w:rsid w:val="003556A6"/>
    <w:rsid w:val="003568E3"/>
    <w:rsid w:val="00363561"/>
    <w:rsid w:val="003664F7"/>
    <w:rsid w:val="00370780"/>
    <w:rsid w:val="00374359"/>
    <w:rsid w:val="0037584E"/>
    <w:rsid w:val="003845BC"/>
    <w:rsid w:val="00390D34"/>
    <w:rsid w:val="00391502"/>
    <w:rsid w:val="00392CBE"/>
    <w:rsid w:val="00392EE4"/>
    <w:rsid w:val="0039387B"/>
    <w:rsid w:val="00395889"/>
    <w:rsid w:val="003A4A4A"/>
    <w:rsid w:val="003A6C0A"/>
    <w:rsid w:val="003B13D7"/>
    <w:rsid w:val="003B4A1E"/>
    <w:rsid w:val="003C4F12"/>
    <w:rsid w:val="003C6B4F"/>
    <w:rsid w:val="003D05E0"/>
    <w:rsid w:val="003D2F18"/>
    <w:rsid w:val="003D46B2"/>
    <w:rsid w:val="003D68DE"/>
    <w:rsid w:val="003E064D"/>
    <w:rsid w:val="003E1179"/>
    <w:rsid w:val="003E7DC2"/>
    <w:rsid w:val="003F3273"/>
    <w:rsid w:val="003F663F"/>
    <w:rsid w:val="003F6C55"/>
    <w:rsid w:val="003F76E4"/>
    <w:rsid w:val="0040246E"/>
    <w:rsid w:val="004032B7"/>
    <w:rsid w:val="00416AE2"/>
    <w:rsid w:val="00421F1E"/>
    <w:rsid w:val="00422FDC"/>
    <w:rsid w:val="00423744"/>
    <w:rsid w:val="0042459C"/>
    <w:rsid w:val="004245EC"/>
    <w:rsid w:val="00424601"/>
    <w:rsid w:val="00433BA7"/>
    <w:rsid w:val="004359B2"/>
    <w:rsid w:val="004377B7"/>
    <w:rsid w:val="00445C80"/>
    <w:rsid w:val="00451CAA"/>
    <w:rsid w:val="00452431"/>
    <w:rsid w:val="00456E2C"/>
    <w:rsid w:val="00457861"/>
    <w:rsid w:val="00457C6E"/>
    <w:rsid w:val="00462AE2"/>
    <w:rsid w:val="00463BB7"/>
    <w:rsid w:val="00471570"/>
    <w:rsid w:val="00471D25"/>
    <w:rsid w:val="004761DB"/>
    <w:rsid w:val="004826E8"/>
    <w:rsid w:val="00483ED5"/>
    <w:rsid w:val="00484FE3"/>
    <w:rsid w:val="0048567A"/>
    <w:rsid w:val="00485E51"/>
    <w:rsid w:val="00490D42"/>
    <w:rsid w:val="00496CBB"/>
    <w:rsid w:val="00497052"/>
    <w:rsid w:val="00497BFC"/>
    <w:rsid w:val="004A0EB0"/>
    <w:rsid w:val="004A1527"/>
    <w:rsid w:val="004A234D"/>
    <w:rsid w:val="004A4269"/>
    <w:rsid w:val="004B477E"/>
    <w:rsid w:val="004B489E"/>
    <w:rsid w:val="004C11CA"/>
    <w:rsid w:val="004C6A4A"/>
    <w:rsid w:val="004D1501"/>
    <w:rsid w:val="004D4571"/>
    <w:rsid w:val="004D69DB"/>
    <w:rsid w:val="004E34B4"/>
    <w:rsid w:val="004E630B"/>
    <w:rsid w:val="004E67AF"/>
    <w:rsid w:val="004F253B"/>
    <w:rsid w:val="004F3609"/>
    <w:rsid w:val="004F4D77"/>
    <w:rsid w:val="004F5031"/>
    <w:rsid w:val="005016E1"/>
    <w:rsid w:val="0050409D"/>
    <w:rsid w:val="00505959"/>
    <w:rsid w:val="0051144F"/>
    <w:rsid w:val="00517735"/>
    <w:rsid w:val="00522CB5"/>
    <w:rsid w:val="00525AF9"/>
    <w:rsid w:val="005266E9"/>
    <w:rsid w:val="005272A7"/>
    <w:rsid w:val="00527E3C"/>
    <w:rsid w:val="00530721"/>
    <w:rsid w:val="00532591"/>
    <w:rsid w:val="00535DA5"/>
    <w:rsid w:val="005368D0"/>
    <w:rsid w:val="005406CB"/>
    <w:rsid w:val="00540929"/>
    <w:rsid w:val="00540E03"/>
    <w:rsid w:val="005427BD"/>
    <w:rsid w:val="00543E6A"/>
    <w:rsid w:val="005445CD"/>
    <w:rsid w:val="0054503F"/>
    <w:rsid w:val="00550557"/>
    <w:rsid w:val="0055142F"/>
    <w:rsid w:val="00551729"/>
    <w:rsid w:val="00556C5B"/>
    <w:rsid w:val="00560927"/>
    <w:rsid w:val="005619AF"/>
    <w:rsid w:val="005621FA"/>
    <w:rsid w:val="005655ED"/>
    <w:rsid w:val="00570E5C"/>
    <w:rsid w:val="00571712"/>
    <w:rsid w:val="00576659"/>
    <w:rsid w:val="005801C6"/>
    <w:rsid w:val="005806F6"/>
    <w:rsid w:val="00581960"/>
    <w:rsid w:val="005841D1"/>
    <w:rsid w:val="00585D3E"/>
    <w:rsid w:val="00585ED9"/>
    <w:rsid w:val="0058775E"/>
    <w:rsid w:val="00587AF5"/>
    <w:rsid w:val="005921DF"/>
    <w:rsid w:val="00593003"/>
    <w:rsid w:val="00596C58"/>
    <w:rsid w:val="005A1B5A"/>
    <w:rsid w:val="005A40D5"/>
    <w:rsid w:val="005A5179"/>
    <w:rsid w:val="005A5F33"/>
    <w:rsid w:val="005B0E88"/>
    <w:rsid w:val="005B487E"/>
    <w:rsid w:val="005B4D9E"/>
    <w:rsid w:val="005B53A1"/>
    <w:rsid w:val="005C422D"/>
    <w:rsid w:val="005C43EF"/>
    <w:rsid w:val="005C50C5"/>
    <w:rsid w:val="005C640F"/>
    <w:rsid w:val="005D0FC7"/>
    <w:rsid w:val="005D5B5F"/>
    <w:rsid w:val="005E0F66"/>
    <w:rsid w:val="005E6657"/>
    <w:rsid w:val="005F0F5E"/>
    <w:rsid w:val="005F3271"/>
    <w:rsid w:val="005F4C4E"/>
    <w:rsid w:val="005F5E8B"/>
    <w:rsid w:val="005F63E4"/>
    <w:rsid w:val="005F78B2"/>
    <w:rsid w:val="0060008F"/>
    <w:rsid w:val="0060015A"/>
    <w:rsid w:val="00612748"/>
    <w:rsid w:val="00620121"/>
    <w:rsid w:val="00630277"/>
    <w:rsid w:val="00642043"/>
    <w:rsid w:val="00642429"/>
    <w:rsid w:val="00642E50"/>
    <w:rsid w:val="00650B7C"/>
    <w:rsid w:val="0066164B"/>
    <w:rsid w:val="00662EA5"/>
    <w:rsid w:val="006654A5"/>
    <w:rsid w:val="00666A30"/>
    <w:rsid w:val="006703B2"/>
    <w:rsid w:val="00672EC0"/>
    <w:rsid w:val="0067351A"/>
    <w:rsid w:val="00680356"/>
    <w:rsid w:val="00682C93"/>
    <w:rsid w:val="00684600"/>
    <w:rsid w:val="00687A5D"/>
    <w:rsid w:val="00691C54"/>
    <w:rsid w:val="0069276A"/>
    <w:rsid w:val="00692F59"/>
    <w:rsid w:val="006954D8"/>
    <w:rsid w:val="006955C0"/>
    <w:rsid w:val="006971A7"/>
    <w:rsid w:val="00697828"/>
    <w:rsid w:val="006A2293"/>
    <w:rsid w:val="006A626C"/>
    <w:rsid w:val="006B04CA"/>
    <w:rsid w:val="006B14E0"/>
    <w:rsid w:val="006B47E4"/>
    <w:rsid w:val="006B5B6B"/>
    <w:rsid w:val="006C0203"/>
    <w:rsid w:val="006C0871"/>
    <w:rsid w:val="006C25AB"/>
    <w:rsid w:val="006C2D4C"/>
    <w:rsid w:val="006C3FBA"/>
    <w:rsid w:val="006C4915"/>
    <w:rsid w:val="006C49FE"/>
    <w:rsid w:val="006C5FCB"/>
    <w:rsid w:val="006C658D"/>
    <w:rsid w:val="006D08DF"/>
    <w:rsid w:val="006D13CA"/>
    <w:rsid w:val="006D2617"/>
    <w:rsid w:val="006D33C7"/>
    <w:rsid w:val="006E2D5C"/>
    <w:rsid w:val="006E413E"/>
    <w:rsid w:val="006E612F"/>
    <w:rsid w:val="006E7E99"/>
    <w:rsid w:val="006F0CEA"/>
    <w:rsid w:val="006F0EFE"/>
    <w:rsid w:val="006F148E"/>
    <w:rsid w:val="006F24D1"/>
    <w:rsid w:val="006F3977"/>
    <w:rsid w:val="00703A5E"/>
    <w:rsid w:val="0070493D"/>
    <w:rsid w:val="00712A3E"/>
    <w:rsid w:val="00724127"/>
    <w:rsid w:val="00731EF7"/>
    <w:rsid w:val="00733BF2"/>
    <w:rsid w:val="00743893"/>
    <w:rsid w:val="00751F38"/>
    <w:rsid w:val="00754A94"/>
    <w:rsid w:val="00754C69"/>
    <w:rsid w:val="00755502"/>
    <w:rsid w:val="007571BD"/>
    <w:rsid w:val="00775D8C"/>
    <w:rsid w:val="00786491"/>
    <w:rsid w:val="00791A9E"/>
    <w:rsid w:val="007927C7"/>
    <w:rsid w:val="007A23F2"/>
    <w:rsid w:val="007C37A8"/>
    <w:rsid w:val="007C4CBD"/>
    <w:rsid w:val="007D301F"/>
    <w:rsid w:val="007D4141"/>
    <w:rsid w:val="007D4A2E"/>
    <w:rsid w:val="007D5D11"/>
    <w:rsid w:val="007D6413"/>
    <w:rsid w:val="007E0747"/>
    <w:rsid w:val="007E3E12"/>
    <w:rsid w:val="007E702F"/>
    <w:rsid w:val="007F03F8"/>
    <w:rsid w:val="007F20CB"/>
    <w:rsid w:val="00800765"/>
    <w:rsid w:val="00800B5F"/>
    <w:rsid w:val="00800C4C"/>
    <w:rsid w:val="008016C5"/>
    <w:rsid w:val="00806056"/>
    <w:rsid w:val="008068A9"/>
    <w:rsid w:val="00806EA5"/>
    <w:rsid w:val="00807B58"/>
    <w:rsid w:val="00812E35"/>
    <w:rsid w:val="008151F2"/>
    <w:rsid w:val="0082008E"/>
    <w:rsid w:val="008204B0"/>
    <w:rsid w:val="00822AA5"/>
    <w:rsid w:val="00833E8E"/>
    <w:rsid w:val="0083772A"/>
    <w:rsid w:val="00840042"/>
    <w:rsid w:val="0084097F"/>
    <w:rsid w:val="00840B12"/>
    <w:rsid w:val="00846BE0"/>
    <w:rsid w:val="00851F42"/>
    <w:rsid w:val="00862DE5"/>
    <w:rsid w:val="008650FD"/>
    <w:rsid w:val="008724BD"/>
    <w:rsid w:val="00872C9D"/>
    <w:rsid w:val="00873912"/>
    <w:rsid w:val="00874E74"/>
    <w:rsid w:val="0087590C"/>
    <w:rsid w:val="00877401"/>
    <w:rsid w:val="0088080C"/>
    <w:rsid w:val="00882D74"/>
    <w:rsid w:val="008844F4"/>
    <w:rsid w:val="00890E56"/>
    <w:rsid w:val="00891F04"/>
    <w:rsid w:val="008938A9"/>
    <w:rsid w:val="00894FF5"/>
    <w:rsid w:val="00895080"/>
    <w:rsid w:val="0089703A"/>
    <w:rsid w:val="008A16FB"/>
    <w:rsid w:val="008A2D06"/>
    <w:rsid w:val="008A652B"/>
    <w:rsid w:val="008A6535"/>
    <w:rsid w:val="008A6B26"/>
    <w:rsid w:val="008B2EB5"/>
    <w:rsid w:val="008B462D"/>
    <w:rsid w:val="008C6C81"/>
    <w:rsid w:val="008C73A3"/>
    <w:rsid w:val="008D03B2"/>
    <w:rsid w:val="008D457F"/>
    <w:rsid w:val="008D45D0"/>
    <w:rsid w:val="008E3197"/>
    <w:rsid w:val="008E5109"/>
    <w:rsid w:val="008E667C"/>
    <w:rsid w:val="008E6D4E"/>
    <w:rsid w:val="008F1446"/>
    <w:rsid w:val="008F7ED3"/>
    <w:rsid w:val="0090192E"/>
    <w:rsid w:val="00906FB7"/>
    <w:rsid w:val="00907868"/>
    <w:rsid w:val="00907CBC"/>
    <w:rsid w:val="009128F2"/>
    <w:rsid w:val="00912DA4"/>
    <w:rsid w:val="009176F5"/>
    <w:rsid w:val="009209B1"/>
    <w:rsid w:val="009212F2"/>
    <w:rsid w:val="00921D56"/>
    <w:rsid w:val="009243E9"/>
    <w:rsid w:val="00934081"/>
    <w:rsid w:val="00934E69"/>
    <w:rsid w:val="00940D76"/>
    <w:rsid w:val="009424FE"/>
    <w:rsid w:val="009511EC"/>
    <w:rsid w:val="00951AD7"/>
    <w:rsid w:val="009520FA"/>
    <w:rsid w:val="0095224E"/>
    <w:rsid w:val="00955DC0"/>
    <w:rsid w:val="009567CA"/>
    <w:rsid w:val="00960F91"/>
    <w:rsid w:val="00966BC6"/>
    <w:rsid w:val="00967E7A"/>
    <w:rsid w:val="009711F7"/>
    <w:rsid w:val="009723FF"/>
    <w:rsid w:val="009733FB"/>
    <w:rsid w:val="00981E6E"/>
    <w:rsid w:val="00992F19"/>
    <w:rsid w:val="009A1727"/>
    <w:rsid w:val="009A4BD9"/>
    <w:rsid w:val="009A6B2F"/>
    <w:rsid w:val="009B59A8"/>
    <w:rsid w:val="009B7E1B"/>
    <w:rsid w:val="009C18A4"/>
    <w:rsid w:val="009C2200"/>
    <w:rsid w:val="009C32B3"/>
    <w:rsid w:val="009C45CC"/>
    <w:rsid w:val="009C6BDA"/>
    <w:rsid w:val="009C7E9C"/>
    <w:rsid w:val="009D01EE"/>
    <w:rsid w:val="009D4EB6"/>
    <w:rsid w:val="009E2A82"/>
    <w:rsid w:val="009E3485"/>
    <w:rsid w:val="009E4052"/>
    <w:rsid w:val="009E4FFB"/>
    <w:rsid w:val="009F4557"/>
    <w:rsid w:val="009F4CB8"/>
    <w:rsid w:val="009F7115"/>
    <w:rsid w:val="00A03774"/>
    <w:rsid w:val="00A05978"/>
    <w:rsid w:val="00A07605"/>
    <w:rsid w:val="00A1012A"/>
    <w:rsid w:val="00A13C21"/>
    <w:rsid w:val="00A1573C"/>
    <w:rsid w:val="00A2040E"/>
    <w:rsid w:val="00A20824"/>
    <w:rsid w:val="00A21A73"/>
    <w:rsid w:val="00A241BA"/>
    <w:rsid w:val="00A24D5F"/>
    <w:rsid w:val="00A33338"/>
    <w:rsid w:val="00A372B7"/>
    <w:rsid w:val="00A37848"/>
    <w:rsid w:val="00A37B12"/>
    <w:rsid w:val="00A37B68"/>
    <w:rsid w:val="00A4085D"/>
    <w:rsid w:val="00A41371"/>
    <w:rsid w:val="00A434E0"/>
    <w:rsid w:val="00A43DB8"/>
    <w:rsid w:val="00A52B33"/>
    <w:rsid w:val="00A54B52"/>
    <w:rsid w:val="00A556E6"/>
    <w:rsid w:val="00A61D6D"/>
    <w:rsid w:val="00A70C7E"/>
    <w:rsid w:val="00A71CFF"/>
    <w:rsid w:val="00A7207F"/>
    <w:rsid w:val="00A732A1"/>
    <w:rsid w:val="00A75323"/>
    <w:rsid w:val="00A80F7E"/>
    <w:rsid w:val="00A81FEB"/>
    <w:rsid w:val="00A83369"/>
    <w:rsid w:val="00A84DBF"/>
    <w:rsid w:val="00A90E24"/>
    <w:rsid w:val="00AA28E8"/>
    <w:rsid w:val="00AA43C4"/>
    <w:rsid w:val="00AA5CDF"/>
    <w:rsid w:val="00AA5CF1"/>
    <w:rsid w:val="00AB2C72"/>
    <w:rsid w:val="00AB401F"/>
    <w:rsid w:val="00AB4B07"/>
    <w:rsid w:val="00AB6297"/>
    <w:rsid w:val="00AB69A8"/>
    <w:rsid w:val="00AB763C"/>
    <w:rsid w:val="00AB7646"/>
    <w:rsid w:val="00AD00EC"/>
    <w:rsid w:val="00AD01D1"/>
    <w:rsid w:val="00AD0A1A"/>
    <w:rsid w:val="00AD4813"/>
    <w:rsid w:val="00AD5CCF"/>
    <w:rsid w:val="00AE36C0"/>
    <w:rsid w:val="00AE493B"/>
    <w:rsid w:val="00AE732E"/>
    <w:rsid w:val="00AF0CD2"/>
    <w:rsid w:val="00AF4B75"/>
    <w:rsid w:val="00AF6492"/>
    <w:rsid w:val="00AF6544"/>
    <w:rsid w:val="00AF6D63"/>
    <w:rsid w:val="00B06F5B"/>
    <w:rsid w:val="00B07DE4"/>
    <w:rsid w:val="00B07E9F"/>
    <w:rsid w:val="00B10181"/>
    <w:rsid w:val="00B12C5E"/>
    <w:rsid w:val="00B137F2"/>
    <w:rsid w:val="00B14CB4"/>
    <w:rsid w:val="00B159D3"/>
    <w:rsid w:val="00B1667E"/>
    <w:rsid w:val="00B2146F"/>
    <w:rsid w:val="00B2233F"/>
    <w:rsid w:val="00B245BE"/>
    <w:rsid w:val="00B2507A"/>
    <w:rsid w:val="00B31491"/>
    <w:rsid w:val="00B31CCD"/>
    <w:rsid w:val="00B337FC"/>
    <w:rsid w:val="00B35A2E"/>
    <w:rsid w:val="00B3792E"/>
    <w:rsid w:val="00B42458"/>
    <w:rsid w:val="00B44041"/>
    <w:rsid w:val="00B47BF1"/>
    <w:rsid w:val="00B551AF"/>
    <w:rsid w:val="00B5526B"/>
    <w:rsid w:val="00B56A23"/>
    <w:rsid w:val="00B57B45"/>
    <w:rsid w:val="00B608BB"/>
    <w:rsid w:val="00B65BE7"/>
    <w:rsid w:val="00B65E2D"/>
    <w:rsid w:val="00B708E1"/>
    <w:rsid w:val="00B7306B"/>
    <w:rsid w:val="00B74694"/>
    <w:rsid w:val="00B75A5A"/>
    <w:rsid w:val="00B801B1"/>
    <w:rsid w:val="00B80426"/>
    <w:rsid w:val="00B80432"/>
    <w:rsid w:val="00B8198D"/>
    <w:rsid w:val="00B81EE0"/>
    <w:rsid w:val="00B82969"/>
    <w:rsid w:val="00B83AAC"/>
    <w:rsid w:val="00B87749"/>
    <w:rsid w:val="00B90A72"/>
    <w:rsid w:val="00B94ECE"/>
    <w:rsid w:val="00BA33C1"/>
    <w:rsid w:val="00BA3914"/>
    <w:rsid w:val="00BA584A"/>
    <w:rsid w:val="00BA5A82"/>
    <w:rsid w:val="00BA7EB9"/>
    <w:rsid w:val="00BB02B2"/>
    <w:rsid w:val="00BB13DA"/>
    <w:rsid w:val="00BB389B"/>
    <w:rsid w:val="00BB3AA6"/>
    <w:rsid w:val="00BB69B2"/>
    <w:rsid w:val="00BC1801"/>
    <w:rsid w:val="00BC3901"/>
    <w:rsid w:val="00BC4057"/>
    <w:rsid w:val="00BC4BEB"/>
    <w:rsid w:val="00BC545D"/>
    <w:rsid w:val="00BC6D2B"/>
    <w:rsid w:val="00BD17B0"/>
    <w:rsid w:val="00BD6F88"/>
    <w:rsid w:val="00BD75AB"/>
    <w:rsid w:val="00BF1E56"/>
    <w:rsid w:val="00BF20F5"/>
    <w:rsid w:val="00BF3FC4"/>
    <w:rsid w:val="00C02025"/>
    <w:rsid w:val="00C0473C"/>
    <w:rsid w:val="00C04F29"/>
    <w:rsid w:val="00C05822"/>
    <w:rsid w:val="00C11AC0"/>
    <w:rsid w:val="00C141B4"/>
    <w:rsid w:val="00C21937"/>
    <w:rsid w:val="00C2326E"/>
    <w:rsid w:val="00C346B5"/>
    <w:rsid w:val="00C359F0"/>
    <w:rsid w:val="00C35CC0"/>
    <w:rsid w:val="00C46C37"/>
    <w:rsid w:val="00C50CA1"/>
    <w:rsid w:val="00C50ED6"/>
    <w:rsid w:val="00C56822"/>
    <w:rsid w:val="00C56850"/>
    <w:rsid w:val="00C638DE"/>
    <w:rsid w:val="00C63B20"/>
    <w:rsid w:val="00C74D23"/>
    <w:rsid w:val="00C76534"/>
    <w:rsid w:val="00C821C0"/>
    <w:rsid w:val="00C8364F"/>
    <w:rsid w:val="00C83A6C"/>
    <w:rsid w:val="00C84F32"/>
    <w:rsid w:val="00C85658"/>
    <w:rsid w:val="00C87DA7"/>
    <w:rsid w:val="00C908B8"/>
    <w:rsid w:val="00C90FDA"/>
    <w:rsid w:val="00C97B82"/>
    <w:rsid w:val="00C97D0D"/>
    <w:rsid w:val="00CA0349"/>
    <w:rsid w:val="00CA085D"/>
    <w:rsid w:val="00CA599D"/>
    <w:rsid w:val="00CA5B8A"/>
    <w:rsid w:val="00CB3361"/>
    <w:rsid w:val="00CB380F"/>
    <w:rsid w:val="00CB4F6D"/>
    <w:rsid w:val="00CB54DD"/>
    <w:rsid w:val="00CB6AA4"/>
    <w:rsid w:val="00CC1230"/>
    <w:rsid w:val="00CC7705"/>
    <w:rsid w:val="00CD1435"/>
    <w:rsid w:val="00CD78BD"/>
    <w:rsid w:val="00CD7C6A"/>
    <w:rsid w:val="00CE4C1E"/>
    <w:rsid w:val="00CE6CCE"/>
    <w:rsid w:val="00CF1C83"/>
    <w:rsid w:val="00CF2CBA"/>
    <w:rsid w:val="00CF408E"/>
    <w:rsid w:val="00CF630F"/>
    <w:rsid w:val="00CF7397"/>
    <w:rsid w:val="00CF7A4C"/>
    <w:rsid w:val="00D014FF"/>
    <w:rsid w:val="00D026D0"/>
    <w:rsid w:val="00D03C3E"/>
    <w:rsid w:val="00D04205"/>
    <w:rsid w:val="00D04BBE"/>
    <w:rsid w:val="00D06CC0"/>
    <w:rsid w:val="00D1338E"/>
    <w:rsid w:val="00D14FFC"/>
    <w:rsid w:val="00D17832"/>
    <w:rsid w:val="00D2048C"/>
    <w:rsid w:val="00D25231"/>
    <w:rsid w:val="00D2655A"/>
    <w:rsid w:val="00D305DB"/>
    <w:rsid w:val="00D30910"/>
    <w:rsid w:val="00D30B6B"/>
    <w:rsid w:val="00D3392A"/>
    <w:rsid w:val="00D3655B"/>
    <w:rsid w:val="00D471DD"/>
    <w:rsid w:val="00D532E2"/>
    <w:rsid w:val="00D553D0"/>
    <w:rsid w:val="00D55DE8"/>
    <w:rsid w:val="00D63CE2"/>
    <w:rsid w:val="00D712CA"/>
    <w:rsid w:val="00D72A80"/>
    <w:rsid w:val="00D73C62"/>
    <w:rsid w:val="00D75CD7"/>
    <w:rsid w:val="00D81F5A"/>
    <w:rsid w:val="00D845B6"/>
    <w:rsid w:val="00D84B13"/>
    <w:rsid w:val="00D84F85"/>
    <w:rsid w:val="00D873EE"/>
    <w:rsid w:val="00D87855"/>
    <w:rsid w:val="00D9063B"/>
    <w:rsid w:val="00D911B5"/>
    <w:rsid w:val="00D927CF"/>
    <w:rsid w:val="00D93151"/>
    <w:rsid w:val="00D93BFE"/>
    <w:rsid w:val="00D948AC"/>
    <w:rsid w:val="00D96272"/>
    <w:rsid w:val="00DA108C"/>
    <w:rsid w:val="00DA600A"/>
    <w:rsid w:val="00DA7C16"/>
    <w:rsid w:val="00DB1018"/>
    <w:rsid w:val="00DB1BAD"/>
    <w:rsid w:val="00DB6A56"/>
    <w:rsid w:val="00DC0C40"/>
    <w:rsid w:val="00DC0E80"/>
    <w:rsid w:val="00DC3035"/>
    <w:rsid w:val="00DC4A91"/>
    <w:rsid w:val="00DC5013"/>
    <w:rsid w:val="00DD0A48"/>
    <w:rsid w:val="00DD162F"/>
    <w:rsid w:val="00DD1DDC"/>
    <w:rsid w:val="00DD7EF0"/>
    <w:rsid w:val="00DE1BCA"/>
    <w:rsid w:val="00DE22ED"/>
    <w:rsid w:val="00DE2356"/>
    <w:rsid w:val="00DF0D7B"/>
    <w:rsid w:val="00E00F70"/>
    <w:rsid w:val="00E03C22"/>
    <w:rsid w:val="00E04B2B"/>
    <w:rsid w:val="00E050CD"/>
    <w:rsid w:val="00E05990"/>
    <w:rsid w:val="00E05DE0"/>
    <w:rsid w:val="00E12219"/>
    <w:rsid w:val="00E12A40"/>
    <w:rsid w:val="00E1681B"/>
    <w:rsid w:val="00E1705A"/>
    <w:rsid w:val="00E2083B"/>
    <w:rsid w:val="00E21D6D"/>
    <w:rsid w:val="00E22B35"/>
    <w:rsid w:val="00E247C8"/>
    <w:rsid w:val="00E30356"/>
    <w:rsid w:val="00E34B36"/>
    <w:rsid w:val="00E35A16"/>
    <w:rsid w:val="00E35C57"/>
    <w:rsid w:val="00E4185E"/>
    <w:rsid w:val="00E431B9"/>
    <w:rsid w:val="00E43777"/>
    <w:rsid w:val="00E451C2"/>
    <w:rsid w:val="00E4532A"/>
    <w:rsid w:val="00E45B81"/>
    <w:rsid w:val="00E47E59"/>
    <w:rsid w:val="00E502E6"/>
    <w:rsid w:val="00E54A80"/>
    <w:rsid w:val="00E5590B"/>
    <w:rsid w:val="00E575C5"/>
    <w:rsid w:val="00E6448F"/>
    <w:rsid w:val="00E7259B"/>
    <w:rsid w:val="00E75A81"/>
    <w:rsid w:val="00E77321"/>
    <w:rsid w:val="00E83A96"/>
    <w:rsid w:val="00E83B02"/>
    <w:rsid w:val="00E84E1F"/>
    <w:rsid w:val="00E86CD7"/>
    <w:rsid w:val="00E86E1F"/>
    <w:rsid w:val="00E92169"/>
    <w:rsid w:val="00E92591"/>
    <w:rsid w:val="00E97A4F"/>
    <w:rsid w:val="00EA0FA5"/>
    <w:rsid w:val="00EA3068"/>
    <w:rsid w:val="00EB2882"/>
    <w:rsid w:val="00EB4649"/>
    <w:rsid w:val="00EB6387"/>
    <w:rsid w:val="00EB7509"/>
    <w:rsid w:val="00EC154B"/>
    <w:rsid w:val="00EC57E3"/>
    <w:rsid w:val="00EC642E"/>
    <w:rsid w:val="00EC6968"/>
    <w:rsid w:val="00EC7802"/>
    <w:rsid w:val="00ED615A"/>
    <w:rsid w:val="00EE0BF8"/>
    <w:rsid w:val="00EE6F10"/>
    <w:rsid w:val="00EF0CB7"/>
    <w:rsid w:val="00EF12A4"/>
    <w:rsid w:val="00EF1613"/>
    <w:rsid w:val="00EF43D3"/>
    <w:rsid w:val="00EF45B0"/>
    <w:rsid w:val="00EF5846"/>
    <w:rsid w:val="00F00A0A"/>
    <w:rsid w:val="00F0413D"/>
    <w:rsid w:val="00F043EF"/>
    <w:rsid w:val="00F056E1"/>
    <w:rsid w:val="00F11C56"/>
    <w:rsid w:val="00F20E88"/>
    <w:rsid w:val="00F24086"/>
    <w:rsid w:val="00F24979"/>
    <w:rsid w:val="00F254D4"/>
    <w:rsid w:val="00F322A9"/>
    <w:rsid w:val="00F33831"/>
    <w:rsid w:val="00F3423F"/>
    <w:rsid w:val="00F36A85"/>
    <w:rsid w:val="00F36B92"/>
    <w:rsid w:val="00F43723"/>
    <w:rsid w:val="00F50CFD"/>
    <w:rsid w:val="00F54060"/>
    <w:rsid w:val="00F5497B"/>
    <w:rsid w:val="00F6064A"/>
    <w:rsid w:val="00F609AF"/>
    <w:rsid w:val="00F61C42"/>
    <w:rsid w:val="00F66B99"/>
    <w:rsid w:val="00F677D9"/>
    <w:rsid w:val="00F71004"/>
    <w:rsid w:val="00F7493B"/>
    <w:rsid w:val="00F74EBD"/>
    <w:rsid w:val="00F74F3A"/>
    <w:rsid w:val="00F75650"/>
    <w:rsid w:val="00F83803"/>
    <w:rsid w:val="00F845C6"/>
    <w:rsid w:val="00F90996"/>
    <w:rsid w:val="00F9321D"/>
    <w:rsid w:val="00F94A10"/>
    <w:rsid w:val="00F96A11"/>
    <w:rsid w:val="00FA1E3C"/>
    <w:rsid w:val="00FA23E5"/>
    <w:rsid w:val="00FA6AF9"/>
    <w:rsid w:val="00FA72CC"/>
    <w:rsid w:val="00FB50A5"/>
    <w:rsid w:val="00FB7B8E"/>
    <w:rsid w:val="00FC0B65"/>
    <w:rsid w:val="00FC4722"/>
    <w:rsid w:val="00FC6CAF"/>
    <w:rsid w:val="00FD2F04"/>
    <w:rsid w:val="00FD44D2"/>
    <w:rsid w:val="00FE0C8C"/>
    <w:rsid w:val="00FE0D04"/>
    <w:rsid w:val="00FE35B9"/>
    <w:rsid w:val="00FE57A8"/>
    <w:rsid w:val="00FE5865"/>
    <w:rsid w:val="00FE6001"/>
    <w:rsid w:val="00FF0F3B"/>
    <w:rsid w:val="00FF6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744AD"/>
  <w15:chartTrackingRefBased/>
  <w15:docId w15:val="{348198FF-5E7D-EA49-B68C-AC2E0147F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2F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07A2"/>
    <w:pPr>
      <w:tabs>
        <w:tab w:val="center" w:pos="4513"/>
        <w:tab w:val="right" w:pos="9026"/>
      </w:tabs>
    </w:pPr>
  </w:style>
  <w:style w:type="character" w:customStyle="1" w:styleId="HeaderChar">
    <w:name w:val="Header Char"/>
    <w:basedOn w:val="DefaultParagraphFont"/>
    <w:link w:val="Header"/>
    <w:uiPriority w:val="99"/>
    <w:rsid w:val="002A07A2"/>
  </w:style>
  <w:style w:type="paragraph" w:styleId="Footer">
    <w:name w:val="footer"/>
    <w:basedOn w:val="Normal"/>
    <w:link w:val="FooterChar"/>
    <w:uiPriority w:val="99"/>
    <w:unhideWhenUsed/>
    <w:rsid w:val="002A07A2"/>
    <w:pPr>
      <w:tabs>
        <w:tab w:val="center" w:pos="4513"/>
        <w:tab w:val="right" w:pos="9026"/>
      </w:tabs>
    </w:pPr>
  </w:style>
  <w:style w:type="character" w:customStyle="1" w:styleId="FooterChar">
    <w:name w:val="Footer Char"/>
    <w:basedOn w:val="DefaultParagraphFont"/>
    <w:link w:val="Footer"/>
    <w:uiPriority w:val="99"/>
    <w:rsid w:val="002A07A2"/>
  </w:style>
  <w:style w:type="table" w:styleId="TableGrid">
    <w:name w:val="Table Grid"/>
    <w:basedOn w:val="TableNormal"/>
    <w:uiPriority w:val="39"/>
    <w:rsid w:val="00D1338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D1338E"/>
    <w:pPr>
      <w:spacing w:line="360" w:lineRule="auto"/>
    </w:pPr>
    <w:rPr>
      <w:rFonts w:ascii="Arial" w:hAnsi="Arial"/>
      <w:sz w:val="22"/>
      <w:szCs w:val="22"/>
    </w:rPr>
  </w:style>
  <w:style w:type="character" w:customStyle="1" w:styleId="AssignBodyChar">
    <w:name w:val="AssignBody Char"/>
    <w:basedOn w:val="DefaultParagraphFont"/>
    <w:link w:val="AssignBody"/>
    <w:rsid w:val="00D1338E"/>
    <w:rPr>
      <w:rFonts w:ascii="Arial" w:eastAsia="Times New Roman" w:hAnsi="Arial" w:cs="Times New Roman"/>
      <w:sz w:val="22"/>
      <w:szCs w:val="22"/>
      <w:lang w:eastAsia="en-GB"/>
    </w:rPr>
  </w:style>
  <w:style w:type="character" w:styleId="PageNumber">
    <w:name w:val="page number"/>
    <w:basedOn w:val="DefaultParagraphFont"/>
    <w:uiPriority w:val="99"/>
    <w:semiHidden/>
    <w:unhideWhenUsed/>
    <w:rsid w:val="00C0473C"/>
  </w:style>
  <w:style w:type="paragraph" w:styleId="ListParagraph">
    <w:name w:val="List Paragraph"/>
    <w:basedOn w:val="Normal"/>
    <w:uiPriority w:val="34"/>
    <w:qFormat/>
    <w:rsid w:val="00C02025"/>
    <w:pPr>
      <w:ind w:left="720"/>
      <w:contextualSpacing/>
    </w:pPr>
  </w:style>
  <w:style w:type="paragraph" w:styleId="NormalWeb">
    <w:name w:val="Normal (Web)"/>
    <w:basedOn w:val="Normal"/>
    <w:uiPriority w:val="99"/>
    <w:semiHidden/>
    <w:unhideWhenUsed/>
    <w:rsid w:val="00CC7705"/>
    <w:pPr>
      <w:spacing w:before="100" w:beforeAutospacing="1" w:after="100" w:afterAutospacing="1"/>
    </w:pPr>
  </w:style>
  <w:style w:type="character" w:styleId="Hyperlink">
    <w:name w:val="Hyperlink"/>
    <w:basedOn w:val="DefaultParagraphFont"/>
    <w:uiPriority w:val="99"/>
    <w:unhideWhenUsed/>
    <w:rsid w:val="00BC3901"/>
    <w:rPr>
      <w:color w:val="0563C1" w:themeColor="hyperlink"/>
      <w:u w:val="single"/>
    </w:rPr>
  </w:style>
  <w:style w:type="character" w:styleId="UnresolvedMention">
    <w:name w:val="Unresolved Mention"/>
    <w:basedOn w:val="DefaultParagraphFont"/>
    <w:uiPriority w:val="99"/>
    <w:semiHidden/>
    <w:unhideWhenUsed/>
    <w:rsid w:val="00BC3901"/>
    <w:rPr>
      <w:color w:val="605E5C"/>
      <w:shd w:val="clear" w:color="auto" w:fill="E1DFDD"/>
    </w:rPr>
  </w:style>
  <w:style w:type="character" w:styleId="FollowedHyperlink">
    <w:name w:val="FollowedHyperlink"/>
    <w:basedOn w:val="DefaultParagraphFont"/>
    <w:uiPriority w:val="99"/>
    <w:semiHidden/>
    <w:unhideWhenUsed/>
    <w:rsid w:val="001D62C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69802">
      <w:bodyDiv w:val="1"/>
      <w:marLeft w:val="0"/>
      <w:marRight w:val="0"/>
      <w:marTop w:val="0"/>
      <w:marBottom w:val="0"/>
      <w:divBdr>
        <w:top w:val="none" w:sz="0" w:space="0" w:color="auto"/>
        <w:left w:val="none" w:sz="0" w:space="0" w:color="auto"/>
        <w:bottom w:val="none" w:sz="0" w:space="0" w:color="auto"/>
        <w:right w:val="none" w:sz="0" w:space="0" w:color="auto"/>
      </w:divBdr>
    </w:div>
    <w:div w:id="38095217">
      <w:bodyDiv w:val="1"/>
      <w:marLeft w:val="0"/>
      <w:marRight w:val="0"/>
      <w:marTop w:val="0"/>
      <w:marBottom w:val="0"/>
      <w:divBdr>
        <w:top w:val="none" w:sz="0" w:space="0" w:color="auto"/>
        <w:left w:val="none" w:sz="0" w:space="0" w:color="auto"/>
        <w:bottom w:val="none" w:sz="0" w:space="0" w:color="auto"/>
        <w:right w:val="none" w:sz="0" w:space="0" w:color="auto"/>
      </w:divBdr>
    </w:div>
    <w:div w:id="50856727">
      <w:bodyDiv w:val="1"/>
      <w:marLeft w:val="0"/>
      <w:marRight w:val="0"/>
      <w:marTop w:val="0"/>
      <w:marBottom w:val="0"/>
      <w:divBdr>
        <w:top w:val="none" w:sz="0" w:space="0" w:color="auto"/>
        <w:left w:val="none" w:sz="0" w:space="0" w:color="auto"/>
        <w:bottom w:val="none" w:sz="0" w:space="0" w:color="auto"/>
        <w:right w:val="none" w:sz="0" w:space="0" w:color="auto"/>
      </w:divBdr>
    </w:div>
    <w:div w:id="51973669">
      <w:bodyDiv w:val="1"/>
      <w:marLeft w:val="0"/>
      <w:marRight w:val="0"/>
      <w:marTop w:val="0"/>
      <w:marBottom w:val="0"/>
      <w:divBdr>
        <w:top w:val="none" w:sz="0" w:space="0" w:color="auto"/>
        <w:left w:val="none" w:sz="0" w:space="0" w:color="auto"/>
        <w:bottom w:val="none" w:sz="0" w:space="0" w:color="auto"/>
        <w:right w:val="none" w:sz="0" w:space="0" w:color="auto"/>
      </w:divBdr>
    </w:div>
    <w:div w:id="164901396">
      <w:bodyDiv w:val="1"/>
      <w:marLeft w:val="0"/>
      <w:marRight w:val="0"/>
      <w:marTop w:val="0"/>
      <w:marBottom w:val="0"/>
      <w:divBdr>
        <w:top w:val="none" w:sz="0" w:space="0" w:color="auto"/>
        <w:left w:val="none" w:sz="0" w:space="0" w:color="auto"/>
        <w:bottom w:val="none" w:sz="0" w:space="0" w:color="auto"/>
        <w:right w:val="none" w:sz="0" w:space="0" w:color="auto"/>
      </w:divBdr>
    </w:div>
    <w:div w:id="227035693">
      <w:bodyDiv w:val="1"/>
      <w:marLeft w:val="0"/>
      <w:marRight w:val="0"/>
      <w:marTop w:val="0"/>
      <w:marBottom w:val="0"/>
      <w:divBdr>
        <w:top w:val="none" w:sz="0" w:space="0" w:color="auto"/>
        <w:left w:val="none" w:sz="0" w:space="0" w:color="auto"/>
        <w:bottom w:val="none" w:sz="0" w:space="0" w:color="auto"/>
        <w:right w:val="none" w:sz="0" w:space="0" w:color="auto"/>
      </w:divBdr>
    </w:div>
    <w:div w:id="312638895">
      <w:bodyDiv w:val="1"/>
      <w:marLeft w:val="0"/>
      <w:marRight w:val="0"/>
      <w:marTop w:val="0"/>
      <w:marBottom w:val="0"/>
      <w:divBdr>
        <w:top w:val="none" w:sz="0" w:space="0" w:color="auto"/>
        <w:left w:val="none" w:sz="0" w:space="0" w:color="auto"/>
        <w:bottom w:val="none" w:sz="0" w:space="0" w:color="auto"/>
        <w:right w:val="none" w:sz="0" w:space="0" w:color="auto"/>
      </w:divBdr>
    </w:div>
    <w:div w:id="340746054">
      <w:bodyDiv w:val="1"/>
      <w:marLeft w:val="0"/>
      <w:marRight w:val="0"/>
      <w:marTop w:val="0"/>
      <w:marBottom w:val="0"/>
      <w:divBdr>
        <w:top w:val="none" w:sz="0" w:space="0" w:color="auto"/>
        <w:left w:val="none" w:sz="0" w:space="0" w:color="auto"/>
        <w:bottom w:val="none" w:sz="0" w:space="0" w:color="auto"/>
        <w:right w:val="none" w:sz="0" w:space="0" w:color="auto"/>
      </w:divBdr>
    </w:div>
    <w:div w:id="375086992">
      <w:bodyDiv w:val="1"/>
      <w:marLeft w:val="0"/>
      <w:marRight w:val="0"/>
      <w:marTop w:val="0"/>
      <w:marBottom w:val="0"/>
      <w:divBdr>
        <w:top w:val="none" w:sz="0" w:space="0" w:color="auto"/>
        <w:left w:val="none" w:sz="0" w:space="0" w:color="auto"/>
        <w:bottom w:val="none" w:sz="0" w:space="0" w:color="auto"/>
        <w:right w:val="none" w:sz="0" w:space="0" w:color="auto"/>
      </w:divBdr>
      <w:divsChild>
        <w:div w:id="1800368447">
          <w:marLeft w:val="0"/>
          <w:marRight w:val="0"/>
          <w:marTop w:val="0"/>
          <w:marBottom w:val="0"/>
          <w:divBdr>
            <w:top w:val="single" w:sz="2" w:space="0" w:color="auto"/>
            <w:left w:val="single" w:sz="2" w:space="0" w:color="auto"/>
            <w:bottom w:val="single" w:sz="6" w:space="0" w:color="auto"/>
            <w:right w:val="single" w:sz="2" w:space="0" w:color="auto"/>
          </w:divBdr>
          <w:divsChild>
            <w:div w:id="152576162">
              <w:marLeft w:val="0"/>
              <w:marRight w:val="0"/>
              <w:marTop w:val="100"/>
              <w:marBottom w:val="100"/>
              <w:divBdr>
                <w:top w:val="single" w:sz="2" w:space="0" w:color="D9D9E3"/>
                <w:left w:val="single" w:sz="2" w:space="0" w:color="D9D9E3"/>
                <w:bottom w:val="single" w:sz="2" w:space="0" w:color="D9D9E3"/>
                <w:right w:val="single" w:sz="2" w:space="0" w:color="D9D9E3"/>
              </w:divBdr>
              <w:divsChild>
                <w:div w:id="399400576">
                  <w:marLeft w:val="0"/>
                  <w:marRight w:val="0"/>
                  <w:marTop w:val="0"/>
                  <w:marBottom w:val="0"/>
                  <w:divBdr>
                    <w:top w:val="single" w:sz="2" w:space="0" w:color="D9D9E3"/>
                    <w:left w:val="single" w:sz="2" w:space="0" w:color="D9D9E3"/>
                    <w:bottom w:val="single" w:sz="2" w:space="0" w:color="D9D9E3"/>
                    <w:right w:val="single" w:sz="2" w:space="0" w:color="D9D9E3"/>
                  </w:divBdr>
                  <w:divsChild>
                    <w:div w:id="405953776">
                      <w:marLeft w:val="0"/>
                      <w:marRight w:val="0"/>
                      <w:marTop w:val="0"/>
                      <w:marBottom w:val="0"/>
                      <w:divBdr>
                        <w:top w:val="single" w:sz="2" w:space="0" w:color="D9D9E3"/>
                        <w:left w:val="single" w:sz="2" w:space="0" w:color="D9D9E3"/>
                        <w:bottom w:val="single" w:sz="2" w:space="0" w:color="D9D9E3"/>
                        <w:right w:val="single" w:sz="2" w:space="0" w:color="D9D9E3"/>
                      </w:divBdr>
                      <w:divsChild>
                        <w:div w:id="550845498">
                          <w:marLeft w:val="0"/>
                          <w:marRight w:val="0"/>
                          <w:marTop w:val="0"/>
                          <w:marBottom w:val="0"/>
                          <w:divBdr>
                            <w:top w:val="single" w:sz="2" w:space="0" w:color="D9D9E3"/>
                            <w:left w:val="single" w:sz="2" w:space="0" w:color="D9D9E3"/>
                            <w:bottom w:val="single" w:sz="2" w:space="0" w:color="D9D9E3"/>
                            <w:right w:val="single" w:sz="2" w:space="0" w:color="D9D9E3"/>
                          </w:divBdr>
                          <w:divsChild>
                            <w:div w:id="354234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521225">
      <w:bodyDiv w:val="1"/>
      <w:marLeft w:val="0"/>
      <w:marRight w:val="0"/>
      <w:marTop w:val="0"/>
      <w:marBottom w:val="0"/>
      <w:divBdr>
        <w:top w:val="none" w:sz="0" w:space="0" w:color="auto"/>
        <w:left w:val="none" w:sz="0" w:space="0" w:color="auto"/>
        <w:bottom w:val="none" w:sz="0" w:space="0" w:color="auto"/>
        <w:right w:val="none" w:sz="0" w:space="0" w:color="auto"/>
      </w:divBdr>
    </w:div>
    <w:div w:id="401872929">
      <w:bodyDiv w:val="1"/>
      <w:marLeft w:val="0"/>
      <w:marRight w:val="0"/>
      <w:marTop w:val="0"/>
      <w:marBottom w:val="0"/>
      <w:divBdr>
        <w:top w:val="none" w:sz="0" w:space="0" w:color="auto"/>
        <w:left w:val="none" w:sz="0" w:space="0" w:color="auto"/>
        <w:bottom w:val="none" w:sz="0" w:space="0" w:color="auto"/>
        <w:right w:val="none" w:sz="0" w:space="0" w:color="auto"/>
      </w:divBdr>
    </w:div>
    <w:div w:id="479886435">
      <w:bodyDiv w:val="1"/>
      <w:marLeft w:val="0"/>
      <w:marRight w:val="0"/>
      <w:marTop w:val="0"/>
      <w:marBottom w:val="0"/>
      <w:divBdr>
        <w:top w:val="none" w:sz="0" w:space="0" w:color="auto"/>
        <w:left w:val="none" w:sz="0" w:space="0" w:color="auto"/>
        <w:bottom w:val="none" w:sz="0" w:space="0" w:color="auto"/>
        <w:right w:val="none" w:sz="0" w:space="0" w:color="auto"/>
      </w:divBdr>
    </w:div>
    <w:div w:id="519050762">
      <w:bodyDiv w:val="1"/>
      <w:marLeft w:val="0"/>
      <w:marRight w:val="0"/>
      <w:marTop w:val="0"/>
      <w:marBottom w:val="0"/>
      <w:divBdr>
        <w:top w:val="none" w:sz="0" w:space="0" w:color="auto"/>
        <w:left w:val="none" w:sz="0" w:space="0" w:color="auto"/>
        <w:bottom w:val="none" w:sz="0" w:space="0" w:color="auto"/>
        <w:right w:val="none" w:sz="0" w:space="0" w:color="auto"/>
      </w:divBdr>
    </w:div>
    <w:div w:id="525140289">
      <w:bodyDiv w:val="1"/>
      <w:marLeft w:val="0"/>
      <w:marRight w:val="0"/>
      <w:marTop w:val="0"/>
      <w:marBottom w:val="0"/>
      <w:divBdr>
        <w:top w:val="none" w:sz="0" w:space="0" w:color="auto"/>
        <w:left w:val="none" w:sz="0" w:space="0" w:color="auto"/>
        <w:bottom w:val="none" w:sz="0" w:space="0" w:color="auto"/>
        <w:right w:val="none" w:sz="0" w:space="0" w:color="auto"/>
      </w:divBdr>
    </w:div>
    <w:div w:id="651905071">
      <w:bodyDiv w:val="1"/>
      <w:marLeft w:val="0"/>
      <w:marRight w:val="0"/>
      <w:marTop w:val="0"/>
      <w:marBottom w:val="0"/>
      <w:divBdr>
        <w:top w:val="none" w:sz="0" w:space="0" w:color="auto"/>
        <w:left w:val="none" w:sz="0" w:space="0" w:color="auto"/>
        <w:bottom w:val="none" w:sz="0" w:space="0" w:color="auto"/>
        <w:right w:val="none" w:sz="0" w:space="0" w:color="auto"/>
      </w:divBdr>
    </w:div>
    <w:div w:id="663970214">
      <w:bodyDiv w:val="1"/>
      <w:marLeft w:val="0"/>
      <w:marRight w:val="0"/>
      <w:marTop w:val="0"/>
      <w:marBottom w:val="0"/>
      <w:divBdr>
        <w:top w:val="none" w:sz="0" w:space="0" w:color="auto"/>
        <w:left w:val="none" w:sz="0" w:space="0" w:color="auto"/>
        <w:bottom w:val="none" w:sz="0" w:space="0" w:color="auto"/>
        <w:right w:val="none" w:sz="0" w:space="0" w:color="auto"/>
      </w:divBdr>
    </w:div>
    <w:div w:id="693269825">
      <w:bodyDiv w:val="1"/>
      <w:marLeft w:val="0"/>
      <w:marRight w:val="0"/>
      <w:marTop w:val="0"/>
      <w:marBottom w:val="0"/>
      <w:divBdr>
        <w:top w:val="none" w:sz="0" w:space="0" w:color="auto"/>
        <w:left w:val="none" w:sz="0" w:space="0" w:color="auto"/>
        <w:bottom w:val="none" w:sz="0" w:space="0" w:color="auto"/>
        <w:right w:val="none" w:sz="0" w:space="0" w:color="auto"/>
      </w:divBdr>
      <w:divsChild>
        <w:div w:id="348263466">
          <w:marLeft w:val="0"/>
          <w:marRight w:val="0"/>
          <w:marTop w:val="0"/>
          <w:marBottom w:val="0"/>
          <w:divBdr>
            <w:top w:val="single" w:sz="2" w:space="0" w:color="auto"/>
            <w:left w:val="single" w:sz="2" w:space="0" w:color="auto"/>
            <w:bottom w:val="single" w:sz="6" w:space="0" w:color="auto"/>
            <w:right w:val="single" w:sz="2" w:space="0" w:color="auto"/>
          </w:divBdr>
          <w:divsChild>
            <w:div w:id="561210943">
              <w:marLeft w:val="0"/>
              <w:marRight w:val="0"/>
              <w:marTop w:val="100"/>
              <w:marBottom w:val="100"/>
              <w:divBdr>
                <w:top w:val="single" w:sz="2" w:space="0" w:color="D9D9E3"/>
                <w:left w:val="single" w:sz="2" w:space="0" w:color="D9D9E3"/>
                <w:bottom w:val="single" w:sz="2" w:space="0" w:color="D9D9E3"/>
                <w:right w:val="single" w:sz="2" w:space="0" w:color="D9D9E3"/>
              </w:divBdr>
              <w:divsChild>
                <w:div w:id="835653957">
                  <w:marLeft w:val="0"/>
                  <w:marRight w:val="0"/>
                  <w:marTop w:val="0"/>
                  <w:marBottom w:val="0"/>
                  <w:divBdr>
                    <w:top w:val="single" w:sz="2" w:space="0" w:color="D9D9E3"/>
                    <w:left w:val="single" w:sz="2" w:space="0" w:color="D9D9E3"/>
                    <w:bottom w:val="single" w:sz="2" w:space="0" w:color="D9D9E3"/>
                    <w:right w:val="single" w:sz="2" w:space="0" w:color="D9D9E3"/>
                  </w:divBdr>
                  <w:divsChild>
                    <w:div w:id="762456265">
                      <w:marLeft w:val="0"/>
                      <w:marRight w:val="0"/>
                      <w:marTop w:val="0"/>
                      <w:marBottom w:val="0"/>
                      <w:divBdr>
                        <w:top w:val="single" w:sz="2" w:space="0" w:color="D9D9E3"/>
                        <w:left w:val="single" w:sz="2" w:space="0" w:color="D9D9E3"/>
                        <w:bottom w:val="single" w:sz="2" w:space="0" w:color="D9D9E3"/>
                        <w:right w:val="single" w:sz="2" w:space="0" w:color="D9D9E3"/>
                      </w:divBdr>
                      <w:divsChild>
                        <w:div w:id="499124639">
                          <w:marLeft w:val="0"/>
                          <w:marRight w:val="0"/>
                          <w:marTop w:val="0"/>
                          <w:marBottom w:val="0"/>
                          <w:divBdr>
                            <w:top w:val="single" w:sz="2" w:space="0" w:color="D9D9E3"/>
                            <w:left w:val="single" w:sz="2" w:space="0" w:color="D9D9E3"/>
                            <w:bottom w:val="single" w:sz="2" w:space="0" w:color="D9D9E3"/>
                            <w:right w:val="single" w:sz="2" w:space="0" w:color="D9D9E3"/>
                          </w:divBdr>
                          <w:divsChild>
                            <w:div w:id="1875920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9285780">
      <w:bodyDiv w:val="1"/>
      <w:marLeft w:val="0"/>
      <w:marRight w:val="0"/>
      <w:marTop w:val="0"/>
      <w:marBottom w:val="0"/>
      <w:divBdr>
        <w:top w:val="none" w:sz="0" w:space="0" w:color="auto"/>
        <w:left w:val="none" w:sz="0" w:space="0" w:color="auto"/>
        <w:bottom w:val="none" w:sz="0" w:space="0" w:color="auto"/>
        <w:right w:val="none" w:sz="0" w:space="0" w:color="auto"/>
      </w:divBdr>
    </w:div>
    <w:div w:id="733046445">
      <w:bodyDiv w:val="1"/>
      <w:marLeft w:val="0"/>
      <w:marRight w:val="0"/>
      <w:marTop w:val="0"/>
      <w:marBottom w:val="0"/>
      <w:divBdr>
        <w:top w:val="none" w:sz="0" w:space="0" w:color="auto"/>
        <w:left w:val="none" w:sz="0" w:space="0" w:color="auto"/>
        <w:bottom w:val="none" w:sz="0" w:space="0" w:color="auto"/>
        <w:right w:val="none" w:sz="0" w:space="0" w:color="auto"/>
      </w:divBdr>
    </w:div>
    <w:div w:id="785395409">
      <w:bodyDiv w:val="1"/>
      <w:marLeft w:val="0"/>
      <w:marRight w:val="0"/>
      <w:marTop w:val="0"/>
      <w:marBottom w:val="0"/>
      <w:divBdr>
        <w:top w:val="none" w:sz="0" w:space="0" w:color="auto"/>
        <w:left w:val="none" w:sz="0" w:space="0" w:color="auto"/>
        <w:bottom w:val="none" w:sz="0" w:space="0" w:color="auto"/>
        <w:right w:val="none" w:sz="0" w:space="0" w:color="auto"/>
      </w:divBdr>
    </w:div>
    <w:div w:id="837303995">
      <w:bodyDiv w:val="1"/>
      <w:marLeft w:val="0"/>
      <w:marRight w:val="0"/>
      <w:marTop w:val="0"/>
      <w:marBottom w:val="0"/>
      <w:divBdr>
        <w:top w:val="none" w:sz="0" w:space="0" w:color="auto"/>
        <w:left w:val="none" w:sz="0" w:space="0" w:color="auto"/>
        <w:bottom w:val="none" w:sz="0" w:space="0" w:color="auto"/>
        <w:right w:val="none" w:sz="0" w:space="0" w:color="auto"/>
      </w:divBdr>
    </w:div>
    <w:div w:id="876426115">
      <w:bodyDiv w:val="1"/>
      <w:marLeft w:val="0"/>
      <w:marRight w:val="0"/>
      <w:marTop w:val="0"/>
      <w:marBottom w:val="0"/>
      <w:divBdr>
        <w:top w:val="none" w:sz="0" w:space="0" w:color="auto"/>
        <w:left w:val="none" w:sz="0" w:space="0" w:color="auto"/>
        <w:bottom w:val="none" w:sz="0" w:space="0" w:color="auto"/>
        <w:right w:val="none" w:sz="0" w:space="0" w:color="auto"/>
      </w:divBdr>
    </w:div>
    <w:div w:id="892086308">
      <w:bodyDiv w:val="1"/>
      <w:marLeft w:val="0"/>
      <w:marRight w:val="0"/>
      <w:marTop w:val="0"/>
      <w:marBottom w:val="0"/>
      <w:divBdr>
        <w:top w:val="none" w:sz="0" w:space="0" w:color="auto"/>
        <w:left w:val="none" w:sz="0" w:space="0" w:color="auto"/>
        <w:bottom w:val="none" w:sz="0" w:space="0" w:color="auto"/>
        <w:right w:val="none" w:sz="0" w:space="0" w:color="auto"/>
      </w:divBdr>
    </w:div>
    <w:div w:id="903292582">
      <w:bodyDiv w:val="1"/>
      <w:marLeft w:val="0"/>
      <w:marRight w:val="0"/>
      <w:marTop w:val="0"/>
      <w:marBottom w:val="0"/>
      <w:divBdr>
        <w:top w:val="none" w:sz="0" w:space="0" w:color="auto"/>
        <w:left w:val="none" w:sz="0" w:space="0" w:color="auto"/>
        <w:bottom w:val="none" w:sz="0" w:space="0" w:color="auto"/>
        <w:right w:val="none" w:sz="0" w:space="0" w:color="auto"/>
      </w:divBdr>
    </w:div>
    <w:div w:id="986783429">
      <w:bodyDiv w:val="1"/>
      <w:marLeft w:val="0"/>
      <w:marRight w:val="0"/>
      <w:marTop w:val="0"/>
      <w:marBottom w:val="0"/>
      <w:divBdr>
        <w:top w:val="none" w:sz="0" w:space="0" w:color="auto"/>
        <w:left w:val="none" w:sz="0" w:space="0" w:color="auto"/>
        <w:bottom w:val="none" w:sz="0" w:space="0" w:color="auto"/>
        <w:right w:val="none" w:sz="0" w:space="0" w:color="auto"/>
      </w:divBdr>
    </w:div>
    <w:div w:id="1009337411">
      <w:bodyDiv w:val="1"/>
      <w:marLeft w:val="0"/>
      <w:marRight w:val="0"/>
      <w:marTop w:val="0"/>
      <w:marBottom w:val="0"/>
      <w:divBdr>
        <w:top w:val="none" w:sz="0" w:space="0" w:color="auto"/>
        <w:left w:val="none" w:sz="0" w:space="0" w:color="auto"/>
        <w:bottom w:val="none" w:sz="0" w:space="0" w:color="auto"/>
        <w:right w:val="none" w:sz="0" w:space="0" w:color="auto"/>
      </w:divBdr>
    </w:div>
    <w:div w:id="1022324228">
      <w:bodyDiv w:val="1"/>
      <w:marLeft w:val="0"/>
      <w:marRight w:val="0"/>
      <w:marTop w:val="0"/>
      <w:marBottom w:val="0"/>
      <w:divBdr>
        <w:top w:val="none" w:sz="0" w:space="0" w:color="auto"/>
        <w:left w:val="none" w:sz="0" w:space="0" w:color="auto"/>
        <w:bottom w:val="none" w:sz="0" w:space="0" w:color="auto"/>
        <w:right w:val="none" w:sz="0" w:space="0" w:color="auto"/>
      </w:divBdr>
    </w:div>
    <w:div w:id="1061489014">
      <w:bodyDiv w:val="1"/>
      <w:marLeft w:val="0"/>
      <w:marRight w:val="0"/>
      <w:marTop w:val="0"/>
      <w:marBottom w:val="0"/>
      <w:divBdr>
        <w:top w:val="none" w:sz="0" w:space="0" w:color="auto"/>
        <w:left w:val="none" w:sz="0" w:space="0" w:color="auto"/>
        <w:bottom w:val="none" w:sz="0" w:space="0" w:color="auto"/>
        <w:right w:val="none" w:sz="0" w:space="0" w:color="auto"/>
      </w:divBdr>
    </w:div>
    <w:div w:id="1098912410">
      <w:bodyDiv w:val="1"/>
      <w:marLeft w:val="0"/>
      <w:marRight w:val="0"/>
      <w:marTop w:val="0"/>
      <w:marBottom w:val="0"/>
      <w:divBdr>
        <w:top w:val="none" w:sz="0" w:space="0" w:color="auto"/>
        <w:left w:val="none" w:sz="0" w:space="0" w:color="auto"/>
        <w:bottom w:val="none" w:sz="0" w:space="0" w:color="auto"/>
        <w:right w:val="none" w:sz="0" w:space="0" w:color="auto"/>
      </w:divBdr>
    </w:div>
    <w:div w:id="1125738006">
      <w:bodyDiv w:val="1"/>
      <w:marLeft w:val="0"/>
      <w:marRight w:val="0"/>
      <w:marTop w:val="0"/>
      <w:marBottom w:val="0"/>
      <w:divBdr>
        <w:top w:val="none" w:sz="0" w:space="0" w:color="auto"/>
        <w:left w:val="none" w:sz="0" w:space="0" w:color="auto"/>
        <w:bottom w:val="none" w:sz="0" w:space="0" w:color="auto"/>
        <w:right w:val="none" w:sz="0" w:space="0" w:color="auto"/>
      </w:divBdr>
    </w:div>
    <w:div w:id="1132678358">
      <w:bodyDiv w:val="1"/>
      <w:marLeft w:val="0"/>
      <w:marRight w:val="0"/>
      <w:marTop w:val="0"/>
      <w:marBottom w:val="0"/>
      <w:divBdr>
        <w:top w:val="none" w:sz="0" w:space="0" w:color="auto"/>
        <w:left w:val="none" w:sz="0" w:space="0" w:color="auto"/>
        <w:bottom w:val="none" w:sz="0" w:space="0" w:color="auto"/>
        <w:right w:val="none" w:sz="0" w:space="0" w:color="auto"/>
      </w:divBdr>
    </w:div>
    <w:div w:id="1172914442">
      <w:bodyDiv w:val="1"/>
      <w:marLeft w:val="0"/>
      <w:marRight w:val="0"/>
      <w:marTop w:val="0"/>
      <w:marBottom w:val="0"/>
      <w:divBdr>
        <w:top w:val="none" w:sz="0" w:space="0" w:color="auto"/>
        <w:left w:val="none" w:sz="0" w:space="0" w:color="auto"/>
        <w:bottom w:val="none" w:sz="0" w:space="0" w:color="auto"/>
        <w:right w:val="none" w:sz="0" w:space="0" w:color="auto"/>
      </w:divBdr>
    </w:div>
    <w:div w:id="1189443893">
      <w:bodyDiv w:val="1"/>
      <w:marLeft w:val="0"/>
      <w:marRight w:val="0"/>
      <w:marTop w:val="0"/>
      <w:marBottom w:val="0"/>
      <w:divBdr>
        <w:top w:val="none" w:sz="0" w:space="0" w:color="auto"/>
        <w:left w:val="none" w:sz="0" w:space="0" w:color="auto"/>
        <w:bottom w:val="none" w:sz="0" w:space="0" w:color="auto"/>
        <w:right w:val="none" w:sz="0" w:space="0" w:color="auto"/>
      </w:divBdr>
    </w:div>
    <w:div w:id="1213035192">
      <w:bodyDiv w:val="1"/>
      <w:marLeft w:val="0"/>
      <w:marRight w:val="0"/>
      <w:marTop w:val="0"/>
      <w:marBottom w:val="0"/>
      <w:divBdr>
        <w:top w:val="none" w:sz="0" w:space="0" w:color="auto"/>
        <w:left w:val="none" w:sz="0" w:space="0" w:color="auto"/>
        <w:bottom w:val="none" w:sz="0" w:space="0" w:color="auto"/>
        <w:right w:val="none" w:sz="0" w:space="0" w:color="auto"/>
      </w:divBdr>
    </w:div>
    <w:div w:id="1225874124">
      <w:bodyDiv w:val="1"/>
      <w:marLeft w:val="0"/>
      <w:marRight w:val="0"/>
      <w:marTop w:val="0"/>
      <w:marBottom w:val="0"/>
      <w:divBdr>
        <w:top w:val="none" w:sz="0" w:space="0" w:color="auto"/>
        <w:left w:val="none" w:sz="0" w:space="0" w:color="auto"/>
        <w:bottom w:val="none" w:sz="0" w:space="0" w:color="auto"/>
        <w:right w:val="none" w:sz="0" w:space="0" w:color="auto"/>
      </w:divBdr>
    </w:div>
    <w:div w:id="1389383090">
      <w:bodyDiv w:val="1"/>
      <w:marLeft w:val="0"/>
      <w:marRight w:val="0"/>
      <w:marTop w:val="0"/>
      <w:marBottom w:val="0"/>
      <w:divBdr>
        <w:top w:val="none" w:sz="0" w:space="0" w:color="auto"/>
        <w:left w:val="none" w:sz="0" w:space="0" w:color="auto"/>
        <w:bottom w:val="none" w:sz="0" w:space="0" w:color="auto"/>
        <w:right w:val="none" w:sz="0" w:space="0" w:color="auto"/>
      </w:divBdr>
    </w:div>
    <w:div w:id="1479028619">
      <w:bodyDiv w:val="1"/>
      <w:marLeft w:val="0"/>
      <w:marRight w:val="0"/>
      <w:marTop w:val="0"/>
      <w:marBottom w:val="0"/>
      <w:divBdr>
        <w:top w:val="none" w:sz="0" w:space="0" w:color="auto"/>
        <w:left w:val="none" w:sz="0" w:space="0" w:color="auto"/>
        <w:bottom w:val="none" w:sz="0" w:space="0" w:color="auto"/>
        <w:right w:val="none" w:sz="0" w:space="0" w:color="auto"/>
      </w:divBdr>
    </w:div>
    <w:div w:id="1520698918">
      <w:bodyDiv w:val="1"/>
      <w:marLeft w:val="0"/>
      <w:marRight w:val="0"/>
      <w:marTop w:val="0"/>
      <w:marBottom w:val="0"/>
      <w:divBdr>
        <w:top w:val="none" w:sz="0" w:space="0" w:color="auto"/>
        <w:left w:val="none" w:sz="0" w:space="0" w:color="auto"/>
        <w:bottom w:val="none" w:sz="0" w:space="0" w:color="auto"/>
        <w:right w:val="none" w:sz="0" w:space="0" w:color="auto"/>
      </w:divBdr>
      <w:divsChild>
        <w:div w:id="211120251">
          <w:marLeft w:val="0"/>
          <w:marRight w:val="0"/>
          <w:marTop w:val="0"/>
          <w:marBottom w:val="0"/>
          <w:divBdr>
            <w:top w:val="single" w:sz="2" w:space="0" w:color="auto"/>
            <w:left w:val="single" w:sz="2" w:space="0" w:color="auto"/>
            <w:bottom w:val="single" w:sz="6" w:space="0" w:color="auto"/>
            <w:right w:val="single" w:sz="2" w:space="0" w:color="auto"/>
          </w:divBdr>
          <w:divsChild>
            <w:div w:id="1364482708">
              <w:marLeft w:val="0"/>
              <w:marRight w:val="0"/>
              <w:marTop w:val="100"/>
              <w:marBottom w:val="100"/>
              <w:divBdr>
                <w:top w:val="single" w:sz="2" w:space="0" w:color="D9D9E3"/>
                <w:left w:val="single" w:sz="2" w:space="0" w:color="D9D9E3"/>
                <w:bottom w:val="single" w:sz="2" w:space="0" w:color="D9D9E3"/>
                <w:right w:val="single" w:sz="2" w:space="0" w:color="D9D9E3"/>
              </w:divBdr>
              <w:divsChild>
                <w:div w:id="2144611083">
                  <w:marLeft w:val="0"/>
                  <w:marRight w:val="0"/>
                  <w:marTop w:val="0"/>
                  <w:marBottom w:val="0"/>
                  <w:divBdr>
                    <w:top w:val="single" w:sz="2" w:space="0" w:color="D9D9E3"/>
                    <w:left w:val="single" w:sz="2" w:space="0" w:color="D9D9E3"/>
                    <w:bottom w:val="single" w:sz="2" w:space="0" w:color="D9D9E3"/>
                    <w:right w:val="single" w:sz="2" w:space="0" w:color="D9D9E3"/>
                  </w:divBdr>
                  <w:divsChild>
                    <w:div w:id="43987414">
                      <w:marLeft w:val="0"/>
                      <w:marRight w:val="0"/>
                      <w:marTop w:val="0"/>
                      <w:marBottom w:val="0"/>
                      <w:divBdr>
                        <w:top w:val="single" w:sz="2" w:space="0" w:color="D9D9E3"/>
                        <w:left w:val="single" w:sz="2" w:space="0" w:color="D9D9E3"/>
                        <w:bottom w:val="single" w:sz="2" w:space="0" w:color="D9D9E3"/>
                        <w:right w:val="single" w:sz="2" w:space="0" w:color="D9D9E3"/>
                      </w:divBdr>
                      <w:divsChild>
                        <w:div w:id="1291589887">
                          <w:marLeft w:val="0"/>
                          <w:marRight w:val="0"/>
                          <w:marTop w:val="0"/>
                          <w:marBottom w:val="0"/>
                          <w:divBdr>
                            <w:top w:val="single" w:sz="2" w:space="0" w:color="D9D9E3"/>
                            <w:left w:val="single" w:sz="2" w:space="0" w:color="D9D9E3"/>
                            <w:bottom w:val="single" w:sz="2" w:space="0" w:color="D9D9E3"/>
                            <w:right w:val="single" w:sz="2" w:space="0" w:color="D9D9E3"/>
                          </w:divBdr>
                          <w:divsChild>
                            <w:div w:id="4984695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8952974">
      <w:bodyDiv w:val="1"/>
      <w:marLeft w:val="0"/>
      <w:marRight w:val="0"/>
      <w:marTop w:val="0"/>
      <w:marBottom w:val="0"/>
      <w:divBdr>
        <w:top w:val="none" w:sz="0" w:space="0" w:color="auto"/>
        <w:left w:val="none" w:sz="0" w:space="0" w:color="auto"/>
        <w:bottom w:val="none" w:sz="0" w:space="0" w:color="auto"/>
        <w:right w:val="none" w:sz="0" w:space="0" w:color="auto"/>
      </w:divBdr>
    </w:div>
    <w:div w:id="1667248696">
      <w:bodyDiv w:val="1"/>
      <w:marLeft w:val="0"/>
      <w:marRight w:val="0"/>
      <w:marTop w:val="0"/>
      <w:marBottom w:val="0"/>
      <w:divBdr>
        <w:top w:val="none" w:sz="0" w:space="0" w:color="auto"/>
        <w:left w:val="none" w:sz="0" w:space="0" w:color="auto"/>
        <w:bottom w:val="none" w:sz="0" w:space="0" w:color="auto"/>
        <w:right w:val="none" w:sz="0" w:space="0" w:color="auto"/>
      </w:divBdr>
    </w:div>
    <w:div w:id="1721634201">
      <w:bodyDiv w:val="1"/>
      <w:marLeft w:val="0"/>
      <w:marRight w:val="0"/>
      <w:marTop w:val="0"/>
      <w:marBottom w:val="0"/>
      <w:divBdr>
        <w:top w:val="none" w:sz="0" w:space="0" w:color="auto"/>
        <w:left w:val="none" w:sz="0" w:space="0" w:color="auto"/>
        <w:bottom w:val="none" w:sz="0" w:space="0" w:color="auto"/>
        <w:right w:val="none" w:sz="0" w:space="0" w:color="auto"/>
      </w:divBdr>
    </w:div>
    <w:div w:id="1782869811">
      <w:bodyDiv w:val="1"/>
      <w:marLeft w:val="0"/>
      <w:marRight w:val="0"/>
      <w:marTop w:val="0"/>
      <w:marBottom w:val="0"/>
      <w:divBdr>
        <w:top w:val="none" w:sz="0" w:space="0" w:color="auto"/>
        <w:left w:val="none" w:sz="0" w:space="0" w:color="auto"/>
        <w:bottom w:val="none" w:sz="0" w:space="0" w:color="auto"/>
        <w:right w:val="none" w:sz="0" w:space="0" w:color="auto"/>
      </w:divBdr>
    </w:div>
    <w:div w:id="1792506285">
      <w:bodyDiv w:val="1"/>
      <w:marLeft w:val="0"/>
      <w:marRight w:val="0"/>
      <w:marTop w:val="0"/>
      <w:marBottom w:val="0"/>
      <w:divBdr>
        <w:top w:val="none" w:sz="0" w:space="0" w:color="auto"/>
        <w:left w:val="none" w:sz="0" w:space="0" w:color="auto"/>
        <w:bottom w:val="none" w:sz="0" w:space="0" w:color="auto"/>
        <w:right w:val="none" w:sz="0" w:space="0" w:color="auto"/>
      </w:divBdr>
    </w:div>
    <w:div w:id="1801264334">
      <w:bodyDiv w:val="1"/>
      <w:marLeft w:val="0"/>
      <w:marRight w:val="0"/>
      <w:marTop w:val="0"/>
      <w:marBottom w:val="0"/>
      <w:divBdr>
        <w:top w:val="none" w:sz="0" w:space="0" w:color="auto"/>
        <w:left w:val="none" w:sz="0" w:space="0" w:color="auto"/>
        <w:bottom w:val="none" w:sz="0" w:space="0" w:color="auto"/>
        <w:right w:val="none" w:sz="0" w:space="0" w:color="auto"/>
      </w:divBdr>
    </w:div>
    <w:div w:id="1862280389">
      <w:bodyDiv w:val="1"/>
      <w:marLeft w:val="0"/>
      <w:marRight w:val="0"/>
      <w:marTop w:val="0"/>
      <w:marBottom w:val="0"/>
      <w:divBdr>
        <w:top w:val="none" w:sz="0" w:space="0" w:color="auto"/>
        <w:left w:val="none" w:sz="0" w:space="0" w:color="auto"/>
        <w:bottom w:val="none" w:sz="0" w:space="0" w:color="auto"/>
        <w:right w:val="none" w:sz="0" w:space="0" w:color="auto"/>
      </w:divBdr>
      <w:divsChild>
        <w:div w:id="1148323538">
          <w:marLeft w:val="0"/>
          <w:marRight w:val="0"/>
          <w:marTop w:val="0"/>
          <w:marBottom w:val="0"/>
          <w:divBdr>
            <w:top w:val="single" w:sz="2" w:space="0" w:color="auto"/>
            <w:left w:val="single" w:sz="2" w:space="0" w:color="auto"/>
            <w:bottom w:val="single" w:sz="6" w:space="0" w:color="auto"/>
            <w:right w:val="single" w:sz="2" w:space="0" w:color="auto"/>
          </w:divBdr>
          <w:divsChild>
            <w:div w:id="1419516731">
              <w:marLeft w:val="0"/>
              <w:marRight w:val="0"/>
              <w:marTop w:val="100"/>
              <w:marBottom w:val="100"/>
              <w:divBdr>
                <w:top w:val="single" w:sz="2" w:space="0" w:color="D9D9E3"/>
                <w:left w:val="single" w:sz="2" w:space="0" w:color="D9D9E3"/>
                <w:bottom w:val="single" w:sz="2" w:space="0" w:color="D9D9E3"/>
                <w:right w:val="single" w:sz="2" w:space="0" w:color="D9D9E3"/>
              </w:divBdr>
              <w:divsChild>
                <w:div w:id="384178754">
                  <w:marLeft w:val="0"/>
                  <w:marRight w:val="0"/>
                  <w:marTop w:val="0"/>
                  <w:marBottom w:val="0"/>
                  <w:divBdr>
                    <w:top w:val="single" w:sz="2" w:space="0" w:color="D9D9E3"/>
                    <w:left w:val="single" w:sz="2" w:space="0" w:color="D9D9E3"/>
                    <w:bottom w:val="single" w:sz="2" w:space="0" w:color="D9D9E3"/>
                    <w:right w:val="single" w:sz="2" w:space="0" w:color="D9D9E3"/>
                  </w:divBdr>
                  <w:divsChild>
                    <w:div w:id="10638676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25207237">
                  <w:marLeft w:val="0"/>
                  <w:marRight w:val="0"/>
                  <w:marTop w:val="0"/>
                  <w:marBottom w:val="0"/>
                  <w:divBdr>
                    <w:top w:val="single" w:sz="2" w:space="0" w:color="D9D9E3"/>
                    <w:left w:val="single" w:sz="2" w:space="0" w:color="D9D9E3"/>
                    <w:bottom w:val="single" w:sz="2" w:space="0" w:color="D9D9E3"/>
                    <w:right w:val="single" w:sz="2" w:space="0" w:color="D9D9E3"/>
                  </w:divBdr>
                  <w:divsChild>
                    <w:div w:id="27220155">
                      <w:marLeft w:val="0"/>
                      <w:marRight w:val="0"/>
                      <w:marTop w:val="0"/>
                      <w:marBottom w:val="0"/>
                      <w:divBdr>
                        <w:top w:val="single" w:sz="2" w:space="0" w:color="D9D9E3"/>
                        <w:left w:val="single" w:sz="2" w:space="0" w:color="D9D9E3"/>
                        <w:bottom w:val="single" w:sz="2" w:space="0" w:color="D9D9E3"/>
                        <w:right w:val="single" w:sz="2" w:space="0" w:color="D9D9E3"/>
                      </w:divBdr>
                      <w:divsChild>
                        <w:div w:id="1564489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11236649">
          <w:marLeft w:val="0"/>
          <w:marRight w:val="0"/>
          <w:marTop w:val="0"/>
          <w:marBottom w:val="0"/>
          <w:divBdr>
            <w:top w:val="single" w:sz="2" w:space="0" w:color="auto"/>
            <w:left w:val="single" w:sz="2" w:space="0" w:color="auto"/>
            <w:bottom w:val="single" w:sz="6" w:space="0" w:color="auto"/>
            <w:right w:val="single" w:sz="2" w:space="0" w:color="auto"/>
          </w:divBdr>
          <w:divsChild>
            <w:div w:id="1970160686">
              <w:marLeft w:val="0"/>
              <w:marRight w:val="0"/>
              <w:marTop w:val="100"/>
              <w:marBottom w:val="100"/>
              <w:divBdr>
                <w:top w:val="single" w:sz="2" w:space="0" w:color="D9D9E3"/>
                <w:left w:val="single" w:sz="2" w:space="0" w:color="D9D9E3"/>
                <w:bottom w:val="single" w:sz="2" w:space="0" w:color="D9D9E3"/>
                <w:right w:val="single" w:sz="2" w:space="0" w:color="D9D9E3"/>
              </w:divBdr>
              <w:divsChild>
                <w:div w:id="1387222472">
                  <w:marLeft w:val="0"/>
                  <w:marRight w:val="0"/>
                  <w:marTop w:val="0"/>
                  <w:marBottom w:val="0"/>
                  <w:divBdr>
                    <w:top w:val="single" w:sz="2" w:space="0" w:color="D9D9E3"/>
                    <w:left w:val="single" w:sz="2" w:space="0" w:color="D9D9E3"/>
                    <w:bottom w:val="single" w:sz="2" w:space="0" w:color="D9D9E3"/>
                    <w:right w:val="single" w:sz="2" w:space="0" w:color="D9D9E3"/>
                  </w:divBdr>
                  <w:divsChild>
                    <w:div w:id="1452364688">
                      <w:marLeft w:val="0"/>
                      <w:marRight w:val="0"/>
                      <w:marTop w:val="0"/>
                      <w:marBottom w:val="0"/>
                      <w:divBdr>
                        <w:top w:val="single" w:sz="2" w:space="0" w:color="D9D9E3"/>
                        <w:left w:val="single" w:sz="2" w:space="0" w:color="D9D9E3"/>
                        <w:bottom w:val="single" w:sz="2" w:space="0" w:color="D9D9E3"/>
                        <w:right w:val="single" w:sz="2" w:space="0" w:color="D9D9E3"/>
                      </w:divBdr>
                      <w:divsChild>
                        <w:div w:id="1714689104">
                          <w:marLeft w:val="0"/>
                          <w:marRight w:val="0"/>
                          <w:marTop w:val="0"/>
                          <w:marBottom w:val="0"/>
                          <w:divBdr>
                            <w:top w:val="single" w:sz="2" w:space="0" w:color="D9D9E3"/>
                            <w:left w:val="single" w:sz="2" w:space="0" w:color="D9D9E3"/>
                            <w:bottom w:val="single" w:sz="2" w:space="0" w:color="D9D9E3"/>
                            <w:right w:val="single" w:sz="2" w:space="0" w:color="D9D9E3"/>
                          </w:divBdr>
                          <w:divsChild>
                            <w:div w:id="19125438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23643074">
      <w:bodyDiv w:val="1"/>
      <w:marLeft w:val="0"/>
      <w:marRight w:val="0"/>
      <w:marTop w:val="0"/>
      <w:marBottom w:val="0"/>
      <w:divBdr>
        <w:top w:val="none" w:sz="0" w:space="0" w:color="auto"/>
        <w:left w:val="none" w:sz="0" w:space="0" w:color="auto"/>
        <w:bottom w:val="none" w:sz="0" w:space="0" w:color="auto"/>
        <w:right w:val="none" w:sz="0" w:space="0" w:color="auto"/>
      </w:divBdr>
    </w:div>
    <w:div w:id="1938517383">
      <w:bodyDiv w:val="1"/>
      <w:marLeft w:val="0"/>
      <w:marRight w:val="0"/>
      <w:marTop w:val="0"/>
      <w:marBottom w:val="0"/>
      <w:divBdr>
        <w:top w:val="none" w:sz="0" w:space="0" w:color="auto"/>
        <w:left w:val="none" w:sz="0" w:space="0" w:color="auto"/>
        <w:bottom w:val="none" w:sz="0" w:space="0" w:color="auto"/>
        <w:right w:val="none" w:sz="0" w:space="0" w:color="auto"/>
      </w:divBdr>
    </w:div>
    <w:div w:id="1940674466">
      <w:bodyDiv w:val="1"/>
      <w:marLeft w:val="0"/>
      <w:marRight w:val="0"/>
      <w:marTop w:val="0"/>
      <w:marBottom w:val="0"/>
      <w:divBdr>
        <w:top w:val="none" w:sz="0" w:space="0" w:color="auto"/>
        <w:left w:val="none" w:sz="0" w:space="0" w:color="auto"/>
        <w:bottom w:val="none" w:sz="0" w:space="0" w:color="auto"/>
        <w:right w:val="none" w:sz="0" w:space="0" w:color="auto"/>
      </w:divBdr>
    </w:div>
    <w:div w:id="1945191713">
      <w:bodyDiv w:val="1"/>
      <w:marLeft w:val="0"/>
      <w:marRight w:val="0"/>
      <w:marTop w:val="0"/>
      <w:marBottom w:val="0"/>
      <w:divBdr>
        <w:top w:val="none" w:sz="0" w:space="0" w:color="auto"/>
        <w:left w:val="none" w:sz="0" w:space="0" w:color="auto"/>
        <w:bottom w:val="none" w:sz="0" w:space="0" w:color="auto"/>
        <w:right w:val="none" w:sz="0" w:space="0" w:color="auto"/>
      </w:divBdr>
    </w:div>
    <w:div w:id="1954550893">
      <w:bodyDiv w:val="1"/>
      <w:marLeft w:val="0"/>
      <w:marRight w:val="0"/>
      <w:marTop w:val="0"/>
      <w:marBottom w:val="0"/>
      <w:divBdr>
        <w:top w:val="none" w:sz="0" w:space="0" w:color="auto"/>
        <w:left w:val="none" w:sz="0" w:space="0" w:color="auto"/>
        <w:bottom w:val="none" w:sz="0" w:space="0" w:color="auto"/>
        <w:right w:val="none" w:sz="0" w:space="0" w:color="auto"/>
      </w:divBdr>
    </w:div>
    <w:div w:id="205549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Wel23</b:Tag>
    <b:SourceType>InternetSite</b:SourceType>
    <b:Guid>{FAD99FEF-799D-314E-AA9D-74F2D3EE9437}</b:Guid>
    <b:Title>Curriculum for Wales</b:Title>
    <b:Year>2023</b:Year>
    <b:Author>
      <b:Author>
        <b:Corporate>Welsh Government</b:Corporate>
      </b:Author>
    </b:Author>
    <b:URL>https://hwb.gov.wales/curriculum-for-wales</b:URL>
    <b:YearAccessed>2023</b:YearAccessed>
    <b:MonthAccessed>February</b:MonthAccessed>
    <b:DayAccessed>3</b:DayAccessed>
    <b:RefOrder>1</b:RefOrder>
  </b:Source>
  <b:Source>
    <b:Tag>Wel194</b:Tag>
    <b:SourceType>Report</b:SourceType>
    <b:Guid>{4DE8CDEB-E32C-E240-8580-E0CF453C2B0D}</b:Guid>
    <b:Author>
      <b:Author>
        <b:Corporate>Welsh Government</b:Corporate>
      </b:Author>
    </b:Author>
    <b:Title>Professional standards for teaching and leadership</b:Title>
    <b:Publisher>OGL</b:Publisher>
    <b:City>Cardiff</b:City>
    <b:Year>2019</b:Year>
    <b:RefOrder>2</b:RefOrder>
  </b:Source>
  <b:Source>
    <b:Tag>Ben00</b:Tag>
    <b:SourceType>BookSection</b:SourceType>
    <b:Guid>{0BEB3375-061B-3444-A9DC-786B828F0073}</b:Guid>
    <b:Title>Autonomy as a learners' and teachers' right</b:Title>
    <b:City>London</b:City>
    <b:Publisher>Longman</b:Publisher>
    <b:Year>2000</b:Year>
    <b:Author>
      <b:Author>
        <b:NameList>
          <b:Person>
            <b:Last>Benson</b:Last>
            <b:First>P</b:First>
          </b:Person>
        </b:NameList>
      </b:Author>
      <b:Editor>
        <b:NameList>
          <b:Person>
            <b:Last>Sinclair</b:Last>
            <b:First>B</b:First>
          </b:Person>
          <b:Person>
            <b:Last>McGrath</b:Last>
            <b:First>I</b:First>
          </b:Person>
          <b:Person>
            <b:Last>Lamb</b:Last>
            <b:First>I</b:First>
          </b:Person>
        </b:NameList>
      </b:Editor>
    </b:Author>
    <b:BookTitle>Learner Autonomy, Teacher Autonomy: Future Directions</b:BookTitle>
    <b:Pages>37-41</b:Pages>
    <b:RefOrder>52</b:RefOrder>
  </b:Source>
  <b:Source>
    <b:Tag>Bou20</b:Tag>
    <b:SourceType>Book</b:SourceType>
    <b:Guid>{627504F2-D6C5-974E-B5DC-FC6CCCF30576}</b:Guid>
    <b:Author>
      <b:Author>
        <b:NameList>
          <b:Person>
            <b:Last>Boud</b:Last>
            <b:First>D</b:First>
          </b:Person>
          <b:Person>
            <b:Last>Calkins</b:Last>
            <b:First>S</b:First>
          </b:Person>
          <b:Person>
            <b:Last>Ashwin</b:Last>
            <b:First>P</b:First>
          </b:Person>
          <b:Person>
            <b:Last>Hallett</b:Last>
            <b:First>Fiona</b:First>
          </b:Person>
        </b:NameList>
      </b:Author>
    </b:Author>
    <b:Title>Reflective teaching in higher education</b:Title>
    <b:City>London</b:City>
    <b:Publisher>Bloomsbury Publishing</b:Publisher>
    <b:Year>2020</b:Year>
    <b:Edition>2nd Edition</b:Edition>
    <b:RefOrder>7</b:RefOrder>
  </b:Source>
  <b:Source>
    <b:Tag>Bou13</b:Tag>
    <b:SourceType>Book</b:SourceType>
    <b:Guid>{BF7FF610-79B1-7447-B9BD-6456214E9D28}</b:Guid>
    <b:Author>
      <b:Author>
        <b:NameList>
          <b:Person>
            <b:Last>Boud</b:Last>
            <b:First>D</b:First>
          </b:Person>
        </b:NameList>
      </b:Author>
    </b:Author>
    <b:Title>Reflection: Turning Experience into Learning</b:Title>
    <b:City>London</b:City>
    <b:Publisher>Routledge</b:Publisher>
    <b:Year>2013</b:Year>
    <b:Edition>1st Edition</b:Edition>
    <b:RefOrder>8</b:RefOrder>
  </b:Source>
  <b:Source>
    <b:Tag>Wil</b:Tag>
    <b:SourceType>BookSection</b:SourceType>
    <b:Guid>{5ACA19A5-BC05-BE4A-994F-0F1642152661}</b:Guid>
    <b:Title>Inside the black box</b:Title>
    <b:BookTitle>Raising standards through classroom assessment</b:BookTitle>
    <b:City>London</b:City>
    <b:Publisher>GL Assessment Limited</b:Publisher>
    <b:Pages>2</b:Pages>
    <b:Author>
      <b:Author>
        <b:NameList>
          <b:Person>
            <b:Last>Wiliam</b:Last>
            <b:First>Dylan</b:First>
          </b:Person>
          <b:Person>
            <b:Last>Black</b:Last>
            <b:First>Paul</b:First>
          </b:Person>
        </b:NameList>
      </b:Author>
      <b:Editor>
        <b:NameList>
          <b:Person>
            <b:Last>London</b:Last>
            <b:First>King's</b:First>
            <b:Middle>College</b:Middle>
          </b:Person>
        </b:NameList>
      </b:Editor>
    </b:Author>
    <b:Year>2006</b:Year>
    <b:RefOrder>10</b:RefOrder>
  </b:Source>
  <b:Source>
    <b:Tag>Bou141</b:Tag>
    <b:SourceType>Report</b:SourceType>
    <b:Guid>{D9EA2612-9303-7741-A656-62C2AF09B683}</b:Guid>
    <b:Title>Assessment 2020: Seven propositions for assessment reform</b:Title>
    <b:Year>2014</b:Year>
    <b:Author>
      <b:Author>
        <b:NameList>
          <b:Person>
            <b:Last>Boud</b:Last>
            <b:First>David</b:First>
          </b:Person>
        </b:NameList>
      </b:Author>
    </b:Author>
    <b:Publisher>University of Technology Sydney</b:Publisher>
    <b:City>Sydney</b:City>
    <b:RefOrder>9</b:RefOrder>
  </b:Source>
  <b:Source>
    <b:Tag>Ros12</b:Tag>
    <b:SourceType>Report</b:SourceType>
    <b:Guid>{89906759-655A-304E-B411-0C34F0327D0A}</b:Guid>
    <b:Title>Principles of Instruction: Research-Based Strategies That All Teachers Should Know</b:Title>
    <b:Year>2012</b:Year>
    <b:Author>
      <b:Author>
        <b:NameList>
          <b:Person>
            <b:Last>Rosenshine</b:Last>
            <b:First>Barak</b:First>
          </b:Person>
        </b:NameList>
      </b:Author>
    </b:Author>
    <b:Publisher>American Educator</b:Publisher>
    <b:RefOrder>53</b:RefOrder>
  </b:Source>
  <b:Source>
    <b:Tag>Wil05</b:Tag>
    <b:SourceType>JournalArticle</b:SourceType>
    <b:Guid>{18FAE30C-E5B1-A641-8761-5951216FAE9A}</b:Guid>
    <b:Author>
      <b:Author>
        <b:NameList>
          <b:Person>
            <b:Last>Wiliam</b:Last>
            <b:First>D</b:First>
          </b:Person>
          <b:Person>
            <b:Last>Lee</b:Last>
            <b:First>C</b:First>
          </b:Person>
        </b:NameList>
      </b:Author>
    </b:Author>
    <b:Title>Studying changes in the practice of two teachers developing assessment for learning</b:Title>
    <b:JournalName>Teacher Development</b:JournalName>
    <b:Year>2005</b:Year>
    <b:Volume>9</b:Volume>
    <b:Issue>1</b:Issue>
    <b:Pages>265-283</b:Pages>
    <b:RefOrder>11</b:RefOrder>
  </b:Source>
  <b:Source>
    <b:Tag>Hen19</b:Tag>
    <b:SourceType>JournalArticle</b:SourceType>
    <b:Guid>{DF97F73B-5CD3-D141-A70D-CD439CC3C2AE}</b:Guid>
    <b:Title>The challenges of feedback in higher education</b:Title>
    <b:Year>2019</b:Year>
    <b:Author>
      <b:Author>
        <b:NameList>
          <b:Person>
            <b:Last>Henderson</b:Last>
            <b:First>Michael</b:First>
          </b:Person>
        </b:NameList>
      </b:Author>
    </b:Author>
    <b:JournalName>Assessment &amp; Evaluation in Higher Education</b:JournalName>
    <b:Volume>44</b:Volume>
    <b:Issue>8</b:Issue>
    <b:Pages>1237-1252</b:Pages>
    <b:RefOrder>54</b:RefOrder>
  </b:Source>
  <b:Source>
    <b:Tag>Hol81</b:Tag>
    <b:SourceType>Book</b:SourceType>
    <b:Guid>{6EC033FF-6244-184D-BF01-34C071E8A94F}</b:Guid>
    <b:Title>Autonomy in Foreign Language Learning</b:Title>
    <b:Year>1979</b:Year>
    <b:Author>
      <b:Author>
        <b:NameList>
          <b:Person>
            <b:Last>Holec</b:Last>
            <b:First>H</b:First>
          </b:Person>
        </b:NameList>
      </b:Author>
    </b:Author>
    <b:City>Oxford</b:City>
    <b:Publisher>Pergamon</b:Publisher>
    <b:RefOrder>3</b:RefOrder>
  </b:Source>
  <b:Source>
    <b:Tag>Ans15</b:Tag>
    <b:SourceType>Book</b:SourceType>
    <b:Guid>{3D4F6428-B679-6146-A884-E7A026788E7C}</b:Guid>
    <b:Author>
      <b:Author>
        <b:NameList>
          <b:Person>
            <b:Last>Anstee</b:Last>
            <b:First>Peter</b:First>
          </b:Person>
        </b:NameList>
      </b:Author>
    </b:Author>
    <b:Title>Independent Learning Pocketbook</b:Title>
    <b:City>Hampshire</b:City>
    <b:Publisher>Teachers' Pocketbooks</b:Publisher>
    <b:Year>2015</b:Year>
    <b:RefOrder>4</b:RefOrder>
  </b:Source>
  <b:Source>
    <b:Tag>Har141</b:Tag>
    <b:SourceType>Book</b:SourceType>
    <b:Guid>{24F33A96-1F4C-4946-AF99-D7DA8BA90FA4}</b:Guid>
    <b:Author>
      <b:Author>
        <b:NameList>
          <b:Person>
            <b:Last>Harvey</b:Last>
            <b:First>Virgina</b:First>
            <b:Middle>Smith</b:Middle>
          </b:Person>
          <b:Person>
            <b:Last>Chickie-Wolfe</b:Last>
            <b:First>Louise</b:First>
          </b:Person>
        </b:NameList>
      </b:Author>
    </b:Author>
    <b:Title>Fostering Independent Learning</b:Title>
    <b:City>London</b:City>
    <b:Publisher>The Guildford Press</b:Publisher>
    <b:Year>2014</b:Year>
    <b:Edition>Third Edition</b:Edition>
    <b:RefOrder>5</b:RefOrder>
  </b:Source>
  <b:Source>
    <b:Tag>Wil03</b:Tag>
    <b:SourceType>Book</b:SourceType>
    <b:Guid>{6B60A821-0061-5B4F-A1BB-F0CDBFE643BC}</b:Guid>
    <b:Author>
      <b:Author>
        <b:NameList>
          <b:Person>
            <b:Last>Williams</b:Last>
            <b:First>Kill</b:First>
          </b:Person>
        </b:NameList>
      </b:Author>
    </b:Author>
    <b:Title>Promoting Independent Learning in the Primary Classroom</b:Title>
    <b:City>Buckingham</b:City>
    <b:Publisher>Open Univeristy Press</b:Publisher>
    <b:Year>2003</b:Year>
    <b:RefOrder>6</b:RefOrder>
  </b:Source>
  <b:Source>
    <b:Tag>Vyg781</b:Tag>
    <b:SourceType>Book</b:SourceType>
    <b:Guid>{FC5BF868-6698-A343-811A-1F06B2AC1442}</b:Guid>
    <b:Author>
      <b:Author>
        <b:NameList>
          <b:Person>
            <b:Last>Vygotsky</b:Last>
            <b:First>L</b:First>
          </b:Person>
        </b:NameList>
      </b:Author>
    </b:Author>
    <b:Title>Mind in Society: The Development of Higher Psychological Processes</b:Title>
    <b:City>Cambridge</b:City>
    <b:Publisher>Harvard University Press</b:Publisher>
    <b:Year>1978</b:Year>
    <b:RefOrder>12</b:RefOrder>
  </b:Source>
  <b:Source>
    <b:Tag>Loc17</b:Tag>
    <b:SourceType>JournalArticle</b:SourceType>
    <b:Guid>{1E8B61FE-CB13-0945-9531-20FADDDA7D03}</b:Guid>
    <b:Title>Educational dialogues and the fostering of pupils' independence: the practices of two teachers</b:Title>
    <b:Year>2017</b:Year>
    <b:Author>
      <b:Author>
        <b:NameList>
          <b:Person>
            <b:Last>Lockhorst</b:Last>
            <b:First>Daan</b:First>
          </b:Person>
          <b:Person>
            <b:Last>Wubbels</b:Last>
            <b:First>Theodore</b:First>
          </b:Person>
          <b:Person>
            <b:Last>Van Oers</b:Last>
            <b:First>Bertt</b:First>
          </b:Person>
        </b:NameList>
      </b:Author>
    </b:Author>
    <b:JournalName>Journal of Curriculum Studies</b:JournalName>
    <b:Volume>12</b:Volume>
    <b:Issue>1</b:Issue>
    <b:Pages>103-117</b:Pages>
    <b:RefOrder>13</b:RefOrder>
  </b:Source>
  <b:Source>
    <b:Tag>Edu22</b:Tag>
    <b:SourceType>Report</b:SourceType>
    <b:Guid>{C1F8034C-4568-AC4D-B9BB-F1D52E2DABC4}</b:Guid>
    <b:Title>The Impact of COVID-19 on Learning: A review of the evidence</b:Title>
    <b:Year>2022</b:Year>
    <b:Author>
      <b:Author>
        <b:Corporate>Education Endowment Foundation</b:Corporate>
      </b:Author>
    </b:Author>
    <b:Publisher>Education Endowment Foundation</b:Publisher>
    <b:City>London</b:City>
    <b:RefOrder>55</b:RefOrder>
  </b:Source>
  <b:Source>
    <b:Tag>Mar171</b:Tag>
    <b:SourceType>Book</b:SourceType>
    <b:Guid>{451E064E-B9DA-2345-805C-50D21AF62BC0}</b:Guid>
    <b:Title>The New Art and Science of Teaching</b:Title>
    <b:Year>2017</b:Year>
    <b:Author>
      <b:Author>
        <b:NameList>
          <b:Person>
            <b:Last>Marzano</b:Last>
            <b:First>R</b:First>
          </b:Person>
        </b:NameList>
      </b:Author>
    </b:Author>
    <b:City>Victoria</b:City>
    <b:Publisher>Hawker Brownlow Education</b:Publisher>
    <b:RefOrder>14</b:RefOrder>
  </b:Source>
  <b:Source>
    <b:Tag>Bro07</b:Tag>
    <b:SourceType>JournalArticle</b:SourceType>
    <b:Guid>{C070A1DE-B07D-E743-B17D-39636D1E75BC}</b:Guid>
    <b:Title>The gap between educationl research and practice: A literature, symposium, and questionnaire</b:Title>
    <b:Year>2007</b:Year>
    <b:Author>
      <b:Author>
        <b:NameList>
          <b:Person>
            <b:Last>Broekkamp</b:Last>
            <b:First>Hein</b:First>
          </b:Person>
          <b:Person>
            <b:Last>Van Hout-Wolters</b:Last>
            <b:First>Bernadette</b:First>
          </b:Person>
        </b:NameList>
      </b:Author>
    </b:Author>
    <b:JournalName>Educational Research and Evaluation</b:JournalName>
    <b:Volume>13</b:Volume>
    <b:Issue>10</b:Issue>
    <b:RefOrder>15</b:RefOrder>
  </b:Source>
  <b:Source>
    <b:Tag>Ban89</b:Tag>
    <b:SourceType>BookSection</b:SourceType>
    <b:Guid>{C40D9319-742B-BE4E-A36F-5058D59E9DF2}</b:Guid>
    <b:Author>
      <b:Author>
        <b:NameList>
          <b:Person>
            <b:Last>Bandura</b:Last>
            <b:First>A</b:First>
          </b:Person>
        </b:NameList>
      </b:Author>
      <b:Editor>
        <b:NameList>
          <b:Person>
            <b:Last>Vasta</b:Last>
            <b:First>R</b:First>
          </b:Person>
        </b:NameList>
      </b:Editor>
    </b:Author>
    <b:Title>Social Cognitive Theory</b:Title>
    <b:Year>1989</b:Year>
    <b:Pages>2-60</b:Pages>
    <b:City>Greenwich, CT</b:City>
    <b:Publisher>JAI Press</b:Publisher>
    <b:BookTitle>Annals of Child Development VOL. 6. Six Theories of Child Development</b:BookTitle>
    <b:RefOrder>16</b:RefOrder>
  </b:Source>
  <b:Source>
    <b:Tag>Tho19</b:Tag>
    <b:SourceType>JournalArticle</b:SourceType>
    <b:Guid>{266F0564-1BC4-4244-917E-E168BAA3ED22}</b:Guid>
    <b:Author>
      <b:Author>
        <b:NameList>
          <b:Person>
            <b:Last>Thomas</b:Last>
            <b:First>Ben</b:First>
          </b:Person>
        </b:NameList>
      </b:Author>
    </b:Author>
    <b:Title>Education in the Field in the Post-Neuropsychopharmacology Era</b:Title>
    <b:JournalName>Neuropsychopharmacology in Historical Persepctive </b:JournalName>
    <b:Year>2019</b:Year>
    <b:Volume>6</b:Volume>
    <b:Issue>3</b:Issue>
    <b:Pages>56-83</b:Pages>
    <b:RefOrder>56</b:RefOrder>
  </b:Source>
  <b:Source>
    <b:Tag>Lin11</b:Tag>
    <b:SourceType>JournalArticle</b:SourceType>
    <b:Guid>{FEA18284-E665-3147-B7DA-9FB082D22A07}</b:Guid>
    <b:Title>Students' emotions and academc engagement: Introduction to thhe special issue</b:Title>
    <b:Year>2011</b:Year>
    <b:Pages>2-3</b:Pages>
    <b:Author>
      <b:Author>
        <b:NameList>
          <b:Person>
            <b:Last>Linnenbrink-Garcia</b:Last>
            <b:First>L</b:First>
          </b:Person>
          <b:Person>
            <b:Last>Pekrun</b:Last>
            <b:First>R</b:First>
          </b:Person>
        </b:NameList>
      </b:Author>
    </b:Author>
    <b:JournalName>Contemporary Educational Psychology</b:JournalName>
    <b:Volume>36</b:Volume>
    <b:Issue>1</b:Issue>
    <b:RefOrder>17</b:RefOrder>
  </b:Source>
  <b:Source>
    <b:Tag>Coh131</b:Tag>
    <b:SourceType>Book</b:SourceType>
    <b:Guid>{979977B7-D516-3948-9F8E-EA527C6E4336}</b:Guid>
    <b:Author>
      <b:Author>
        <b:NameList>
          <b:Person>
            <b:Last>Cohen</b:Last>
            <b:First>L</b:First>
          </b:Person>
          <b:Person>
            <b:Last>Manion</b:Last>
            <b:First>L</b:First>
          </b:Person>
          <b:Person>
            <b:Last>Morrison</b:Last>
            <b:First>K</b:First>
          </b:Person>
        </b:NameList>
      </b:Author>
    </b:Author>
    <b:Title>Research Methods in Education</b:Title>
    <b:City>London</b:City>
    <b:Publisher>Sage Publications Ltd</b:Publisher>
    <b:Year>2013</b:Year>
    <b:RefOrder>57</b:RefOrder>
  </b:Source>
  <b:Source>
    <b:Tag>McN12</b:Tag>
    <b:SourceType>Book</b:SourceType>
    <b:Guid>{3BBEB24F-3902-8B42-A1DF-26984C93B050}</b:Guid>
    <b:Author>
      <b:Author>
        <b:NameList>
          <b:Person>
            <b:Last>McNiff</b:Last>
            <b:First>J</b:First>
          </b:Person>
        </b:NameList>
      </b:Author>
    </b:Author>
    <b:Title>Action Research: Principles and practice</b:Title>
    <b:City>London</b:City>
    <b:Publisher>Routledge</b:Publisher>
    <b:Year>2012</b:Year>
    <b:RefOrder>19</b:RefOrder>
  </b:Source>
  <b:Source>
    <b:Tag>UWT22</b:Tag>
    <b:SourceType>InternetSite</b:SourceType>
    <b:Guid>{870058D8-929D-B54F-8345-ABB514266D17}</b:Guid>
    <b:Title>Research in Education</b:Title>
    <b:Year>2022</b:Year>
    <b:Author>
      <b:Author>
        <b:NameList>
          <b:Person>
            <b:Last>UWTSD</b:Last>
          </b:Person>
        </b:NameList>
      </b:Author>
    </b:Author>
    <b:URL>https://www.uwtsd.ac.uk/research/education-communities/</b:URL>
    <b:YearAccessed>2022</b:YearAccessed>
    <b:MonthAccessed>April</b:MonthAccessed>
    <b:DayAccessed>11</b:DayAccessed>
    <b:RefOrder>24</b:RefOrder>
  </b:Source>
  <b:Source>
    <b:Tag>Orc15</b:Tag>
    <b:SourceType>Report</b:SourceType>
    <b:Guid>{5D60282E-79A8-A344-ADEE-7F3D3E34C5DD}</b:Guid>
    <b:Title>What training do teachers need? Why theory is necessary to good teaching</b:Title>
    <b:Year>2015</b:Year>
    <b:Author>
      <b:Author>
        <b:NameList>
          <b:Person>
            <b:Last>Orchard</b:Last>
            <b:First>Janet</b:First>
          </b:Person>
          <b:Person>
            <b:Last>Winch</b:Last>
            <b:First>Christopher</b:First>
          </b:Person>
        </b:NameList>
      </b:Author>
    </b:Author>
    <b:Publisher>Wiley Blackwell</b:Publisher>
    <b:City>Birmingham</b:City>
    <b:RefOrder>58</b:RefOrder>
  </b:Source>
  <b:Source>
    <b:Tag>Wel192</b:Tag>
    <b:SourceType>Report</b:SourceType>
    <b:Guid>{91EF0C8C-7007-7D43-8F4D-A39DF9AED824}</b:Guid>
    <b:Author>
      <b:Author>
        <b:Corporate>Welsh Government</b:Corporate>
      </b:Author>
    </b:Author>
    <b:Title>Professional standards for teaching and leadership</b:Title>
    <b:Publisher>OGL</b:Publisher>
    <b:City>Cardiff</b:City>
    <b:Year>2019</b:Year>
    <b:RefOrder>26</b:RefOrder>
  </b:Source>
  <b:Source>
    <b:Tag>Sta06</b:Tag>
    <b:SourceType>Book</b:SourceType>
    <b:Guid>{B35FDA06-F365-EE4D-9604-FC2FCA3F8B97}</b:Guid>
    <b:Title>Multiple Case Study Analysis</b:Title>
    <b:Year>2006</b:Year>
    <b:Author>
      <b:Author>
        <b:NameList>
          <b:Person>
            <b:Last>Stake</b:Last>
            <b:First>R.</b:First>
            <b:Middle>E.</b:Middle>
          </b:Person>
        </b:NameList>
      </b:Author>
    </b:Author>
    <b:City>New York</b:City>
    <b:Publisher>The Guildford Press</b:Publisher>
    <b:RefOrder>21</b:RefOrder>
  </b:Source>
  <b:Source>
    <b:Tag>Tho13</b:Tag>
    <b:SourceType>Book</b:SourceType>
    <b:Guid>{9261169E-FC27-4E40-AC1B-7B203493CC73}</b:Guid>
    <b:Author>
      <b:Author>
        <b:NameList>
          <b:Person>
            <b:Last>Thomas</b:Last>
            <b:First>G</b:First>
          </b:Person>
        </b:NameList>
      </b:Author>
    </b:Author>
    <b:Title>How to Do Your Research Project: A Guide for Students</b:Title>
    <b:City>London</b:City>
    <b:Publisher>Sage Publications Ltd</b:Publisher>
    <b:Year>2017</b:Year>
    <b:Edition>3rd Edition</b:Edition>
    <b:RefOrder>20</b:RefOrder>
  </b:Source>
  <b:Source>
    <b:Tag>Yin14</b:Tag>
    <b:SourceType>Book</b:SourceType>
    <b:Guid>{B79C26E4-54FB-D942-8D0E-EFCCD8AB368C}</b:Guid>
    <b:Author>
      <b:Author>
        <b:NameList>
          <b:Person>
            <b:Last>Yin</b:Last>
            <b:First>R.K.</b:First>
          </b:Person>
        </b:NameList>
      </b:Author>
    </b:Author>
    <b:Title>Case Study Research: Design and Methods</b:Title>
    <b:City>Thousand Oaks, CA</b:City>
    <b:Publisher>Sage Publications</b:Publisher>
    <b:Year>2014</b:Year>
    <b:Edition>5th Edition</b:Edition>
    <b:RefOrder>22</b:RefOrder>
  </b:Source>
  <b:Source>
    <b:Tag>Pal11</b:Tag>
    <b:SourceType>Book</b:SourceType>
    <b:Guid>{96224543-82AD-0F46-9557-A20DEAE72961}</b:Guid>
    <b:Author>
      <b:Author>
        <b:NameList>
          <b:Person>
            <b:Last>Paltridge</b:Last>
            <b:First>Brian</b:First>
          </b:Person>
          <b:Person>
            <b:Last>Phakiti</b:Last>
            <b:First>Aek</b:First>
          </b:Person>
        </b:NameList>
      </b:Author>
    </b:Author>
    <b:Title>Continuum Companion to Research Methods in Applied Linguistics</b:Title>
    <b:City>New York</b:City>
    <b:Publisher>Continuum Internatinoal Publishing Group</b:Publisher>
    <b:Year>2011</b:Year>
    <b:RefOrder>18</b:RefOrder>
  </b:Source>
  <b:Source>
    <b:Tag>Duf16</b:Tag>
    <b:SourceType>Book</b:SourceType>
    <b:Guid>{5A5235E5-157F-CD4A-9E93-79EFC1DEC800}</b:Guid>
    <b:Title>Case Study Research in Applied Linguistics</b:Title>
    <b:City>New York</b:City>
    <b:Publisher>Routledge</b:Publisher>
    <b:Year>2016</b:Year>
    <b:Author>
      <b:Author>
        <b:NameList>
          <b:Person>
            <b:Last>Duff</b:Last>
            <b:First>P.A.</b:First>
          </b:Person>
          <b:Person>
            <b:Last>Urdy</b:Last>
            <b:First>J</b:First>
          </b:Person>
        </b:NameList>
      </b:Author>
    </b:Author>
    <b:RefOrder>23</b:RefOrder>
  </b:Source>
  <b:Source>
    <b:Tag>Mer15</b:Tag>
    <b:SourceType>Book</b:SourceType>
    <b:Guid>{55780781-D7B6-EA44-AB4C-9C32E10AF791}</b:Guid>
    <b:Title>Qualitative Research: A Guide to Design and Implementation</b:Title>
    <b:Year>2015</b:Year>
    <b:Author>
      <b:Author>
        <b:NameList>
          <b:Person>
            <b:Last>Merriam</b:Last>
            <b:First>Sharan</b:First>
          </b:Person>
        </b:NameList>
      </b:Author>
    </b:Author>
    <b:City>San Francisco</b:City>
    <b:Publisher>Jossey-Bass</b:Publisher>
    <b:Edition>4th Edition</b:Edition>
    <b:RefOrder>27</b:RefOrder>
  </b:Source>
  <b:Source>
    <b:Tag>Gur17</b:Tag>
    <b:SourceType>JournalArticle</b:SourceType>
    <b:Guid>{29ED44A9-D148-CC45-B932-854F04C58E3B}</b:Guid>
    <b:Author>
      <b:Author>
        <b:NameList>
          <b:Person>
            <b:Last>Gurr</b:Last>
            <b:First>D</b:First>
          </b:Person>
          <b:Person>
            <b:Last>Collis</b:Last>
            <b:First>L</b:First>
          </b:Person>
        </b:NameList>
      </b:Author>
    </b:Author>
    <b:Title>Teacher Time Use: An International Review</b:Title>
    <b:JournalName>Educational Research and Evaluation</b:JournalName>
    <b:Year>2017</b:Year>
    <b:Volume>23</b:Volume>
    <b:Issue>2</b:Issue>
    <b:Pages>59-76</b:Pages>
    <b:RefOrder>28</b:RefOrder>
  </b:Source>
  <b:Source>
    <b:Tag>Art12</b:Tag>
    <b:SourceType>Book</b:SourceType>
    <b:Guid>{C592A9D6-BEB8-C345-A128-67121CFDB736}</b:Guid>
    <b:Title>Research Methods and Methodologies in Education</b:Title>
    <b:Year>2012</b:Year>
    <b:Author>
      <b:Author>
        <b:NameList>
          <b:Person>
            <b:Last>Arthur</b:Last>
            <b:First>J</b:First>
          </b:Person>
        </b:NameList>
      </b:Author>
    </b:Author>
    <b:City>London</b:City>
    <b:Publisher>Sage Publications Ltd</b:Publisher>
    <b:RefOrder>30</b:RefOrder>
  </b:Source>
  <b:Source>
    <b:Tag>Pat15</b:Tag>
    <b:SourceType>Book</b:SourceType>
    <b:Guid>{11A97A92-F610-7842-8681-332EF9B0D0BC}</b:Guid>
    <b:Author>
      <b:Author>
        <b:NameList>
          <b:Person>
            <b:Last>Patton</b:Last>
            <b:First>M</b:First>
          </b:Person>
        </b:NameList>
      </b:Author>
    </b:Author>
    <b:Title>Qualitative research &amp; evaluation methods: Integreating practice</b:Title>
    <b:Year>2015</b:Year>
    <b:City>New York</b:City>
    <b:Publisher>Sage Publications</b:Publisher>
    <b:RefOrder>29</b:RefOrder>
  </b:Source>
  <b:Source>
    <b:Tag>Tho06</b:Tag>
    <b:SourceType>Book</b:SourceType>
    <b:Guid>{DF364DEE-9942-9B47-9940-DB47E4A0E3C3}</b:Guid>
    <b:Author>
      <b:Author>
        <b:NameList>
          <b:Person>
            <b:Last>Thody</b:Last>
            <b:First>A</b:First>
          </b:Person>
        </b:NameList>
      </b:Author>
    </b:Author>
    <b:Title>Writing and Presenting Research</b:Title>
    <b:City>London</b:City>
    <b:Publisher>Sage Publications Ltd</b:Publisher>
    <b:Year>2006</b:Year>
    <b:RefOrder>31</b:RefOrder>
  </b:Source>
  <b:Source>
    <b:Tag>Isr15</b:Tag>
    <b:SourceType>Book</b:SourceType>
    <b:Guid>{0405DA94-C9E5-4645-B7C4-8F3335E09EC5}</b:Guid>
    <b:Author>
      <b:Author>
        <b:NameList>
          <b:Person>
            <b:Last>Israel</b:Last>
            <b:First>M</b:First>
          </b:Person>
        </b:NameList>
      </b:Author>
    </b:Author>
    <b:Title>Research Ethics and Integrity for Social Scientists: Beyon Regulatory Compliance</b:Title>
    <b:Year>2015</b:Year>
    <b:City>London</b:City>
    <b:Publisher>Sage Publications Ltd</b:Publisher>
    <b:RefOrder>34</b:RefOrder>
  </b:Source>
  <b:Source>
    <b:Tag>Kal80</b:Tag>
    <b:SourceType>JournalArticle</b:SourceType>
    <b:Guid>{5E19E46A-0D98-0D45-9945-20C77067B20D}</b:Guid>
    <b:Author>
      <b:Author>
        <b:NameList>
          <b:Person>
            <b:Last>Kalton</b:Last>
            <b:First>G</b:First>
          </b:Person>
          <b:Person>
            <b:Last>Roberts</b:Last>
            <b:First>J</b:First>
          </b:Person>
          <b:Person>
            <b:Last>Holt</b:Last>
            <b:First>D</b:First>
          </b:Person>
        </b:NameList>
      </b:Author>
    </b:Author>
    <b:Title>The Effects of Offering a Middle Response Option with Opinion Questions</b:Title>
    <b:JournalName>Journal of the Royal Statistical Society</b:JournalName>
    <b:Year>1980</b:Year>
    <b:Volume>29</b:Volume>
    <b:Issue>1</b:Issue>
    <b:Pages>65-78</b:Pages>
    <b:RefOrder>59</b:RefOrder>
  </b:Source>
  <b:Source>
    <b:Tag>Row03</b:Tag>
    <b:SourceType>JournalArticle</b:SourceType>
    <b:Guid>{3A31F741-0780-F74A-824C-DBBF017C29A8}</b:Guid>
    <b:Title>Designing student feedback questionnaires</b:Title>
    <b:Year>2003</b:Year>
    <b:Author>
      <b:Author>
        <b:NameList>
          <b:Person>
            <b:Last>Rowley</b:Last>
            <b:First>Jennifer</b:First>
          </b:Person>
        </b:NameList>
      </b:Author>
    </b:Author>
    <b:JournalName>Quality Assurance in Education</b:JournalName>
    <b:Volume>11</b:Volume>
    <b:Issue>3</b:Issue>
    <b:Pages>47-83</b:Pages>
    <b:RefOrder>60</b:RefOrder>
  </b:Source>
  <b:Source>
    <b:Tag>DeB13</b:Tag>
    <b:SourceType>JournalArticle</b:SourceType>
    <b:Guid>{D4F69C50-006C-214D-8AFC-2A5EF7029553}</b:Guid>
    <b:Author>
      <b:Author>
        <b:NameList>
          <b:Person>
            <b:Last>De Backer</b:Last>
            <b:First>J</b:First>
          </b:Person>
          <b:Person>
            <b:Last>Van den Noortgate</b:Last>
            <b:First>W</b:First>
          </b:Person>
          <b:Person>
            <b:Last>Van den Eeden</b:Last>
            <b:First>P</b:First>
          </b:Person>
        </b:NameList>
      </b:Author>
    </b:Author>
    <b:Title>Assessing student involvement with the Leuven scale: Psychometric properties and guidelines for use</b:Title>
    <b:JournalName>European Journal of Psychological Assessment</b:JournalName>
    <b:Year>2013</b:Year>
    <b:Volume>29</b:Volume>
    <b:Issue>2</b:Issue>
    <b:Pages>86-94</b:Pages>
    <b:RefOrder>61</b:RefOrder>
  </b:Source>
  <b:Source>
    <b:Tag>Mar14</b:Tag>
    <b:SourceType>BookSection</b:SourceType>
    <b:Guid>{D1C11832-EE9D-2843-95D8-7333565709E9}</b:Guid>
    <b:Author>
      <b:Author>
        <b:NameList>
          <b:Person>
            <b:Last>Markus</b:Last>
            <b:First>K.</b:First>
            <b:Middle>A.</b:Middle>
          </b:Person>
          <b:Person>
            <b:Last>Zenger</b:Last>
            <b:First>J</b:First>
          </b:Person>
        </b:NameList>
      </b:Author>
      <b:Editor>
        <b:NameList>
          <b:Person>
            <b:Last>Reis</b:Last>
            <b:First>H.</b:First>
            <b:Middle>T</b:Middle>
          </b:Person>
          <b:Person>
            <b:Last>Judd</b:Last>
            <b:First>C.</b:First>
            <b:Middle>M</b:Middle>
          </b:Person>
        </b:NameList>
      </b:Editor>
    </b:Author>
    <b:Title>Naturalistic Observation</b:Title>
    <b:Year>2014</b:Year>
    <b:Pages>125-145</b:Pages>
    <b:BookTitle>Handbook of research methods in social and personality psychology</b:BookTitle>
    <b:City>Cambridge</b:City>
    <b:Publisher>Cambridge University Press</b:Publisher>
    <b:RefOrder>35</b:RefOrder>
  </b:Source>
  <b:Source>
    <b:Tag>Bra20</b:Tag>
    <b:SourceType>JournalArticle</b:SourceType>
    <b:Guid>{27BE3F90-31CA-794A-95EC-443C8EE30BB0}</b:Guid>
    <b:Title>Naturalistic Child Observation</b:Title>
    <b:Year>2020</b:Year>
    <b:Pages>32</b:Pages>
    <b:Author>
      <b:Author>
        <b:NameList>
          <b:Person>
            <b:Last>Bradley</b:Last>
            <b:First>Rachel</b:First>
          </b:Person>
        </b:NameList>
      </b:Author>
    </b:Author>
    <b:JournalName>Gettysburg Social Scienes Review</b:JournalName>
    <b:Volume>5</b:Volume>
    <b:Issue>1</b:Issue>
    <b:RefOrder>37</b:RefOrder>
  </b:Source>
  <b:Source>
    <b:Tag>Fer05</b:Tag>
    <b:SourceType>Book</b:SourceType>
    <b:Guid>{CAACBDB6-8B1B-7644-9288-F4B25B14DFDF}</b:Guid>
    <b:Title>Well-being and Involvement in Care Settings. A Process -oriented Self-evaluation Instrument</b:Title>
    <b:Year>2005</b:Year>
    <b:Author>
      <b:Author>
        <b:NameList>
          <b:Person>
            <b:Last>Leavers</b:Last>
            <b:First>Ferre</b:First>
          </b:Person>
        </b:NameList>
      </b:Author>
    </b:Author>
    <b:City>Leuven</b:City>
    <b:Publisher>Kind &amp; Gezin and Research Centre For Experientel Education</b:Publisher>
    <b:Comments>https://www.kindengezin.be/img/sics-ziko-manual.pdf</b:Comments>
    <b:RefOrder>62</b:RefOrder>
  </b:Source>
  <b:Source>
    <b:Tag>Den141</b:Tag>
    <b:SourceType>Book</b:SourceType>
    <b:Guid>{37A41078-D729-3F4F-A99F-01A56EE713C9}</b:Guid>
    <b:Author>
      <b:Author>
        <b:NameList>
          <b:Person>
            <b:Last>Denscombe</b:Last>
            <b:First>M</b:First>
          </b:Person>
        </b:NameList>
      </b:Author>
    </b:Author>
    <b:Title>Good Research Guide For Small-Scale Social Research Projects</b:Title>
    <b:City>Mainhead</b:City>
    <b:Publisher>Open University Press</b:Publisher>
    <b:Year>2014</b:Year>
    <b:Edition>5th Edition</b:Edition>
    <b:RefOrder>40</b:RefOrder>
  </b:Source>
  <b:Source>
    <b:Tag>DAg13</b:Tag>
    <b:SourceType>JournalArticle</b:SourceType>
    <b:Guid>{D7E4E2A0-F89C-604E-9109-59F72B061AC4}</b:Guid>
    <b:Title>The effect of observation number and observation duration on measurement error in classroom observational data</b:Title>
    <b:Year>2013</b:Year>
    <b:Author>
      <b:Author>
        <b:NameList>
          <b:Person>
            <b:Last>D'Agostino</b:Last>
            <b:First>J.</b:First>
            <b:Middle>V.</b:Middle>
          </b:Person>
          <b:Person>
            <b:Last>Mann</b:Last>
            <b:First>E.</b:First>
            <b:Middle>A.</b:Middle>
          </b:Person>
          <b:Person>
            <b:Last>Harty</b:Last>
            <b:First>K.</b:First>
            <b:Middle>R.</b:Middle>
          </b:Person>
        </b:NameList>
      </b:Author>
    </b:Author>
    <b:JournalName>Journal of School Psychology</b:JournalName>
    <b:Volume>51</b:Volume>
    <b:Issue>3</b:Issue>
    <b:Pages>399-412</b:Pages>
    <b:RefOrder>38</b:RefOrder>
  </b:Source>
  <b:Source>
    <b:Tag>Mac20</b:Tag>
    <b:SourceType>JournalArticle</b:SourceType>
    <b:Guid>{B442219C-7326-B44E-8FFD-8D747CEC4DB5}</b:Guid>
    <b:Author>
      <b:Author>
        <b:NameList>
          <b:Person>
            <b:Last>MacRae</b:Last>
            <b:First>C</b:First>
          </b:Person>
          <b:Person>
            <b:Last>Jones</b:Last>
            <b:First>L</b:First>
          </b:Person>
        </b:NameList>
      </b:Author>
    </b:Author>
    <b:Title>A philosiphical reflection on the "Leuven Scale" and young children's expressions of involvement</b:Title>
    <b:JournalName>International Jounral of Qualitative Studies in Education</b:JournalName>
    <b:Year>2020</b:Year>
    <b:Volume>36</b:Volume>
    <b:Issue>2</b:Issue>
    <b:Pages>234-246</b:Pages>
    <b:RefOrder>36</b:RefOrder>
  </b:Source>
  <b:Source>
    <b:Tag>Sal15</b:Tag>
    <b:SourceType>Book</b:SourceType>
    <b:Guid>{0D07F7EC-F0D4-8B4E-95FA-3D0BA0541AB0}</b:Guid>
    <b:Title>The Coding Manual for Qualitative Researchers</b:Title>
    <b:Year>2015</b:Year>
    <b:Author>
      <b:Author>
        <b:NameList>
          <b:Person>
            <b:Last>Saldaña</b:Last>
            <b:First>J</b:First>
          </b:Person>
        </b:NameList>
      </b:Author>
    </b:Author>
    <b:City>Thousand Oaks, CA</b:City>
    <b:Publisher>Sage Publications</b:Publisher>
    <b:RefOrder>33</b:RefOrder>
  </b:Source>
  <b:Source>
    <b:Tag>Bra14</b:Tag>
    <b:SourceType>BookSection</b:SourceType>
    <b:Guid>{7F69ACC7-C2F9-C849-B52F-3C97194C389E}</b:Guid>
    <b:Author>
      <b:Author>
        <b:NameList>
          <b:Person>
            <b:Last>Braun</b:Last>
            <b:First>V</b:First>
          </b:Person>
          <b:Person>
            <b:Last>Clarke</b:Last>
            <b:First>V</b:First>
          </b:Person>
          <b:Person>
            <b:Last>Terry</b:Last>
            <b:First>G</b:First>
          </b:Person>
        </b:NameList>
      </b:Author>
      <b:Editor>
        <b:NameList>
          <b:Person>
            <b:Last>Myers</b:Last>
            <b:First>Michael</b:First>
          </b:Person>
          <b:Person>
            <b:Last>Buchanan</b:Last>
            <b:First>David</b:First>
          </b:Person>
        </b:NameList>
      </b:Editor>
    </b:Author>
    <b:Title>Thematic Analysis</b:Title>
    <b:JournalName>Qualitative research in clinical and health psychology</b:JournalName>
    <b:Year>2014</b:Year>
    <b:Pages>24-50</b:Pages>
    <b:BookTitle>Qualitative Research in Business and Management</b:BookTitle>
    <b:City>Thousand Oaks, CA</b:City>
    <b:Publisher>Sage Publications</b:Publisher>
    <b:RefOrder>32</b:RefOrder>
  </b:Source>
  <b:Source>
    <b:Tag>San14</b:Tag>
    <b:SourceType>JournalArticle</b:SourceType>
    <b:Guid>{3A86FEC0-E126-3240-B398-52CF59D8F574}</b:Guid>
    <b:Title>Ethical challenges of researchers in qualitative students: the nesessity to develop a specififc guidline</b:Title>
    <b:Year>2014</b:Year>
    <b:Author>
      <b:Author>
        <b:NameList>
          <b:Person>
            <b:Last>Sanjari</b:Last>
            <b:First>Mahnaz</b:First>
          </b:Person>
          <b:Person>
            <b:Last>Bahramnexahd</b:Last>
            <b:First>Fatemeh</b:First>
          </b:Person>
          <b:Person>
            <b:Last>Shoghi</b:Last>
            <b:First>Mohammad</b:First>
          </b:Person>
        </b:NameList>
      </b:Author>
    </b:Author>
    <b:JournalName>Journal of Medical Ethics</b:JournalName>
    <b:Volume>7</b:Volume>
    <b:Issue>14</b:Issue>
    <b:Pages>37</b:Pages>
    <b:RefOrder>63</b:RefOrder>
  </b:Source>
  <b:Source>
    <b:Tag>BER18</b:Tag>
    <b:SourceType>Book</b:SourceType>
    <b:Guid>{2933C66F-89FE-EC46-8F8C-97D16747AD4F}</b:Guid>
    <b:Title>Ethical Guidelines for Educational Research</b:Title>
    <b:City>London</b:City>
    <b:Publisher>British Educational Research Association</b:Publisher>
    <b:Year>2018</b:Year>
    <b:Edition>fourth edition</b:Edition>
    <b:Author>
      <b:Author>
        <b:NameList>
          <b:Person>
            <b:Last>BERA</b:Last>
          </b:Person>
        </b:NameList>
      </b:Author>
    </b:Author>
    <b:Comments>file:///Users/gemmadavies/Downloads/BERA-Ethical-Guidelines-for-Educational-Research_4thEdn_2018.pdf</b:Comments>
    <b:RefOrder>41</b:RefOrder>
  </b:Source>
  <b:Source>
    <b:Tag>EWC19</b:Tag>
    <b:SourceType>Report</b:SourceType>
    <b:Guid>{4B6E06BF-5BF3-F641-A22D-40D13998BFAF}</b:Guid>
    <b:Title>Code of Professional Conduct and Pratice for registrants with the EWC</b:Title>
    <b:Year>2019</b:Year>
    <b:Author>
      <b:Author>
        <b:NameList>
          <b:Person>
            <b:Last>EWC</b:Last>
          </b:Person>
        </b:NameList>
      </b:Author>
    </b:Author>
    <b:Publisher>EWC</b:Publisher>
    <b:City>Cadriff</b:City>
    <b:RefOrder>43</b:RefOrder>
  </b:Source>
  <b:Source>
    <b:Tag>Ald11</b:Tag>
    <b:SourceType>Book</b:SourceType>
    <b:Guid>{9558388D-23E0-6148-8997-AB2DE15ACA80}</b:Guid>
    <b:Author>
      <b:Author>
        <b:NameList>
          <b:Person>
            <b:Last>Alderson</b:Last>
            <b:First>P</b:First>
          </b:Person>
          <b:Person>
            <b:Last>Morrow</b:Last>
            <b:First>V</b:First>
          </b:Person>
        </b:NameList>
      </b:Author>
    </b:Author>
    <b:Title>The Ethics of Research with Children and Young People: A Practical Handbook</b:Title>
    <b:City>London</b:City>
    <b:Publisher>Sage Publications Ltd</b:Publisher>
    <b:Year>2011</b:Year>
    <b:RefOrder>64</b:RefOrder>
  </b:Source>
  <b:Source>
    <b:Tag>Sch11</b:Tag>
    <b:SourceType>JournalArticle</b:SourceType>
    <b:Guid>{07613749-2C94-FC48-B882-B6CA16A8AE40}</b:Guid>
    <b:Title>The Right to Withdraw from Research</b:Title>
    <b:Year>2011</b:Year>
    <b:Pages>329-352</b:Pages>
    <b:Author>
      <b:Author>
        <b:NameList>
          <b:Person>
            <b:Last>Schaefer</b:Last>
            <b:First>G</b:First>
          </b:Person>
          <b:Person>
            <b:Last>Wertheimer</b:Last>
            <b:First>A</b:First>
          </b:Person>
        </b:NameList>
      </b:Author>
    </b:Author>
    <b:JournalName>Institue of Ethics Journal</b:JournalName>
    <b:Volume>20</b:Volume>
    <b:Issue>4</b:Issue>
    <b:RefOrder>47</b:RefOrder>
  </b:Source>
  <b:Source>
    <b:Tag>Inf18</b:Tag>
    <b:SourceType>Report</b:SourceType>
    <b:Guid>{6A4FAC64-585B-244E-913A-D7F3E3A97CF0}</b:Guid>
    <b:Title>Guide to the Genereal Data Protection Regulation (GDPR)</b:Title>
    <b:Year>2018</b:Year>
    <b:Author>
      <b:Author>
        <b:Corporate>Information Commissioner's Office</b:Corporate>
      </b:Author>
    </b:Author>
    <b:Publisher>ICO</b:Publisher>
    <b:City>London</b:City>
    <b:RefOrder>48</b:RefOrder>
  </b:Source>
  <b:Source>
    <b:Tag>Ald111</b:Tag>
    <b:SourceType>Book</b:SourceType>
    <b:Guid>{19448FB1-3AA0-0142-85F2-D058295AD1CE}</b:Guid>
    <b:Author>
      <b:Author>
        <b:NameList>
          <b:Person>
            <b:Last>Alderson</b:Last>
            <b:First>P</b:First>
          </b:Person>
          <b:Person>
            <b:Last>Morrow</b:Last>
            <b:First>V</b:First>
          </b:Person>
        </b:NameList>
      </b:Author>
    </b:Author>
    <b:Title>The ethics of research with children and young people: a pracitcal handbook</b:Title>
    <b:City>London</b:City>
    <b:Publisher>Sage Publications</b:Publisher>
    <b:Year>2011</b:Year>
    <b:Edition>2nd Edition</b:Edition>
    <b:RefOrder>44</b:RefOrder>
  </b:Source>
  <b:Source>
    <b:Tag>Lew04</b:Tag>
    <b:SourceType>Book</b:SourceType>
    <b:Guid>{16E7FE46-DC2D-2743-851A-67CCFC09649F}</b:Guid>
    <b:Author>
      <b:Author>
        <b:NameList>
          <b:Person>
            <b:Last>Lewis</b:Last>
            <b:First>V</b:First>
          </b:Person>
          <b:Person>
            <b:Last>Kellet</b:Last>
            <b:First>M</b:First>
          </b:Person>
          <b:Person>
            <b:Last>Robinson</b:Last>
            <b:First>C</b:First>
          </b:Person>
          <b:Person>
            <b:Last>Fraser</b:Last>
            <b:First>S</b:First>
          </b:Person>
          <b:Person>
            <b:Last>Ding</b:Last>
            <b:First>S</b:First>
          </b:Person>
        </b:NameList>
      </b:Author>
    </b:Author>
    <b:Title>The Reality of Research with Children and Young People</b:Title>
    <b:City>London</b:City>
    <b:Publisher>Sage Publications</b:Publisher>
    <b:Year>2004</b:Year>
    <b:RefOrder>42</b:RefOrder>
  </b:Source>
  <b:Source>
    <b:Tag>Dan111</b:Tag>
    <b:SourceType>JournalArticle</b:SourceType>
    <b:Guid>{70F3A4DD-2E6E-2047-93CA-021621CF90E5}</b:Guid>
    <b:Title>The novice researcher: interviewing young children</b:Title>
    <b:Year>2011</b:Year>
    <b:Author>
      <b:Author>
        <b:NameList>
          <b:Person>
            <b:Last>Danby</b:Last>
            <b:First>S.J</b:First>
          </b:Person>
          <b:Person>
            <b:Last>Ewing</b:Last>
            <b:First>L</b:First>
          </b:Person>
          <b:Person>
            <b:Last>Thorpe</b:Last>
            <b:First>K.J.</b:First>
          </b:Person>
        </b:NameList>
      </b:Author>
    </b:Author>
    <b:JournalName>Qualitative Enquiry</b:JournalName>
    <b:Volume>17</b:Volume>
    <b:Issue>1</b:Issue>
    <b:Pages>74-84</b:Pages>
    <b:RefOrder>45</b:RefOrder>
  </b:Source>
  <b:Source>
    <b:Tag>Jon19</b:Tag>
    <b:SourceType>JournalArticle</b:SourceType>
    <b:Guid>{173101F1-B60D-5B4D-B967-467A8999BA3F}</b:Guid>
    <b:Author>
      <b:Author>
        <b:NameList>
          <b:Person>
            <b:Last>Jones</b:Last>
            <b:First>M.</b:First>
            <b:Middle>A</b:Middle>
          </b:Person>
          <b:Person>
            <b:Last>Smith</b:Last>
            <b:First>B.</b:First>
            <b:Middle>T.</b:Middle>
          </b:Person>
        </b:NameList>
      </b:Author>
    </b:Author>
    <b:Title>Ensuring Confidentiality in Research Studies: An Exploration of Best Practices</b:Title>
    <b:JournalName>ournal of Research Administration</b:JournalName>
    <b:Year>2019</b:Year>
    <b:Volume>50</b:Volume>
    <b:Issue>2</b:Issue>
    <b:Pages>25-34</b:Pages>
    <b:RefOrder>49</b:RefOrder>
  </b:Source>
  <b:Source>
    <b:Tag>Bou14</b:Tag>
    <b:SourceType>JournalArticle</b:SourceType>
    <b:Guid>{5346F4ED-E3FB-F94A-B55E-60601B0820ED}</b:Guid>
    <b:Title>Positionality: Reflecting on the Research Process</b:Title>
    <b:Year>2014</b:Year>
    <b:Author>
      <b:Author>
        <b:NameList>
          <b:Person>
            <b:Last>Bourke</b:Last>
            <b:First>Brian</b:First>
          </b:Person>
        </b:NameList>
      </b:Author>
    </b:Author>
    <b:JournalName>The Qualitative Report</b:JournalName>
    <b:Volume>19</b:Volume>
    <b:Issue>33</b:Issue>
    <b:Pages>2-9</b:Pages>
    <b:RefOrder>65</b:RefOrder>
  </b:Source>
  <b:Source>
    <b:Tag>Coh13</b:Tag>
    <b:SourceType>Book</b:SourceType>
    <b:Guid>{3F8C090B-FA3E-104A-8289-90235DCDE8E9}</b:Guid>
    <b:Title>Research Methods in Education</b:Title>
    <b:Publisher>Sage Publications Ltd</b:Publisher>
    <b:City>London</b:City>
    <b:Year>2013</b:Year>
    <b:Author>
      <b:Author>
        <b:NameList>
          <b:Person>
            <b:Last>Cohen</b:Last>
            <b:First>L</b:First>
          </b:Person>
          <b:Person>
            <b:Last>Manion</b:Last>
            <b:First>L</b:First>
          </b:Person>
        </b:NameList>
      </b:Author>
    </b:Author>
    <b:RefOrder>50</b:RefOrder>
  </b:Source>
  <b:Source>
    <b:Tag>Bri02</b:Tag>
    <b:SourceType>Book</b:SourceType>
    <b:Guid>{A718AE2D-1DD3-F047-98D2-A3C5057DDED0}</b:Guid>
    <b:Title>Research Methods in Educational Leadership and Management</b:Title>
    <b:City>London</b:City>
    <b:Publisher>SAGE Publications</b:Publisher>
    <b:Year>2002</b:Year>
    <b:Author>
      <b:Author>
        <b:NameList>
          <b:Person>
            <b:Last>Briggs</b:Last>
            <b:First>Ann</b:First>
          </b:Person>
          <b:Person>
            <b:Last>Coleman</b:Last>
            <b:First>Marianne</b:First>
          </b:Person>
        </b:NameList>
      </b:Author>
    </b:Author>
    <b:RefOrder>66</b:RefOrder>
  </b:Source>
  <b:Source>
    <b:Tag>Osw12</b:Tag>
    <b:SourceType>BookSection</b:SourceType>
    <b:Guid>{363330C4-321A-CC44-9283-62FD2B0D0292}</b:Guid>
    <b:Title>Confirmation Bias</b:Title>
    <b:Year>2012</b:Year>
    <b:Pages>81-87</b:Pages>
    <b:Author>
      <b:Author>
        <b:NameList>
          <b:Person>
            <b:Last>Oswald</b:Last>
            <b:First>Margi</b:First>
          </b:Person>
          <b:Person>
            <b:Last>Grosjean</b:Last>
            <b:First>Stefan</b:First>
          </b:Person>
        </b:NameList>
      </b:Author>
    </b:Author>
    <b:BookTitle>Cognitive Illusions: A Handbook on Fallacies and Biases in Thinking, Judgement and Memory</b:BookTitle>
    <b:City>London</b:City>
    <b:Publisher>Taylor &amp; Francies</b:Publisher>
    <b:RefOrder>67</b:RefOrder>
  </b:Source>
  <b:Source>
    <b:Tag>Dep17</b:Tag>
    <b:SourceType>Report</b:SourceType>
    <b:Guid>{83DC124B-BE27-C943-BD77-01BD9463834F}</b:Guid>
    <b:Title>Teacher Workload Survery: Research report</b:Title>
    <b:Year>2017</b:Year>
    <b:Author>
      <b:Author>
        <b:Corporate>Department for Education</b:Corporate>
      </b:Author>
    </b:Author>
    <b:Publisher>DfE</b:Publisher>
    <b:City>London</b:City>
    <b:RefOrder>68</b:RefOrder>
  </b:Source>
  <b:Source>
    <b:Tag>Puc71</b:Tag>
    <b:SourceType>JournalArticle</b:SourceType>
    <b:Guid>{7A7A0C74-18F8-504B-B9FB-F7D24CB78BEF}</b:Guid>
    <b:Author>
      <b:Author>
        <b:NameList>
          <b:Person>
            <b:Last>Pucel</b:Last>
            <b:First>David</b:First>
          </b:Person>
        </b:NameList>
      </b:Author>
    </b:Author>
    <b:Title>Questionnaire Follow up Returns as a Function of Incentives and Responder Charateristics</b:Title>
    <b:Year>1971</b:Year>
    <b:JournalName>Vocational Guidance Quartley</b:JournalName>
    <b:Volume>19</b:Volume>
    <b:Issue>2</b:Issue>
    <b:Pages>186-191</b:Pages>
    <b:RefOrder>69</b:RefOrder>
  </b:Source>
  <b:Source>
    <b:Tag>Wel217</b:Tag>
    <b:SourceType>Report</b:SourceType>
    <b:Guid>{F2258365-3341-9440-BA2E-D001F8F4614D}</b:Guid>
    <b:Title>Renw and reform: supporting learners' wellbeing and progression. Our education COIVD-19 recovery plan. </b:Title>
    <b:City>Cardiff</b:City>
    <b:Publisher>WG</b:Publisher>
    <b:Year>2021</b:Year>
    <b:Author>
      <b:Author>
        <b:Corporate>Welsh Government</b:Corporate>
      </b:Author>
    </b:Author>
    <b:RefOrder>70</b:RefOrder>
  </b:Source>
  <b:Source>
    <b:Tag>Est22</b:Tag>
    <b:SourceType>DocumentFromInternetSite</b:SourceType>
    <b:Guid>{33F931C1-7912-2B46-842C-9767C56B30B0}</b:Guid>
    <b:Author>
      <b:Author>
        <b:Corporate>Estyn</b:Corporate>
      </b:Author>
    </b:Author>
    <b:Title>Our current plans</b:Title>
    <b:Year>2022</b:Year>
    <b:URL>https://www.estyn.gov.wales/inspection/our-current-plans</b:URL>
    <b:Month>January</b:Month>
    <b:Day>5</b:Day>
    <b:YearAccessed>2022</b:YearAccessed>
    <b:MonthAccessed>April</b:MonthAccessed>
    <b:DayAccessed>13</b:DayAccessed>
    <b:RefOrder>71</b:RefOrder>
  </b:Source>
  <b:Source>
    <b:Tag>Bat19</b:Tag>
    <b:SourceType>Book</b:SourceType>
    <b:Guid>{D9575ED7-CC12-F74D-AD51-B5B51975D7B3}</b:Guid>
    <b:Title>Teaching in a Digital Age: Guidelines for designing teaching</b:Title>
    <b:Year>2019</b:Year>
    <b:Author>
      <b:Author>
        <b:NameList>
          <b:Person>
            <b:Last>Bates</b:Last>
            <b:First>T</b:First>
          </b:Person>
        </b:NameList>
      </b:Author>
    </b:Author>
    <b:City>London</b:City>
    <b:Publisher>Sage Publications</b:Publisher>
    <b:RefOrder>51</b:RefOrder>
  </b:Source>
  <b:Source>
    <b:Tag>Coh11</b:Tag>
    <b:SourceType>Book</b:SourceType>
    <b:Guid>{14C740C9-FEDC-F44A-8676-F72152BB8DC5}</b:Guid>
    <b:Author>
      <b:Author>
        <b:NameList>
          <b:Person>
            <b:Last>Cohen</b:Last>
            <b:First>L</b:First>
          </b:Person>
          <b:Person>
            <b:Last>Manion</b:Last>
            <b:First>L</b:First>
          </b:Person>
        </b:NameList>
      </b:Author>
    </b:Author>
    <b:Title>Research methdos in education</b:Title>
    <b:City>London ; New York</b:City>
    <b:Publisher>Routledge</b:Publisher>
    <b:Year>2013</b:Year>
    <b:Edition>7th Edition</b:Edition>
    <b:RefOrder>39</b:RefOrder>
  </b:Source>
  <b:Source>
    <b:Tag>Isr14</b:Tag>
    <b:SourceType>Book</b:SourceType>
    <b:Guid>{F59BF016-5B8E-FD40-9FDB-77DBB2413488}</b:Guid>
    <b:Author>
      <b:Author>
        <b:NameList>
          <b:Person>
            <b:Last>Israel</b:Last>
            <b:First>M</b:First>
          </b:Person>
        </b:NameList>
      </b:Author>
    </b:Author>
    <b:Title>Research Ethicsa and Integrity for Social Scientists: Beyond Regulatory Compliance</b:Title>
    <b:City>Washington</b:City>
    <b:Publisher>Sage Publications</b:Publisher>
    <b:Year>2015</b:Year>
    <b:RefOrder>46</b:RefOrder>
  </b:Source>
  <b:Source>
    <b:Tag>Wel17</b:Tag>
    <b:SourceType>Report</b:SourceType>
    <b:Guid>{9C6923F0-1065-8446-9388-8304E019385A}</b:Guid>
    <b:Title>Educaiton in Wales: Our National Mission</b:Title>
    <b:City>Cardiff</b:City>
    <b:Publisher>WG</b:Publisher>
    <b:Year>2020</b:Year>
    <b:Author>
      <b:Author>
        <b:Corporate>Welsh Government</b:Corporate>
      </b:Author>
    </b:Author>
    <b:RefOrder>25</b:RefOrder>
  </b:Source>
</b:Sources>
</file>

<file path=customXml/itemProps1.xml><?xml version="1.0" encoding="utf-8"?>
<ds:datastoreItem xmlns:ds="http://schemas.openxmlformats.org/officeDocument/2006/customXml" ds:itemID="{6EBC6336-1132-CB4D-B3FC-F148CE15A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1488</TotalTime>
  <Pages>24</Pages>
  <Words>7667</Words>
  <Characters>43703</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Davies (1605158)</dc:creator>
  <cp:keywords/>
  <dc:description/>
  <cp:lastModifiedBy>Gemma Davies (1605158)</cp:lastModifiedBy>
  <cp:revision>502</cp:revision>
  <dcterms:created xsi:type="dcterms:W3CDTF">2023-02-22T18:32:00Z</dcterms:created>
  <dcterms:modified xsi:type="dcterms:W3CDTF">2023-03-06T15:21:00Z</dcterms:modified>
</cp:coreProperties>
</file>