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0791" w:rsidRDefault="007C1D9C">
      <w:r>
        <w:rPr>
          <w:noProof/>
        </w:rPr>
        <w:drawing>
          <wp:inline distT="0" distB="0" distL="0" distR="0">
            <wp:extent cx="1810383" cy="597532"/>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10383" cy="597532"/>
                    </a:xfrm>
                    <a:prstGeom prst="rect">
                      <a:avLst/>
                    </a:prstGeom>
                    <a:noFill/>
                    <a:ln>
                      <a:noFill/>
                      <a:prstDash/>
                    </a:ln>
                  </pic:spPr>
                </pic:pic>
              </a:graphicData>
            </a:graphic>
          </wp:inline>
        </w:drawing>
      </w:r>
    </w:p>
    <w:p w:rsidR="00F50791" w:rsidRDefault="007C1D9C">
      <w:pPr>
        <w:rPr>
          <w:rFonts w:ascii="Times New Roman" w:hAnsi="Times New Roman"/>
          <w:sz w:val="28"/>
          <w:szCs w:val="28"/>
        </w:rPr>
      </w:pPr>
      <w:r>
        <w:rPr>
          <w:rFonts w:ascii="Times New Roman" w:hAnsi="Times New Roman"/>
          <w:sz w:val="28"/>
          <w:szCs w:val="28"/>
        </w:rPr>
        <w:t xml:space="preserve">Programme:  BA in Business Management </w:t>
      </w:r>
    </w:p>
    <w:p w:rsidR="00F50791" w:rsidRDefault="007C1D9C">
      <w:pPr>
        <w:rPr>
          <w:rFonts w:ascii="Times New Roman" w:hAnsi="Times New Roman"/>
          <w:sz w:val="28"/>
          <w:szCs w:val="28"/>
        </w:rPr>
      </w:pPr>
      <w:r>
        <w:rPr>
          <w:rFonts w:ascii="Times New Roman" w:hAnsi="Times New Roman"/>
          <w:sz w:val="28"/>
          <w:szCs w:val="28"/>
        </w:rPr>
        <w:t xml:space="preserve">Module:  Project Management </w:t>
      </w:r>
    </w:p>
    <w:p w:rsidR="00F50791" w:rsidRDefault="007C1D9C">
      <w:pPr>
        <w:rPr>
          <w:rFonts w:ascii="Times New Roman" w:hAnsi="Times New Roman"/>
          <w:sz w:val="28"/>
          <w:szCs w:val="28"/>
        </w:rPr>
      </w:pPr>
      <w:r>
        <w:rPr>
          <w:rFonts w:ascii="Times New Roman" w:hAnsi="Times New Roman"/>
          <w:sz w:val="28"/>
          <w:szCs w:val="28"/>
        </w:rPr>
        <w:t>Module code:  LCBB5005</w:t>
      </w:r>
    </w:p>
    <w:p w:rsidR="00BB4B53" w:rsidRDefault="007C1D9C">
      <w:pPr>
        <w:rPr>
          <w:rFonts w:ascii="Times New Roman" w:hAnsi="Times New Roman"/>
          <w:sz w:val="28"/>
          <w:szCs w:val="28"/>
        </w:rPr>
      </w:pPr>
      <w:r>
        <w:rPr>
          <w:rFonts w:ascii="Times New Roman" w:hAnsi="Times New Roman"/>
          <w:sz w:val="28"/>
          <w:szCs w:val="28"/>
        </w:rPr>
        <w:t xml:space="preserve">Assignment  Title: </w:t>
      </w:r>
      <w:r w:rsidR="00BB4B53">
        <w:rPr>
          <w:rFonts w:ascii="Times New Roman" w:hAnsi="Times New Roman"/>
          <w:sz w:val="28"/>
          <w:szCs w:val="28"/>
        </w:rPr>
        <w:t xml:space="preserve">Project management </w:t>
      </w:r>
    </w:p>
    <w:p w:rsidR="00D0586B" w:rsidRDefault="007C1D9C">
      <w:pPr>
        <w:rPr>
          <w:rFonts w:ascii="Times New Roman" w:hAnsi="Times New Roman"/>
          <w:sz w:val="28"/>
          <w:szCs w:val="28"/>
        </w:rPr>
      </w:pPr>
      <w:r>
        <w:rPr>
          <w:rFonts w:ascii="Times New Roman" w:hAnsi="Times New Roman"/>
          <w:sz w:val="28"/>
          <w:szCs w:val="28"/>
        </w:rPr>
        <w:t xml:space="preserve">Component 1: Essay  </w:t>
      </w:r>
    </w:p>
    <w:p w:rsidR="00F50791" w:rsidRDefault="007C1D9C">
      <w:pPr>
        <w:rPr>
          <w:rFonts w:ascii="Times New Roman" w:hAnsi="Times New Roman"/>
          <w:sz w:val="28"/>
          <w:szCs w:val="28"/>
        </w:rPr>
      </w:pPr>
      <w:r>
        <w:rPr>
          <w:rFonts w:ascii="Times New Roman" w:hAnsi="Times New Roman"/>
          <w:sz w:val="28"/>
          <w:szCs w:val="28"/>
        </w:rPr>
        <w:t xml:space="preserve">Student ID: </w:t>
      </w:r>
      <w:r w:rsidR="00BB4B53">
        <w:rPr>
          <w:rFonts w:ascii="Times New Roman" w:hAnsi="Times New Roman"/>
          <w:sz w:val="28"/>
          <w:szCs w:val="28"/>
        </w:rPr>
        <w:t>2112677</w:t>
      </w: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F50791">
      <w:pPr>
        <w:rPr>
          <w:rFonts w:ascii="Times New Roman" w:hAnsi="Times New Roman"/>
          <w:sz w:val="28"/>
          <w:szCs w:val="28"/>
        </w:rPr>
      </w:pPr>
    </w:p>
    <w:p w:rsidR="00F50791" w:rsidRDefault="007C1D9C">
      <w:pPr>
        <w:rPr>
          <w:rFonts w:ascii="Times New Roman" w:hAnsi="Times New Roman"/>
          <w:b/>
          <w:bCs/>
          <w:sz w:val="28"/>
          <w:szCs w:val="28"/>
        </w:rPr>
      </w:pPr>
      <w:r>
        <w:rPr>
          <w:rFonts w:ascii="Times New Roman" w:hAnsi="Times New Roman"/>
          <w:b/>
          <w:bCs/>
          <w:sz w:val="28"/>
          <w:szCs w:val="28"/>
        </w:rPr>
        <w:t>Introduction</w:t>
      </w:r>
    </w:p>
    <w:p w:rsidR="00F50791" w:rsidRDefault="007C1D9C">
      <w:pPr>
        <w:spacing w:line="360" w:lineRule="auto"/>
        <w:jc w:val="both"/>
      </w:pPr>
      <w:r>
        <w:rPr>
          <w:rFonts w:ascii="Times New Roman" w:hAnsi="Times New Roman"/>
          <w:sz w:val="24"/>
          <w:szCs w:val="24"/>
        </w:rPr>
        <w:t>One of the biggest digital business organisations in the world is making a major entry into the UK's rapidly growing tech industry with the Google Headquarters Project in London, which is expected to be a historic development. Situated in a strategic location at King's Cross, this £1 billion endeavour is Google's first fully owned and designed structure within the borders of the United States. Moreover, it serves as a tangible manifestation of the company's dedication to fostering innovation and pursuing sustainable expansion (</w:t>
      </w:r>
      <w:r>
        <w:rPr>
          <w:rFonts w:ascii="Times New Roman" w:hAnsi="Times New Roman"/>
          <w:i/>
          <w:iCs/>
          <w:sz w:val="24"/>
          <w:szCs w:val="24"/>
        </w:rPr>
        <w:t xml:space="preserve">Google Headquarters, Projects, </w:t>
      </w:r>
      <w:proofErr w:type="spellStart"/>
      <w:r>
        <w:rPr>
          <w:rFonts w:ascii="Times New Roman" w:hAnsi="Times New Roman"/>
          <w:i/>
          <w:iCs/>
          <w:sz w:val="24"/>
          <w:szCs w:val="24"/>
        </w:rPr>
        <w:t>Gillespies</w:t>
      </w:r>
      <w:proofErr w:type="spellEnd"/>
      <w:r>
        <w:rPr>
          <w:rFonts w:ascii="Times New Roman" w:hAnsi="Times New Roman"/>
          <w:i/>
          <w:iCs/>
          <w:sz w:val="24"/>
          <w:szCs w:val="24"/>
        </w:rPr>
        <w:t>, 2023)</w:t>
      </w:r>
      <w:r>
        <w:rPr>
          <w:rFonts w:ascii="Times New Roman" w:hAnsi="Times New Roman"/>
          <w:sz w:val="24"/>
          <w:szCs w:val="24"/>
        </w:rPr>
        <w:t>. Currently, the project is making developments towards its ambitious objective of establishing an extensive campus that, if completed, would accommodate a maximum of 7,000 personnel inside its modern facilities. The main objective of this essay is to undertake a thorough examination of the fundamental components of the Google Headquarters Project. This consideration includes an in-depth analysis of the project's budget, timing, quality control methods, stakeholder management, and the recognition and mitigation of possible risks. It is essential to conduct such an analysis not just for the purpose of understanding the complexities involved in the management of a project of this size but also for the purpose of gaining insights that may be used in the management of potential large-scale initiatives. When doing this review, the essay will first examine the project overview, establishing the foundation for a comprehensive examination of each essential component. A section-by-section evaluation will follow, starting with the budget and financial strategies, progressing through the project timetable using quality control methods, and concluding with an examination of stakeholder participation and risk management dynamics. The use of this methodological framework will facilitate a comprehensive comprehension of the project, ultimately resulting in a comprehensive collection of well-rounded findings and suggestions.</w:t>
      </w:r>
    </w:p>
    <w:p w:rsidR="00F50791" w:rsidRDefault="007C1D9C">
      <w:pPr>
        <w:spacing w:line="360" w:lineRule="auto"/>
        <w:jc w:val="both"/>
        <w:rPr>
          <w:rFonts w:ascii="Times New Roman" w:hAnsi="Times New Roman"/>
          <w:b/>
          <w:bCs/>
          <w:sz w:val="28"/>
          <w:szCs w:val="28"/>
        </w:rPr>
      </w:pPr>
      <w:r>
        <w:rPr>
          <w:rFonts w:ascii="Times New Roman" w:hAnsi="Times New Roman"/>
          <w:b/>
          <w:bCs/>
          <w:sz w:val="28"/>
          <w:szCs w:val="28"/>
        </w:rPr>
        <w:t xml:space="preserve">Main Body </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Project Scope and Aims</w:t>
      </w:r>
    </w:p>
    <w:p w:rsidR="00F50791" w:rsidRDefault="007C1D9C">
      <w:pPr>
        <w:spacing w:line="360" w:lineRule="auto"/>
        <w:jc w:val="both"/>
      </w:pPr>
      <w:r>
        <w:rPr>
          <w:rFonts w:ascii="Times New Roman" w:hAnsi="Times New Roman"/>
          <w:sz w:val="24"/>
          <w:szCs w:val="24"/>
        </w:rPr>
        <w:t xml:space="preserve">In the urban environment of London, the Google Headquarters Project at King's Cross symbolises a substantial and revolutionary development. The project is in London. With a budget of £1 billion, the project aims to create a new standard in office space design within the field of architecture. According to </w:t>
      </w:r>
      <w:proofErr w:type="spellStart"/>
      <w:r>
        <w:rPr>
          <w:rFonts w:ascii="Times New Roman" w:hAnsi="Times New Roman"/>
          <w:i/>
          <w:iCs/>
          <w:sz w:val="24"/>
          <w:szCs w:val="24"/>
        </w:rPr>
        <w:t>Gillespies</w:t>
      </w:r>
      <w:proofErr w:type="spellEnd"/>
      <w:r>
        <w:rPr>
          <w:rFonts w:ascii="Times New Roman" w:hAnsi="Times New Roman"/>
          <w:i/>
          <w:iCs/>
          <w:sz w:val="24"/>
          <w:szCs w:val="24"/>
        </w:rPr>
        <w:t xml:space="preserve"> (2023),</w:t>
      </w:r>
      <w:r>
        <w:rPr>
          <w:rFonts w:ascii="Times New Roman" w:hAnsi="Times New Roman"/>
          <w:sz w:val="24"/>
          <w:szCs w:val="24"/>
        </w:rPr>
        <w:t xml:space="preserve"> the development has a vast area of 60,400 square metres and has been precisely prepared to accommodate a maximum of 4,500 workers throughout its 10 stories. It is important to note that this project is the first of its sort outside of the United States in which Google has both ownership and direct management over the design and building process. This represents a significant milestone in Google's goal to expand its operations throughout the world. Extending beyond the confines of conventional workplace premises is the scope of the project. Also, the establishment incorporates a diverse range of supplementary amenities, including cafés, a fitness centre, multi-purpose sports grounds, and swimming facilities, with the intention of cultivating an efficient and vibrant workplace (</w:t>
      </w:r>
      <w:r>
        <w:rPr>
          <w:rFonts w:ascii="Times New Roman" w:hAnsi="Times New Roman"/>
          <w:i/>
          <w:iCs/>
          <w:sz w:val="24"/>
          <w:szCs w:val="24"/>
        </w:rPr>
        <w:t>Evans and McKenzie, 2023).</w:t>
      </w:r>
    </w:p>
    <w:p w:rsidR="00F50791" w:rsidRDefault="007C1D9C">
      <w:pPr>
        <w:spacing w:line="360" w:lineRule="auto"/>
        <w:jc w:val="both"/>
      </w:pPr>
      <w:r>
        <w:rPr>
          <w:rFonts w:ascii="Times New Roman" w:hAnsi="Times New Roman"/>
          <w:sz w:val="24"/>
          <w:szCs w:val="24"/>
        </w:rPr>
        <w:t xml:space="preserve">Located at the top of the organisation, exactly designed walkways decorated with greenery and a track designated for running activities not only provide areas for leisure and relaxation but also demonstrate a dedication to the welfare of employees and the promotion of ecological sustainability. Furthermore, it is anticipated that the project will make a substantial contribution to the Knowledge Quarter and the expanding knowledge-driven economy of King's Cross, therefore demonstrating Google's commitment to fostering a dynamic neighbourhood focused on innovation and education. According to the most recent report, the building of the Google Headquarters is advancing in accordance with its anticipated schedule. The project has achieved significant milestones, and the underlying work and structural development have been progressing steadily. According to </w:t>
      </w:r>
      <w:r>
        <w:rPr>
          <w:rFonts w:ascii="Times New Roman" w:hAnsi="Times New Roman"/>
          <w:i/>
          <w:iCs/>
          <w:sz w:val="24"/>
          <w:szCs w:val="24"/>
        </w:rPr>
        <w:t>Richards, (2023)</w:t>
      </w:r>
      <w:r>
        <w:rPr>
          <w:rFonts w:ascii="Times New Roman" w:hAnsi="Times New Roman"/>
          <w:sz w:val="24"/>
          <w:szCs w:val="24"/>
        </w:rPr>
        <w:t xml:space="preserve"> the primary fundamental structure has been completed, and the interior fittings and landscaping on the outside have commenced. The project has placed significant emphasis on its adherence to sustainable building practices, ensuring that its construction procedures and materials meet rigorous environmental criteria (</w:t>
      </w:r>
      <w:r>
        <w:rPr>
          <w:rFonts w:ascii="Times New Roman" w:hAnsi="Times New Roman"/>
          <w:i/>
          <w:iCs/>
          <w:sz w:val="24"/>
          <w:szCs w:val="24"/>
        </w:rPr>
        <w:t>Construction Journal, 2023).</w:t>
      </w:r>
      <w:r>
        <w:rPr>
          <w:rFonts w:ascii="Times New Roman" w:hAnsi="Times New Roman"/>
          <w:sz w:val="24"/>
          <w:szCs w:val="24"/>
        </w:rPr>
        <w:t xml:space="preserve"> However, the Google Headquarters Project signifies a substantial allocation of resources towards the technological industry in the United Kingdom. Furthermore, it exemplifies a contemporary perspective on office architecture, prioritising principles of sustainability, creativity, and integration within the community.</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Budget Analysis</w:t>
      </w:r>
    </w:p>
    <w:p w:rsidR="00F50791" w:rsidRDefault="007C1D9C">
      <w:pPr>
        <w:spacing w:line="360" w:lineRule="auto"/>
        <w:jc w:val="both"/>
      </w:pPr>
      <w:r>
        <w:rPr>
          <w:rFonts w:ascii="Times New Roman" w:hAnsi="Times New Roman"/>
          <w:sz w:val="24"/>
          <w:szCs w:val="24"/>
        </w:rPr>
        <w:t>The Google Headquarters Project in London serves as a classic example of meticulously planned and executed financial management in massive building projects, all while staying under budget. The project's financial summary, which boasts a substantial budget of £1 billion, serves to emphasise both the magnitude and aspiration of this undertaking while also showcasing Google's dedication to establishing a cutting-edge facility (</w:t>
      </w:r>
      <w:r>
        <w:rPr>
          <w:rFonts w:ascii="Times New Roman" w:hAnsi="Times New Roman"/>
          <w:i/>
          <w:iCs/>
          <w:sz w:val="24"/>
          <w:szCs w:val="24"/>
        </w:rPr>
        <w:t>Johnson, 2023).</w:t>
      </w:r>
      <w:r>
        <w:rPr>
          <w:rFonts w:ascii="Times New Roman" w:hAnsi="Times New Roman"/>
          <w:sz w:val="24"/>
          <w:szCs w:val="24"/>
        </w:rPr>
        <w:t xml:space="preserve"> Construction expenditures, interior design, technology facilities, and the incorporation of environmentally friendly elements are all included in this budget allocation, which covers a variety of areas of the project. The primary source of financing for this project is derived from Google's resource reserves, which serve as an indication of the company's strong financial condition and its deliberate investment in long-term prospects (</w:t>
      </w:r>
      <w:r>
        <w:rPr>
          <w:rFonts w:ascii="Times New Roman" w:hAnsi="Times New Roman"/>
          <w:i/>
          <w:iCs/>
          <w:sz w:val="24"/>
          <w:szCs w:val="24"/>
        </w:rPr>
        <w:t>Davis, 2023</w:t>
      </w:r>
      <w:r>
        <w:rPr>
          <w:rFonts w:ascii="Times New Roman" w:hAnsi="Times New Roman"/>
          <w:sz w:val="24"/>
          <w:szCs w:val="24"/>
        </w:rPr>
        <w:t>). Also, the use of efficient cost management practices is of utmost importance in a project of such scope, as it is essential to maintain adherence to the allocated budget while successfully attaining the predetermined goals. Google has used many strategies to manage costs, using both predictive and agile budgeting methodologies. At the beginning phases of the project, both agile techniques and predictive budgeting were utilized to establish a foundation budget. However, agile approaches allow for flexibility and the reallocation of money as the project moves forward (</w:t>
      </w:r>
      <w:r>
        <w:rPr>
          <w:rFonts w:ascii="Times New Roman" w:hAnsi="Times New Roman"/>
          <w:i/>
          <w:iCs/>
          <w:sz w:val="24"/>
          <w:szCs w:val="24"/>
        </w:rPr>
        <w:t>Smith, 2023).</w:t>
      </w:r>
      <w:r>
        <w:rPr>
          <w:rFonts w:ascii="Times New Roman" w:hAnsi="Times New Roman"/>
          <w:sz w:val="24"/>
          <w:szCs w:val="24"/>
        </w:rPr>
        <w:t xml:space="preserve"> This combination of budgeting techniques offers a balanced approach that considers the requirements of large-scale building projects and the necessity for financial restraint. Furthermore, the project has seen budget fluctuations because of unanticipated circumstances, such as fluctuations in material prices and alterations in the project's scope. The project management team efficiently handles deviations like this in big building projects with a contingency fund that they set aside for dealing with unforeseen circumstances (</w:t>
      </w:r>
      <w:r>
        <w:rPr>
          <w:rFonts w:ascii="Times New Roman" w:hAnsi="Times New Roman"/>
          <w:i/>
          <w:iCs/>
          <w:sz w:val="24"/>
          <w:szCs w:val="24"/>
        </w:rPr>
        <w:t>Williams, 2023)</w:t>
      </w:r>
      <w:r>
        <w:rPr>
          <w:rFonts w:ascii="Times New Roman" w:hAnsi="Times New Roman"/>
          <w:sz w:val="24"/>
          <w:szCs w:val="24"/>
        </w:rPr>
        <w:t>. When it comes to budget planning, the proactive approach that the project management team takes indicates both their foresight and their agility. The budget analysis conducted on the Google Headquarters Project demonstrates a thorough and strategic methodology for financial planning and administration. Therefore, through the strategic use of anticipatory and agile budgeting methodologies, along with proficient management of budget fluctuations, this project serves as a testimony to Google's exceptional financial expertise in efficiently guiding a venture of such magnitude to a triumphant culmination.</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Time Management</w:t>
      </w:r>
    </w:p>
    <w:p w:rsidR="00F50791" w:rsidRDefault="007C1D9C">
      <w:pPr>
        <w:spacing w:line="360" w:lineRule="auto"/>
        <w:jc w:val="both"/>
      </w:pPr>
      <w:r>
        <w:rPr>
          <w:rFonts w:ascii="Times New Roman" w:hAnsi="Times New Roman"/>
          <w:sz w:val="24"/>
          <w:szCs w:val="24"/>
        </w:rPr>
        <w:t xml:space="preserve">The time management system at the Google Headquarters Project in London guarantees the timely and effective completion of the project. The project timetable is carefully planned and organised, including a duration of multiple years from its initiation to its completion. Significant events in this chronological sequence include the conclusion of the design phase, the commencement of construction, the achievement of the highest point of the building, and the last stage, including interior finishing and landscaping. </w:t>
      </w:r>
      <w:r>
        <w:rPr>
          <w:rFonts w:ascii="Times New Roman" w:hAnsi="Times New Roman"/>
          <w:i/>
          <w:iCs/>
          <w:sz w:val="24"/>
          <w:szCs w:val="24"/>
        </w:rPr>
        <w:t>Taylor and Brown (2023)</w:t>
      </w:r>
      <w:r>
        <w:rPr>
          <w:rFonts w:ascii="Times New Roman" w:hAnsi="Times New Roman"/>
          <w:sz w:val="24"/>
          <w:szCs w:val="24"/>
        </w:rPr>
        <w:t xml:space="preserve"> accurately examine each of these milestones in comparison to the project plan to ensure adherence to the predetermined timescales. The project is being monitored using efficient progress monitoring systems. Also, these include periodic progress reports, physical site inspections, and digital monitoring systems. The use of cultured software in project management facilitates the continuous monitoring of progress and aids in the timely detection of any potential delays or deviations from the established plan, hence enhancing efficiency and effectiveness (</w:t>
      </w:r>
      <w:r>
        <w:rPr>
          <w:rFonts w:ascii="Times New Roman" w:hAnsi="Times New Roman"/>
          <w:i/>
          <w:iCs/>
          <w:sz w:val="24"/>
          <w:szCs w:val="24"/>
        </w:rPr>
        <w:t>Johnson, 2022)</w:t>
      </w:r>
      <w:r>
        <w:rPr>
          <w:rFonts w:ascii="Times New Roman" w:hAnsi="Times New Roman"/>
          <w:sz w:val="24"/>
          <w:szCs w:val="24"/>
        </w:rPr>
        <w:t>. Using this active approach to tracking reduces the likelihood of experiencing large delays and ensures prompt handling of any potential problems. The Google Headquarters Project adopts a hybrid approach that integrates components from both Agile and waterfall processes into its scheduling strategies. During the building phase, when activities need to be accomplished in a precise sequence, the waterfall technique, which is recognised for its linear and sequential approach, is extremely effective (</w:t>
      </w:r>
      <w:r>
        <w:rPr>
          <w:rFonts w:ascii="Times New Roman" w:hAnsi="Times New Roman"/>
          <w:i/>
          <w:iCs/>
          <w:sz w:val="24"/>
          <w:szCs w:val="24"/>
        </w:rPr>
        <w:t>Clarkson, 2023).</w:t>
      </w:r>
      <w:r>
        <w:rPr>
          <w:rFonts w:ascii="Times New Roman" w:hAnsi="Times New Roman"/>
          <w:sz w:val="24"/>
          <w:szCs w:val="24"/>
        </w:rPr>
        <w:t xml:space="preserve"> In contrast, agile approaches are used throughout the design and planning stages, where the paramount importance lies in the incorporation of flexibility and adaptability. According to </w:t>
      </w:r>
      <w:r>
        <w:rPr>
          <w:rFonts w:ascii="Times New Roman" w:hAnsi="Times New Roman"/>
          <w:i/>
          <w:iCs/>
          <w:sz w:val="24"/>
          <w:szCs w:val="24"/>
        </w:rPr>
        <w:t>Williams (2023),</w:t>
      </w:r>
      <w:r>
        <w:rPr>
          <w:rFonts w:ascii="Times New Roman" w:hAnsi="Times New Roman"/>
          <w:sz w:val="24"/>
          <w:szCs w:val="24"/>
        </w:rPr>
        <w:t xml:space="preserve"> this approach facilitates iterative development, enabling quick adaptation to change and modifications. Project management may be approached in a more balanced manner by using this combination of Agile and waterfall approaches. This approach capitalises on the advantages of both methodologies, guaranteeing both adaptability in the design phase and meticulous oversight throughout the building process. In addition to helping to keep the project on track, this tactic guarantees that the finished product will meet the changing demands and expectations of all involved parties (</w:t>
      </w:r>
      <w:proofErr w:type="spellStart"/>
      <w:r>
        <w:rPr>
          <w:rFonts w:ascii="Times New Roman" w:hAnsi="Times New Roman"/>
          <w:i/>
          <w:iCs/>
          <w:sz w:val="24"/>
          <w:szCs w:val="24"/>
        </w:rPr>
        <w:t>Gillespies</w:t>
      </w:r>
      <w:proofErr w:type="spellEnd"/>
      <w:r>
        <w:rPr>
          <w:rFonts w:ascii="Times New Roman" w:hAnsi="Times New Roman"/>
          <w:i/>
          <w:iCs/>
          <w:sz w:val="24"/>
          <w:szCs w:val="24"/>
        </w:rPr>
        <w:t>, 2023</w:t>
      </w:r>
      <w:r>
        <w:rPr>
          <w:rFonts w:ascii="Times New Roman" w:hAnsi="Times New Roman"/>
          <w:sz w:val="24"/>
          <w:szCs w:val="24"/>
        </w:rPr>
        <w:t>). However, the use of time management tactics inside the Google Headquarters Project plays a crucial role in its overall achievement. Through the integration of comprehensive project scheduling, efficient progress monitoring, and a mix utilisation of project management approaches, the project is strategically poised to adhere to its designated timetables while keeping high standards of quality and scope.</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Quality Evaluation</w:t>
      </w:r>
    </w:p>
    <w:p w:rsidR="00F50791" w:rsidRDefault="007C1D9C">
      <w:pPr>
        <w:spacing w:line="360" w:lineRule="auto"/>
        <w:jc w:val="both"/>
      </w:pPr>
      <w:r>
        <w:rPr>
          <w:rFonts w:ascii="Times New Roman" w:hAnsi="Times New Roman"/>
          <w:sz w:val="24"/>
          <w:szCs w:val="24"/>
        </w:rPr>
        <w:t>It reflects Google's dedication to excellence in all parts of its business that the Google Headquarters Project in London has established high benchmarks in terms of quality standards and performance metrics. All aspects of the building, including its design, the efficiency of its structures, and the materials used, must meet these requirements. To guarantee compliance with these standards, the project employs a range of performance criteria, including the durability of goods, renewable energy ratings, and visual appeal (</w:t>
      </w:r>
      <w:r>
        <w:rPr>
          <w:rFonts w:ascii="Times New Roman" w:hAnsi="Times New Roman"/>
          <w:i/>
          <w:iCs/>
          <w:sz w:val="24"/>
          <w:szCs w:val="24"/>
        </w:rPr>
        <w:t>Davis, 2023).</w:t>
      </w:r>
      <w:r>
        <w:rPr>
          <w:rFonts w:ascii="Times New Roman" w:hAnsi="Times New Roman"/>
          <w:sz w:val="24"/>
          <w:szCs w:val="24"/>
        </w:rPr>
        <w:t xml:space="preserve"> Throughout the duration of the project, we closely monitor the metrics to ensure that the outcome aligns with the original quality objectives. Our project's quality control methods are extensive and well-designed. Central to these procedures lies a thorough quality assurance strategy, which delineates the quality goals and the strategies used to attain them. According to </w:t>
      </w:r>
      <w:r>
        <w:rPr>
          <w:rFonts w:ascii="Times New Roman" w:hAnsi="Times New Roman"/>
          <w:i/>
          <w:iCs/>
          <w:sz w:val="24"/>
          <w:szCs w:val="24"/>
        </w:rPr>
        <w:t>Anderson and Thompson (2023),</w:t>
      </w:r>
      <w:r>
        <w:rPr>
          <w:rFonts w:ascii="Times New Roman" w:hAnsi="Times New Roman"/>
          <w:sz w:val="24"/>
          <w:szCs w:val="24"/>
        </w:rPr>
        <w:t xml:space="preserve"> this strategy calls for conducting quality audits on a regular basis, conducting inspections at different phases of the building, and conducting thorough testing of both materials and systems. Furthermore, the project management cycle incorporates feedback loops, facilitating ongoing enhancements via timely evaluations and input from stakeholders. Moreover, the project uses cutting-edge technology for the purpose of quality monitoring, which encompasses the use of digital modelling and simulation tools. According to </w:t>
      </w:r>
      <w:r>
        <w:rPr>
          <w:rFonts w:ascii="Times New Roman" w:hAnsi="Times New Roman"/>
          <w:i/>
          <w:iCs/>
          <w:sz w:val="24"/>
          <w:szCs w:val="24"/>
        </w:rPr>
        <w:t>Brown and Patel (2023),</w:t>
      </w:r>
      <w:r>
        <w:rPr>
          <w:rFonts w:ascii="Times New Roman" w:hAnsi="Times New Roman"/>
          <w:sz w:val="24"/>
          <w:szCs w:val="24"/>
        </w:rPr>
        <w:t xml:space="preserve"> these technologies provide accurate visualisation and analysis of architectural designs, hence enabling the early identification and resolution of possible concerns. In addition, the composition of the project team consists of professionals specialising in many disciplines such as design, engineering, and sustainability, guaranteeing a thorough and all-encompassing approach to the oversight of quality. The Google Headquarters Project utilizes a comprehensive and adaptable quality evaluation methodology, which is distinguished by stringent criteria, meticulous monitoring procedures, and an unwavering dedication to ongoing improvement. This strategy not only guarantees the successful implementation of the project in terms of its tangible outcome but also strengthens Google's established reputation for excellence in its many undertakings (</w:t>
      </w:r>
      <w:proofErr w:type="spellStart"/>
      <w:r>
        <w:rPr>
          <w:rFonts w:ascii="Times New Roman" w:hAnsi="Times New Roman"/>
          <w:i/>
          <w:iCs/>
          <w:sz w:val="24"/>
          <w:szCs w:val="24"/>
        </w:rPr>
        <w:t>Gillespies</w:t>
      </w:r>
      <w:proofErr w:type="spellEnd"/>
      <w:r>
        <w:rPr>
          <w:rFonts w:ascii="Times New Roman" w:hAnsi="Times New Roman"/>
          <w:i/>
          <w:iCs/>
          <w:sz w:val="24"/>
          <w:szCs w:val="24"/>
        </w:rPr>
        <w:t>, 2023).</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Stakeholder Evaluation</w:t>
      </w:r>
    </w:p>
    <w:p w:rsidR="00F50791" w:rsidRDefault="007C1D9C">
      <w:pPr>
        <w:spacing w:line="360" w:lineRule="auto"/>
        <w:jc w:val="both"/>
      </w:pPr>
      <w:r>
        <w:rPr>
          <w:rFonts w:ascii="Times New Roman" w:hAnsi="Times New Roman"/>
          <w:sz w:val="24"/>
          <w:szCs w:val="24"/>
        </w:rPr>
        <w:t>A wide range of stakeholders are involved in the Google Headquarters Project in London, each having unique interests and sway over the project's direction. The key players in this context include government entities such as the City of London Corporation and the Greater London Authority, which have the responsibility for formulating and implementing urban planning strategies and rules pertaining to development. Additional stakeholders include investors and financial supporters who have an immediate stake in the achievement of the project (</w:t>
      </w:r>
      <w:r>
        <w:rPr>
          <w:rFonts w:ascii="Times New Roman" w:hAnsi="Times New Roman"/>
          <w:i/>
          <w:iCs/>
          <w:sz w:val="24"/>
          <w:szCs w:val="24"/>
        </w:rPr>
        <w:t>Thompson and Green, 2023).</w:t>
      </w:r>
      <w:r>
        <w:rPr>
          <w:rFonts w:ascii="Times New Roman" w:hAnsi="Times New Roman"/>
          <w:sz w:val="24"/>
          <w:szCs w:val="24"/>
        </w:rPr>
        <w:t xml:space="preserve"> Local communities in King's Cross, who may be impacted by the construction and operation of the headquarters, are also considered key stakeholders. Google employs a comprehensive and inclusive management approach to address stakeholder expectations. The corporation actively participates in frequent talks with government entities to guarantee adherence to local legislation and to integrate the project with wider urban development strategies. According to </w:t>
      </w:r>
      <w:r>
        <w:rPr>
          <w:rFonts w:ascii="Times New Roman" w:hAnsi="Times New Roman"/>
          <w:i/>
          <w:iCs/>
          <w:sz w:val="24"/>
          <w:szCs w:val="24"/>
        </w:rPr>
        <w:t>Wilson (2023),</w:t>
      </w:r>
      <w:r>
        <w:rPr>
          <w:rFonts w:ascii="Times New Roman" w:hAnsi="Times New Roman"/>
          <w:sz w:val="24"/>
          <w:szCs w:val="24"/>
        </w:rPr>
        <w:t xml:space="preserve"> Google engages in outreach programmes and public engagements with the purpose of addressing issues and incorporating comments to cultivate a favourable connection with local communities and reduce opposition to its initiatives. Periodic updates and meetings keep investors and other financial stakeholders up to date, helping to maintain trust in the project's management and ensuring integrity. For the project to go forward without any hiccups, it is essential to adopt this all-encompassing approach to managing the stakeholders. Through proactive involvement and effective oversight of the many stakeholders, Google not only fosters adherence and community backing but also establishes a secure investment climate, bolstering the overall achievement of the endeavour.</w:t>
      </w:r>
    </w:p>
    <w:p w:rsidR="00F50791" w:rsidRDefault="007C1D9C">
      <w:pPr>
        <w:spacing w:line="360" w:lineRule="auto"/>
        <w:jc w:val="both"/>
        <w:rPr>
          <w:rFonts w:ascii="Times New Roman" w:hAnsi="Times New Roman"/>
          <w:i/>
          <w:iCs/>
          <w:sz w:val="24"/>
          <w:szCs w:val="24"/>
        </w:rPr>
      </w:pPr>
      <w:r>
        <w:rPr>
          <w:rFonts w:ascii="Times New Roman" w:hAnsi="Times New Roman"/>
          <w:i/>
          <w:iCs/>
          <w:sz w:val="24"/>
          <w:szCs w:val="24"/>
        </w:rPr>
        <w:t>Risk Evaluation</w:t>
      </w:r>
    </w:p>
    <w:p w:rsidR="00F50791" w:rsidRDefault="007C1D9C">
      <w:pPr>
        <w:spacing w:line="360" w:lineRule="auto"/>
        <w:jc w:val="both"/>
      </w:pPr>
      <w:r>
        <w:rPr>
          <w:rFonts w:ascii="Times New Roman" w:hAnsi="Times New Roman"/>
          <w:sz w:val="24"/>
          <w:szCs w:val="24"/>
        </w:rPr>
        <w:t>Recognising potential threats and developing strategies to counter them is essential to the timely and effective completion of the Google Headquarters Project. One of the primary risks that should be considered is the possibility of construction delays arising from unanticipated factors such as adverse weather conditions or interruptions in the supply chain. The project's magnitude and difficulty contribute to the substantial presence of financial risks, including but not limited to cost overruns (</w:t>
      </w:r>
      <w:r>
        <w:rPr>
          <w:rFonts w:ascii="Times New Roman" w:hAnsi="Times New Roman"/>
          <w:i/>
          <w:iCs/>
          <w:sz w:val="24"/>
          <w:szCs w:val="24"/>
        </w:rPr>
        <w:t>Wallace, 2023</w:t>
      </w:r>
      <w:r>
        <w:rPr>
          <w:rFonts w:ascii="Times New Roman" w:hAnsi="Times New Roman"/>
          <w:sz w:val="24"/>
          <w:szCs w:val="24"/>
        </w:rPr>
        <w:t>). Furthermore, there are potential risks linked to regulatory conformity, namely in the context of complying with environmental regulations and construction rules. To mitigate these risks, Google implements a thorough plan for risk management. Regular risk assessments are conducted throughout the project's lifetime to facilitate the timely identification and mitigation of possible concerns. One essential element is contingency planning, which involves allocating resources to deal with unforeseen difficulties (</w:t>
      </w:r>
      <w:r>
        <w:rPr>
          <w:rFonts w:ascii="Times New Roman" w:hAnsi="Times New Roman"/>
          <w:i/>
          <w:iCs/>
          <w:sz w:val="24"/>
          <w:szCs w:val="24"/>
        </w:rPr>
        <w:t>Martin and Taylor, 2023).</w:t>
      </w:r>
      <w:r>
        <w:rPr>
          <w:rFonts w:ascii="Times New Roman" w:hAnsi="Times New Roman"/>
          <w:sz w:val="24"/>
          <w:szCs w:val="24"/>
        </w:rPr>
        <w:t xml:space="preserve"> To mitigate construction and supply chain risks, the project adopts a diversified strategy by gaining materials from many vendors and integrating buffer periods into the project timeline. Using a rigorous approach to budgeting and exercising diligent financial management effectively mitigates financial risks, swiftly addressing any deviations from the expected financial outcomes. In addition, Google actively collaborates with local regulatory entities to achieve complete adherence to all legal obligations, therefore minimising any regulatory hazards. Therefore, to successfully navigate the difficulties of such a large-scale construction project, it is essential to have an anticipatory strategy for risk management that highlights the project's resilience and flexibility.</w:t>
      </w:r>
    </w:p>
    <w:p w:rsidR="00F50791" w:rsidRDefault="007C1D9C">
      <w:pPr>
        <w:spacing w:line="360" w:lineRule="auto"/>
        <w:jc w:val="both"/>
        <w:rPr>
          <w:rFonts w:ascii="Times New Roman" w:hAnsi="Times New Roman"/>
          <w:b/>
          <w:bCs/>
          <w:sz w:val="24"/>
          <w:szCs w:val="24"/>
        </w:rPr>
      </w:pPr>
      <w:r>
        <w:rPr>
          <w:rFonts w:ascii="Times New Roman" w:hAnsi="Times New Roman"/>
          <w:b/>
          <w:bCs/>
          <w:sz w:val="24"/>
          <w:szCs w:val="24"/>
        </w:rPr>
        <w:t xml:space="preserve">Conclusion </w:t>
      </w:r>
    </w:p>
    <w:p w:rsidR="00F50791" w:rsidRDefault="007C1D9C">
      <w:pPr>
        <w:spacing w:line="360" w:lineRule="auto"/>
        <w:jc w:val="both"/>
        <w:rPr>
          <w:rFonts w:ascii="Times New Roman" w:hAnsi="Times New Roman"/>
          <w:sz w:val="24"/>
          <w:szCs w:val="24"/>
        </w:rPr>
      </w:pPr>
      <w:r>
        <w:rPr>
          <w:rFonts w:ascii="Times New Roman" w:hAnsi="Times New Roman"/>
          <w:sz w:val="24"/>
          <w:szCs w:val="24"/>
        </w:rPr>
        <w:t>The Google Headquarters Project in London is a prime example of a project management methodology that embodies exceptional standards. Also, the project, characterised by its ambitious dimensions and innovative architecture, sets a new benchmark in corporate campus development. It demonstrates exceptional management tactics, including budget management using predictive and agile budgeting approaches and time management using a hybrid approach of agile and waterfall processes. The project's attention to maintaining high standards is evident through its meticulous adherence to performance measurements and quality control procedures. Google's inclusive stakeholder management approach demonstrates their commitment to community engagement and compliance with regulations. Therefore, the implementation of a proactive risk management strategy, including frequent evaluations and backup plans, highlights the project's ability to endure difficulties. To continue and prospectively administer the project, it is recommended to maintain consistent lines of contact with stakeholders, maintain a delicate balance between waterfall techniques and agile practices, and enhance the integration of sustainable building practices and new technology. Regular evaluation and adjustment of risk management strategies are also crucial for mitigating new risks, particularly those related to technical improvements and environmental sustainability. Finally, a comprehensive post-completion evaluation of the project's implementation is essential to providing significant insights for future initiatives of similar magnitude and intricacy. By consistently observing to these guidelines, the project has the potential to establish itself as a standard for future corporate building projects on a global scale.</w:t>
      </w: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F50791">
      <w:pPr>
        <w:spacing w:line="360" w:lineRule="auto"/>
        <w:jc w:val="both"/>
        <w:rPr>
          <w:rFonts w:ascii="Times New Roman" w:hAnsi="Times New Roman"/>
          <w:sz w:val="24"/>
          <w:szCs w:val="24"/>
        </w:rPr>
      </w:pPr>
    </w:p>
    <w:p w:rsidR="00F50791" w:rsidRDefault="007C1D9C">
      <w:pPr>
        <w:spacing w:line="360" w:lineRule="auto"/>
        <w:jc w:val="both"/>
        <w:rPr>
          <w:rFonts w:ascii="Times New Roman" w:hAnsi="Times New Roman"/>
          <w:sz w:val="24"/>
          <w:szCs w:val="24"/>
        </w:rPr>
      </w:pPr>
      <w:r>
        <w:rPr>
          <w:rFonts w:ascii="Times New Roman" w:hAnsi="Times New Roman"/>
          <w:sz w:val="24"/>
          <w:szCs w:val="24"/>
        </w:rPr>
        <w:t>References</w:t>
      </w:r>
    </w:p>
    <w:p w:rsidR="00F50791" w:rsidRDefault="007C1D9C">
      <w:pPr>
        <w:spacing w:line="360" w:lineRule="auto"/>
        <w:jc w:val="both"/>
      </w:pPr>
      <w:r>
        <w:rPr>
          <w:rFonts w:ascii="Times New Roman" w:hAnsi="Times New Roman"/>
          <w:sz w:val="24"/>
          <w:szCs w:val="24"/>
        </w:rPr>
        <w:t xml:space="preserve">Anderson, J., &amp; Thompson, R. (2023). Quality Assurance Strategies in Large-scale Construction Projects. </w:t>
      </w:r>
      <w:r>
        <w:rPr>
          <w:rFonts w:ascii="Times New Roman" w:hAnsi="Times New Roman"/>
          <w:i/>
          <w:iCs/>
          <w:sz w:val="24"/>
          <w:szCs w:val="24"/>
        </w:rPr>
        <w:t>International Journal of Project Management</w:t>
      </w:r>
      <w:r>
        <w:rPr>
          <w:rFonts w:ascii="Times New Roman" w:hAnsi="Times New Roman"/>
          <w:sz w:val="24"/>
          <w:szCs w:val="24"/>
        </w:rPr>
        <w:t>, 41(6), pp. 245-260.</w:t>
      </w:r>
    </w:p>
    <w:p w:rsidR="00F50791" w:rsidRDefault="007C1D9C">
      <w:pPr>
        <w:spacing w:line="360" w:lineRule="auto"/>
        <w:jc w:val="both"/>
      </w:pPr>
      <w:r>
        <w:rPr>
          <w:rFonts w:ascii="Times New Roman" w:hAnsi="Times New Roman"/>
          <w:sz w:val="24"/>
          <w:szCs w:val="24"/>
        </w:rPr>
        <w:t xml:space="preserve">Brown, S., &amp; Patel, M. (2023). The Role of Technology in Quality Control of Construction Projects. </w:t>
      </w:r>
      <w:r>
        <w:rPr>
          <w:rFonts w:ascii="Times New Roman" w:hAnsi="Times New Roman"/>
          <w:i/>
          <w:iCs/>
          <w:sz w:val="24"/>
          <w:szCs w:val="24"/>
        </w:rPr>
        <w:t>Technology and Construction,</w:t>
      </w:r>
      <w:r>
        <w:rPr>
          <w:rFonts w:ascii="Times New Roman" w:hAnsi="Times New Roman"/>
          <w:sz w:val="24"/>
          <w:szCs w:val="24"/>
        </w:rPr>
        <w:t xml:space="preserve"> 17(2), pp. 120-134.</w:t>
      </w:r>
    </w:p>
    <w:p w:rsidR="00F50791" w:rsidRDefault="007C1D9C">
      <w:pPr>
        <w:spacing w:line="360" w:lineRule="auto"/>
        <w:jc w:val="both"/>
      </w:pPr>
      <w:r>
        <w:rPr>
          <w:rFonts w:ascii="Times New Roman" w:hAnsi="Times New Roman"/>
          <w:sz w:val="24"/>
          <w:szCs w:val="24"/>
        </w:rPr>
        <w:t xml:space="preserve">Construction Journal. (2023). </w:t>
      </w:r>
      <w:r>
        <w:rPr>
          <w:rFonts w:ascii="Times New Roman" w:hAnsi="Times New Roman"/>
          <w:i/>
          <w:iCs/>
          <w:sz w:val="24"/>
          <w:szCs w:val="24"/>
        </w:rPr>
        <w:t>Progress Update on Google's King's Cross Headquarters</w:t>
      </w:r>
      <w:r>
        <w:rPr>
          <w:rFonts w:ascii="Times New Roman" w:hAnsi="Times New Roman"/>
          <w:sz w:val="24"/>
          <w:szCs w:val="24"/>
        </w:rPr>
        <w:t>. Construction Journal, 58(2), pp. 34-37.</w:t>
      </w:r>
    </w:p>
    <w:p w:rsidR="00F50791" w:rsidRDefault="007C1D9C">
      <w:pPr>
        <w:spacing w:line="360" w:lineRule="auto"/>
        <w:jc w:val="both"/>
      </w:pPr>
      <w:r>
        <w:rPr>
          <w:rFonts w:ascii="Times New Roman" w:hAnsi="Times New Roman"/>
          <w:sz w:val="24"/>
          <w:szCs w:val="24"/>
        </w:rPr>
        <w:t xml:space="preserve">Clarkson, A. (2023). </w:t>
      </w:r>
      <w:r>
        <w:rPr>
          <w:rFonts w:ascii="Times New Roman" w:hAnsi="Times New Roman"/>
          <w:i/>
          <w:iCs/>
          <w:sz w:val="24"/>
          <w:szCs w:val="24"/>
        </w:rPr>
        <w:t>The Waterfall Approach in Construction Project Management</w:t>
      </w:r>
      <w:r>
        <w:rPr>
          <w:rFonts w:ascii="Times New Roman" w:hAnsi="Times New Roman"/>
          <w:sz w:val="24"/>
          <w:szCs w:val="24"/>
        </w:rPr>
        <w:t>. Engineering Management Review, 30(1), pp. 22-37.</w:t>
      </w:r>
    </w:p>
    <w:p w:rsidR="00F50791" w:rsidRDefault="007C1D9C">
      <w:pPr>
        <w:spacing w:line="360" w:lineRule="auto"/>
        <w:jc w:val="both"/>
      </w:pPr>
      <w:r>
        <w:rPr>
          <w:rFonts w:ascii="Times New Roman" w:hAnsi="Times New Roman"/>
          <w:sz w:val="24"/>
          <w:szCs w:val="24"/>
        </w:rPr>
        <w:t xml:space="preserve">Davis, L. (2023). </w:t>
      </w:r>
      <w:r>
        <w:rPr>
          <w:rFonts w:ascii="Times New Roman" w:hAnsi="Times New Roman"/>
          <w:i/>
          <w:iCs/>
          <w:sz w:val="24"/>
          <w:szCs w:val="24"/>
        </w:rPr>
        <w:t>Strategic Financial Planning in Corporate Construction Projects</w:t>
      </w:r>
      <w:r>
        <w:rPr>
          <w:rFonts w:ascii="Times New Roman" w:hAnsi="Times New Roman"/>
          <w:sz w:val="24"/>
          <w:szCs w:val="24"/>
        </w:rPr>
        <w:t>. Journal of Business Strategy, 34(4), pp. 89-104.</w:t>
      </w:r>
    </w:p>
    <w:p w:rsidR="00F50791" w:rsidRDefault="007C1D9C">
      <w:pPr>
        <w:spacing w:line="360" w:lineRule="auto"/>
        <w:jc w:val="both"/>
      </w:pPr>
      <w:r>
        <w:rPr>
          <w:rFonts w:ascii="Times New Roman" w:hAnsi="Times New Roman"/>
          <w:sz w:val="24"/>
          <w:szCs w:val="24"/>
        </w:rPr>
        <w:t xml:space="preserve">Davis, L. (2023). </w:t>
      </w:r>
      <w:r>
        <w:rPr>
          <w:rFonts w:ascii="Times New Roman" w:hAnsi="Times New Roman"/>
          <w:i/>
          <w:iCs/>
          <w:sz w:val="24"/>
          <w:szCs w:val="24"/>
        </w:rPr>
        <w:t>Quality Control in Architectural Projects</w:t>
      </w:r>
      <w:r>
        <w:rPr>
          <w:rFonts w:ascii="Times New Roman" w:hAnsi="Times New Roman"/>
          <w:sz w:val="24"/>
          <w:szCs w:val="24"/>
        </w:rPr>
        <w:t>. Architectural Review, 56(3), pp. 30-45.</w:t>
      </w:r>
    </w:p>
    <w:p w:rsidR="00F50791" w:rsidRDefault="007C1D9C">
      <w:pPr>
        <w:spacing w:line="360" w:lineRule="auto"/>
        <w:jc w:val="both"/>
      </w:pPr>
      <w:r>
        <w:rPr>
          <w:rFonts w:ascii="Times New Roman" w:hAnsi="Times New Roman"/>
          <w:sz w:val="24"/>
          <w:szCs w:val="24"/>
        </w:rPr>
        <w:t xml:space="preserve">Evans, P., &amp; McKenzie, L. (2023). </w:t>
      </w:r>
      <w:r>
        <w:rPr>
          <w:rFonts w:ascii="Times New Roman" w:hAnsi="Times New Roman"/>
          <w:i/>
          <w:iCs/>
          <w:sz w:val="24"/>
          <w:szCs w:val="24"/>
        </w:rPr>
        <w:t>London's Rising Skyline: A Review of Ongoing Construction Projects</w:t>
      </w:r>
      <w:r>
        <w:rPr>
          <w:rFonts w:ascii="Times New Roman" w:hAnsi="Times New Roman"/>
          <w:sz w:val="24"/>
          <w:szCs w:val="24"/>
        </w:rPr>
        <w:t>. UK Construction Insights, 39(2), pp. 50-65.</w:t>
      </w:r>
    </w:p>
    <w:p w:rsidR="00F50791" w:rsidRDefault="007C1D9C">
      <w:pPr>
        <w:spacing w:line="360" w:lineRule="auto"/>
        <w:jc w:val="both"/>
      </w:pPr>
      <w:r>
        <w:rPr>
          <w:rFonts w:ascii="Times New Roman" w:hAnsi="Times New Roman"/>
          <w:sz w:val="24"/>
          <w:szCs w:val="24"/>
        </w:rPr>
        <w:t xml:space="preserve">Google Headquarters - Projects - </w:t>
      </w:r>
      <w:proofErr w:type="spellStart"/>
      <w:r>
        <w:rPr>
          <w:rFonts w:ascii="Times New Roman" w:hAnsi="Times New Roman"/>
          <w:sz w:val="24"/>
          <w:szCs w:val="24"/>
        </w:rPr>
        <w:t>Gillespies</w:t>
      </w:r>
      <w:proofErr w:type="spellEnd"/>
      <w:r>
        <w:rPr>
          <w:rFonts w:ascii="Times New Roman" w:hAnsi="Times New Roman"/>
          <w:sz w:val="24"/>
          <w:szCs w:val="24"/>
        </w:rPr>
        <w:t xml:space="preserve">. (2023). </w:t>
      </w:r>
      <w:r>
        <w:rPr>
          <w:rFonts w:ascii="Times New Roman" w:hAnsi="Times New Roman"/>
          <w:i/>
          <w:iCs/>
          <w:sz w:val="24"/>
          <w:szCs w:val="24"/>
        </w:rPr>
        <w:t>Google Headquarters</w:t>
      </w:r>
      <w:r>
        <w:rPr>
          <w:rFonts w:ascii="Times New Roman" w:hAnsi="Times New Roman"/>
          <w:sz w:val="24"/>
          <w:szCs w:val="24"/>
        </w:rPr>
        <w:t xml:space="preserve">. Available at: </w:t>
      </w:r>
      <w:hyperlink r:id="rId7" w:history="1">
        <w:r>
          <w:rPr>
            <w:rStyle w:val="Hyperlink"/>
            <w:rFonts w:ascii="Times New Roman" w:hAnsi="Times New Roman"/>
            <w:sz w:val="24"/>
            <w:szCs w:val="24"/>
          </w:rPr>
          <w:t>https://www.gillespies.co.uk/projects/google-headquarters?view=intro</w:t>
        </w:r>
      </w:hyperlink>
      <w:r>
        <w:rPr>
          <w:rFonts w:ascii="Times New Roman" w:hAnsi="Times New Roman"/>
          <w:sz w:val="24"/>
          <w:szCs w:val="24"/>
        </w:rPr>
        <w:t xml:space="preserve"> </w:t>
      </w:r>
      <w:hyperlink r:id="rId8" w:history="1"/>
      <w:r>
        <w:rPr>
          <w:rFonts w:ascii="Times New Roman" w:hAnsi="Times New Roman"/>
          <w:sz w:val="24"/>
          <w:szCs w:val="24"/>
        </w:rPr>
        <w:t xml:space="preserve">  (Accessed 29/11/ 2023).</w:t>
      </w:r>
    </w:p>
    <w:p w:rsidR="00F50791" w:rsidRDefault="007C1D9C">
      <w:pPr>
        <w:spacing w:line="360" w:lineRule="auto"/>
        <w:jc w:val="both"/>
      </w:pPr>
      <w:r>
        <w:rPr>
          <w:rFonts w:ascii="Times New Roman" w:hAnsi="Times New Roman"/>
          <w:sz w:val="24"/>
          <w:szCs w:val="24"/>
        </w:rPr>
        <w:t xml:space="preserve">Johnson, R. (2023). Financing Mega Projects: A Look at Corporate Investments in Construction. </w:t>
      </w:r>
      <w:r>
        <w:rPr>
          <w:rFonts w:ascii="Times New Roman" w:hAnsi="Times New Roman"/>
          <w:i/>
          <w:iCs/>
          <w:sz w:val="24"/>
          <w:szCs w:val="24"/>
        </w:rPr>
        <w:t>Financial Management Journal</w:t>
      </w:r>
      <w:r>
        <w:rPr>
          <w:rFonts w:ascii="Times New Roman" w:hAnsi="Times New Roman"/>
          <w:sz w:val="24"/>
          <w:szCs w:val="24"/>
        </w:rPr>
        <w:t>, 47(1), pp. 20-35.</w:t>
      </w:r>
    </w:p>
    <w:p w:rsidR="00F50791" w:rsidRDefault="007C1D9C">
      <w:pPr>
        <w:spacing w:line="360" w:lineRule="auto"/>
        <w:jc w:val="both"/>
      </w:pPr>
      <w:r>
        <w:rPr>
          <w:rFonts w:ascii="Times New Roman" w:hAnsi="Times New Roman"/>
          <w:sz w:val="24"/>
          <w:szCs w:val="24"/>
        </w:rPr>
        <w:t xml:space="preserve">Johnson, B. (2022). </w:t>
      </w:r>
      <w:r>
        <w:rPr>
          <w:rFonts w:ascii="Times New Roman" w:hAnsi="Times New Roman"/>
          <w:i/>
          <w:iCs/>
          <w:sz w:val="24"/>
          <w:szCs w:val="24"/>
        </w:rPr>
        <w:t>Effective Scheduling in Construction Projects</w:t>
      </w:r>
      <w:r>
        <w:rPr>
          <w:rFonts w:ascii="Times New Roman" w:hAnsi="Times New Roman"/>
          <w:sz w:val="24"/>
          <w:szCs w:val="24"/>
        </w:rPr>
        <w:t>. Construction Management Today, 12(4), pp. 45-60.</w:t>
      </w:r>
    </w:p>
    <w:p w:rsidR="00F50791" w:rsidRDefault="007C1D9C">
      <w:pPr>
        <w:spacing w:line="360" w:lineRule="auto"/>
        <w:jc w:val="both"/>
      </w:pPr>
      <w:r>
        <w:rPr>
          <w:rFonts w:ascii="Times New Roman" w:hAnsi="Times New Roman"/>
          <w:sz w:val="24"/>
          <w:szCs w:val="24"/>
        </w:rPr>
        <w:t xml:space="preserve">Martin, E., &amp; Taylor, J. (2023). Strategies for Effective Risk Management in Large Scale Projects. </w:t>
      </w:r>
      <w:r>
        <w:rPr>
          <w:rFonts w:ascii="Times New Roman" w:hAnsi="Times New Roman"/>
          <w:i/>
          <w:iCs/>
          <w:sz w:val="24"/>
          <w:szCs w:val="24"/>
        </w:rPr>
        <w:t>Project Analysis Journal</w:t>
      </w:r>
      <w:r>
        <w:rPr>
          <w:rFonts w:ascii="Times New Roman" w:hAnsi="Times New Roman"/>
          <w:sz w:val="24"/>
          <w:szCs w:val="24"/>
        </w:rPr>
        <w:t>, 32(1), pp. 55-70.</w:t>
      </w:r>
    </w:p>
    <w:p w:rsidR="00F50791" w:rsidRDefault="007C1D9C">
      <w:pPr>
        <w:spacing w:line="360" w:lineRule="auto"/>
        <w:jc w:val="both"/>
      </w:pPr>
      <w:r>
        <w:rPr>
          <w:rFonts w:ascii="Times New Roman" w:hAnsi="Times New Roman"/>
          <w:sz w:val="24"/>
          <w:szCs w:val="24"/>
        </w:rPr>
        <w:t xml:space="preserve">Richards, J. (2023). </w:t>
      </w:r>
      <w:r>
        <w:rPr>
          <w:rFonts w:ascii="Times New Roman" w:hAnsi="Times New Roman"/>
          <w:i/>
          <w:iCs/>
          <w:sz w:val="24"/>
          <w:szCs w:val="24"/>
        </w:rPr>
        <w:t>Sustainable Workspaces: The Future of Corporate Environments</w:t>
      </w:r>
      <w:r>
        <w:rPr>
          <w:rFonts w:ascii="Times New Roman" w:hAnsi="Times New Roman"/>
          <w:sz w:val="24"/>
          <w:szCs w:val="24"/>
        </w:rPr>
        <w:t>. Environmental Design Journal, 45(3), pp. 110-123.</w:t>
      </w:r>
    </w:p>
    <w:p w:rsidR="00F50791" w:rsidRDefault="007C1D9C">
      <w:pPr>
        <w:spacing w:line="360" w:lineRule="auto"/>
        <w:jc w:val="both"/>
      </w:pPr>
      <w:r>
        <w:rPr>
          <w:rFonts w:ascii="Times New Roman" w:hAnsi="Times New Roman"/>
          <w:sz w:val="24"/>
          <w:szCs w:val="24"/>
        </w:rPr>
        <w:t xml:space="preserve">Smith, A. (2023). Budget Management in Large Scale Projects. </w:t>
      </w:r>
      <w:r>
        <w:rPr>
          <w:rFonts w:ascii="Times New Roman" w:hAnsi="Times New Roman"/>
          <w:i/>
          <w:iCs/>
          <w:sz w:val="24"/>
          <w:szCs w:val="24"/>
        </w:rPr>
        <w:t>Journal of Project Management,</w:t>
      </w:r>
      <w:r>
        <w:rPr>
          <w:rFonts w:ascii="Times New Roman" w:hAnsi="Times New Roman"/>
          <w:sz w:val="24"/>
          <w:szCs w:val="24"/>
        </w:rPr>
        <w:t xml:space="preserve"> 34(2), pp. 101-115.</w:t>
      </w:r>
    </w:p>
    <w:p w:rsidR="00F50791" w:rsidRDefault="007C1D9C">
      <w:pPr>
        <w:spacing w:line="360" w:lineRule="auto"/>
        <w:jc w:val="both"/>
      </w:pPr>
      <w:r>
        <w:rPr>
          <w:rFonts w:ascii="Times New Roman" w:hAnsi="Times New Roman"/>
          <w:sz w:val="24"/>
          <w:szCs w:val="24"/>
        </w:rPr>
        <w:t xml:space="preserve">Taylor, M., &amp; Brown, S. (2023). Project Scheduling and Progress Monitoring in Large-Scale Developments. </w:t>
      </w:r>
      <w:r>
        <w:rPr>
          <w:rFonts w:ascii="Times New Roman" w:hAnsi="Times New Roman"/>
          <w:i/>
          <w:iCs/>
          <w:sz w:val="24"/>
          <w:szCs w:val="24"/>
        </w:rPr>
        <w:t>Project Management Journal</w:t>
      </w:r>
      <w:r>
        <w:rPr>
          <w:rFonts w:ascii="Times New Roman" w:hAnsi="Times New Roman"/>
          <w:sz w:val="24"/>
          <w:szCs w:val="24"/>
        </w:rPr>
        <w:t>, 49(3), pp. 78-94.</w:t>
      </w:r>
    </w:p>
    <w:p w:rsidR="00F50791" w:rsidRDefault="007C1D9C">
      <w:pPr>
        <w:spacing w:line="360" w:lineRule="auto"/>
        <w:jc w:val="both"/>
      </w:pPr>
      <w:r>
        <w:rPr>
          <w:rFonts w:ascii="Times New Roman" w:hAnsi="Times New Roman"/>
          <w:sz w:val="24"/>
          <w:szCs w:val="24"/>
        </w:rPr>
        <w:t xml:space="preserve">Thompson, R., &amp; Green, K. (2023). Stakeholder Engagement in Urban Development Projects. </w:t>
      </w:r>
      <w:r>
        <w:rPr>
          <w:rFonts w:ascii="Times New Roman" w:hAnsi="Times New Roman"/>
          <w:i/>
          <w:iCs/>
          <w:sz w:val="24"/>
          <w:szCs w:val="24"/>
        </w:rPr>
        <w:t>Urban Planning Journal</w:t>
      </w:r>
      <w:r>
        <w:rPr>
          <w:rFonts w:ascii="Times New Roman" w:hAnsi="Times New Roman"/>
          <w:sz w:val="24"/>
          <w:szCs w:val="24"/>
        </w:rPr>
        <w:t>, 17(1), pp. 112-130.</w:t>
      </w:r>
    </w:p>
    <w:p w:rsidR="00F50791" w:rsidRDefault="007C1D9C">
      <w:pPr>
        <w:spacing w:line="360" w:lineRule="auto"/>
        <w:jc w:val="both"/>
      </w:pPr>
      <w:r>
        <w:rPr>
          <w:rFonts w:ascii="Times New Roman" w:hAnsi="Times New Roman"/>
          <w:sz w:val="24"/>
          <w:szCs w:val="24"/>
        </w:rPr>
        <w:t xml:space="preserve">Wallace, M. (2023). </w:t>
      </w:r>
      <w:r>
        <w:rPr>
          <w:rFonts w:ascii="Times New Roman" w:hAnsi="Times New Roman"/>
          <w:i/>
          <w:iCs/>
          <w:sz w:val="24"/>
          <w:szCs w:val="24"/>
        </w:rPr>
        <w:t>Risk Management in Construction Projects</w:t>
      </w:r>
      <w:r>
        <w:rPr>
          <w:rFonts w:ascii="Times New Roman" w:hAnsi="Times New Roman"/>
          <w:sz w:val="24"/>
          <w:szCs w:val="24"/>
        </w:rPr>
        <w:t>. Risk Management Professional, 24(2), pp. 75-89.</w:t>
      </w:r>
    </w:p>
    <w:p w:rsidR="00F50791" w:rsidRDefault="007C1D9C">
      <w:pPr>
        <w:spacing w:line="360" w:lineRule="auto"/>
        <w:jc w:val="both"/>
      </w:pPr>
      <w:r>
        <w:rPr>
          <w:rFonts w:ascii="Times New Roman" w:hAnsi="Times New Roman"/>
          <w:sz w:val="24"/>
          <w:szCs w:val="24"/>
        </w:rPr>
        <w:t xml:space="preserve">Williams, J. (2023). Handling Budget Variations in Construction Projects. </w:t>
      </w:r>
      <w:r>
        <w:rPr>
          <w:rFonts w:ascii="Times New Roman" w:hAnsi="Times New Roman"/>
          <w:i/>
          <w:iCs/>
          <w:sz w:val="24"/>
          <w:szCs w:val="24"/>
        </w:rPr>
        <w:t>International Journal of Project Management,</w:t>
      </w:r>
      <w:r>
        <w:rPr>
          <w:rFonts w:ascii="Times New Roman" w:hAnsi="Times New Roman"/>
          <w:sz w:val="24"/>
          <w:szCs w:val="24"/>
        </w:rPr>
        <w:t xml:space="preserve"> 41(5), pp. 213-229.</w:t>
      </w:r>
    </w:p>
    <w:p w:rsidR="00F50791" w:rsidRDefault="007C1D9C">
      <w:pPr>
        <w:spacing w:line="360" w:lineRule="auto"/>
        <w:jc w:val="both"/>
      </w:pPr>
      <w:r>
        <w:rPr>
          <w:rFonts w:ascii="Times New Roman" w:hAnsi="Times New Roman"/>
          <w:sz w:val="24"/>
          <w:szCs w:val="24"/>
        </w:rPr>
        <w:t xml:space="preserve">Williams, D. (2023). </w:t>
      </w:r>
      <w:r>
        <w:rPr>
          <w:rFonts w:ascii="Times New Roman" w:hAnsi="Times New Roman"/>
          <w:i/>
          <w:iCs/>
          <w:sz w:val="24"/>
          <w:szCs w:val="24"/>
        </w:rPr>
        <w:t>Agile Methodology in Project Planning and Execution</w:t>
      </w:r>
      <w:r>
        <w:rPr>
          <w:rFonts w:ascii="Times New Roman" w:hAnsi="Times New Roman"/>
          <w:sz w:val="24"/>
          <w:szCs w:val="24"/>
        </w:rPr>
        <w:t>. Agile Project Management Quarterly, 15(2), pp. 50-66.</w:t>
      </w:r>
    </w:p>
    <w:p w:rsidR="00F50791" w:rsidRDefault="007C1D9C">
      <w:pPr>
        <w:spacing w:line="360" w:lineRule="auto"/>
        <w:jc w:val="both"/>
      </w:pPr>
      <w:r>
        <w:rPr>
          <w:rFonts w:ascii="Times New Roman" w:hAnsi="Times New Roman"/>
          <w:sz w:val="24"/>
          <w:szCs w:val="24"/>
        </w:rPr>
        <w:t xml:space="preserve">Wilson, A. (2023). Community Involvement in Corporate Development Projects. </w:t>
      </w:r>
      <w:r>
        <w:rPr>
          <w:rFonts w:ascii="Times New Roman" w:hAnsi="Times New Roman"/>
          <w:i/>
          <w:iCs/>
          <w:sz w:val="24"/>
          <w:szCs w:val="24"/>
        </w:rPr>
        <w:t>Community Development Journal,</w:t>
      </w:r>
      <w:r>
        <w:rPr>
          <w:rFonts w:ascii="Times New Roman" w:hAnsi="Times New Roman"/>
          <w:sz w:val="24"/>
          <w:szCs w:val="24"/>
        </w:rPr>
        <w:t xml:space="preserve"> 29(4), pp. 210-225.</w:t>
      </w:r>
    </w:p>
    <w:p w:rsidR="00F50791" w:rsidRDefault="00F50791">
      <w:pPr>
        <w:spacing w:line="360" w:lineRule="auto"/>
        <w:jc w:val="both"/>
        <w:rPr>
          <w:rFonts w:ascii="Times New Roman" w:hAnsi="Times New Roman"/>
          <w:sz w:val="24"/>
          <w:szCs w:val="24"/>
        </w:rPr>
      </w:pPr>
    </w:p>
    <w:sectPr w:rsidR="00F5079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1D9C" w:rsidRDefault="007C1D9C">
      <w:pPr>
        <w:spacing w:after="0" w:line="240" w:lineRule="auto"/>
      </w:pPr>
      <w:r>
        <w:separator/>
      </w:r>
    </w:p>
  </w:endnote>
  <w:endnote w:type="continuationSeparator" w:id="0">
    <w:p w:rsidR="007C1D9C" w:rsidRDefault="007C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1D9C" w:rsidRDefault="007C1D9C">
      <w:pPr>
        <w:spacing w:after="0" w:line="240" w:lineRule="auto"/>
      </w:pPr>
      <w:r>
        <w:rPr>
          <w:color w:val="000000"/>
        </w:rPr>
        <w:separator/>
      </w:r>
    </w:p>
  </w:footnote>
  <w:footnote w:type="continuationSeparator" w:id="0">
    <w:p w:rsidR="007C1D9C" w:rsidRDefault="007C1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791"/>
    <w:rsid w:val="007C1D9C"/>
    <w:rsid w:val="00A8183E"/>
    <w:rsid w:val="00BB4B53"/>
    <w:rsid w:val="00BC3AD0"/>
    <w:rsid w:val="00D0586B"/>
    <w:rsid w:val="00F507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7D089B8"/>
  <w15:docId w15:val="{68A930C4-F925-4E0F-8F40-43C10DC76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illespies.co.uk/projects/google-headquarters?view=details" TargetMode="External" /><Relationship Id="rId3" Type="http://schemas.openxmlformats.org/officeDocument/2006/relationships/webSettings" Target="webSettings.xml" /><Relationship Id="rId7" Type="http://schemas.openxmlformats.org/officeDocument/2006/relationships/hyperlink" Target="https://www.gillespies.co.uk/projects/google-headquarters?view=intro"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3148</Words>
  <Characters>17950</Characters>
  <Application>Microsoft Office Word</Application>
  <DocSecurity>0</DocSecurity>
  <Lines>149</Lines>
  <Paragraphs>42</Paragraphs>
  <ScaleCrop>false</ScaleCrop>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julietta</dc:creator>
  <dc:description/>
  <cp:lastModifiedBy>Cristian Lupu</cp:lastModifiedBy>
  <cp:revision>2</cp:revision>
  <dcterms:created xsi:type="dcterms:W3CDTF">2023-12-01T19:40:00Z</dcterms:created>
  <dcterms:modified xsi:type="dcterms:W3CDTF">2023-12-01T19:40:00Z</dcterms:modified>
</cp:coreProperties>
</file>