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AF5ED8" wp14:paraId="755343AF" wp14:textId="5D53CE8E">
      <w:pPr>
        <w:pStyle w:val="Heading1"/>
        <w:spacing w:before="322" w:beforeAutospacing="off" w:after="322" w:afterAutospacing="off"/>
        <w:rPr>
          <w:rFonts w:ascii="Arial Nova" w:hAnsi="Arial Nova" w:eastAsia="Arial Nova" w:cs="Arial Nova"/>
          <w:b w:val="0"/>
          <w:bCs w:val="0"/>
          <w:noProof w:val="0"/>
          <w:color w:val="auto"/>
          <w:sz w:val="22"/>
          <w:szCs w:val="22"/>
          <w:lang w:val="en-GB"/>
        </w:rPr>
      </w:pPr>
      <w:r w:rsidRPr="68AF5ED8" w:rsidR="46A497AC">
        <w:rPr>
          <w:rFonts w:ascii="Arial Nova" w:hAnsi="Arial Nova" w:eastAsia="Arial Nova" w:cs="Arial Nova"/>
          <w:b w:val="0"/>
          <w:bCs w:val="0"/>
          <w:noProof w:val="0"/>
          <w:color w:val="auto"/>
          <w:sz w:val="22"/>
          <w:szCs w:val="22"/>
          <w:lang w:val="en-GB"/>
        </w:rPr>
        <w:t>Karen Cogan 2245880</w:t>
      </w:r>
    </w:p>
    <w:p xmlns:wp14="http://schemas.microsoft.com/office/word/2010/wordml" w:rsidP="68AF5ED8" wp14:paraId="00DD9989" wp14:textId="7DCE162D">
      <w:pPr>
        <w:pStyle w:val="Normal"/>
        <w:rPr>
          <w:rFonts w:ascii="Arial Nova" w:hAnsi="Arial Nova" w:eastAsia="Arial Nova" w:cs="Arial Nova"/>
          <w:noProof w:val="0"/>
          <w:sz w:val="22"/>
          <w:szCs w:val="22"/>
          <w:lang w:val="en-GB"/>
        </w:rPr>
      </w:pPr>
      <w:r w:rsidRPr="68AF5ED8" w:rsidR="46A497AC">
        <w:rPr>
          <w:rFonts w:ascii="Arial Nova" w:hAnsi="Arial Nova" w:eastAsia="Arial Nova" w:cs="Arial Nova"/>
          <w:noProof w:val="0"/>
          <w:sz w:val="22"/>
          <w:szCs w:val="22"/>
          <w:lang w:val="en-GB"/>
        </w:rPr>
        <w:t>BMHP6027</w:t>
      </w:r>
      <w:r w:rsidRPr="68AF5ED8" w:rsidR="13327EC1">
        <w:rPr>
          <w:rFonts w:ascii="Arial Nova" w:hAnsi="Arial Nova" w:eastAsia="Arial Nova" w:cs="Arial Nova"/>
          <w:noProof w:val="0"/>
          <w:sz w:val="22"/>
          <w:szCs w:val="22"/>
          <w:lang w:val="en-GB"/>
        </w:rPr>
        <w:t xml:space="preserve"> Component 2</w:t>
      </w:r>
    </w:p>
    <w:p xmlns:wp14="http://schemas.microsoft.com/office/word/2010/wordml" w:rsidP="68AF5ED8" wp14:paraId="3542DDF3" wp14:textId="01081B7D">
      <w:pPr>
        <w:pStyle w:val="Normal"/>
        <w:rPr>
          <w:rFonts w:ascii="Arial Nova" w:hAnsi="Arial Nova" w:eastAsia="Arial Nova" w:cs="Arial Nova"/>
          <w:noProof w:val="0"/>
          <w:sz w:val="22"/>
          <w:szCs w:val="22"/>
          <w:lang w:val="en-GB"/>
        </w:rPr>
      </w:pPr>
      <w:r w:rsidRPr="68AF5ED8" w:rsidR="044002EE">
        <w:rPr>
          <w:rFonts w:ascii="Arial Nova" w:hAnsi="Arial Nova" w:eastAsia="Arial Nova" w:cs="Arial Nova"/>
          <w:noProof w:val="0"/>
          <w:sz w:val="22"/>
          <w:szCs w:val="22"/>
          <w:lang w:val="en-GB"/>
        </w:rPr>
        <w:t>Empowering The Older Person</w:t>
      </w:r>
    </w:p>
    <w:p xmlns:wp14="http://schemas.microsoft.com/office/word/2010/wordml" w:rsidP="68AF5ED8" wp14:paraId="4AE6DE72" wp14:textId="371AE9AD">
      <w:pPr>
        <w:pStyle w:val="Normal"/>
        <w:rPr>
          <w:rFonts w:ascii="Arial Nova" w:hAnsi="Arial Nova" w:eastAsia="Arial Nova" w:cs="Arial Nova"/>
          <w:b w:val="0"/>
          <w:bCs w:val="0"/>
          <w:noProof w:val="0"/>
          <w:color w:val="auto"/>
          <w:sz w:val="22"/>
          <w:szCs w:val="22"/>
          <w:lang w:val="en-GB"/>
        </w:rPr>
      </w:pPr>
      <w:r w:rsidRPr="68AF5ED8" w:rsidR="044002EE">
        <w:rPr>
          <w:rFonts w:ascii="Arial Nova" w:hAnsi="Arial Nova" w:eastAsia="Arial Nova" w:cs="Arial Nova"/>
          <w:noProof w:val="0"/>
          <w:sz w:val="22"/>
          <w:szCs w:val="22"/>
          <w:lang w:val="en-GB"/>
        </w:rPr>
        <w:t>Debate/Discussion</w:t>
      </w:r>
    </w:p>
    <w:p xmlns:wp14="http://schemas.microsoft.com/office/word/2010/wordml" w:rsidP="68AF5ED8" wp14:paraId="4E6D94BC" wp14:textId="3944225B">
      <w:pPr>
        <w:pStyle w:val="Normal"/>
        <w:rPr>
          <w:rFonts w:ascii="Arial Nova" w:hAnsi="Arial Nova" w:eastAsia="Arial Nova" w:cs="Arial Nova"/>
          <w:b w:val="0"/>
          <w:bCs w:val="0"/>
          <w:noProof w:val="0"/>
          <w:color w:val="auto"/>
          <w:sz w:val="22"/>
          <w:szCs w:val="22"/>
          <w:lang w:val="en-GB"/>
        </w:rPr>
      </w:pPr>
      <w:r w:rsidRPr="68AF5ED8" w:rsidR="1AEC1EEB">
        <w:rPr>
          <w:rFonts w:ascii="Arial Nova" w:hAnsi="Arial Nova" w:eastAsia="Arial Nova" w:cs="Arial Nova"/>
          <w:b w:val="0"/>
          <w:bCs w:val="0"/>
          <w:noProof w:val="0"/>
          <w:color w:val="auto"/>
          <w:sz w:val="22"/>
          <w:szCs w:val="22"/>
          <w:lang w:val="en-GB"/>
        </w:rPr>
        <w:t>Remote Patient Monitoring and the Empowerment of Older Adults in UK Health and Social Care</w:t>
      </w:r>
    </w:p>
    <w:p w:rsidR="68AF5ED8" w:rsidP="68AF5ED8" w:rsidRDefault="68AF5ED8" w14:paraId="4A5E0CF7" w14:textId="3ED9E7D2">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p>
    <w:p w:rsidR="68AF5ED8" w:rsidP="68AF5ED8" w:rsidRDefault="68AF5ED8" w14:paraId="1C273882" w14:textId="0CB29EA1">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p>
    <w:p xmlns:wp14="http://schemas.microsoft.com/office/word/2010/wordml" w:rsidP="68AF5ED8" wp14:paraId="69A47848" wp14:textId="035F5625">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68AF5ED8" w:rsidR="1AEC1EEB">
        <w:rPr>
          <w:rFonts w:ascii="Arial Nova" w:hAnsi="Arial Nova" w:eastAsia="Arial Nova" w:cs="Arial Nova"/>
          <w:b w:val="1"/>
          <w:bCs w:val="1"/>
          <w:noProof w:val="0"/>
          <w:color w:val="auto"/>
          <w:sz w:val="22"/>
          <w:szCs w:val="22"/>
          <w:lang w:val="en-GB"/>
        </w:rPr>
        <w:t>Introduction</w:t>
      </w:r>
    </w:p>
    <w:p xmlns:wp14="http://schemas.microsoft.com/office/word/2010/wordml" w:rsidP="68AF5ED8" wp14:paraId="66A4EFBD" wp14:textId="277D2689">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Remote patient monitoring is becoming more common in health and social care. It refers to the use of digital technology that allows health professionals to </w:t>
      </w:r>
      <w:r w:rsidRPr="68AF5ED8" w:rsidR="1AEC1EEB">
        <w:rPr>
          <w:rFonts w:ascii="Arial Nova" w:hAnsi="Arial Nova" w:eastAsia="Arial Nova" w:cs="Arial Nova"/>
          <w:noProof w:val="0"/>
          <w:color w:val="auto"/>
          <w:sz w:val="22"/>
          <w:szCs w:val="22"/>
          <w:lang w:val="en-GB"/>
        </w:rPr>
        <w:t>monitor</w:t>
      </w:r>
      <w:r w:rsidRPr="68AF5ED8" w:rsidR="1AEC1EEB">
        <w:rPr>
          <w:rFonts w:ascii="Arial Nova" w:hAnsi="Arial Nova" w:eastAsia="Arial Nova" w:cs="Arial Nova"/>
          <w:noProof w:val="0"/>
          <w:color w:val="auto"/>
          <w:sz w:val="22"/>
          <w:szCs w:val="22"/>
          <w:lang w:val="en-GB"/>
        </w:rPr>
        <w:t xml:space="preserve"> a patient’s health from their home instead of in a hospital or clinic. Devices such as blood pressure monitors, heart rate sensors, oxygen monitors, and wearable devices can send health data directly to healthcare professionals through digital systems (NHS England, 2023).</w:t>
      </w:r>
    </w:p>
    <w:p xmlns:wp14="http://schemas.microsoft.com/office/word/2010/wordml" w:rsidP="68AF5ED8" wp14:paraId="6C8DF128" wp14:textId="7E184F08">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This technology is especially important for older adults because many of them live with long-term health conditions such as heart disease, diabetes, or respiratory problems. Remote monitoring allows healthcare professionals to track symptoms and changes in health without the person needing to travel to appointments (World Health Organization, 2021).</w:t>
      </w:r>
    </w:p>
    <w:p xmlns:wp14="http://schemas.microsoft.com/office/word/2010/wordml" w:rsidP="68AF5ED8" wp14:paraId="33673E5E" wp14:textId="2167386C">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Empowerment means giving people more control over their own health and care decisions. For older adults, empowerment includes independence, involvement in care decisions, and the ability to manage their own health where possible (Age UK, 2022). Remote patient monitoring may support empowerment by allowing older people to stay in their own homes while still receiving medical support.</w:t>
      </w:r>
    </w:p>
    <w:p xmlns:wp14="http://schemas.microsoft.com/office/word/2010/wordml" w:rsidP="68AF5ED8" wp14:paraId="27D72067" wp14:textId="36DE369B">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However, while this technology has many benefits, there are also challenges. Some older adults struggle with digital technology, and there may be issues around privacy, cost, and access. This discussion will explore both the benefits and the challenges of remote patient monitoring and evaluate its role in empowering older adults in the UK health and social care system.</w:t>
      </w:r>
    </w:p>
    <w:p xmlns:wp14="http://schemas.microsoft.com/office/word/2010/wordml" w:rsidP="68AF5ED8" wp14:paraId="5D97EEC7" wp14:textId="019744E9">
      <w:pPr>
        <w:rPr>
          <w:rFonts w:ascii="Arial Nova" w:hAnsi="Arial Nova" w:eastAsia="Arial Nova" w:cs="Arial Nova"/>
          <w:color w:val="auto"/>
          <w:sz w:val="22"/>
          <w:szCs w:val="22"/>
        </w:rPr>
      </w:pPr>
    </w:p>
    <w:p xmlns:wp14="http://schemas.microsoft.com/office/word/2010/wordml" w:rsidP="68AF5ED8" wp14:paraId="31EFD982" wp14:textId="116F56C6">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68AF5ED8" w:rsidR="1AEC1EEB">
        <w:rPr>
          <w:rFonts w:ascii="Arial Nova" w:hAnsi="Arial Nova" w:eastAsia="Arial Nova" w:cs="Arial Nova"/>
          <w:b w:val="1"/>
          <w:bCs w:val="1"/>
          <w:noProof w:val="0"/>
          <w:color w:val="auto"/>
          <w:sz w:val="22"/>
          <w:szCs w:val="22"/>
          <w:lang w:val="en-GB"/>
        </w:rPr>
        <w:t>Critical Discussion</w:t>
      </w:r>
    </w:p>
    <w:p xmlns:wp14="http://schemas.microsoft.com/office/word/2010/wordml" w:rsidP="68AF5ED8" wp14:paraId="4B6D9777" wp14:textId="65E2520C">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Remote patient monitoring has been strongly supported by UK health policy and research. The NHS has promoted digital healthcare as part of its long-term strategy to improve patient care and reduce pressure on hospitals (NHS England, 2019). Remote monitoring became even more important during the COVID-19 pandemic when face-to-face appointments were limited and healthcare providers needed safer ways to </w:t>
      </w:r>
      <w:r w:rsidRPr="68AF5ED8" w:rsidR="1AEC1EEB">
        <w:rPr>
          <w:rFonts w:ascii="Arial Nova" w:hAnsi="Arial Nova" w:eastAsia="Arial Nova" w:cs="Arial Nova"/>
          <w:noProof w:val="0"/>
          <w:color w:val="auto"/>
          <w:sz w:val="22"/>
          <w:szCs w:val="22"/>
          <w:lang w:val="en-GB"/>
        </w:rPr>
        <w:t>monitor</w:t>
      </w:r>
      <w:r w:rsidRPr="68AF5ED8" w:rsidR="1AEC1EEB">
        <w:rPr>
          <w:rFonts w:ascii="Arial Nova" w:hAnsi="Arial Nova" w:eastAsia="Arial Nova" w:cs="Arial Nova"/>
          <w:noProof w:val="0"/>
          <w:color w:val="auto"/>
          <w:sz w:val="22"/>
          <w:szCs w:val="22"/>
          <w:lang w:val="en-GB"/>
        </w:rPr>
        <w:t xml:space="preserve"> patients (</w:t>
      </w:r>
      <w:r w:rsidRPr="68AF5ED8" w:rsidR="1AEC1EEB">
        <w:rPr>
          <w:rFonts w:ascii="Arial Nova" w:hAnsi="Arial Nova" w:eastAsia="Arial Nova" w:cs="Arial Nova"/>
          <w:noProof w:val="0"/>
          <w:color w:val="auto"/>
          <w:sz w:val="22"/>
          <w:szCs w:val="22"/>
          <w:lang w:val="en-GB"/>
        </w:rPr>
        <w:t>Vindrola-Padros</w:t>
      </w:r>
      <w:r w:rsidRPr="68AF5ED8" w:rsidR="1AEC1EEB">
        <w:rPr>
          <w:rFonts w:ascii="Arial Nova" w:hAnsi="Arial Nova" w:eastAsia="Arial Nova" w:cs="Arial Nova"/>
          <w:noProof w:val="0"/>
          <w:color w:val="auto"/>
          <w:sz w:val="22"/>
          <w:szCs w:val="22"/>
          <w:lang w:val="en-GB"/>
        </w:rPr>
        <w:t xml:space="preserve"> et al., 2021).</w:t>
      </w:r>
    </w:p>
    <w:p xmlns:wp14="http://schemas.microsoft.com/office/word/2010/wordml" w:rsidP="68AF5ED8" wp14:paraId="35897AFD" wp14:textId="31CD7899">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One of the main advantages of remote patient monitoring is that it helps older adults remain independent. Many older people prefer to live in their own homes rather than move into residential care. Remote monitoring allows healthcare professionals to keep track of their health while they </w:t>
      </w:r>
      <w:r w:rsidRPr="68AF5ED8" w:rsidR="1AEC1EEB">
        <w:rPr>
          <w:rFonts w:ascii="Arial Nova" w:hAnsi="Arial Nova" w:eastAsia="Arial Nova" w:cs="Arial Nova"/>
          <w:noProof w:val="0"/>
          <w:color w:val="auto"/>
          <w:sz w:val="22"/>
          <w:szCs w:val="22"/>
          <w:lang w:val="en-GB"/>
        </w:rPr>
        <w:t>remain</w:t>
      </w:r>
      <w:r w:rsidRPr="68AF5ED8" w:rsidR="1AEC1EEB">
        <w:rPr>
          <w:rFonts w:ascii="Arial Nova" w:hAnsi="Arial Nova" w:eastAsia="Arial Nova" w:cs="Arial Nova"/>
          <w:noProof w:val="0"/>
          <w:color w:val="auto"/>
          <w:sz w:val="22"/>
          <w:szCs w:val="22"/>
          <w:lang w:val="en-GB"/>
        </w:rPr>
        <w:t xml:space="preserve"> in familiar surroundings (Greenhalgh et al., 2018). This can reduce hospital admissions and help </w:t>
      </w:r>
      <w:r w:rsidRPr="68AF5ED8" w:rsidR="1AEC1EEB">
        <w:rPr>
          <w:rFonts w:ascii="Arial Nova" w:hAnsi="Arial Nova" w:eastAsia="Arial Nova" w:cs="Arial Nova"/>
          <w:noProof w:val="0"/>
          <w:color w:val="auto"/>
          <w:sz w:val="22"/>
          <w:szCs w:val="22"/>
          <w:lang w:val="en-GB"/>
        </w:rPr>
        <w:t>identify</w:t>
      </w:r>
      <w:r w:rsidRPr="68AF5ED8" w:rsidR="1AEC1EEB">
        <w:rPr>
          <w:rFonts w:ascii="Arial Nova" w:hAnsi="Arial Nova" w:eastAsia="Arial Nova" w:cs="Arial Nova"/>
          <w:noProof w:val="0"/>
          <w:color w:val="auto"/>
          <w:sz w:val="22"/>
          <w:szCs w:val="22"/>
          <w:lang w:val="en-GB"/>
        </w:rPr>
        <w:t xml:space="preserve"> health problems earlier.</w:t>
      </w:r>
    </w:p>
    <w:p xmlns:wp14="http://schemas.microsoft.com/office/word/2010/wordml" w:rsidP="68AF5ED8" wp14:paraId="24D94E11" wp14:textId="514D3A0E">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Research has shown that remote monitoring can improve health outcomes for people with long-term conditions. For example, monitoring blood pressure and heart rate regularly can help doctors detect changes quickly and adjust treatment before the condition becomes worse (Kvedar, Coye and Everett, 2014). This can help prevent emergencies and improve long-term health.</w:t>
      </w:r>
    </w:p>
    <w:p xmlns:wp14="http://schemas.microsoft.com/office/word/2010/wordml" w:rsidP="68AF5ED8" wp14:paraId="717262EC" wp14:textId="0DB45676">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Another important benefit is that remote monitoring can improve communication between patients and healthcare professionals. Digital systems allow health data to be shared quickly, and patients can report symptoms more easily (NHS Digital, 2022). This can make healthcare more responsive and personalised.</w:t>
      </w:r>
    </w:p>
    <w:p xmlns:wp14="http://schemas.microsoft.com/office/word/2010/wordml" w:rsidP="68AF5ED8" wp14:paraId="6A171FF7" wp14:textId="0EBE0FA7">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However, there are also concerns about the use of technology in elderly care. One major issue is digital exclusion. Many older adults are not confident using smartphones, tablets, or digital health devices (Ofcom, 2022). This means that some people may struggle to use remote monitoring systems without support.</w:t>
      </w:r>
    </w:p>
    <w:p xmlns:wp14="http://schemas.microsoft.com/office/word/2010/wordml" w:rsidP="68AF5ED8" wp14:paraId="75858076" wp14:textId="383201D7">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Another challenge is the risk of increasing health inequalities. Older adults from lower income backgrounds may not have access to reliable internet or digital devices. If digital services replace traditional services, these individuals may find it harder to access care (Roberts and Mehrotra, 2020).</w:t>
      </w:r>
    </w:p>
    <w:p xmlns:wp14="http://schemas.microsoft.com/office/word/2010/wordml" w:rsidP="68AF5ED8" wp14:paraId="207DF77B" wp14:textId="15EB295F">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Privacy and data protection are also important concerns. Remote monitoring involves collecting personal health data and sharing it through digital systems. Some older adults may worry about how their data is stored and who can access it (Topol, 2019).</w:t>
      </w:r>
    </w:p>
    <w:p xmlns:wp14="http://schemas.microsoft.com/office/word/2010/wordml" w:rsidP="68AF5ED8" wp14:paraId="1B47547A" wp14:textId="7DA84D07">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Some healthcare professionals also worry that technology could reduce face-to-face contact between patients and care providers. Personal interaction is an important part of healthcare, especially for older people who may already feel socially isolated (Peek et al., 2014).</w:t>
      </w:r>
    </w:p>
    <w:p xmlns:wp14="http://schemas.microsoft.com/office/word/2010/wordml" w:rsidP="68AF5ED8" wp14:paraId="79AA9BC5" wp14:textId="33D6E7D2">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Because of these concerns, it is important that remote monitoring is used to support healthcare professionals rather than replace them.</w:t>
      </w:r>
    </w:p>
    <w:p xmlns:wp14="http://schemas.microsoft.com/office/word/2010/wordml" w:rsidP="68AF5ED8" wp14:paraId="7F4F32BE" wp14:textId="1F72FC58">
      <w:pPr>
        <w:rPr>
          <w:rFonts w:ascii="Arial Nova" w:hAnsi="Arial Nova" w:eastAsia="Arial Nova" w:cs="Arial Nova"/>
          <w:color w:val="auto"/>
          <w:sz w:val="22"/>
          <w:szCs w:val="22"/>
        </w:rPr>
      </w:pPr>
    </w:p>
    <w:p xmlns:wp14="http://schemas.microsoft.com/office/word/2010/wordml" w:rsidP="68AF5ED8" wp14:paraId="51D043EA" wp14:textId="398850E3">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68AF5ED8" w:rsidR="1AEC1EEB">
        <w:rPr>
          <w:rFonts w:ascii="Arial Nova" w:hAnsi="Arial Nova" w:eastAsia="Arial Nova" w:cs="Arial Nova"/>
          <w:b w:val="1"/>
          <w:bCs w:val="1"/>
          <w:noProof w:val="0"/>
          <w:color w:val="auto"/>
          <w:sz w:val="22"/>
          <w:szCs w:val="22"/>
          <w:lang w:val="en-GB"/>
        </w:rPr>
        <w:t>Application to Practice</w:t>
      </w:r>
    </w:p>
    <w:p xmlns:wp14="http://schemas.microsoft.com/office/word/2010/wordml" w:rsidP="68AF5ED8" wp14:paraId="6EA8EF8B" wp14:textId="2DBF8056">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Remote patient monitoring is already being used in several NHS services. One example is the use of digital monitoring for patients with chronic conditions such as heart disease or chronic obstructive pulmonary disease (COPD). Patients use devices at home to record health measurements, which are then reviewed by healthcare professionals remotely (NHS England, 2023).</w:t>
      </w:r>
    </w:p>
    <w:p xmlns:wp14="http://schemas.microsoft.com/office/word/2010/wordml" w:rsidP="68AF5ED8" wp14:paraId="5521BDC5" wp14:textId="61CEE724">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Another example is virtual wards. Virtual wards allow patients to receive hospital-level care while staying at home. Healthcare teams </w:t>
      </w:r>
      <w:r w:rsidRPr="68AF5ED8" w:rsidR="1AEC1EEB">
        <w:rPr>
          <w:rFonts w:ascii="Arial Nova" w:hAnsi="Arial Nova" w:eastAsia="Arial Nova" w:cs="Arial Nova"/>
          <w:noProof w:val="0"/>
          <w:color w:val="auto"/>
          <w:sz w:val="22"/>
          <w:szCs w:val="22"/>
          <w:lang w:val="en-GB"/>
        </w:rPr>
        <w:t>monitor</w:t>
      </w:r>
      <w:r w:rsidRPr="68AF5ED8" w:rsidR="1AEC1EEB">
        <w:rPr>
          <w:rFonts w:ascii="Arial Nova" w:hAnsi="Arial Nova" w:eastAsia="Arial Nova" w:cs="Arial Nova"/>
          <w:noProof w:val="0"/>
          <w:color w:val="auto"/>
          <w:sz w:val="22"/>
          <w:szCs w:val="22"/>
          <w:lang w:val="en-GB"/>
        </w:rPr>
        <w:t xml:space="preserve"> patients using digital tools and regular communication. This approach has been used to reduce hospital pressure and improve patient comfort (NHS England, 2022).</w:t>
      </w:r>
    </w:p>
    <w:p xmlns:wp14="http://schemas.microsoft.com/office/word/2010/wordml" w:rsidP="68AF5ED8" wp14:paraId="41DB503C" wp14:textId="78E457C6">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These examples show how remote monitoring can support independence and improve quality of life for older adults. Many older people prefer home-based care because it allows them to remain close to family and </w:t>
      </w:r>
      <w:r w:rsidRPr="68AF5ED8" w:rsidR="1AEC1EEB">
        <w:rPr>
          <w:rFonts w:ascii="Arial Nova" w:hAnsi="Arial Nova" w:eastAsia="Arial Nova" w:cs="Arial Nova"/>
          <w:noProof w:val="0"/>
          <w:color w:val="auto"/>
          <w:sz w:val="22"/>
          <w:szCs w:val="22"/>
          <w:lang w:val="en-GB"/>
        </w:rPr>
        <w:t>maintain</w:t>
      </w:r>
      <w:r w:rsidRPr="68AF5ED8" w:rsidR="1AEC1EEB">
        <w:rPr>
          <w:rFonts w:ascii="Arial Nova" w:hAnsi="Arial Nova" w:eastAsia="Arial Nova" w:cs="Arial Nova"/>
          <w:noProof w:val="0"/>
          <w:color w:val="auto"/>
          <w:sz w:val="22"/>
          <w:szCs w:val="22"/>
          <w:lang w:val="en-GB"/>
        </w:rPr>
        <w:t xml:space="preserve"> their daily routines (Age UK, 2022).</w:t>
      </w:r>
    </w:p>
    <w:p xmlns:wp14="http://schemas.microsoft.com/office/word/2010/wordml" w:rsidP="68AF5ED8" wp14:paraId="7A7204B9" wp14:textId="6CD41FFB">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However, successful use of remote monitoring depends on proper training and support. Older adults may need guidance on how to use devices, interpret their health data, and communicate with healthcare professionals (Peek et al., 2014).</w:t>
      </w:r>
    </w:p>
    <w:p xmlns:wp14="http://schemas.microsoft.com/office/word/2010/wordml" w:rsidP="68AF5ED8" wp14:paraId="5FE1D555" wp14:textId="4AB08984">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Healthcare staff also need training to use digital systems effectively. Digital innovation can only succeed if professionals understand how to interpret the data and integrate it into patient care (Greenhalgh et al., 2018).</w:t>
      </w:r>
    </w:p>
    <w:p xmlns:wp14="http://schemas.microsoft.com/office/word/2010/wordml" w:rsidP="68AF5ED8" wp14:paraId="50DA7752" wp14:textId="32D02CE1">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Infrastructure is another </w:t>
      </w:r>
      <w:r w:rsidRPr="68AF5ED8" w:rsidR="1AEC1EEB">
        <w:rPr>
          <w:rFonts w:ascii="Arial Nova" w:hAnsi="Arial Nova" w:eastAsia="Arial Nova" w:cs="Arial Nova"/>
          <w:noProof w:val="0"/>
          <w:color w:val="auto"/>
          <w:sz w:val="22"/>
          <w:szCs w:val="22"/>
          <w:lang w:val="en-GB"/>
        </w:rPr>
        <w:t>important factor</w:t>
      </w:r>
      <w:r w:rsidRPr="68AF5ED8" w:rsidR="1AEC1EEB">
        <w:rPr>
          <w:rFonts w:ascii="Arial Nova" w:hAnsi="Arial Nova" w:eastAsia="Arial Nova" w:cs="Arial Nova"/>
          <w:noProof w:val="0"/>
          <w:color w:val="auto"/>
          <w:sz w:val="22"/>
          <w:szCs w:val="22"/>
          <w:lang w:val="en-GB"/>
        </w:rPr>
        <w:t>. Reliable internet access and secure digital systems are essential for remote monitoring to work safely and effectively.</w:t>
      </w:r>
    </w:p>
    <w:p xmlns:wp14="http://schemas.microsoft.com/office/word/2010/wordml" w:rsidP="68AF5ED8" wp14:paraId="0E585FAA" wp14:textId="267F3B2A">
      <w:pPr>
        <w:rPr>
          <w:rFonts w:ascii="Arial Nova" w:hAnsi="Arial Nova" w:eastAsia="Arial Nova" w:cs="Arial Nova"/>
          <w:color w:val="auto"/>
          <w:sz w:val="22"/>
          <w:szCs w:val="22"/>
        </w:rPr>
      </w:pPr>
    </w:p>
    <w:p xmlns:wp14="http://schemas.microsoft.com/office/word/2010/wordml" w:rsidP="68AF5ED8" wp14:paraId="2CC2D6E9" wp14:textId="20D2FF25">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68AF5ED8" w:rsidR="1AEC1EEB">
        <w:rPr>
          <w:rFonts w:ascii="Arial Nova" w:hAnsi="Arial Nova" w:eastAsia="Arial Nova" w:cs="Arial Nova"/>
          <w:b w:val="1"/>
          <w:bCs w:val="1"/>
          <w:noProof w:val="0"/>
          <w:color w:val="auto"/>
          <w:sz w:val="22"/>
          <w:szCs w:val="22"/>
          <w:lang w:val="en-GB"/>
        </w:rPr>
        <w:t>Evaluation and Recommendations</w:t>
      </w:r>
    </w:p>
    <w:p xmlns:wp14="http://schemas.microsoft.com/office/word/2010/wordml" w:rsidP="68AF5ED8" wp14:paraId="674BA7E2" wp14:textId="18168C94">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Overall, remote patient monitoring has strong potential to empower older adults. It supports independence, allows early detection of health problems, and improves access to healthcare services.</w:t>
      </w:r>
    </w:p>
    <w:p xmlns:wp14="http://schemas.microsoft.com/office/word/2010/wordml" w:rsidP="68AF5ED8" wp14:paraId="14283CED" wp14:textId="758B87AE">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However, for this technology to work well, several improvements are needed.</w:t>
      </w:r>
    </w:p>
    <w:p xmlns:wp14="http://schemas.microsoft.com/office/word/2010/wordml" w:rsidP="68AF5ED8" wp14:paraId="5D771E0A" wp14:textId="6EEC1B1B">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First, digital inclusion must be addressed. Older adults should receive training and support to help them feel confident using technology. Community programmes and digital literacy training could play </w:t>
      </w:r>
      <w:r w:rsidRPr="68AF5ED8" w:rsidR="1AEC1EEB">
        <w:rPr>
          <w:rFonts w:ascii="Arial Nova" w:hAnsi="Arial Nova" w:eastAsia="Arial Nova" w:cs="Arial Nova"/>
          <w:noProof w:val="0"/>
          <w:color w:val="auto"/>
          <w:sz w:val="22"/>
          <w:szCs w:val="22"/>
          <w:lang w:val="en-GB"/>
        </w:rPr>
        <w:t>an important role</w:t>
      </w:r>
      <w:r w:rsidRPr="68AF5ED8" w:rsidR="1AEC1EEB">
        <w:rPr>
          <w:rFonts w:ascii="Arial Nova" w:hAnsi="Arial Nova" w:eastAsia="Arial Nova" w:cs="Arial Nova"/>
          <w:noProof w:val="0"/>
          <w:color w:val="auto"/>
          <w:sz w:val="22"/>
          <w:szCs w:val="22"/>
          <w:lang w:val="en-GB"/>
        </w:rPr>
        <w:t xml:space="preserve"> (Ofcom, 2022).</w:t>
      </w:r>
    </w:p>
    <w:p xmlns:wp14="http://schemas.microsoft.com/office/word/2010/wordml" w:rsidP="68AF5ED8" wp14:paraId="77DA8B8F" wp14:textId="3E5C7316">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Second, remote monitoring should not replace face-to-face care completely. Many older people value personal interaction with healthcare professionals, so digital care should be combined with traditional services.</w:t>
      </w:r>
    </w:p>
    <w:p xmlns:wp14="http://schemas.microsoft.com/office/word/2010/wordml" w:rsidP="68AF5ED8" wp14:paraId="699CFF35" wp14:textId="030E2991">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Third, strong data protection policies must be </w:t>
      </w:r>
      <w:r w:rsidRPr="68AF5ED8" w:rsidR="1AEC1EEB">
        <w:rPr>
          <w:rFonts w:ascii="Arial Nova" w:hAnsi="Arial Nova" w:eastAsia="Arial Nova" w:cs="Arial Nova"/>
          <w:noProof w:val="0"/>
          <w:color w:val="auto"/>
          <w:sz w:val="22"/>
          <w:szCs w:val="22"/>
          <w:lang w:val="en-GB"/>
        </w:rPr>
        <w:t>maintained</w:t>
      </w:r>
      <w:r w:rsidRPr="68AF5ED8" w:rsidR="1AEC1EEB">
        <w:rPr>
          <w:rFonts w:ascii="Arial Nova" w:hAnsi="Arial Nova" w:eastAsia="Arial Nova" w:cs="Arial Nova"/>
          <w:noProof w:val="0"/>
          <w:color w:val="auto"/>
          <w:sz w:val="22"/>
          <w:szCs w:val="22"/>
          <w:lang w:val="en-GB"/>
        </w:rPr>
        <w:t xml:space="preserve"> to protect patient privacy. Clear information about how data is used can help build trust in digital healthcare systems (Topol, 2019).</w:t>
      </w:r>
    </w:p>
    <w:p xmlns:wp14="http://schemas.microsoft.com/office/word/2010/wordml" w:rsidP="68AF5ED8" wp14:paraId="776B30E9" wp14:textId="37ECA460">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Finally, healthcare systems must ensure that digital technology does not increase inequalities. Access to devices and internet services should be supported for those who cannot afford them.</w:t>
      </w:r>
    </w:p>
    <w:p xmlns:wp14="http://schemas.microsoft.com/office/word/2010/wordml" w:rsidP="68AF5ED8" wp14:paraId="56D85DDB" wp14:textId="061E0A05">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By addressing these challenges, remote monitoring can become a powerful tool for improving care and empowering older adults.</w:t>
      </w:r>
    </w:p>
    <w:p xmlns:wp14="http://schemas.microsoft.com/office/word/2010/wordml" w:rsidP="68AF5ED8" wp14:paraId="735B4AEE" wp14:textId="6F630FFC">
      <w:pPr>
        <w:rPr>
          <w:rFonts w:ascii="Arial Nova" w:hAnsi="Arial Nova" w:eastAsia="Arial Nova" w:cs="Arial Nova"/>
          <w:color w:val="auto"/>
          <w:sz w:val="22"/>
          <w:szCs w:val="22"/>
        </w:rPr>
      </w:pPr>
    </w:p>
    <w:p xmlns:wp14="http://schemas.microsoft.com/office/word/2010/wordml" w:rsidP="68AF5ED8" wp14:paraId="3D7B4765" wp14:textId="071E597C">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68AF5ED8" w:rsidR="1AEC1EEB">
        <w:rPr>
          <w:rFonts w:ascii="Arial Nova" w:hAnsi="Arial Nova" w:eastAsia="Arial Nova" w:cs="Arial Nova"/>
          <w:b w:val="1"/>
          <w:bCs w:val="1"/>
          <w:noProof w:val="0"/>
          <w:color w:val="auto"/>
          <w:sz w:val="22"/>
          <w:szCs w:val="22"/>
          <w:lang w:val="en-GB"/>
        </w:rPr>
        <w:t>Conclusion</w:t>
      </w:r>
    </w:p>
    <w:p xmlns:wp14="http://schemas.microsoft.com/office/word/2010/wordml" w:rsidP="68AF5ED8" wp14:paraId="6448150E" wp14:textId="793D1F7F">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Remote patient monitoring is an important digital innovation in modern health and social care. It allows healthcare professionals to </w:t>
      </w:r>
      <w:r w:rsidRPr="68AF5ED8" w:rsidR="1AEC1EEB">
        <w:rPr>
          <w:rFonts w:ascii="Arial Nova" w:hAnsi="Arial Nova" w:eastAsia="Arial Nova" w:cs="Arial Nova"/>
          <w:noProof w:val="0"/>
          <w:color w:val="auto"/>
          <w:sz w:val="22"/>
          <w:szCs w:val="22"/>
          <w:lang w:val="en-GB"/>
        </w:rPr>
        <w:t>monitor</w:t>
      </w:r>
      <w:r w:rsidRPr="68AF5ED8" w:rsidR="1AEC1EEB">
        <w:rPr>
          <w:rFonts w:ascii="Arial Nova" w:hAnsi="Arial Nova" w:eastAsia="Arial Nova" w:cs="Arial Nova"/>
          <w:noProof w:val="0"/>
          <w:color w:val="auto"/>
          <w:sz w:val="22"/>
          <w:szCs w:val="22"/>
          <w:lang w:val="en-GB"/>
        </w:rPr>
        <w:t xml:space="preserve"> patients from their homes using digital technology. For older adults, this can support independence, improve health management, and reduce unnecessary hospital visits.</w:t>
      </w:r>
    </w:p>
    <w:p xmlns:wp14="http://schemas.microsoft.com/office/word/2010/wordml" w:rsidP="68AF5ED8" wp14:paraId="71F218AA" wp14:textId="5033D8A8">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Evidence shows that remote monitoring can improve early detection of health problems and provide more personalised care. It also supports the NHS goal of delivering more care in community settings.</w:t>
      </w:r>
    </w:p>
    <w:p xmlns:wp14="http://schemas.microsoft.com/office/word/2010/wordml" w:rsidP="68AF5ED8" wp14:paraId="254BE7E4" wp14:textId="2F160B0E">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However, challenges such as digital exclusion, privacy concerns, and reduced face-to-face contact must be considered. Without proper support, some older adults may struggle to </w:t>
      </w:r>
      <w:r w:rsidRPr="68AF5ED8" w:rsidR="1AEC1EEB">
        <w:rPr>
          <w:rFonts w:ascii="Arial Nova" w:hAnsi="Arial Nova" w:eastAsia="Arial Nova" w:cs="Arial Nova"/>
          <w:noProof w:val="0"/>
          <w:color w:val="auto"/>
          <w:sz w:val="22"/>
          <w:szCs w:val="22"/>
          <w:lang w:val="en-GB"/>
        </w:rPr>
        <w:t>benefit</w:t>
      </w:r>
      <w:r w:rsidRPr="68AF5ED8" w:rsidR="1AEC1EEB">
        <w:rPr>
          <w:rFonts w:ascii="Arial Nova" w:hAnsi="Arial Nova" w:eastAsia="Arial Nova" w:cs="Arial Nova"/>
          <w:noProof w:val="0"/>
          <w:color w:val="auto"/>
          <w:sz w:val="22"/>
          <w:szCs w:val="22"/>
          <w:lang w:val="en-GB"/>
        </w:rPr>
        <w:t xml:space="preserve"> from these technologies.</w:t>
      </w:r>
    </w:p>
    <w:p xmlns:wp14="http://schemas.microsoft.com/office/word/2010/wordml" w:rsidP="68AF5ED8" wp14:paraId="3D362ED8" wp14:textId="0A8D6739">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Overall, remote patient monitoring has the potential to empower older adults, but it must be implemented carefully with proper training, support, and inclusive policies. When used alongside traditional healthcare services, it can help create a more responsive and patient-centred health and social care system.</w:t>
      </w:r>
    </w:p>
    <w:p xmlns:wp14="http://schemas.microsoft.com/office/word/2010/wordml" w:rsidP="68AF5ED8" wp14:paraId="2F866BFA" wp14:textId="3CC11211">
      <w:pPr>
        <w:rPr>
          <w:rFonts w:ascii="Arial Nova" w:hAnsi="Arial Nova" w:eastAsia="Arial Nova" w:cs="Arial Nova"/>
          <w:color w:val="auto"/>
          <w:sz w:val="22"/>
          <w:szCs w:val="22"/>
        </w:rPr>
      </w:pPr>
    </w:p>
    <w:p xmlns:wp14="http://schemas.microsoft.com/office/word/2010/wordml" w:rsidP="68AF5ED8" wp14:paraId="345700E4" wp14:textId="140116DD">
      <w:pPr>
        <w:pStyle w:val="Heading1"/>
        <w:spacing w:before="322" w:beforeAutospacing="off" w:after="322" w:afterAutospacing="off"/>
        <w:rPr>
          <w:rFonts w:ascii="Arial Nova" w:hAnsi="Arial Nova" w:eastAsia="Arial Nova" w:cs="Arial Nova"/>
          <w:b w:val="1"/>
          <w:bCs w:val="1"/>
          <w:noProof w:val="0"/>
          <w:color w:val="auto"/>
          <w:sz w:val="22"/>
          <w:szCs w:val="22"/>
          <w:lang w:val="en-GB"/>
        </w:rPr>
      </w:pPr>
      <w:r w:rsidRPr="68AF5ED8" w:rsidR="1AEC1EEB">
        <w:rPr>
          <w:rFonts w:ascii="Arial Nova" w:hAnsi="Arial Nova" w:eastAsia="Arial Nova" w:cs="Arial Nova"/>
          <w:b w:val="1"/>
          <w:bCs w:val="1"/>
          <w:noProof w:val="0"/>
          <w:color w:val="auto"/>
          <w:sz w:val="22"/>
          <w:szCs w:val="22"/>
          <w:lang w:val="en-GB"/>
        </w:rPr>
        <w:t xml:space="preserve">Reference List </w:t>
      </w:r>
    </w:p>
    <w:p xmlns:wp14="http://schemas.microsoft.com/office/word/2010/wordml" w:rsidP="68AF5ED8" wp14:paraId="5D9257AD" wp14:textId="3AA1436E">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Age UK (2022) </w:t>
      </w:r>
      <w:r w:rsidRPr="68AF5ED8" w:rsidR="1AEC1EEB">
        <w:rPr>
          <w:rFonts w:ascii="Arial Nova" w:hAnsi="Arial Nova" w:eastAsia="Arial Nova" w:cs="Arial Nova"/>
          <w:i w:val="1"/>
          <w:iCs w:val="1"/>
          <w:noProof w:val="0"/>
          <w:color w:val="auto"/>
          <w:sz w:val="22"/>
          <w:szCs w:val="22"/>
          <w:lang w:val="en-GB"/>
        </w:rPr>
        <w:t>Later life in the United Kingdom</w:t>
      </w:r>
      <w:r w:rsidRPr="68AF5ED8" w:rsidR="1AEC1EEB">
        <w:rPr>
          <w:rFonts w:ascii="Arial Nova" w:hAnsi="Arial Nova" w:eastAsia="Arial Nova" w:cs="Arial Nova"/>
          <w:noProof w:val="0"/>
          <w:color w:val="auto"/>
          <w:sz w:val="22"/>
          <w:szCs w:val="22"/>
          <w:lang w:val="en-GB"/>
        </w:rPr>
        <w:t>. London: Age UK.</w:t>
      </w:r>
    </w:p>
    <w:p xmlns:wp14="http://schemas.microsoft.com/office/word/2010/wordml" w:rsidP="68AF5ED8" wp14:paraId="5BEE1A72" wp14:textId="29FCDBC4">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Greenhalgh, T. et al. (2018) ‘Adoption and non-adoption of digital health technologies’, </w:t>
      </w:r>
      <w:r w:rsidRPr="68AF5ED8" w:rsidR="1AEC1EEB">
        <w:rPr>
          <w:rFonts w:ascii="Arial Nova" w:hAnsi="Arial Nova" w:eastAsia="Arial Nova" w:cs="Arial Nova"/>
          <w:i w:val="1"/>
          <w:iCs w:val="1"/>
          <w:noProof w:val="0"/>
          <w:color w:val="auto"/>
          <w:sz w:val="22"/>
          <w:szCs w:val="22"/>
          <w:lang w:val="en-GB"/>
        </w:rPr>
        <w:t>BMJ</w:t>
      </w:r>
      <w:r w:rsidRPr="68AF5ED8" w:rsidR="1AEC1EEB">
        <w:rPr>
          <w:rFonts w:ascii="Arial Nova" w:hAnsi="Arial Nova" w:eastAsia="Arial Nova" w:cs="Arial Nova"/>
          <w:noProof w:val="0"/>
          <w:color w:val="auto"/>
          <w:sz w:val="22"/>
          <w:szCs w:val="22"/>
          <w:lang w:val="en-GB"/>
        </w:rPr>
        <w:t>, 360, pp. 1-7.</w:t>
      </w:r>
    </w:p>
    <w:p xmlns:wp14="http://schemas.microsoft.com/office/word/2010/wordml" w:rsidP="68AF5ED8" wp14:paraId="1B43E261" wp14:textId="0FFD8070">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Kvedar, J., Coye, M.J. and Everett, W. (2014) ‘Connected health: A review of technologies and strategies’, </w:t>
      </w:r>
      <w:r w:rsidRPr="68AF5ED8" w:rsidR="1AEC1EEB">
        <w:rPr>
          <w:rFonts w:ascii="Arial Nova" w:hAnsi="Arial Nova" w:eastAsia="Arial Nova" w:cs="Arial Nova"/>
          <w:i w:val="1"/>
          <w:iCs w:val="1"/>
          <w:noProof w:val="0"/>
          <w:color w:val="auto"/>
          <w:sz w:val="22"/>
          <w:szCs w:val="22"/>
          <w:lang w:val="en-GB"/>
        </w:rPr>
        <w:t>Health Affairs</w:t>
      </w:r>
      <w:r w:rsidRPr="68AF5ED8" w:rsidR="1AEC1EEB">
        <w:rPr>
          <w:rFonts w:ascii="Arial Nova" w:hAnsi="Arial Nova" w:eastAsia="Arial Nova" w:cs="Arial Nova"/>
          <w:noProof w:val="0"/>
          <w:color w:val="auto"/>
          <w:sz w:val="22"/>
          <w:szCs w:val="22"/>
          <w:lang w:val="en-GB"/>
        </w:rPr>
        <w:t>, 33(2), pp. 194-199.</w:t>
      </w:r>
    </w:p>
    <w:p xmlns:wp14="http://schemas.microsoft.com/office/word/2010/wordml" w:rsidP="68AF5ED8" wp14:paraId="614401F2" wp14:textId="0BC50B29">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NHS Digital (2022) </w:t>
      </w:r>
      <w:r w:rsidRPr="68AF5ED8" w:rsidR="1AEC1EEB">
        <w:rPr>
          <w:rFonts w:ascii="Arial Nova" w:hAnsi="Arial Nova" w:eastAsia="Arial Nova" w:cs="Arial Nova"/>
          <w:i w:val="1"/>
          <w:iCs w:val="1"/>
          <w:noProof w:val="0"/>
          <w:color w:val="auto"/>
          <w:sz w:val="22"/>
          <w:szCs w:val="22"/>
          <w:lang w:val="en-GB"/>
        </w:rPr>
        <w:t>Digital transformation in the NHS</w:t>
      </w:r>
      <w:r w:rsidRPr="68AF5ED8" w:rsidR="1AEC1EEB">
        <w:rPr>
          <w:rFonts w:ascii="Arial Nova" w:hAnsi="Arial Nova" w:eastAsia="Arial Nova" w:cs="Arial Nova"/>
          <w:noProof w:val="0"/>
          <w:color w:val="auto"/>
          <w:sz w:val="22"/>
          <w:szCs w:val="22"/>
          <w:lang w:val="en-GB"/>
        </w:rPr>
        <w:t>. Leeds: NHS Digital.</w:t>
      </w:r>
    </w:p>
    <w:p xmlns:wp14="http://schemas.microsoft.com/office/word/2010/wordml" w:rsidP="68AF5ED8" wp14:paraId="177023D9" wp14:textId="1C8CBD20">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NHS England (2019) </w:t>
      </w:r>
      <w:r w:rsidRPr="68AF5ED8" w:rsidR="1AEC1EEB">
        <w:rPr>
          <w:rFonts w:ascii="Arial Nova" w:hAnsi="Arial Nova" w:eastAsia="Arial Nova" w:cs="Arial Nova"/>
          <w:i w:val="1"/>
          <w:iCs w:val="1"/>
          <w:noProof w:val="0"/>
          <w:color w:val="auto"/>
          <w:sz w:val="22"/>
          <w:szCs w:val="22"/>
          <w:lang w:val="en-GB"/>
        </w:rPr>
        <w:t>The NHS Long Term Plan</w:t>
      </w:r>
      <w:r w:rsidRPr="68AF5ED8" w:rsidR="1AEC1EEB">
        <w:rPr>
          <w:rFonts w:ascii="Arial Nova" w:hAnsi="Arial Nova" w:eastAsia="Arial Nova" w:cs="Arial Nova"/>
          <w:noProof w:val="0"/>
          <w:color w:val="auto"/>
          <w:sz w:val="22"/>
          <w:szCs w:val="22"/>
          <w:lang w:val="en-GB"/>
        </w:rPr>
        <w:t>. London: NHS England.</w:t>
      </w:r>
    </w:p>
    <w:p xmlns:wp14="http://schemas.microsoft.com/office/word/2010/wordml" w:rsidP="68AF5ED8" wp14:paraId="43FC6590" wp14:textId="4C539CB9">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NHS England (2022) </w:t>
      </w:r>
      <w:r w:rsidRPr="68AF5ED8" w:rsidR="1AEC1EEB">
        <w:rPr>
          <w:rFonts w:ascii="Arial Nova" w:hAnsi="Arial Nova" w:eastAsia="Arial Nova" w:cs="Arial Nova"/>
          <w:i w:val="1"/>
          <w:iCs w:val="1"/>
          <w:noProof w:val="0"/>
          <w:color w:val="auto"/>
          <w:sz w:val="22"/>
          <w:szCs w:val="22"/>
          <w:lang w:val="en-GB"/>
        </w:rPr>
        <w:t>Virtual wards including hospital at home</w:t>
      </w:r>
      <w:r w:rsidRPr="68AF5ED8" w:rsidR="1AEC1EEB">
        <w:rPr>
          <w:rFonts w:ascii="Arial Nova" w:hAnsi="Arial Nova" w:eastAsia="Arial Nova" w:cs="Arial Nova"/>
          <w:noProof w:val="0"/>
          <w:color w:val="auto"/>
          <w:sz w:val="22"/>
          <w:szCs w:val="22"/>
          <w:lang w:val="en-GB"/>
        </w:rPr>
        <w:t>. London: NHS England.</w:t>
      </w:r>
    </w:p>
    <w:p xmlns:wp14="http://schemas.microsoft.com/office/word/2010/wordml" w:rsidP="68AF5ED8" wp14:paraId="49EA6E18" wp14:textId="776D3C11">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NHS England (2023) </w:t>
      </w:r>
      <w:r w:rsidRPr="68AF5ED8" w:rsidR="1AEC1EEB">
        <w:rPr>
          <w:rFonts w:ascii="Arial Nova" w:hAnsi="Arial Nova" w:eastAsia="Arial Nova" w:cs="Arial Nova"/>
          <w:i w:val="1"/>
          <w:iCs w:val="1"/>
          <w:noProof w:val="0"/>
          <w:color w:val="auto"/>
          <w:sz w:val="22"/>
          <w:szCs w:val="22"/>
          <w:lang w:val="en-GB"/>
        </w:rPr>
        <w:t>Remote patient monitoring guidance</w:t>
      </w:r>
      <w:r w:rsidRPr="68AF5ED8" w:rsidR="1AEC1EEB">
        <w:rPr>
          <w:rFonts w:ascii="Arial Nova" w:hAnsi="Arial Nova" w:eastAsia="Arial Nova" w:cs="Arial Nova"/>
          <w:noProof w:val="0"/>
          <w:color w:val="auto"/>
          <w:sz w:val="22"/>
          <w:szCs w:val="22"/>
          <w:lang w:val="en-GB"/>
        </w:rPr>
        <w:t>. London: NHS England.</w:t>
      </w:r>
    </w:p>
    <w:p xmlns:wp14="http://schemas.microsoft.com/office/word/2010/wordml" w:rsidP="68AF5ED8" wp14:paraId="689D4C63" wp14:textId="38C13E2A">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Ofcom (2022) </w:t>
      </w:r>
      <w:r w:rsidRPr="68AF5ED8" w:rsidR="1AEC1EEB">
        <w:rPr>
          <w:rFonts w:ascii="Arial Nova" w:hAnsi="Arial Nova" w:eastAsia="Arial Nova" w:cs="Arial Nova"/>
          <w:i w:val="1"/>
          <w:iCs w:val="1"/>
          <w:noProof w:val="0"/>
          <w:color w:val="auto"/>
          <w:sz w:val="22"/>
          <w:szCs w:val="22"/>
          <w:lang w:val="en-GB"/>
        </w:rPr>
        <w:t>Adults’ media use and attitudes report</w:t>
      </w:r>
      <w:r w:rsidRPr="68AF5ED8" w:rsidR="1AEC1EEB">
        <w:rPr>
          <w:rFonts w:ascii="Arial Nova" w:hAnsi="Arial Nova" w:eastAsia="Arial Nova" w:cs="Arial Nova"/>
          <w:noProof w:val="0"/>
          <w:color w:val="auto"/>
          <w:sz w:val="22"/>
          <w:szCs w:val="22"/>
          <w:lang w:val="en-GB"/>
        </w:rPr>
        <w:t>. London: Ofcom.</w:t>
      </w:r>
    </w:p>
    <w:p xmlns:wp14="http://schemas.microsoft.com/office/word/2010/wordml" w:rsidP="68AF5ED8" wp14:paraId="5CA54403" wp14:textId="4256B6C5">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Peek, S.T.M. et al. (2014) ‘Factors influencing acceptance of technology for ageing in place’, </w:t>
      </w:r>
      <w:r w:rsidRPr="68AF5ED8" w:rsidR="1AEC1EEB">
        <w:rPr>
          <w:rFonts w:ascii="Arial Nova" w:hAnsi="Arial Nova" w:eastAsia="Arial Nova" w:cs="Arial Nova"/>
          <w:i w:val="1"/>
          <w:iCs w:val="1"/>
          <w:noProof w:val="0"/>
          <w:color w:val="auto"/>
          <w:sz w:val="22"/>
          <w:szCs w:val="22"/>
          <w:lang w:val="en-GB"/>
        </w:rPr>
        <w:t>International Journal of Medical Informatics</w:t>
      </w:r>
      <w:r w:rsidRPr="68AF5ED8" w:rsidR="1AEC1EEB">
        <w:rPr>
          <w:rFonts w:ascii="Arial Nova" w:hAnsi="Arial Nova" w:eastAsia="Arial Nova" w:cs="Arial Nova"/>
          <w:noProof w:val="0"/>
          <w:color w:val="auto"/>
          <w:sz w:val="22"/>
          <w:szCs w:val="22"/>
          <w:lang w:val="en-GB"/>
        </w:rPr>
        <w:t>, 83(4), pp. 235-248.</w:t>
      </w:r>
    </w:p>
    <w:p xmlns:wp14="http://schemas.microsoft.com/office/word/2010/wordml" w:rsidP="68AF5ED8" wp14:paraId="42FA1CBE" wp14:textId="443D4131">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Roberts, E.T. and Mehrotra, A. (2020) ‘Assessment of disparities in digital access among Medicare beneficiaries’, </w:t>
      </w:r>
      <w:r w:rsidRPr="68AF5ED8" w:rsidR="1AEC1EEB">
        <w:rPr>
          <w:rFonts w:ascii="Arial Nova" w:hAnsi="Arial Nova" w:eastAsia="Arial Nova" w:cs="Arial Nova"/>
          <w:i w:val="1"/>
          <w:iCs w:val="1"/>
          <w:noProof w:val="0"/>
          <w:color w:val="auto"/>
          <w:sz w:val="22"/>
          <w:szCs w:val="22"/>
          <w:lang w:val="en-GB"/>
        </w:rPr>
        <w:t>JAMA Internal Medicine</w:t>
      </w:r>
      <w:r w:rsidRPr="68AF5ED8" w:rsidR="1AEC1EEB">
        <w:rPr>
          <w:rFonts w:ascii="Arial Nova" w:hAnsi="Arial Nova" w:eastAsia="Arial Nova" w:cs="Arial Nova"/>
          <w:noProof w:val="0"/>
          <w:color w:val="auto"/>
          <w:sz w:val="22"/>
          <w:szCs w:val="22"/>
          <w:lang w:val="en-GB"/>
        </w:rPr>
        <w:t>, 180(10), pp. 1386-1389.</w:t>
      </w:r>
    </w:p>
    <w:p xmlns:wp14="http://schemas.microsoft.com/office/word/2010/wordml" w:rsidP="68AF5ED8" wp14:paraId="4D7820C7" wp14:textId="3E2F45BA">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Topol, E. (2019) </w:t>
      </w:r>
      <w:r w:rsidRPr="68AF5ED8" w:rsidR="1AEC1EEB">
        <w:rPr>
          <w:rFonts w:ascii="Arial Nova" w:hAnsi="Arial Nova" w:eastAsia="Arial Nova" w:cs="Arial Nova"/>
          <w:i w:val="1"/>
          <w:iCs w:val="1"/>
          <w:noProof w:val="0"/>
          <w:color w:val="auto"/>
          <w:sz w:val="22"/>
          <w:szCs w:val="22"/>
          <w:lang w:val="en-GB"/>
        </w:rPr>
        <w:t>Deep medicine: How artificial intelligence can make healthcare human again</w:t>
      </w:r>
      <w:r w:rsidRPr="68AF5ED8" w:rsidR="1AEC1EEB">
        <w:rPr>
          <w:rFonts w:ascii="Arial Nova" w:hAnsi="Arial Nova" w:eastAsia="Arial Nova" w:cs="Arial Nova"/>
          <w:noProof w:val="0"/>
          <w:color w:val="auto"/>
          <w:sz w:val="22"/>
          <w:szCs w:val="22"/>
          <w:lang w:val="en-GB"/>
        </w:rPr>
        <w:t>. New York: Basic Books.</w:t>
      </w:r>
    </w:p>
    <w:p xmlns:wp14="http://schemas.microsoft.com/office/word/2010/wordml" w:rsidP="68AF5ED8" wp14:paraId="57A0C501" wp14:textId="24958717">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Vindrola-Padros</w:t>
      </w:r>
      <w:r w:rsidRPr="68AF5ED8" w:rsidR="1AEC1EEB">
        <w:rPr>
          <w:rFonts w:ascii="Arial Nova" w:hAnsi="Arial Nova" w:eastAsia="Arial Nova" w:cs="Arial Nova"/>
          <w:noProof w:val="0"/>
          <w:color w:val="auto"/>
          <w:sz w:val="22"/>
          <w:szCs w:val="22"/>
          <w:lang w:val="en-GB"/>
        </w:rPr>
        <w:t xml:space="preserve">, C. et al. (2021) ‘Remote home monitoring during COVID-19’, </w:t>
      </w:r>
      <w:r w:rsidRPr="68AF5ED8" w:rsidR="1AEC1EEB">
        <w:rPr>
          <w:rFonts w:ascii="Arial Nova" w:hAnsi="Arial Nova" w:eastAsia="Arial Nova" w:cs="Arial Nova"/>
          <w:i w:val="1"/>
          <w:iCs w:val="1"/>
          <w:noProof w:val="0"/>
          <w:color w:val="auto"/>
          <w:sz w:val="22"/>
          <w:szCs w:val="22"/>
          <w:lang w:val="en-GB"/>
        </w:rPr>
        <w:t>BMJ Open</w:t>
      </w:r>
      <w:r w:rsidRPr="68AF5ED8" w:rsidR="1AEC1EEB">
        <w:rPr>
          <w:rFonts w:ascii="Arial Nova" w:hAnsi="Arial Nova" w:eastAsia="Arial Nova" w:cs="Arial Nova"/>
          <w:noProof w:val="0"/>
          <w:color w:val="auto"/>
          <w:sz w:val="22"/>
          <w:szCs w:val="22"/>
          <w:lang w:val="en-GB"/>
        </w:rPr>
        <w:t>, 11(4), pp. 1-10.</w:t>
      </w:r>
    </w:p>
    <w:p xmlns:wp14="http://schemas.microsoft.com/office/word/2010/wordml" w:rsidP="68AF5ED8" wp14:paraId="0028A99F" wp14:textId="4C43370B">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World Health Organization (2021) </w:t>
      </w:r>
      <w:r w:rsidRPr="68AF5ED8" w:rsidR="1AEC1EEB">
        <w:rPr>
          <w:rFonts w:ascii="Arial Nova" w:hAnsi="Arial Nova" w:eastAsia="Arial Nova" w:cs="Arial Nova"/>
          <w:i w:val="1"/>
          <w:iCs w:val="1"/>
          <w:noProof w:val="0"/>
          <w:color w:val="auto"/>
          <w:sz w:val="22"/>
          <w:szCs w:val="22"/>
          <w:lang w:val="en-GB"/>
        </w:rPr>
        <w:t>Global strategy on digital health 2020–2025</w:t>
      </w:r>
      <w:r w:rsidRPr="68AF5ED8" w:rsidR="1AEC1EEB">
        <w:rPr>
          <w:rFonts w:ascii="Arial Nova" w:hAnsi="Arial Nova" w:eastAsia="Arial Nova" w:cs="Arial Nova"/>
          <w:noProof w:val="0"/>
          <w:color w:val="auto"/>
          <w:sz w:val="22"/>
          <w:szCs w:val="22"/>
          <w:lang w:val="en-GB"/>
        </w:rPr>
        <w:t>. Geneva: WHO.</w:t>
      </w:r>
    </w:p>
    <w:p xmlns:wp14="http://schemas.microsoft.com/office/word/2010/wordml" w:rsidP="68AF5ED8" wp14:paraId="258EC84B" wp14:textId="5ECCB0E4">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Bashshur</w:t>
      </w:r>
      <w:r w:rsidRPr="68AF5ED8" w:rsidR="1AEC1EEB">
        <w:rPr>
          <w:rFonts w:ascii="Arial Nova" w:hAnsi="Arial Nova" w:eastAsia="Arial Nova" w:cs="Arial Nova"/>
          <w:noProof w:val="0"/>
          <w:color w:val="auto"/>
          <w:sz w:val="22"/>
          <w:szCs w:val="22"/>
          <w:lang w:val="en-GB"/>
        </w:rPr>
        <w:t xml:space="preserve">, R. et al. (2014) ‘The empirical foundations of telemedicine interventions’, </w:t>
      </w:r>
      <w:r w:rsidRPr="68AF5ED8" w:rsidR="1AEC1EEB">
        <w:rPr>
          <w:rFonts w:ascii="Arial Nova" w:hAnsi="Arial Nova" w:eastAsia="Arial Nova" w:cs="Arial Nova"/>
          <w:i w:val="1"/>
          <w:iCs w:val="1"/>
          <w:noProof w:val="0"/>
          <w:color w:val="auto"/>
          <w:sz w:val="22"/>
          <w:szCs w:val="22"/>
          <w:lang w:val="en-GB"/>
        </w:rPr>
        <w:t>Telemedicine</w:t>
      </w:r>
      <w:r w:rsidRPr="68AF5ED8" w:rsidR="1AEC1EEB">
        <w:rPr>
          <w:rFonts w:ascii="Arial Nova" w:hAnsi="Arial Nova" w:eastAsia="Arial Nova" w:cs="Arial Nova"/>
          <w:i w:val="1"/>
          <w:iCs w:val="1"/>
          <w:noProof w:val="0"/>
          <w:color w:val="auto"/>
          <w:sz w:val="22"/>
          <w:szCs w:val="22"/>
          <w:lang w:val="en-GB"/>
        </w:rPr>
        <w:t xml:space="preserve"> and e-Health</w:t>
      </w:r>
      <w:r w:rsidRPr="68AF5ED8" w:rsidR="1AEC1EEB">
        <w:rPr>
          <w:rFonts w:ascii="Arial Nova" w:hAnsi="Arial Nova" w:eastAsia="Arial Nova" w:cs="Arial Nova"/>
          <w:noProof w:val="0"/>
          <w:color w:val="auto"/>
          <w:sz w:val="22"/>
          <w:szCs w:val="22"/>
          <w:lang w:val="en-GB"/>
        </w:rPr>
        <w:t>, 20(5), pp. 342-375.</w:t>
      </w:r>
    </w:p>
    <w:p xmlns:wp14="http://schemas.microsoft.com/office/word/2010/wordml" w:rsidP="68AF5ED8" wp14:paraId="0D1167F8" wp14:textId="5B1A3F49">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Czaja, S.J. et al. (2015) ‘Factors predicting the use of technology’, </w:t>
      </w:r>
      <w:r w:rsidRPr="68AF5ED8" w:rsidR="1AEC1EEB">
        <w:rPr>
          <w:rFonts w:ascii="Arial Nova" w:hAnsi="Arial Nova" w:eastAsia="Arial Nova" w:cs="Arial Nova"/>
          <w:i w:val="1"/>
          <w:iCs w:val="1"/>
          <w:noProof w:val="0"/>
          <w:color w:val="auto"/>
          <w:sz w:val="22"/>
          <w:szCs w:val="22"/>
          <w:lang w:val="en-GB"/>
        </w:rPr>
        <w:t>Psychology and Aging</w:t>
      </w:r>
      <w:r w:rsidRPr="68AF5ED8" w:rsidR="1AEC1EEB">
        <w:rPr>
          <w:rFonts w:ascii="Arial Nova" w:hAnsi="Arial Nova" w:eastAsia="Arial Nova" w:cs="Arial Nova"/>
          <w:noProof w:val="0"/>
          <w:color w:val="auto"/>
          <w:sz w:val="22"/>
          <w:szCs w:val="22"/>
          <w:lang w:val="en-GB"/>
        </w:rPr>
        <w:t>, 30(4), pp. 1-12.</w:t>
      </w:r>
    </w:p>
    <w:p xmlns:wp14="http://schemas.microsoft.com/office/word/2010/wordml" w:rsidP="68AF5ED8" wp14:paraId="3EFCE9FA" wp14:textId="1C7E244A">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Demiris</w:t>
      </w:r>
      <w:r w:rsidRPr="68AF5ED8" w:rsidR="1AEC1EEB">
        <w:rPr>
          <w:rFonts w:ascii="Arial Nova" w:hAnsi="Arial Nova" w:eastAsia="Arial Nova" w:cs="Arial Nova"/>
          <w:noProof w:val="0"/>
          <w:color w:val="auto"/>
          <w:sz w:val="22"/>
          <w:szCs w:val="22"/>
          <w:lang w:val="en-GB"/>
        </w:rPr>
        <w:t xml:space="preserve">, </w:t>
      </w:r>
      <w:r w:rsidRPr="68AF5ED8" w:rsidR="1AEC1EEB">
        <w:rPr>
          <w:rFonts w:ascii="Arial Nova" w:hAnsi="Arial Nova" w:eastAsia="Arial Nova" w:cs="Arial Nova"/>
          <w:noProof w:val="0"/>
          <w:color w:val="auto"/>
          <w:sz w:val="22"/>
          <w:szCs w:val="22"/>
          <w:lang w:val="en-GB"/>
        </w:rPr>
        <w:t>G.</w:t>
      </w:r>
      <w:r w:rsidRPr="68AF5ED8" w:rsidR="1AEC1EEB">
        <w:rPr>
          <w:rFonts w:ascii="Arial Nova" w:hAnsi="Arial Nova" w:eastAsia="Arial Nova" w:cs="Arial Nova"/>
          <w:noProof w:val="0"/>
          <w:color w:val="auto"/>
          <w:sz w:val="22"/>
          <w:szCs w:val="22"/>
          <w:lang w:val="en-GB"/>
        </w:rPr>
        <w:t xml:space="preserve"> and Hensel, B. (2008) ‘Technologies for an aging society’, </w:t>
      </w:r>
      <w:r w:rsidRPr="68AF5ED8" w:rsidR="1AEC1EEB">
        <w:rPr>
          <w:rFonts w:ascii="Arial Nova" w:hAnsi="Arial Nova" w:eastAsia="Arial Nova" w:cs="Arial Nova"/>
          <w:i w:val="1"/>
          <w:iCs w:val="1"/>
          <w:noProof w:val="0"/>
          <w:color w:val="auto"/>
          <w:sz w:val="22"/>
          <w:szCs w:val="22"/>
          <w:lang w:val="en-GB"/>
        </w:rPr>
        <w:t>Journal of Biomedical Informatics</w:t>
      </w:r>
      <w:r w:rsidRPr="68AF5ED8" w:rsidR="1AEC1EEB">
        <w:rPr>
          <w:rFonts w:ascii="Arial Nova" w:hAnsi="Arial Nova" w:eastAsia="Arial Nova" w:cs="Arial Nova"/>
          <w:noProof w:val="0"/>
          <w:color w:val="auto"/>
          <w:sz w:val="22"/>
          <w:szCs w:val="22"/>
          <w:lang w:val="en-GB"/>
        </w:rPr>
        <w:t>, 41(4), pp. 1-9.</w:t>
      </w:r>
    </w:p>
    <w:p xmlns:wp14="http://schemas.microsoft.com/office/word/2010/wordml" w:rsidP="68AF5ED8" wp14:paraId="674D34B4" wp14:textId="20AD8FA1">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Foster, M.V. and </w:t>
      </w:r>
      <w:r w:rsidRPr="68AF5ED8" w:rsidR="1AEC1EEB">
        <w:rPr>
          <w:rFonts w:ascii="Arial Nova" w:hAnsi="Arial Nova" w:eastAsia="Arial Nova" w:cs="Arial Nova"/>
          <w:noProof w:val="0"/>
          <w:color w:val="auto"/>
          <w:sz w:val="22"/>
          <w:szCs w:val="22"/>
          <w:lang w:val="en-GB"/>
        </w:rPr>
        <w:t>Sethares</w:t>
      </w:r>
      <w:r w:rsidRPr="68AF5ED8" w:rsidR="1AEC1EEB">
        <w:rPr>
          <w:rFonts w:ascii="Arial Nova" w:hAnsi="Arial Nova" w:eastAsia="Arial Nova" w:cs="Arial Nova"/>
          <w:noProof w:val="0"/>
          <w:color w:val="auto"/>
          <w:sz w:val="22"/>
          <w:szCs w:val="22"/>
          <w:lang w:val="en-GB"/>
        </w:rPr>
        <w:t xml:space="preserve">, K.A. (2014) ‘Facilitators and barriers to the adoption of telehealth’, </w:t>
      </w:r>
      <w:r w:rsidRPr="68AF5ED8" w:rsidR="1AEC1EEB">
        <w:rPr>
          <w:rFonts w:ascii="Arial Nova" w:hAnsi="Arial Nova" w:eastAsia="Arial Nova" w:cs="Arial Nova"/>
          <w:i w:val="1"/>
          <w:iCs w:val="1"/>
          <w:noProof w:val="0"/>
          <w:color w:val="auto"/>
          <w:sz w:val="22"/>
          <w:szCs w:val="22"/>
          <w:lang w:val="en-GB"/>
        </w:rPr>
        <w:t>Computers, Informatics, Nursing</w:t>
      </w:r>
      <w:r w:rsidRPr="68AF5ED8" w:rsidR="1AEC1EEB">
        <w:rPr>
          <w:rFonts w:ascii="Arial Nova" w:hAnsi="Arial Nova" w:eastAsia="Arial Nova" w:cs="Arial Nova"/>
          <w:noProof w:val="0"/>
          <w:color w:val="auto"/>
          <w:sz w:val="22"/>
          <w:szCs w:val="22"/>
          <w:lang w:val="en-GB"/>
        </w:rPr>
        <w:t>, 32(11), pp. 523-533.</w:t>
      </w:r>
    </w:p>
    <w:p xmlns:wp14="http://schemas.microsoft.com/office/word/2010/wordml" w:rsidP="68AF5ED8" wp14:paraId="70586BA3" wp14:textId="49376ABF">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Gordon, W.J. and Landman, A. (2020) ‘Telehealth adoption in healthcare’, </w:t>
      </w:r>
      <w:r w:rsidRPr="68AF5ED8" w:rsidR="1AEC1EEB">
        <w:rPr>
          <w:rFonts w:ascii="Arial Nova" w:hAnsi="Arial Nova" w:eastAsia="Arial Nova" w:cs="Arial Nova"/>
          <w:i w:val="1"/>
          <w:iCs w:val="1"/>
          <w:noProof w:val="0"/>
          <w:color w:val="auto"/>
          <w:sz w:val="22"/>
          <w:szCs w:val="22"/>
          <w:lang w:val="en-GB"/>
        </w:rPr>
        <w:t>New England Journal of Medicine</w:t>
      </w:r>
      <w:r w:rsidRPr="68AF5ED8" w:rsidR="1AEC1EEB">
        <w:rPr>
          <w:rFonts w:ascii="Arial Nova" w:hAnsi="Arial Nova" w:eastAsia="Arial Nova" w:cs="Arial Nova"/>
          <w:noProof w:val="0"/>
          <w:color w:val="auto"/>
          <w:sz w:val="22"/>
          <w:szCs w:val="22"/>
          <w:lang w:val="en-GB"/>
        </w:rPr>
        <w:t>, 382(18), pp. 1679-1681.</w:t>
      </w:r>
    </w:p>
    <w:p xmlns:wp14="http://schemas.microsoft.com/office/word/2010/wordml" w:rsidP="68AF5ED8" wp14:paraId="18A46073" wp14:textId="7735A30D">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Kruse, C.S. et al. (2017) ‘Evaluating barriers to telemedicine worldwide’, </w:t>
      </w:r>
      <w:r w:rsidRPr="68AF5ED8" w:rsidR="1AEC1EEB">
        <w:rPr>
          <w:rFonts w:ascii="Arial Nova" w:hAnsi="Arial Nova" w:eastAsia="Arial Nova" w:cs="Arial Nova"/>
          <w:i w:val="1"/>
          <w:iCs w:val="1"/>
          <w:noProof w:val="0"/>
          <w:color w:val="auto"/>
          <w:sz w:val="22"/>
          <w:szCs w:val="22"/>
          <w:lang w:val="en-GB"/>
        </w:rPr>
        <w:t>Journal of Telemedicine and Telecare</w:t>
      </w:r>
      <w:r w:rsidRPr="68AF5ED8" w:rsidR="1AEC1EEB">
        <w:rPr>
          <w:rFonts w:ascii="Arial Nova" w:hAnsi="Arial Nova" w:eastAsia="Arial Nova" w:cs="Arial Nova"/>
          <w:noProof w:val="0"/>
          <w:color w:val="auto"/>
          <w:sz w:val="22"/>
          <w:szCs w:val="22"/>
          <w:lang w:val="en-GB"/>
        </w:rPr>
        <w:t>, 24(1), pp. 4-12.</w:t>
      </w:r>
    </w:p>
    <w:p xmlns:wp14="http://schemas.microsoft.com/office/word/2010/wordml" w:rsidP="68AF5ED8" wp14:paraId="3274EC8C" wp14:textId="0C8FD2BC">
      <w:pPr>
        <w:spacing w:before="240" w:beforeAutospacing="off" w:after="240" w:afterAutospacing="off"/>
        <w:rPr>
          <w:rFonts w:ascii="Arial Nova" w:hAnsi="Arial Nova" w:eastAsia="Arial Nova" w:cs="Arial Nova"/>
          <w:noProof w:val="0"/>
          <w:color w:val="auto"/>
          <w:sz w:val="22"/>
          <w:szCs w:val="22"/>
          <w:lang w:val="en-GB"/>
        </w:rPr>
      </w:pPr>
      <w:r w:rsidRPr="68AF5ED8" w:rsidR="1AEC1EEB">
        <w:rPr>
          <w:rFonts w:ascii="Arial Nova" w:hAnsi="Arial Nova" w:eastAsia="Arial Nova" w:cs="Arial Nova"/>
          <w:noProof w:val="0"/>
          <w:color w:val="auto"/>
          <w:sz w:val="22"/>
          <w:szCs w:val="22"/>
          <w:lang w:val="en-GB"/>
        </w:rPr>
        <w:t xml:space="preserve">Shaw, S. et al. (2018) ‘Digital health and care transformation’, </w:t>
      </w:r>
      <w:r w:rsidRPr="68AF5ED8" w:rsidR="1AEC1EEB">
        <w:rPr>
          <w:rFonts w:ascii="Arial Nova" w:hAnsi="Arial Nova" w:eastAsia="Arial Nova" w:cs="Arial Nova"/>
          <w:i w:val="1"/>
          <w:iCs w:val="1"/>
          <w:noProof w:val="0"/>
          <w:color w:val="auto"/>
          <w:sz w:val="22"/>
          <w:szCs w:val="22"/>
          <w:lang w:val="en-GB"/>
        </w:rPr>
        <w:t>BMC Health Services Research</w:t>
      </w:r>
      <w:r w:rsidRPr="68AF5ED8" w:rsidR="1AEC1EEB">
        <w:rPr>
          <w:rFonts w:ascii="Arial Nova" w:hAnsi="Arial Nova" w:eastAsia="Arial Nova" w:cs="Arial Nova"/>
          <w:noProof w:val="0"/>
          <w:color w:val="auto"/>
          <w:sz w:val="22"/>
          <w:szCs w:val="22"/>
          <w:lang w:val="en-GB"/>
        </w:rPr>
        <w:t>, 18(1), pp. 1-13.</w:t>
      </w:r>
    </w:p>
    <w:p xmlns:wp14="http://schemas.microsoft.com/office/word/2010/wordml" wp14:paraId="5E5787A5" wp14:textId="75EE71A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2778DA"/>
    <w:rsid w:val="044002EE"/>
    <w:rsid w:val="09926E77"/>
    <w:rsid w:val="13327EC1"/>
    <w:rsid w:val="1AEC1EEB"/>
    <w:rsid w:val="26BB3901"/>
    <w:rsid w:val="34F9E65A"/>
    <w:rsid w:val="40C9FBDE"/>
    <w:rsid w:val="46A497AC"/>
    <w:rsid w:val="482778DA"/>
    <w:rsid w:val="4C2B491B"/>
    <w:rsid w:val="544D6639"/>
    <w:rsid w:val="64782B98"/>
    <w:rsid w:val="68AF5ED8"/>
    <w:rsid w:val="6EDFF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778DA"/>
  <w15:chartTrackingRefBased/>
  <w15:docId w15:val="{9CCBA3A4-C4C1-4863-8F92-C7362958B8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6BB390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6BB390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Cogan (2245880)</dc:creator>
  <keywords/>
  <dc:description/>
  <lastModifiedBy>Karen Cogan (2245880)</lastModifiedBy>
  <revision>3</revision>
  <dcterms:created xsi:type="dcterms:W3CDTF">2026-03-12T20:44:30.7613892Z</dcterms:created>
  <dcterms:modified xsi:type="dcterms:W3CDTF">2026-03-21T23:33:45.3962746Z</dcterms:modified>
</coreProperties>
</file>