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409A2" w14:textId="77777777" w:rsidR="004B159F" w:rsidRDefault="004B159F">
      <w:pPr>
        <w:pStyle w:val="Heading1"/>
        <w:spacing w:line="360" w:lineRule="auto"/>
        <w:rPr>
          <w:rStyle w:val="Strong"/>
          <w:rFonts w:ascii="Arial" w:hAnsi="Arial" w:cs="Arial" w:hint="default"/>
          <w:b/>
          <w:bCs/>
          <w:sz w:val="22"/>
          <w:szCs w:val="22"/>
        </w:rPr>
      </w:pPr>
    </w:p>
    <w:p w14:paraId="1A527D4C" w14:textId="77777777" w:rsidR="004B159F" w:rsidRDefault="004B159F">
      <w:pPr>
        <w:pStyle w:val="Heading1"/>
        <w:spacing w:line="360" w:lineRule="auto"/>
        <w:rPr>
          <w:rStyle w:val="Strong"/>
          <w:rFonts w:ascii="Arial" w:hAnsi="Arial" w:cs="Arial" w:hint="default"/>
          <w:b/>
          <w:bCs/>
          <w:sz w:val="22"/>
          <w:szCs w:val="22"/>
        </w:rPr>
      </w:pPr>
    </w:p>
    <w:p w14:paraId="699D803C" w14:textId="77777777" w:rsidR="004B159F" w:rsidRDefault="004B159F">
      <w:pPr>
        <w:pStyle w:val="Heading1"/>
        <w:spacing w:line="360" w:lineRule="auto"/>
        <w:rPr>
          <w:rStyle w:val="Strong"/>
          <w:rFonts w:ascii="Arial" w:hAnsi="Arial" w:cs="Arial" w:hint="default"/>
          <w:b/>
          <w:bCs/>
          <w:sz w:val="22"/>
          <w:szCs w:val="22"/>
        </w:rPr>
      </w:pPr>
    </w:p>
    <w:p w14:paraId="5A4D5D67" w14:textId="77777777" w:rsidR="004B159F" w:rsidRDefault="000A5AAE">
      <w:pPr>
        <w:pStyle w:val="Heading1"/>
        <w:spacing w:line="360" w:lineRule="auto"/>
        <w:jc w:val="center"/>
        <w:rPr>
          <w:rStyle w:val="Strong"/>
          <w:rFonts w:ascii="Arial" w:hAnsi="Arial" w:cs="Arial" w:hint="default"/>
          <w:b/>
          <w:bCs/>
          <w:sz w:val="22"/>
          <w:szCs w:val="22"/>
        </w:rPr>
      </w:pPr>
      <w:r>
        <w:rPr>
          <w:rStyle w:val="Strong"/>
          <w:rFonts w:ascii="Arial" w:hAnsi="Arial" w:cs="Arial" w:hint="default"/>
          <w:b/>
          <w:bCs/>
          <w:sz w:val="22"/>
          <w:szCs w:val="22"/>
        </w:rPr>
        <w:t>Assessment 2: Annotated Bibliography &amp; Report</w:t>
      </w:r>
    </w:p>
    <w:p w14:paraId="65052FED" w14:textId="77777777" w:rsidR="004B159F" w:rsidRDefault="004B159F">
      <w:pPr>
        <w:spacing w:line="360" w:lineRule="auto"/>
        <w:rPr>
          <w:rStyle w:val="Strong"/>
          <w:rFonts w:ascii="Arial" w:hAnsi="Arial" w:cs="Arial"/>
          <w:sz w:val="22"/>
          <w:szCs w:val="22"/>
        </w:rPr>
      </w:pPr>
    </w:p>
    <w:p w14:paraId="130C8C70" w14:textId="77777777" w:rsidR="004B159F" w:rsidRDefault="004B159F">
      <w:pPr>
        <w:spacing w:line="360" w:lineRule="auto"/>
        <w:rPr>
          <w:rStyle w:val="Strong"/>
          <w:rFonts w:ascii="Arial" w:hAnsi="Arial" w:cs="Arial"/>
          <w:sz w:val="22"/>
          <w:szCs w:val="22"/>
        </w:rPr>
      </w:pPr>
    </w:p>
    <w:p w14:paraId="63746965" w14:textId="78DDEDE5" w:rsidR="004B159F" w:rsidRDefault="000A5AAE">
      <w:pPr>
        <w:pStyle w:val="Heading1"/>
        <w:spacing w:line="360" w:lineRule="auto"/>
        <w:rPr>
          <w:rStyle w:val="Strong"/>
          <w:rFonts w:ascii="Arial" w:hAnsi="Arial" w:cs="Arial" w:hint="default"/>
          <w:b/>
          <w:bCs/>
          <w:sz w:val="22"/>
          <w:szCs w:val="22"/>
        </w:rPr>
      </w:pPr>
      <w:r>
        <w:rPr>
          <w:rStyle w:val="Strong"/>
          <w:rFonts w:ascii="Arial" w:hAnsi="Arial" w:cs="Arial" w:hint="default"/>
          <w:b/>
          <w:bCs/>
          <w:sz w:val="22"/>
          <w:szCs w:val="22"/>
        </w:rPr>
        <w:t>Name:</w:t>
      </w:r>
      <w:r w:rsidR="00EF3360">
        <w:rPr>
          <w:rStyle w:val="Strong"/>
          <w:rFonts w:ascii="Arial" w:hAnsi="Arial" w:cs="Arial" w:hint="default"/>
          <w:b/>
          <w:bCs/>
          <w:sz w:val="22"/>
          <w:szCs w:val="22"/>
        </w:rPr>
        <w:t xml:space="preserve"> Minakhil Mir</w:t>
      </w:r>
    </w:p>
    <w:p w14:paraId="03FC3730" w14:textId="7E7C4D37" w:rsidR="004B159F" w:rsidRDefault="000A5AAE">
      <w:pPr>
        <w:pStyle w:val="Heading1"/>
        <w:spacing w:line="360" w:lineRule="auto"/>
        <w:rPr>
          <w:rStyle w:val="Strong"/>
          <w:rFonts w:ascii="Arial" w:hAnsi="Arial" w:cs="Arial" w:hint="default"/>
          <w:b/>
          <w:bCs/>
          <w:sz w:val="22"/>
          <w:szCs w:val="22"/>
        </w:rPr>
      </w:pPr>
      <w:r>
        <w:rPr>
          <w:rStyle w:val="Strong"/>
          <w:rFonts w:ascii="Arial" w:hAnsi="Arial" w:cs="Arial" w:hint="default"/>
          <w:b/>
          <w:bCs/>
          <w:sz w:val="22"/>
          <w:szCs w:val="22"/>
        </w:rPr>
        <w:t xml:space="preserve">Student </w:t>
      </w:r>
      <w:r w:rsidR="00EF3360">
        <w:rPr>
          <w:rStyle w:val="Strong"/>
          <w:rFonts w:ascii="Arial" w:hAnsi="Arial" w:cs="Arial" w:hint="default"/>
          <w:b/>
          <w:bCs/>
          <w:sz w:val="22"/>
          <w:szCs w:val="22"/>
        </w:rPr>
        <w:t>Number</w:t>
      </w:r>
      <w:r>
        <w:rPr>
          <w:rStyle w:val="Strong"/>
          <w:rFonts w:ascii="Arial" w:hAnsi="Arial" w:cs="Arial" w:hint="default"/>
          <w:b/>
          <w:bCs/>
          <w:sz w:val="22"/>
          <w:szCs w:val="22"/>
        </w:rPr>
        <w:t>:</w:t>
      </w:r>
      <w:r w:rsidR="00EF3360">
        <w:rPr>
          <w:rStyle w:val="Strong"/>
          <w:rFonts w:ascii="Arial" w:hAnsi="Arial" w:cs="Arial" w:hint="default"/>
          <w:b/>
          <w:bCs/>
          <w:sz w:val="22"/>
          <w:szCs w:val="22"/>
        </w:rPr>
        <w:t xml:space="preserve"> 2437898</w:t>
      </w:r>
    </w:p>
    <w:p w14:paraId="373F3C0E" w14:textId="77777777" w:rsidR="00EF3360" w:rsidRDefault="000A5AAE" w:rsidP="00EF3360">
      <w:pPr>
        <w:pStyle w:val="Heading1"/>
        <w:spacing w:line="360" w:lineRule="auto"/>
        <w:rPr>
          <w:rStyle w:val="Strong"/>
          <w:rFonts w:ascii="Arial" w:hAnsi="Arial" w:cs="Arial" w:hint="default"/>
          <w:b/>
          <w:bCs/>
          <w:sz w:val="22"/>
          <w:szCs w:val="22"/>
        </w:rPr>
      </w:pPr>
      <w:r>
        <w:rPr>
          <w:rStyle w:val="Strong"/>
          <w:rFonts w:ascii="Arial" w:hAnsi="Arial" w:cs="Arial" w:hint="default"/>
          <w:b/>
          <w:bCs/>
          <w:sz w:val="22"/>
          <w:szCs w:val="22"/>
        </w:rPr>
        <w:t>Module</w:t>
      </w:r>
      <w:r w:rsidR="00EF3360">
        <w:rPr>
          <w:rStyle w:val="Strong"/>
          <w:rFonts w:ascii="Arial" w:hAnsi="Arial" w:cs="Arial" w:hint="default"/>
          <w:b/>
          <w:bCs/>
          <w:sz w:val="22"/>
          <w:szCs w:val="22"/>
        </w:rPr>
        <w:t xml:space="preserve"> code</w:t>
      </w:r>
      <w:r>
        <w:rPr>
          <w:rStyle w:val="Strong"/>
          <w:rFonts w:ascii="Arial" w:hAnsi="Arial" w:cs="Arial" w:hint="default"/>
          <w:b/>
          <w:bCs/>
          <w:sz w:val="22"/>
          <w:szCs w:val="22"/>
        </w:rPr>
        <w:t>:</w:t>
      </w:r>
      <w:r w:rsidR="00EF3360">
        <w:rPr>
          <w:rStyle w:val="Strong"/>
          <w:rFonts w:ascii="Arial" w:hAnsi="Arial" w:cs="Arial" w:hint="default"/>
          <w:b/>
          <w:bCs/>
          <w:sz w:val="22"/>
          <w:szCs w:val="22"/>
        </w:rPr>
        <w:t xml:space="preserve"> LCHS4010</w:t>
      </w:r>
    </w:p>
    <w:p w14:paraId="228DB618" w14:textId="76870E0E" w:rsidR="00EF3360" w:rsidRDefault="00EF3360" w:rsidP="00EF3360">
      <w:pPr>
        <w:pStyle w:val="Heading1"/>
        <w:spacing w:line="360" w:lineRule="auto"/>
        <w:rPr>
          <w:rStyle w:val="Strong"/>
          <w:rFonts w:ascii="Arial" w:hAnsi="Arial" w:cs="Arial" w:hint="default"/>
          <w:b/>
          <w:bCs/>
          <w:sz w:val="22"/>
          <w:szCs w:val="22"/>
        </w:rPr>
      </w:pPr>
      <w:r>
        <w:rPr>
          <w:rStyle w:val="Strong"/>
          <w:rFonts w:ascii="Arial" w:hAnsi="Arial" w:cs="Arial" w:hint="default"/>
          <w:b/>
          <w:bCs/>
          <w:sz w:val="22"/>
          <w:szCs w:val="22"/>
        </w:rPr>
        <w:t xml:space="preserve"> Module title: Psychology in health and social care </w:t>
      </w:r>
    </w:p>
    <w:p w14:paraId="608CBA24" w14:textId="77777777" w:rsidR="00EF3360" w:rsidRDefault="00EF3360" w:rsidP="00EF3360">
      <w:pPr>
        <w:pStyle w:val="Heading1"/>
        <w:spacing w:line="360" w:lineRule="auto"/>
        <w:rPr>
          <w:rStyle w:val="Strong"/>
          <w:rFonts w:ascii="Arial" w:hAnsi="Arial" w:cs="Arial" w:hint="default"/>
          <w:b/>
          <w:bCs/>
          <w:sz w:val="22"/>
          <w:szCs w:val="22"/>
        </w:rPr>
      </w:pPr>
      <w:r>
        <w:rPr>
          <w:rStyle w:val="Strong"/>
          <w:rFonts w:ascii="Arial" w:hAnsi="Arial" w:cs="Arial" w:hint="default"/>
          <w:b/>
          <w:bCs/>
          <w:sz w:val="22"/>
          <w:szCs w:val="22"/>
        </w:rPr>
        <w:t xml:space="preserve">Lecturers name: Alice Clayton    </w:t>
      </w:r>
    </w:p>
    <w:p w14:paraId="4581D30F" w14:textId="01BCC982" w:rsidR="00EF3360" w:rsidRPr="00EF3360" w:rsidRDefault="00F20EEB" w:rsidP="00EF3360">
      <w:pPr>
        <w:pStyle w:val="Heading1"/>
        <w:spacing w:line="360" w:lineRule="auto"/>
        <w:rPr>
          <w:rFonts w:ascii="Arial" w:hAnsi="Arial" w:cs="Arial" w:hint="default"/>
          <w:sz w:val="22"/>
          <w:szCs w:val="22"/>
        </w:rPr>
        <w:sectPr w:rsidR="00EF3360" w:rsidRPr="00EF3360">
          <w:footerReference w:type="default" r:id="rId8"/>
          <w:pgSz w:w="11906" w:h="16838"/>
          <w:pgMar w:top="1440" w:right="1800" w:bottom="1440" w:left="1800" w:header="720" w:footer="720" w:gutter="0"/>
          <w:cols w:space="720"/>
          <w:docGrid w:linePitch="360"/>
        </w:sectPr>
      </w:pPr>
      <w:r>
        <w:rPr>
          <w:rStyle w:val="Strong"/>
          <w:rFonts w:ascii="Arial" w:hAnsi="Arial" w:cs="Arial" w:hint="default"/>
          <w:b/>
          <w:bCs/>
          <w:sz w:val="22"/>
          <w:szCs w:val="22"/>
        </w:rPr>
        <w:t>Assignment title</w:t>
      </w:r>
      <w:r w:rsidR="00EF3360">
        <w:rPr>
          <w:rStyle w:val="Strong"/>
          <w:rFonts w:ascii="Arial" w:hAnsi="Arial" w:cs="Arial" w:hint="default"/>
          <w:b/>
          <w:bCs/>
          <w:sz w:val="22"/>
          <w:szCs w:val="22"/>
        </w:rPr>
        <w:t>: Assessment 2 bibliography &amp; report</w:t>
      </w:r>
    </w:p>
    <w:p w14:paraId="208AADDC" w14:textId="77777777" w:rsidR="004B159F" w:rsidRDefault="000A5AAE">
      <w:pPr>
        <w:pStyle w:val="Heading1"/>
        <w:spacing w:line="360" w:lineRule="auto"/>
        <w:jc w:val="center"/>
        <w:rPr>
          <w:rStyle w:val="Strong"/>
          <w:rFonts w:ascii="Arial" w:hAnsi="Arial" w:cs="Arial" w:hint="default"/>
          <w:b/>
          <w:bCs/>
          <w:sz w:val="22"/>
          <w:szCs w:val="22"/>
        </w:rPr>
      </w:pPr>
      <w:r>
        <w:rPr>
          <w:rStyle w:val="Strong"/>
          <w:rFonts w:ascii="Arial" w:hAnsi="Arial" w:cs="Arial" w:hint="default"/>
          <w:b/>
          <w:bCs/>
          <w:sz w:val="22"/>
          <w:szCs w:val="22"/>
        </w:rPr>
        <w:lastRenderedPageBreak/>
        <w:t>Table of Contents</w:t>
      </w:r>
    </w:p>
    <w:p w14:paraId="033C885F" w14:textId="77777777" w:rsidR="004B159F" w:rsidRDefault="004B159F" w:rsidP="005D2170">
      <w:pPr>
        <w:spacing w:before="240" w:line="360" w:lineRule="auto"/>
        <w:ind w:left="660" w:hangingChars="300" w:hanging="660"/>
        <w:rPr>
          <w:rStyle w:val="Strong"/>
          <w:rFonts w:ascii="Arial" w:hAnsi="Arial" w:cs="Arial"/>
          <w:sz w:val="22"/>
          <w:szCs w:val="22"/>
        </w:rPr>
      </w:pPr>
    </w:p>
    <w:p w14:paraId="444867DF" w14:textId="77777777" w:rsidR="004B159F" w:rsidRDefault="000A5AAE" w:rsidP="005D2170">
      <w:pPr>
        <w:numPr>
          <w:ilvl w:val="0"/>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Part A: Annotated Bibliography</w:t>
      </w:r>
    </w:p>
    <w:p w14:paraId="28C5BB2B"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Erik Erikson (1950)</w:t>
      </w:r>
    </w:p>
    <w:p w14:paraId="44AA3358"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Robert Havighurst (1961)</w:t>
      </w:r>
    </w:p>
    <w:p w14:paraId="50807ED3"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John Bowlby (1969)</w:t>
      </w:r>
    </w:p>
    <w:p w14:paraId="6C8E45E8"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Martin Seligman (2011)</w:t>
      </w:r>
    </w:p>
    <w:p w14:paraId="291CCCA5" w14:textId="77777777" w:rsidR="004B159F" w:rsidRDefault="000A5AAE" w:rsidP="005D2170">
      <w:pPr>
        <w:numPr>
          <w:ilvl w:val="0"/>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Part B: Short Report</w:t>
      </w:r>
    </w:p>
    <w:p w14:paraId="50E3970E"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Introduction</w:t>
      </w:r>
    </w:p>
    <w:p w14:paraId="4626C801"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Explanation of the Theory</w:t>
      </w:r>
    </w:p>
    <w:p w14:paraId="58D3B8FC"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Application in Residential Care Settings</w:t>
      </w:r>
    </w:p>
    <w:p w14:paraId="4D6C8798"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Case Scenario</w:t>
      </w:r>
    </w:p>
    <w:p w14:paraId="579AA936"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Challenge and Strategy</w:t>
      </w:r>
    </w:p>
    <w:p w14:paraId="635A5209" w14:textId="77777777" w:rsidR="004B159F" w:rsidRDefault="000A5AAE" w:rsidP="005D2170">
      <w:pPr>
        <w:numPr>
          <w:ilvl w:val="1"/>
          <w:numId w:val="2"/>
        </w:numPr>
        <w:spacing w:before="240" w:line="360" w:lineRule="auto"/>
        <w:rPr>
          <w:rStyle w:val="Strong"/>
          <w:rFonts w:ascii="Arial" w:hAnsi="Arial" w:cs="Arial"/>
          <w:b w:val="0"/>
          <w:bCs w:val="0"/>
          <w:sz w:val="22"/>
          <w:szCs w:val="22"/>
        </w:rPr>
      </w:pPr>
      <w:r>
        <w:rPr>
          <w:rStyle w:val="Strong"/>
          <w:rFonts w:ascii="Arial" w:hAnsi="Arial" w:cs="Arial"/>
          <w:b w:val="0"/>
          <w:bCs w:val="0"/>
          <w:sz w:val="22"/>
          <w:szCs w:val="22"/>
        </w:rPr>
        <w:t>Conclusion</w:t>
      </w:r>
    </w:p>
    <w:p w14:paraId="1B09FFCF" w14:textId="77777777" w:rsidR="004B159F" w:rsidRPr="005D2170" w:rsidRDefault="000A5AAE" w:rsidP="005D2170">
      <w:pPr>
        <w:pStyle w:val="ListParagraph"/>
        <w:numPr>
          <w:ilvl w:val="0"/>
          <w:numId w:val="2"/>
        </w:numPr>
        <w:spacing w:before="240" w:line="360" w:lineRule="auto"/>
        <w:rPr>
          <w:rStyle w:val="Strong"/>
          <w:rFonts w:ascii="Arial" w:hAnsi="Arial" w:cs="Arial"/>
          <w:b w:val="0"/>
          <w:bCs w:val="0"/>
          <w:sz w:val="22"/>
          <w:szCs w:val="22"/>
        </w:rPr>
        <w:sectPr w:rsidR="004B159F" w:rsidRPr="005D2170">
          <w:pgSz w:w="11906" w:h="16838"/>
          <w:pgMar w:top="1440" w:right="1800" w:bottom="1440" w:left="1800" w:header="720" w:footer="720" w:gutter="0"/>
          <w:cols w:space="720"/>
          <w:docGrid w:linePitch="360"/>
        </w:sectPr>
      </w:pPr>
      <w:r w:rsidRPr="005D2170">
        <w:rPr>
          <w:rStyle w:val="Strong"/>
          <w:rFonts w:ascii="Arial" w:hAnsi="Arial" w:cs="Arial"/>
          <w:b w:val="0"/>
          <w:bCs w:val="0"/>
          <w:sz w:val="22"/>
          <w:szCs w:val="22"/>
        </w:rPr>
        <w:t>References</w:t>
      </w:r>
    </w:p>
    <w:p w14:paraId="69A76830" w14:textId="77777777" w:rsidR="004B159F" w:rsidRDefault="000A5AAE">
      <w:pPr>
        <w:pStyle w:val="Heading1"/>
        <w:spacing w:line="360" w:lineRule="auto"/>
        <w:jc w:val="center"/>
        <w:rPr>
          <w:rFonts w:ascii="Arial" w:hAnsi="Arial" w:cs="Arial" w:hint="default"/>
          <w:sz w:val="22"/>
          <w:szCs w:val="22"/>
        </w:rPr>
      </w:pPr>
      <w:r>
        <w:rPr>
          <w:rStyle w:val="Strong"/>
          <w:rFonts w:ascii="Arial" w:hAnsi="Arial" w:cs="Arial" w:hint="default"/>
          <w:b/>
          <w:bCs/>
          <w:sz w:val="22"/>
          <w:szCs w:val="22"/>
        </w:rPr>
        <w:lastRenderedPageBreak/>
        <w:t>Part A: Annotated Bibliography</w:t>
      </w:r>
    </w:p>
    <w:p w14:paraId="5654D7EC"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1. Erik Erikson (1950)</w:t>
      </w:r>
    </w:p>
    <w:p w14:paraId="0FEC5473"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Erikson, E. (1950) </w:t>
      </w:r>
      <w:r>
        <w:rPr>
          <w:rStyle w:val="Emphasis"/>
          <w:rFonts w:ascii="Arial" w:hAnsi="Arial" w:cs="Arial"/>
          <w:sz w:val="22"/>
          <w:szCs w:val="22"/>
        </w:rPr>
        <w:t>Childhood and Society</w:t>
      </w:r>
      <w:r>
        <w:rPr>
          <w:rFonts w:ascii="Arial" w:hAnsi="Arial" w:cs="Arial"/>
          <w:sz w:val="22"/>
          <w:szCs w:val="22"/>
        </w:rPr>
        <w:t>. New York: Norton.</w:t>
      </w:r>
    </w:p>
    <w:p w14:paraId="78707FD7" w14:textId="77777777" w:rsidR="004B159F" w:rsidRDefault="000A5AAE">
      <w:pPr>
        <w:spacing w:line="360" w:lineRule="auto"/>
        <w:rPr>
          <w:rFonts w:ascii="Arial" w:hAnsi="Arial" w:cs="Arial"/>
          <w:sz w:val="22"/>
          <w:szCs w:val="22"/>
        </w:rPr>
      </w:pPr>
      <w:r>
        <w:rPr>
          <w:rStyle w:val="Strong"/>
          <w:rFonts w:ascii="Arial" w:hAnsi="Arial" w:cs="Arial"/>
          <w:sz w:val="22"/>
          <w:szCs w:val="22"/>
        </w:rPr>
        <w:t>Summary:</w:t>
      </w:r>
      <w:r>
        <w:rPr>
          <w:rFonts w:ascii="Arial" w:hAnsi="Arial" w:cs="Arial"/>
          <w:sz w:val="22"/>
          <w:szCs w:val="22"/>
        </w:rPr>
        <w:br/>
        <w:t xml:space="preserve">The psychosocial stages by Erikson offer a lifespan view of human development, which is modeled into eight stages. At every stage, there is a psychosocial conflict, which one has to overcome to develop a healthy psychological development. The last one is ego integrity vs. despair and this happens in the late adulthood and is especially applicable to older adults. The motivation of this stage involves the reflection on the past, relationships and success that the person made. In case people believe that their life was good and rewarding, they gain ego integrity, which is acceptance, fulfilment, and peace. </w:t>
      </w:r>
    </w:p>
    <w:p w14:paraId="0EE54090" w14:textId="77777777" w:rsidR="004B159F" w:rsidRDefault="004B159F">
      <w:pPr>
        <w:spacing w:line="360" w:lineRule="auto"/>
        <w:rPr>
          <w:rFonts w:ascii="Arial" w:hAnsi="Arial" w:cs="Arial"/>
          <w:sz w:val="22"/>
          <w:szCs w:val="22"/>
        </w:rPr>
      </w:pPr>
    </w:p>
    <w:p w14:paraId="0BEA858B" w14:textId="77777777" w:rsidR="004B159F" w:rsidRDefault="000A5AAE">
      <w:pPr>
        <w:spacing w:line="360" w:lineRule="auto"/>
        <w:rPr>
          <w:rStyle w:val="Strong"/>
          <w:rFonts w:ascii="Arial" w:hAnsi="Arial" w:cs="Arial"/>
          <w:sz w:val="22"/>
          <w:szCs w:val="22"/>
        </w:rPr>
      </w:pPr>
      <w:r>
        <w:rPr>
          <w:rStyle w:val="Strong"/>
          <w:rFonts w:ascii="Arial" w:hAnsi="Arial" w:cs="Arial"/>
          <w:sz w:val="22"/>
          <w:szCs w:val="22"/>
        </w:rPr>
        <w:t>Critical Comment:</w:t>
      </w:r>
    </w:p>
    <w:p w14:paraId="3F11E5EF" w14:textId="77777777" w:rsidR="004B159F" w:rsidRDefault="000A5AAE">
      <w:pPr>
        <w:spacing w:line="360" w:lineRule="auto"/>
        <w:rPr>
          <w:rFonts w:ascii="Arial" w:hAnsi="Arial" w:cs="Arial"/>
          <w:sz w:val="22"/>
          <w:szCs w:val="22"/>
        </w:rPr>
      </w:pPr>
      <w:r>
        <w:rPr>
          <w:rFonts w:ascii="Arial" w:hAnsi="Arial" w:cs="Arial"/>
          <w:sz w:val="22"/>
          <w:szCs w:val="22"/>
        </w:rPr>
        <w:t xml:space="preserve">The theory can be very applicable to the health and social care practice especially in residential care homes where older people have a tendency of reflecting because their life, health and social roles change. It offers a practical guide to the interpretation of emotional needs and assists in the interventions as reminiscence therapy and review of life activities. These strategies can be useful to make people re-orientate negative events in their lives and concentrate on the good in their lives. The theory of Erikson is limited, however. It presupposes a progressive and universal development of steps, which might not be subjective to the multicultural experience and the existence of a particular person. Also, it does not fully </w:t>
      </w:r>
      <w:r w:rsidR="005D2170">
        <w:rPr>
          <w:rFonts w:ascii="Arial" w:hAnsi="Arial" w:cs="Arial"/>
          <w:sz w:val="22"/>
          <w:szCs w:val="22"/>
        </w:rPr>
        <w:t>consider</w:t>
      </w:r>
      <w:r>
        <w:rPr>
          <w:rFonts w:ascii="Arial" w:hAnsi="Arial" w:cs="Arial"/>
          <w:sz w:val="22"/>
          <w:szCs w:val="22"/>
        </w:rPr>
        <w:t xml:space="preserve"> the effect of cognitive-related impairments like dementia which can induce a person to be confined to reflective thinking. With these shortcomings, the theory is very useful in informing the strategies of emotional support in the elderly.</w:t>
      </w:r>
    </w:p>
    <w:p w14:paraId="2CAEE3C2"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2. Robert Havighurst (1961)</w:t>
      </w:r>
    </w:p>
    <w:p w14:paraId="4C644C76"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Havighurst, R. (1961) </w:t>
      </w:r>
      <w:r>
        <w:rPr>
          <w:rStyle w:val="Emphasis"/>
          <w:rFonts w:ascii="Arial" w:hAnsi="Arial" w:cs="Arial"/>
          <w:sz w:val="22"/>
          <w:szCs w:val="22"/>
        </w:rPr>
        <w:t>Human Development and Education</w:t>
      </w:r>
      <w:r>
        <w:rPr>
          <w:rFonts w:ascii="Arial" w:hAnsi="Arial" w:cs="Arial"/>
          <w:sz w:val="22"/>
          <w:szCs w:val="22"/>
        </w:rPr>
        <w:t>. New York: Longmans.</w:t>
      </w:r>
    </w:p>
    <w:p w14:paraId="3ED6338B" w14:textId="77777777" w:rsidR="004B159F" w:rsidRDefault="000A5AAE">
      <w:pPr>
        <w:pStyle w:val="NormalWeb"/>
        <w:spacing w:line="360" w:lineRule="auto"/>
        <w:rPr>
          <w:rFonts w:ascii="Arial" w:hAnsi="Arial" w:cs="Arial"/>
          <w:sz w:val="22"/>
          <w:szCs w:val="22"/>
        </w:rPr>
      </w:pPr>
      <w:r>
        <w:rPr>
          <w:rStyle w:val="Strong"/>
          <w:rFonts w:ascii="Arial" w:hAnsi="Arial" w:cs="Arial"/>
          <w:sz w:val="22"/>
          <w:szCs w:val="22"/>
        </w:rPr>
        <w:t>Summary:</w:t>
      </w:r>
      <w:r>
        <w:rPr>
          <w:rFonts w:ascii="Arial" w:hAnsi="Arial" w:cs="Arial"/>
          <w:sz w:val="22"/>
          <w:szCs w:val="22"/>
        </w:rPr>
        <w:br/>
        <w:t xml:space="preserve">The Activity theory by Havighurst suggests that good ageing process is directly associated with the active, engaged lifestyle. This theory suggests that the more the </w:t>
      </w:r>
      <w:r>
        <w:rPr>
          <w:rFonts w:ascii="Arial" w:hAnsi="Arial" w:cs="Arial"/>
          <w:sz w:val="22"/>
          <w:szCs w:val="22"/>
        </w:rPr>
        <w:lastRenderedPageBreak/>
        <w:t>older adults engage in social, physical, as well as mental activities, the more they achieve greater levels of life satisfaction and psychological wellbeing. Havighurst maintained that it is necessary to substitute the lost activities, like working, with some other meaningful activities to keep our purpose. Hobbies, community-related activities and social relationships will help in positive ageing whereas not taking part in any activities or confining oneself to social ties will lead to low levels of wellbeing, loneliness and depression.</w:t>
      </w:r>
    </w:p>
    <w:p w14:paraId="3A842BD2" w14:textId="77777777" w:rsidR="004B159F" w:rsidRDefault="000A5AAE">
      <w:pPr>
        <w:pStyle w:val="NormalWeb"/>
        <w:spacing w:line="360" w:lineRule="auto"/>
        <w:rPr>
          <w:rFonts w:ascii="Arial" w:hAnsi="Arial" w:cs="Arial"/>
          <w:sz w:val="22"/>
          <w:szCs w:val="22"/>
        </w:rPr>
      </w:pPr>
      <w:r>
        <w:rPr>
          <w:rStyle w:val="Strong"/>
          <w:rFonts w:ascii="Arial" w:hAnsi="Arial" w:cs="Arial"/>
          <w:sz w:val="22"/>
          <w:szCs w:val="22"/>
        </w:rPr>
        <w:t>Critical Comment:</w:t>
      </w:r>
      <w:r>
        <w:rPr>
          <w:rFonts w:ascii="Arial" w:hAnsi="Arial" w:cs="Arial"/>
          <w:sz w:val="22"/>
          <w:szCs w:val="22"/>
        </w:rPr>
        <w:br/>
        <w:t xml:space="preserve">The concept of the Activity Theory is very relevant to the residential care facility because its emphasis lies on the engagement and involvement in everyday life. It assists in creating </w:t>
      </w:r>
      <w:proofErr w:type="spellStart"/>
      <w:r>
        <w:rPr>
          <w:rFonts w:ascii="Arial" w:hAnsi="Arial" w:cs="Arial"/>
          <w:sz w:val="22"/>
          <w:szCs w:val="22"/>
        </w:rPr>
        <w:t>programme</w:t>
      </w:r>
      <w:proofErr w:type="spellEnd"/>
      <w:r>
        <w:rPr>
          <w:rFonts w:ascii="Arial" w:hAnsi="Arial" w:cs="Arial"/>
          <w:sz w:val="22"/>
          <w:szCs w:val="22"/>
        </w:rPr>
        <w:t xml:space="preserve"> of activity-based care which fosters social interaction development, physical activity and mental activity. This is in line with the person-</w:t>
      </w:r>
      <w:r w:rsidR="005D2170">
        <w:rPr>
          <w:rFonts w:ascii="Arial" w:hAnsi="Arial" w:cs="Arial"/>
          <w:sz w:val="22"/>
          <w:szCs w:val="22"/>
        </w:rPr>
        <w:t>centered</w:t>
      </w:r>
      <w:r>
        <w:rPr>
          <w:rFonts w:ascii="Arial" w:hAnsi="Arial" w:cs="Arial"/>
          <w:sz w:val="22"/>
          <w:szCs w:val="22"/>
        </w:rPr>
        <w:t xml:space="preserve"> care methods in which the personal preferences and interests are put at the fore. Nevertheless, this theory has its weaknesses in that it might not be suitable to explain the physical, cognitive, or emotional difficulties that some elderly people undergo</w:t>
      </w:r>
      <w:r w:rsidR="005D2170">
        <w:rPr>
          <w:rFonts w:ascii="Arial" w:hAnsi="Arial" w:cs="Arial"/>
          <w:sz w:val="22"/>
          <w:szCs w:val="22"/>
        </w:rPr>
        <w:t>.</w:t>
      </w:r>
      <w:r>
        <w:rPr>
          <w:rFonts w:ascii="Arial" w:hAnsi="Arial" w:cs="Arial"/>
          <w:sz w:val="22"/>
          <w:szCs w:val="22"/>
        </w:rPr>
        <w:t xml:space="preserve"> </w:t>
      </w:r>
    </w:p>
    <w:p w14:paraId="7B91E656"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3. John Bowlby (1969)</w:t>
      </w:r>
    </w:p>
    <w:p w14:paraId="273E6349"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Bowlby, J. (1969) </w:t>
      </w:r>
      <w:r>
        <w:rPr>
          <w:rStyle w:val="Emphasis"/>
          <w:rFonts w:ascii="Arial" w:hAnsi="Arial" w:cs="Arial"/>
          <w:sz w:val="22"/>
          <w:szCs w:val="22"/>
        </w:rPr>
        <w:t>Attachment and Loss</w:t>
      </w:r>
      <w:r>
        <w:rPr>
          <w:rFonts w:ascii="Arial" w:hAnsi="Arial" w:cs="Arial"/>
          <w:sz w:val="22"/>
          <w:szCs w:val="22"/>
        </w:rPr>
        <w:t>. London: Hogarth Press.</w:t>
      </w:r>
    </w:p>
    <w:p w14:paraId="1F73AC88" w14:textId="77777777" w:rsidR="004B159F" w:rsidRDefault="000A5AAE">
      <w:pPr>
        <w:spacing w:line="360" w:lineRule="auto"/>
        <w:rPr>
          <w:rFonts w:ascii="Arial" w:hAnsi="Arial" w:cs="Arial"/>
          <w:sz w:val="22"/>
          <w:szCs w:val="22"/>
        </w:rPr>
      </w:pPr>
      <w:r>
        <w:rPr>
          <w:rStyle w:val="Strong"/>
          <w:rFonts w:ascii="Arial" w:hAnsi="Arial" w:cs="Arial"/>
          <w:sz w:val="22"/>
          <w:szCs w:val="22"/>
        </w:rPr>
        <w:t>Summary:</w:t>
      </w:r>
      <w:r>
        <w:rPr>
          <w:rFonts w:ascii="Arial" w:hAnsi="Arial" w:cs="Arial"/>
          <w:sz w:val="22"/>
          <w:szCs w:val="22"/>
        </w:rPr>
        <w:br/>
        <w:t xml:space="preserve">The theory of attachment as developed by Bowlby is concerned with the issue of initial bonds between infants and </w:t>
      </w:r>
      <w:r w:rsidR="005D2170">
        <w:rPr>
          <w:rFonts w:ascii="Arial" w:hAnsi="Arial" w:cs="Arial"/>
          <w:sz w:val="22"/>
          <w:szCs w:val="22"/>
        </w:rPr>
        <w:t>career givers</w:t>
      </w:r>
      <w:r>
        <w:rPr>
          <w:rFonts w:ascii="Arial" w:hAnsi="Arial" w:cs="Arial"/>
          <w:sz w:val="22"/>
          <w:szCs w:val="22"/>
        </w:rPr>
        <w:t xml:space="preserve"> and how they influence the development of emotional qualities. Bowlby has postulated that the secure attachments result in the feeling of safety, trust, and resiliency to the emotions; insecure attachments may cause anxiety, fear, and relationship problems. Such attachment patterns are thought to be maintained throughout the life and to determine the relationship-forming patterns and response to stress in individuals. Attachment </w:t>
      </w:r>
      <w:proofErr w:type="spellStart"/>
      <w:r>
        <w:rPr>
          <w:rFonts w:ascii="Arial" w:hAnsi="Arial" w:cs="Arial"/>
          <w:sz w:val="22"/>
          <w:szCs w:val="22"/>
        </w:rPr>
        <w:t>behaviours</w:t>
      </w:r>
      <w:proofErr w:type="spellEnd"/>
      <w:r>
        <w:rPr>
          <w:rFonts w:ascii="Arial" w:hAnsi="Arial" w:cs="Arial"/>
          <w:sz w:val="22"/>
          <w:szCs w:val="22"/>
        </w:rPr>
        <w:t xml:space="preserve"> may be reinstated in old adulthood especially in circumstances of dependency, illness or being taken to care homes.</w:t>
      </w:r>
    </w:p>
    <w:p w14:paraId="33AE9C0C" w14:textId="77777777" w:rsidR="004B159F" w:rsidRDefault="000A5AAE">
      <w:pPr>
        <w:pStyle w:val="NormalWeb"/>
        <w:spacing w:line="360" w:lineRule="auto"/>
        <w:rPr>
          <w:rFonts w:ascii="Arial" w:hAnsi="Arial" w:cs="Arial"/>
          <w:sz w:val="22"/>
          <w:szCs w:val="22"/>
        </w:rPr>
      </w:pPr>
      <w:r>
        <w:rPr>
          <w:rStyle w:val="Strong"/>
          <w:rFonts w:ascii="Arial" w:hAnsi="Arial" w:cs="Arial"/>
          <w:sz w:val="22"/>
          <w:szCs w:val="22"/>
        </w:rPr>
        <w:t>Critical Comment:</w:t>
      </w:r>
      <w:r>
        <w:rPr>
          <w:rFonts w:ascii="Arial" w:hAnsi="Arial" w:cs="Arial"/>
          <w:sz w:val="22"/>
          <w:szCs w:val="22"/>
        </w:rPr>
        <w:br/>
        <w:t xml:space="preserve">Attachment theory is very useful in health and social care because professionals could comprehend the emotional reaction of the older adults especially with adults who are joining the residential care. Attachment needs may be associated with feelings of anxiety, loneliness or reluctance to care. The staff can assist in fostering </w:t>
      </w:r>
      <w:r>
        <w:rPr>
          <w:rFonts w:ascii="Arial" w:hAnsi="Arial" w:cs="Arial"/>
          <w:sz w:val="22"/>
          <w:szCs w:val="22"/>
        </w:rPr>
        <w:lastRenderedPageBreak/>
        <w:t xml:space="preserve">the feeling of security and trust by offering regular, steady, and kind treatment. Nevertheless, the theory has weaknesses, in that it gives much emphasis on the life experiences under early childhood and may not completely </w:t>
      </w:r>
      <w:r w:rsidR="005D2170">
        <w:rPr>
          <w:rFonts w:ascii="Arial" w:hAnsi="Arial" w:cs="Arial"/>
          <w:sz w:val="22"/>
          <w:szCs w:val="22"/>
        </w:rPr>
        <w:t>consider</w:t>
      </w:r>
      <w:r>
        <w:rPr>
          <w:rFonts w:ascii="Arial" w:hAnsi="Arial" w:cs="Arial"/>
          <w:sz w:val="22"/>
          <w:szCs w:val="22"/>
        </w:rPr>
        <w:t xml:space="preserve"> the influence of the other experiences in later life like bereavement, trauma or social isolation. Moreover, it might fail to consider the difference in culturally-influenced styles of attachment. In spite of these shortcomings, the theory can be useful in understanding emotional care and relationship-building in care environments.</w:t>
      </w:r>
    </w:p>
    <w:p w14:paraId="4CA54C81" w14:textId="77777777" w:rsidR="004B159F" w:rsidRDefault="009A3DDF">
      <w:pPr>
        <w:spacing w:line="360" w:lineRule="auto"/>
        <w:rPr>
          <w:rFonts w:ascii="Arial" w:hAnsi="Arial" w:cs="Arial"/>
          <w:sz w:val="22"/>
          <w:szCs w:val="22"/>
        </w:rPr>
      </w:pPr>
      <w:r>
        <w:rPr>
          <w:rFonts w:ascii="Arial" w:hAnsi="Arial" w:cs="Arial"/>
          <w:noProof/>
          <w:sz w:val="22"/>
          <w:szCs w:val="22"/>
        </w:rPr>
        <w:pict w14:anchorId="4266BE89">
          <v:rect id="_x0000_i1025" alt="" style="width:415.2pt;height:.05pt;mso-width-percent:0;mso-height-percent:0;mso-width-percent:0;mso-height-percent:0" o:hrpct="920" o:hralign="center" o:hrstd="t" o:hr="t" fillcolor="#a0a0a0" stroked="f"/>
        </w:pict>
      </w:r>
    </w:p>
    <w:p w14:paraId="7C74CA06"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4. Martin Seligman (2011)</w:t>
      </w:r>
    </w:p>
    <w:p w14:paraId="27774E3A"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Seligman, M. (2011) </w:t>
      </w:r>
      <w:r>
        <w:rPr>
          <w:rStyle w:val="Emphasis"/>
          <w:rFonts w:ascii="Arial" w:hAnsi="Arial" w:cs="Arial"/>
          <w:sz w:val="22"/>
          <w:szCs w:val="22"/>
        </w:rPr>
        <w:t>Flourish: A Visionary New Understanding of Happiness and Wellbeing</w:t>
      </w:r>
      <w:r>
        <w:rPr>
          <w:rFonts w:ascii="Arial" w:hAnsi="Arial" w:cs="Arial"/>
          <w:sz w:val="22"/>
          <w:szCs w:val="22"/>
        </w:rPr>
        <w:t>. New York: Free Press.</w:t>
      </w:r>
    </w:p>
    <w:p w14:paraId="2700DF43" w14:textId="77777777" w:rsidR="004B159F" w:rsidRDefault="000A5AAE">
      <w:pPr>
        <w:pStyle w:val="NormalWeb"/>
        <w:spacing w:line="360" w:lineRule="auto"/>
        <w:rPr>
          <w:rFonts w:ascii="Arial" w:hAnsi="Arial" w:cs="Arial"/>
          <w:sz w:val="22"/>
          <w:szCs w:val="22"/>
        </w:rPr>
      </w:pPr>
      <w:r>
        <w:rPr>
          <w:rStyle w:val="Strong"/>
          <w:rFonts w:ascii="Arial" w:hAnsi="Arial" w:cs="Arial"/>
          <w:sz w:val="22"/>
          <w:szCs w:val="22"/>
        </w:rPr>
        <w:t>Summary:</w:t>
      </w:r>
      <w:r>
        <w:rPr>
          <w:rFonts w:ascii="Arial" w:hAnsi="Arial" w:cs="Arial"/>
          <w:sz w:val="22"/>
          <w:szCs w:val="22"/>
        </w:rPr>
        <w:br/>
        <w:t>Looking at what lifts people up, positive psychology builds on good feelings, personal strengths, and deep involvement in life. Noted by Seligman, the PERMA idea includes feeling good, being absorbed, connecting with others, finding meaning, reaching goals each part linked like threads. Instead of fixing problems, attention shifts toward thriving, toward how full a person feels inside. With older adults, the spotlight lands on bouncing back, appreciating small things, staying tied to people, having reasons to get up - a quiet strength grows there.</w:t>
      </w:r>
    </w:p>
    <w:p w14:paraId="6781DF29" w14:textId="77777777" w:rsidR="004B159F" w:rsidRDefault="000A5AAE">
      <w:pPr>
        <w:spacing w:line="360" w:lineRule="auto"/>
        <w:rPr>
          <w:rFonts w:ascii="Arial" w:hAnsi="Arial" w:cs="Arial"/>
          <w:sz w:val="22"/>
          <w:szCs w:val="22"/>
        </w:rPr>
      </w:pPr>
      <w:r>
        <w:rPr>
          <w:rStyle w:val="Strong"/>
          <w:rFonts w:ascii="Arial" w:hAnsi="Arial" w:cs="Arial"/>
          <w:sz w:val="22"/>
          <w:szCs w:val="22"/>
        </w:rPr>
        <w:t>Critical Comment:</w:t>
      </w:r>
      <w:r>
        <w:rPr>
          <w:rFonts w:ascii="Arial" w:hAnsi="Arial" w:cs="Arial"/>
          <w:sz w:val="22"/>
          <w:szCs w:val="22"/>
        </w:rPr>
        <w:br/>
        <w:t>Positive psychology has a big role to play in the support of older adults in care institutions since it encourages participants to work on strengths and not on setbacks or disease alone. It inspires care professionals to establish conditions that promote happiness, integrity and meaning. Nevertheless, the method might ignore institutional barriers, including physical ailments, resource constraints, or institutional challenges. Also, it can impose unattainable expectations on people regarding the ability to be positive in troublesome situations. However, it can be useful as a model of improving wellbeing alongside benefits of practical support.</w:t>
      </w:r>
    </w:p>
    <w:p w14:paraId="7C5B0F38" w14:textId="77777777" w:rsidR="004B159F" w:rsidRDefault="004B159F">
      <w:pPr>
        <w:pStyle w:val="NormalWeb"/>
        <w:spacing w:line="360" w:lineRule="auto"/>
        <w:rPr>
          <w:rFonts w:ascii="Arial" w:hAnsi="Arial" w:cs="Arial"/>
          <w:sz w:val="22"/>
          <w:szCs w:val="22"/>
        </w:rPr>
      </w:pPr>
    </w:p>
    <w:p w14:paraId="4C63C3B1" w14:textId="77777777" w:rsidR="004B159F" w:rsidRDefault="000A5AAE">
      <w:pPr>
        <w:pStyle w:val="Heading1"/>
        <w:spacing w:line="360" w:lineRule="auto"/>
        <w:jc w:val="center"/>
        <w:rPr>
          <w:rFonts w:ascii="Arial" w:hAnsi="Arial" w:cs="Arial" w:hint="default"/>
          <w:sz w:val="22"/>
          <w:szCs w:val="22"/>
        </w:rPr>
      </w:pPr>
      <w:r>
        <w:rPr>
          <w:rStyle w:val="Strong"/>
          <w:rFonts w:ascii="Arial" w:hAnsi="Arial" w:cs="Arial" w:hint="default"/>
          <w:b/>
          <w:bCs/>
          <w:sz w:val="22"/>
          <w:szCs w:val="22"/>
        </w:rPr>
        <w:t xml:space="preserve">Part B: Short Report </w:t>
      </w:r>
    </w:p>
    <w:p w14:paraId="2A5729CE"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Introduction</w:t>
      </w:r>
    </w:p>
    <w:p w14:paraId="6CEB88C4" w14:textId="77777777" w:rsidR="004B159F" w:rsidRDefault="000A5AAE">
      <w:pPr>
        <w:spacing w:line="360" w:lineRule="auto"/>
        <w:rPr>
          <w:rFonts w:ascii="Arial" w:hAnsi="Arial" w:cs="Arial"/>
          <w:sz w:val="22"/>
          <w:szCs w:val="22"/>
        </w:rPr>
      </w:pPr>
      <w:r>
        <w:rPr>
          <w:rFonts w:ascii="Arial" w:hAnsi="Arial" w:cs="Arial"/>
          <w:sz w:val="22"/>
          <w:szCs w:val="22"/>
        </w:rPr>
        <w:lastRenderedPageBreak/>
        <w:t>In the present report, the authors will discuss the applications of the Activity theory by Havighurst to enhance the psychological health of older adults within residential care medications. Using psychological theories like the Activity Theory, care providers can develop supportive settings, which will foster activities to enhance engagement, autonomy, and the quality of life in general.</w:t>
      </w:r>
    </w:p>
    <w:p w14:paraId="22EACB9B"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Explanation of the Theory</w:t>
      </w:r>
    </w:p>
    <w:p w14:paraId="2491AB4A" w14:textId="77777777" w:rsidR="004B159F" w:rsidRDefault="000A5AAE">
      <w:pPr>
        <w:spacing w:line="360" w:lineRule="auto"/>
        <w:rPr>
          <w:rFonts w:ascii="Arial" w:hAnsi="Arial" w:cs="Arial"/>
          <w:sz w:val="22"/>
          <w:szCs w:val="22"/>
        </w:rPr>
      </w:pPr>
      <w:r>
        <w:rPr>
          <w:rFonts w:ascii="Arial" w:hAnsi="Arial" w:cs="Arial"/>
          <w:sz w:val="22"/>
          <w:szCs w:val="22"/>
        </w:rPr>
        <w:t>According to Havighurst, the Activity Theory, the key to successful ageing is to keep on with an active life. In its argument, the theory holds that the older adults that are socially, physically and mentally active are better placed to attain greater levels of life satisfaction and psychological wellbeing. Instead of shunning the society, people gain through remaining in the society to perform meaningful roles and events.</w:t>
      </w:r>
    </w:p>
    <w:p w14:paraId="0364EF48" w14:textId="77777777" w:rsidR="004B159F" w:rsidRDefault="004B159F">
      <w:pPr>
        <w:spacing w:line="360" w:lineRule="auto"/>
        <w:rPr>
          <w:rFonts w:ascii="Arial" w:hAnsi="Arial" w:cs="Arial"/>
          <w:sz w:val="22"/>
          <w:szCs w:val="22"/>
        </w:rPr>
      </w:pPr>
    </w:p>
    <w:p w14:paraId="523C55E0" w14:textId="77777777" w:rsidR="004B159F" w:rsidRDefault="000A5AAE">
      <w:pPr>
        <w:spacing w:line="360" w:lineRule="auto"/>
        <w:rPr>
          <w:rFonts w:ascii="Arial" w:hAnsi="Arial" w:cs="Arial"/>
          <w:sz w:val="22"/>
          <w:szCs w:val="22"/>
        </w:rPr>
      </w:pPr>
      <w:r>
        <w:rPr>
          <w:rFonts w:ascii="Arial" w:hAnsi="Arial" w:cs="Arial"/>
          <w:sz w:val="22"/>
          <w:szCs w:val="22"/>
        </w:rPr>
        <w:t>The theory suggests the necessity of substituting the roles lost, including employment, with alternative ways of interaction. This can be hobbies, volunteering or socialization. The other important point of the Activity Theory is that it is supposed to be meaningful engagement based on individual interests, not forced. This is especially relevant to the care setting, where its residents might experience lack of identity and meaning.</w:t>
      </w:r>
    </w:p>
    <w:p w14:paraId="6FB75F78"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Application in Residential Care Settings</w:t>
      </w:r>
    </w:p>
    <w:p w14:paraId="68D66A6A" w14:textId="77777777" w:rsidR="004B159F" w:rsidRDefault="000A5AAE">
      <w:pPr>
        <w:spacing w:line="360" w:lineRule="auto"/>
        <w:rPr>
          <w:rFonts w:ascii="Arial" w:hAnsi="Arial" w:cs="Arial"/>
          <w:sz w:val="22"/>
          <w:szCs w:val="22"/>
        </w:rPr>
      </w:pPr>
      <w:r>
        <w:rPr>
          <w:rFonts w:ascii="Arial" w:hAnsi="Arial" w:cs="Arial"/>
          <w:sz w:val="22"/>
          <w:szCs w:val="22"/>
        </w:rPr>
        <w:t>Activity Theory can be used in residential care homes by providing the residents with opportunities to do various activities that allow stimulation, both physical, social, and cognitive. Such activities promote interaction and the feeling of loneliness is minimized.</w:t>
      </w:r>
    </w:p>
    <w:p w14:paraId="04BD4D09" w14:textId="77777777" w:rsidR="004B159F" w:rsidRDefault="004B159F">
      <w:pPr>
        <w:spacing w:line="360" w:lineRule="auto"/>
        <w:rPr>
          <w:rFonts w:ascii="Arial" w:hAnsi="Arial" w:cs="Arial"/>
          <w:sz w:val="22"/>
          <w:szCs w:val="22"/>
        </w:rPr>
      </w:pPr>
    </w:p>
    <w:p w14:paraId="6D4114A7" w14:textId="6C3B4F05" w:rsidR="004B159F" w:rsidRDefault="000A5AAE">
      <w:pPr>
        <w:spacing w:line="360" w:lineRule="auto"/>
        <w:rPr>
          <w:rFonts w:ascii="Arial" w:hAnsi="Arial" w:cs="Arial"/>
          <w:sz w:val="22"/>
          <w:szCs w:val="22"/>
        </w:rPr>
      </w:pPr>
      <w:r>
        <w:rPr>
          <w:rFonts w:ascii="Arial" w:hAnsi="Arial" w:cs="Arial"/>
          <w:sz w:val="22"/>
          <w:szCs w:val="22"/>
        </w:rPr>
        <w:t xml:space="preserve">One of the important aspects to use this theory is </w:t>
      </w:r>
      <w:r w:rsidR="00B13869">
        <w:rPr>
          <w:rFonts w:ascii="Arial" w:hAnsi="Arial" w:cs="Arial"/>
          <w:sz w:val="22"/>
          <w:szCs w:val="22"/>
        </w:rPr>
        <w:t>personalized</w:t>
      </w:r>
      <w:r>
        <w:rPr>
          <w:rFonts w:ascii="Arial" w:hAnsi="Arial" w:cs="Arial"/>
          <w:sz w:val="22"/>
          <w:szCs w:val="22"/>
        </w:rPr>
        <w:t xml:space="preserve"> care. Staff is supposed to examine the interests, skills and the previous experiences of every resident in order to create meaningful and fun activities. An example is that a resident who liked cooking before can be engaged in simple food preparation, whereas a resident who likes reading can be a part of book clubs.</w:t>
      </w:r>
    </w:p>
    <w:p w14:paraId="74C24852" w14:textId="77777777" w:rsidR="004B159F" w:rsidRDefault="004B159F">
      <w:pPr>
        <w:spacing w:line="360" w:lineRule="auto"/>
        <w:rPr>
          <w:rFonts w:ascii="Arial" w:hAnsi="Arial" w:cs="Arial"/>
          <w:sz w:val="22"/>
          <w:szCs w:val="22"/>
        </w:rPr>
      </w:pPr>
    </w:p>
    <w:p w14:paraId="5C5D6327" w14:textId="77777777" w:rsidR="004B159F" w:rsidRDefault="000A5AAE">
      <w:pPr>
        <w:spacing w:line="360" w:lineRule="auto"/>
        <w:rPr>
          <w:rFonts w:ascii="Arial" w:hAnsi="Arial" w:cs="Arial"/>
          <w:sz w:val="22"/>
          <w:szCs w:val="22"/>
        </w:rPr>
      </w:pPr>
      <w:r>
        <w:rPr>
          <w:rFonts w:ascii="Arial" w:hAnsi="Arial" w:cs="Arial"/>
          <w:sz w:val="22"/>
          <w:szCs w:val="22"/>
        </w:rPr>
        <w:t xml:space="preserve">It is also necessary to encourage self-sufficiency. The feeling of control and self-esteem may be improved by allowing residents to decide and engage in the daily activities. Moreover, the development of social relations between residents </w:t>
      </w:r>
      <w:r>
        <w:rPr>
          <w:rFonts w:ascii="Arial" w:hAnsi="Arial" w:cs="Arial"/>
          <w:sz w:val="22"/>
          <w:szCs w:val="22"/>
        </w:rPr>
        <w:lastRenderedPageBreak/>
        <w:t>contributes to the development of community and belonging, without which the state of emotions is not the main priority.</w:t>
      </w:r>
    </w:p>
    <w:p w14:paraId="05B1C8A1"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Case Scenario</w:t>
      </w:r>
    </w:p>
    <w:p w14:paraId="106A8CD3" w14:textId="77777777" w:rsidR="004B159F" w:rsidRDefault="000A5AAE">
      <w:pPr>
        <w:spacing w:line="360" w:lineRule="auto"/>
        <w:rPr>
          <w:rFonts w:ascii="Arial" w:hAnsi="Arial" w:cs="Arial"/>
          <w:sz w:val="22"/>
          <w:szCs w:val="22"/>
        </w:rPr>
      </w:pPr>
      <w:r>
        <w:rPr>
          <w:rFonts w:ascii="Arial" w:hAnsi="Arial" w:cs="Arial"/>
          <w:sz w:val="22"/>
          <w:szCs w:val="22"/>
        </w:rPr>
        <w:t>A care home resident who has an age of 80 starts to experience some indicators of low mood and withdrawal behavior after the incident in the establishment. The resident is not engaged in group activities, and rather spend most of their time alone. When evaluated, employees find out that the person used to take pleasure in gardening and membership to a community group in the neighborhood.</w:t>
      </w:r>
    </w:p>
    <w:p w14:paraId="62A9474D" w14:textId="77777777" w:rsidR="004B159F" w:rsidRDefault="004B159F">
      <w:pPr>
        <w:spacing w:line="360" w:lineRule="auto"/>
        <w:rPr>
          <w:rFonts w:ascii="Arial" w:hAnsi="Arial" w:cs="Arial"/>
          <w:sz w:val="22"/>
          <w:szCs w:val="22"/>
        </w:rPr>
      </w:pPr>
    </w:p>
    <w:p w14:paraId="13214E36" w14:textId="77777777" w:rsidR="004B159F" w:rsidRDefault="000A5AAE">
      <w:pPr>
        <w:spacing w:line="360" w:lineRule="auto"/>
        <w:rPr>
          <w:rFonts w:ascii="Arial" w:hAnsi="Arial" w:cs="Arial"/>
          <w:sz w:val="22"/>
          <w:szCs w:val="22"/>
        </w:rPr>
      </w:pPr>
      <w:r>
        <w:rPr>
          <w:rFonts w:ascii="Arial" w:hAnsi="Arial" w:cs="Arial"/>
          <w:sz w:val="22"/>
          <w:szCs w:val="22"/>
        </w:rPr>
        <w:t>To implement the Activity Theory, the members of the staff implement a small gardening initiative in the locations of the care home and persuades the resident to participate in the project. This instance illustrates the positive effect of significant involvement with the psychological well-being.</w:t>
      </w:r>
    </w:p>
    <w:p w14:paraId="7FC21D0B"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Challenge and Strategy</w:t>
      </w:r>
    </w:p>
    <w:p w14:paraId="54E12E60" w14:textId="77777777" w:rsidR="004B159F" w:rsidRDefault="000A5AAE">
      <w:pPr>
        <w:spacing w:line="360" w:lineRule="auto"/>
        <w:rPr>
          <w:rFonts w:ascii="Arial" w:hAnsi="Arial" w:cs="Arial"/>
          <w:sz w:val="22"/>
          <w:szCs w:val="22"/>
        </w:rPr>
      </w:pPr>
      <w:r>
        <w:rPr>
          <w:rFonts w:ascii="Arial" w:hAnsi="Arial" w:cs="Arial"/>
          <w:sz w:val="22"/>
          <w:szCs w:val="22"/>
        </w:rPr>
        <w:t>The main issue with the implementation of the Activity Theory is that not all residents can take part in the activities due to physical, chronic, or cognitive disabilities that may limit their ability to engage in activities. These may cause frustration, demotivation, and marginalization in case things are not accommodated.</w:t>
      </w:r>
    </w:p>
    <w:p w14:paraId="5DBCEA9F" w14:textId="77777777" w:rsidR="004B159F" w:rsidRDefault="004B159F">
      <w:pPr>
        <w:spacing w:line="360" w:lineRule="auto"/>
        <w:rPr>
          <w:rFonts w:ascii="Arial" w:hAnsi="Arial" w:cs="Arial"/>
          <w:sz w:val="22"/>
          <w:szCs w:val="22"/>
        </w:rPr>
      </w:pPr>
    </w:p>
    <w:p w14:paraId="3381B61F" w14:textId="77777777" w:rsidR="004B159F" w:rsidRDefault="000A5AAE">
      <w:pPr>
        <w:spacing w:line="360" w:lineRule="auto"/>
        <w:rPr>
          <w:rFonts w:ascii="Arial" w:hAnsi="Arial" w:cs="Arial"/>
          <w:sz w:val="22"/>
          <w:szCs w:val="22"/>
        </w:rPr>
      </w:pPr>
      <w:r>
        <w:rPr>
          <w:rFonts w:ascii="Arial" w:hAnsi="Arial" w:cs="Arial"/>
          <w:sz w:val="22"/>
          <w:szCs w:val="22"/>
        </w:rPr>
        <w:t>Care staff training is also necessary so that they would be able to evaluate the needs of the residents and modify the activities according to the needs. Engaging family members may also assist in finding valuable activity and facilitate the involvement. In order to correspond to the specific needs of each resident, all of them are able to enjoy the activities and enjoy a better sense of wellbeing.</w:t>
      </w:r>
    </w:p>
    <w:p w14:paraId="12348D5E" w14:textId="77777777" w:rsidR="004B159F" w:rsidRDefault="000A5AAE">
      <w:pPr>
        <w:pStyle w:val="Heading2"/>
        <w:spacing w:line="360" w:lineRule="auto"/>
        <w:rPr>
          <w:rFonts w:ascii="Arial" w:hAnsi="Arial" w:cs="Arial" w:hint="default"/>
          <w:sz w:val="22"/>
          <w:szCs w:val="22"/>
        </w:rPr>
      </w:pPr>
      <w:r>
        <w:rPr>
          <w:rStyle w:val="Strong"/>
          <w:rFonts w:ascii="Arial" w:hAnsi="Arial" w:cs="Arial" w:hint="default"/>
          <w:b/>
          <w:bCs/>
          <w:sz w:val="22"/>
          <w:szCs w:val="22"/>
        </w:rPr>
        <w:t>Conclusion</w:t>
      </w:r>
    </w:p>
    <w:p w14:paraId="05201B48" w14:textId="77777777" w:rsidR="004B159F" w:rsidRDefault="000A5AAE">
      <w:pPr>
        <w:spacing w:line="360" w:lineRule="auto"/>
        <w:rPr>
          <w:rFonts w:ascii="Arial" w:hAnsi="Arial" w:cs="Arial"/>
          <w:sz w:val="22"/>
          <w:szCs w:val="22"/>
        </w:rPr>
      </w:pPr>
      <w:r>
        <w:rPr>
          <w:rFonts w:ascii="Arial" w:hAnsi="Arial" w:cs="Arial"/>
          <w:sz w:val="22"/>
          <w:szCs w:val="22"/>
        </w:rPr>
        <w:t xml:space="preserve">To sum up, the Activity Theory developed by Havighurst is an effective model to consider in the process of ensuring the psychological wellbeing of the elderly individuals residing in residential homes. Professionals engaged with the residents should promote the quality of their lives through the promotion of active engagement, social interaction, and autonomy. Although there are such issues as physical and cognitive constraints, by adjusting the activities, the inclusivity and effectiveness can be achieved. The use of this theory facilitates a people-based approach to care, </w:t>
      </w:r>
      <w:r>
        <w:rPr>
          <w:rFonts w:ascii="Arial" w:hAnsi="Arial" w:cs="Arial"/>
          <w:sz w:val="22"/>
          <w:szCs w:val="22"/>
        </w:rPr>
        <w:lastRenderedPageBreak/>
        <w:t>which eventually leads to enhanced emotional wellbeing and general life satisfaction of the old age population.</w:t>
      </w:r>
    </w:p>
    <w:p w14:paraId="3BC33B40" w14:textId="77777777" w:rsidR="004B159F" w:rsidRDefault="004B159F">
      <w:pPr>
        <w:spacing w:line="360" w:lineRule="auto"/>
        <w:rPr>
          <w:rFonts w:ascii="Arial" w:hAnsi="Arial" w:cs="Arial"/>
          <w:b/>
          <w:bCs/>
          <w:sz w:val="22"/>
          <w:szCs w:val="22"/>
        </w:rPr>
        <w:sectPr w:rsidR="004B159F">
          <w:pgSz w:w="11906" w:h="16838"/>
          <w:pgMar w:top="1440" w:right="1800" w:bottom="1440" w:left="1800" w:header="720" w:footer="720" w:gutter="0"/>
          <w:cols w:space="720"/>
          <w:docGrid w:linePitch="360"/>
        </w:sectPr>
      </w:pPr>
    </w:p>
    <w:p w14:paraId="4BC4D287" w14:textId="77777777" w:rsidR="004B159F" w:rsidRDefault="000A5AAE">
      <w:pPr>
        <w:spacing w:line="360" w:lineRule="auto"/>
        <w:rPr>
          <w:rFonts w:ascii="Arial" w:hAnsi="Arial" w:cs="Arial"/>
          <w:b/>
          <w:bCs/>
          <w:sz w:val="22"/>
          <w:szCs w:val="22"/>
        </w:rPr>
      </w:pPr>
      <w:r>
        <w:rPr>
          <w:rFonts w:ascii="Arial" w:hAnsi="Arial" w:cs="Arial"/>
          <w:b/>
          <w:bCs/>
          <w:sz w:val="22"/>
          <w:szCs w:val="22"/>
        </w:rPr>
        <w:lastRenderedPageBreak/>
        <w:t xml:space="preserve">References: </w:t>
      </w:r>
    </w:p>
    <w:p w14:paraId="58CD5B6F" w14:textId="77777777" w:rsidR="004B159F" w:rsidRDefault="000A5AAE">
      <w:pPr>
        <w:pStyle w:val="NormalWeb"/>
        <w:spacing w:line="360" w:lineRule="auto"/>
        <w:rPr>
          <w:rFonts w:ascii="Arial" w:hAnsi="Arial" w:cs="Arial"/>
          <w:b/>
          <w:bCs/>
          <w:sz w:val="22"/>
          <w:szCs w:val="22"/>
        </w:rPr>
      </w:pPr>
      <w:r>
        <w:rPr>
          <w:rFonts w:ascii="Arial" w:hAnsi="Arial" w:cs="Arial"/>
          <w:sz w:val="22"/>
          <w:szCs w:val="22"/>
        </w:rPr>
        <w:t xml:space="preserve">Bowlby, J. (1969) </w:t>
      </w:r>
      <w:r>
        <w:rPr>
          <w:rStyle w:val="Emphasis"/>
          <w:rFonts w:ascii="Arial" w:hAnsi="Arial" w:cs="Arial"/>
          <w:sz w:val="22"/>
          <w:szCs w:val="22"/>
        </w:rPr>
        <w:t>Attachment and Loss</w:t>
      </w:r>
      <w:r>
        <w:rPr>
          <w:rFonts w:ascii="Arial" w:hAnsi="Arial" w:cs="Arial"/>
          <w:sz w:val="22"/>
          <w:szCs w:val="22"/>
        </w:rPr>
        <w:t>. London: Hogarth Press.</w:t>
      </w:r>
    </w:p>
    <w:p w14:paraId="59399BB9"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Erikson, E. (1950) </w:t>
      </w:r>
      <w:r>
        <w:rPr>
          <w:rStyle w:val="Emphasis"/>
          <w:rFonts w:ascii="Arial" w:hAnsi="Arial" w:cs="Arial"/>
          <w:sz w:val="22"/>
          <w:szCs w:val="22"/>
        </w:rPr>
        <w:t>Childhood and Society</w:t>
      </w:r>
      <w:r>
        <w:rPr>
          <w:rFonts w:ascii="Arial" w:hAnsi="Arial" w:cs="Arial"/>
          <w:sz w:val="22"/>
          <w:szCs w:val="22"/>
        </w:rPr>
        <w:t>. New York: Norton.</w:t>
      </w:r>
    </w:p>
    <w:p w14:paraId="1217DF5A"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Havighurst, R. (1961) </w:t>
      </w:r>
      <w:r>
        <w:rPr>
          <w:rStyle w:val="Emphasis"/>
          <w:rFonts w:ascii="Arial" w:hAnsi="Arial" w:cs="Arial"/>
          <w:sz w:val="22"/>
          <w:szCs w:val="22"/>
        </w:rPr>
        <w:t>Human Development and Education</w:t>
      </w:r>
      <w:r>
        <w:rPr>
          <w:rFonts w:ascii="Arial" w:hAnsi="Arial" w:cs="Arial"/>
          <w:sz w:val="22"/>
          <w:szCs w:val="22"/>
        </w:rPr>
        <w:t>. New York: Longmans.</w:t>
      </w:r>
    </w:p>
    <w:p w14:paraId="38E03CB0" w14:textId="77777777" w:rsidR="004B159F" w:rsidRDefault="000A5AAE">
      <w:pPr>
        <w:pStyle w:val="NormalWeb"/>
        <w:spacing w:line="360" w:lineRule="auto"/>
        <w:rPr>
          <w:rFonts w:ascii="Arial" w:hAnsi="Arial" w:cs="Arial"/>
          <w:sz w:val="22"/>
          <w:szCs w:val="22"/>
        </w:rPr>
      </w:pPr>
      <w:r>
        <w:rPr>
          <w:rFonts w:ascii="Arial" w:hAnsi="Arial" w:cs="Arial"/>
          <w:sz w:val="22"/>
          <w:szCs w:val="22"/>
        </w:rPr>
        <w:t xml:space="preserve">Seligman, M. (2011) </w:t>
      </w:r>
      <w:r>
        <w:rPr>
          <w:rStyle w:val="Emphasis"/>
          <w:rFonts w:ascii="Arial" w:hAnsi="Arial" w:cs="Arial"/>
          <w:sz w:val="22"/>
          <w:szCs w:val="22"/>
        </w:rPr>
        <w:t>Flourish: A Visionary New Understanding of Happiness and Wellbeing</w:t>
      </w:r>
      <w:r>
        <w:rPr>
          <w:rFonts w:ascii="Arial" w:hAnsi="Arial" w:cs="Arial"/>
          <w:sz w:val="22"/>
          <w:szCs w:val="22"/>
        </w:rPr>
        <w:t>. New York: Free Press.</w:t>
      </w:r>
    </w:p>
    <w:p w14:paraId="0D85003C" w14:textId="77777777" w:rsidR="004B159F" w:rsidRDefault="004B159F">
      <w:pPr>
        <w:spacing w:line="360" w:lineRule="auto"/>
        <w:rPr>
          <w:rFonts w:ascii="Arial" w:hAnsi="Arial" w:cs="Arial"/>
          <w:b/>
          <w:bCs/>
          <w:sz w:val="22"/>
          <w:szCs w:val="22"/>
        </w:rPr>
      </w:pPr>
    </w:p>
    <w:sectPr w:rsidR="004B159F">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F7598" w14:textId="77777777" w:rsidR="009A3DDF" w:rsidRDefault="009A3DDF">
      <w:r>
        <w:separator/>
      </w:r>
    </w:p>
  </w:endnote>
  <w:endnote w:type="continuationSeparator" w:id="0">
    <w:p w14:paraId="1905AE8B" w14:textId="77777777" w:rsidR="009A3DDF" w:rsidRDefault="009A3D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3BDA0" w14:textId="77777777" w:rsidR="004B159F" w:rsidRDefault="000A5AAE">
    <w:pPr>
      <w:pStyle w:val="Footer"/>
    </w:pPr>
    <w:r>
      <w:rPr>
        <w:noProof/>
      </w:rPr>
      <mc:AlternateContent>
        <mc:Choice Requires="wps">
          <w:drawing>
            <wp:anchor distT="0" distB="0" distL="114300" distR="114300" simplePos="0" relativeHeight="251659264" behindDoc="0" locked="0" layoutInCell="1" allowOverlap="1" wp14:anchorId="77F21AC5" wp14:editId="1DF9F3CD">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90AB918" w14:textId="77777777" w:rsidR="004B159F" w:rsidRDefault="000A5AAE">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" filled="f" fillcolor="white [3201]" stroked="f" strokeweight=".5pt">
              <v:textbox style="mso-fit-shape-to-text:t" inset="0,0,0,0">
                <w:txbxContent>
                  <w:p w:rsidR="004B159F" w:rsidRDefault="000A5AAE">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D8836" w14:textId="77777777" w:rsidR="009A3DDF" w:rsidRDefault="009A3DDF">
      <w:r>
        <w:separator/>
      </w:r>
    </w:p>
  </w:footnote>
  <w:footnote w:type="continuationSeparator" w:id="0">
    <w:p w14:paraId="6C6964A0" w14:textId="77777777" w:rsidR="009A3DDF" w:rsidRDefault="009A3D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BDD613"/>
    <w:multiLevelType w:val="multilevel"/>
    <w:tmpl w:val="46BDD613"/>
    <w:lvl w:ilvl="0">
      <w:start w:val="1"/>
      <w:numFmt w:val="decimal"/>
      <w:suff w:val="space"/>
      <w:lvlText w:val="%1."/>
      <w:lvlJc w:val="left"/>
      <w:rPr>
        <w:rFonts w:hint="default"/>
        <w:b/>
        <w:bCs/>
      </w:rPr>
    </w:lvl>
    <w:lvl w:ilvl="1">
      <w:start w:val="1"/>
      <w:numFmt w:val="decimal"/>
      <w:suff w:val="space"/>
      <w:lvlText w:val="%1.%2."/>
      <w:lvlJc w:val="left"/>
      <w:pPr>
        <w:ind w:left="0" w:firstLine="0"/>
      </w:pPr>
      <w:rPr>
        <w:rFonts w:hint="default"/>
        <w:b/>
        <w:bCs/>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5435468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890065627">
    <w:abstractNumId w:val="0"/>
  </w:num>
  <w:num w:numId="2" w16cid:durableId="19298430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2FB0289"/>
    <w:rsid w:val="000A5AAE"/>
    <w:rsid w:val="004B159F"/>
    <w:rsid w:val="005D2170"/>
    <w:rsid w:val="009A3DDF"/>
    <w:rsid w:val="00B13869"/>
    <w:rsid w:val="00E82A55"/>
    <w:rsid w:val="00EF3360"/>
    <w:rsid w:val="00F20EEB"/>
    <w:rsid w:val="02FB0289"/>
    <w:rsid w:val="105E7269"/>
    <w:rsid w:val="3CE67CC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752858"/>
  <w15:docId w15:val="{780F3CA7-5D53-4884-9EA7-4CC5A97D7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eastAsia="zh-CN"/>
    </w:rPr>
  </w:style>
  <w:style w:type="paragraph" w:styleId="Heading2">
    <w:name w:val="heading 2"/>
    <w:next w:val="Normal"/>
    <w:semiHidden/>
    <w:unhideWhenUsed/>
    <w:qFormat/>
    <w:pPr>
      <w:spacing w:beforeAutospacing="1" w:afterAutospacing="1"/>
      <w:outlineLvl w:val="1"/>
    </w:pPr>
    <w:rPr>
      <w:rFonts w:ascii="SimSun" w:hAnsi="SimSun" w:hint="eastAsia"/>
      <w:b/>
      <w:bCs/>
      <w:sz w:val="36"/>
      <w:szCs w:val="3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eastAsia="zh-CN"/>
    </w:rPr>
  </w:style>
  <w:style w:type="character" w:styleId="Strong">
    <w:name w:val="Strong"/>
    <w:basedOn w:val="DefaultParagraphFont"/>
    <w:qFormat/>
    <w:rPr>
      <w:b/>
      <w:bCs/>
    </w:rPr>
  </w:style>
  <w:style w:type="paragraph" w:styleId="ListParagraph">
    <w:name w:val="List Paragraph"/>
    <w:basedOn w:val="Normal"/>
    <w:uiPriority w:val="99"/>
    <w:rsid w:val="005D21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9</Pages>
  <Words>1739</Words>
  <Characters>9917</Characters>
  <Application>Microsoft Office Word</Application>
  <DocSecurity>0</DocSecurity>
  <Lines>82</Lines>
  <Paragraphs>23</Paragraphs>
  <ScaleCrop>false</ScaleCrop>
  <Company/>
  <LinksUpToDate>false</LinksUpToDate>
  <CharactersWithSpaces>11633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Nasrullah khan</dc:creator>
  <cp:lastModifiedBy>Minakhil Mir (2437898)</cp:lastModifiedBy>
  <cp:revision>6</cp:revision>
  <dcterms:created xsi:type="dcterms:W3CDTF">2026-03-26T13:35:00Z</dcterms:created>
  <dcterms:modified xsi:type="dcterms:W3CDTF">2026-03-27T14:00:00Z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E0C7554A22494775BBB1786BBF3462AD_11</vt:lpwstr>
  </property>
</Properties>
</file>