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7C42D8" w14:textId="77777777" w:rsidR="00223119" w:rsidRPr="00C95C1F" w:rsidRDefault="00223119" w:rsidP="00E70CA2">
      <w:pPr>
        <w:spacing w:line="360" w:lineRule="auto"/>
        <w:rPr>
          <w:rFonts w:ascii="Century Gothic" w:hAnsi="Century Gothic"/>
        </w:rPr>
      </w:pPr>
      <w:r w:rsidRPr="00C95C1F">
        <w:rPr>
          <w:rFonts w:ascii="Century Gothic" w:hAnsi="Century Gothic"/>
        </w:rPr>
        <w:t xml:space="preserve">                                     </w:t>
      </w:r>
      <w:r w:rsidRPr="00C95C1F">
        <w:rPr>
          <w:rFonts w:ascii="Century Gothic" w:hAnsi="Century Gothic"/>
          <w:noProof/>
        </w:rPr>
        <w:drawing>
          <wp:inline distT="0" distB="0" distL="0" distR="0" wp14:anchorId="4FC28BCA" wp14:editId="7579A869">
            <wp:extent cx="3523794" cy="1402201"/>
            <wp:effectExtent l="0" t="0" r="0" b="0"/>
            <wp:docPr id="1982794449" name="Picture 1982794449"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794449" name="Picture 1982794449" descr="A close-up of black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523794" cy="1402201"/>
                    </a:xfrm>
                    <a:prstGeom prst="rect">
                      <a:avLst/>
                    </a:prstGeom>
                  </pic:spPr>
                </pic:pic>
              </a:graphicData>
            </a:graphic>
          </wp:inline>
        </w:drawing>
      </w:r>
    </w:p>
    <w:p w14:paraId="251D3F33" w14:textId="77777777" w:rsidR="00223119" w:rsidRPr="00C95C1F" w:rsidRDefault="00223119" w:rsidP="00E70CA2">
      <w:pPr>
        <w:spacing w:line="360" w:lineRule="auto"/>
        <w:rPr>
          <w:rFonts w:ascii="Century Gothic" w:hAnsi="Century Gothic"/>
        </w:rPr>
      </w:pPr>
    </w:p>
    <w:p w14:paraId="33258519" w14:textId="6E6D2C0C" w:rsidR="00223119" w:rsidRPr="00604925" w:rsidRDefault="00223119" w:rsidP="00E70CA2">
      <w:pPr>
        <w:spacing w:line="360" w:lineRule="auto"/>
        <w:rPr>
          <w:rFonts w:ascii="Century Gothic" w:hAnsi="Century Gothic"/>
          <w:b/>
          <w:bCs/>
          <w:sz w:val="52"/>
          <w:szCs w:val="52"/>
          <w:highlight w:val="green"/>
        </w:rPr>
      </w:pPr>
      <w:r w:rsidRPr="00604925">
        <w:rPr>
          <w:rFonts w:ascii="Century Gothic" w:hAnsi="Century Gothic"/>
          <w:b/>
          <w:bCs/>
          <w:sz w:val="52"/>
          <w:szCs w:val="52"/>
          <w:highlight w:val="yellow"/>
        </w:rPr>
        <w:t xml:space="preserve">Module Code:  ECDE7012 </w:t>
      </w:r>
      <w:r w:rsidR="001B0DEA">
        <w:rPr>
          <w:rFonts w:ascii="Century Gothic" w:hAnsi="Century Gothic"/>
          <w:b/>
          <w:bCs/>
          <w:sz w:val="52"/>
          <w:szCs w:val="52"/>
          <w:highlight w:val="yellow"/>
        </w:rPr>
        <w:br/>
      </w:r>
      <w:r w:rsidRPr="001B0DEA">
        <w:rPr>
          <w:rFonts w:ascii="Century Gothic" w:hAnsi="Century Gothic"/>
          <w:b/>
          <w:bCs/>
          <w:sz w:val="52"/>
          <w:szCs w:val="52"/>
          <w:highlight w:val="green"/>
        </w:rPr>
        <w:t>Researc</w:t>
      </w:r>
      <w:r w:rsidR="001B0DEA">
        <w:rPr>
          <w:rFonts w:ascii="Century Gothic" w:hAnsi="Century Gothic"/>
          <w:b/>
          <w:bCs/>
          <w:sz w:val="52"/>
          <w:szCs w:val="52"/>
          <w:highlight w:val="green"/>
        </w:rPr>
        <w:t xml:space="preserve">h </w:t>
      </w:r>
      <w:r w:rsidRPr="00604925">
        <w:rPr>
          <w:rFonts w:ascii="Century Gothic" w:hAnsi="Century Gothic"/>
          <w:b/>
          <w:bCs/>
          <w:sz w:val="52"/>
          <w:szCs w:val="52"/>
          <w:highlight w:val="green"/>
        </w:rPr>
        <w:t>Design and Management in Education</w:t>
      </w:r>
    </w:p>
    <w:p w14:paraId="266699AF" w14:textId="1CF94351" w:rsidR="00223119" w:rsidRPr="00C95C1F" w:rsidRDefault="00223119" w:rsidP="00E70CA2">
      <w:pPr>
        <w:spacing w:line="360" w:lineRule="auto"/>
        <w:rPr>
          <w:rFonts w:ascii="Century Gothic" w:hAnsi="Century Gothic"/>
          <w:b/>
          <w:bCs/>
          <w:sz w:val="40"/>
          <w:szCs w:val="40"/>
        </w:rPr>
      </w:pPr>
      <w:r w:rsidRPr="00604925">
        <w:rPr>
          <w:rFonts w:ascii="Century Gothic" w:hAnsi="Century Gothic"/>
          <w:b/>
          <w:bCs/>
          <w:sz w:val="40"/>
          <w:szCs w:val="40"/>
          <w:highlight w:val="green"/>
        </w:rPr>
        <w:t>Dr Julia Holloway and Mrs Nanna Ryder</w:t>
      </w:r>
    </w:p>
    <w:p w14:paraId="7E02E9F0" w14:textId="0278801B" w:rsidR="00223119" w:rsidRPr="00C95C1F" w:rsidRDefault="00223119" w:rsidP="00604925">
      <w:pPr>
        <w:spacing w:line="360" w:lineRule="auto"/>
        <w:rPr>
          <w:rFonts w:ascii="Century Gothic" w:hAnsi="Century Gothic"/>
          <w:b/>
          <w:bCs/>
          <w:sz w:val="52"/>
          <w:szCs w:val="52"/>
        </w:rPr>
      </w:pPr>
      <w:r w:rsidRPr="00604925">
        <w:rPr>
          <w:rFonts w:ascii="Century Gothic" w:hAnsi="Century Gothic"/>
          <w:b/>
          <w:bCs/>
          <w:sz w:val="52"/>
          <w:szCs w:val="52"/>
          <w:highlight w:val="cyan"/>
        </w:rPr>
        <w:t>Assignment Title: COMPONENT 1</w:t>
      </w:r>
      <w:r w:rsidR="00604925" w:rsidRPr="00604925">
        <w:rPr>
          <w:rFonts w:ascii="Century Gothic" w:hAnsi="Century Gothic"/>
          <w:b/>
          <w:bCs/>
          <w:sz w:val="52"/>
          <w:szCs w:val="52"/>
          <w:highlight w:val="cyan"/>
        </w:rPr>
        <w:br/>
      </w:r>
      <w:r w:rsidR="00604925" w:rsidRPr="00604925">
        <w:rPr>
          <w:rFonts w:ascii="Century Gothic" w:hAnsi="Century Gothic"/>
          <w:b/>
          <w:bCs/>
          <w:sz w:val="28"/>
          <w:szCs w:val="28"/>
          <w:highlight w:val="cyan"/>
        </w:rPr>
        <w:t xml:space="preserve">Select an issue in education that you wish to explore. Presenting a short literature review to justify why the issue is important to the community; establish clear research question(s), aims and objectives for the research. </w:t>
      </w:r>
      <w:r w:rsidR="00604925" w:rsidRPr="000E3A78">
        <w:rPr>
          <w:rFonts w:ascii="Century Gothic" w:hAnsi="Century Gothic"/>
          <w:b/>
          <w:bCs/>
          <w:sz w:val="32"/>
          <w:szCs w:val="32"/>
          <w:highlight w:val="cyan"/>
        </w:rPr>
        <w:t>Written Assignment: 3200 words</w:t>
      </w:r>
    </w:p>
    <w:p w14:paraId="2B8794FA" w14:textId="77777777" w:rsidR="00223119" w:rsidRPr="00604925" w:rsidRDefault="00223119" w:rsidP="00E70CA2">
      <w:pPr>
        <w:spacing w:line="360" w:lineRule="auto"/>
        <w:rPr>
          <w:rFonts w:ascii="Century Gothic" w:hAnsi="Century Gothic"/>
          <w:b/>
          <w:bCs/>
          <w:sz w:val="52"/>
          <w:szCs w:val="52"/>
          <w:highlight w:val="magenta"/>
        </w:rPr>
      </w:pPr>
      <w:r w:rsidRPr="00604925">
        <w:rPr>
          <w:rFonts w:ascii="Century Gothic" w:hAnsi="Century Gothic"/>
          <w:b/>
          <w:bCs/>
          <w:sz w:val="52"/>
          <w:szCs w:val="52"/>
          <w:highlight w:val="magenta"/>
        </w:rPr>
        <w:t>Student Name: Laura Emanuel</w:t>
      </w:r>
    </w:p>
    <w:p w14:paraId="0B6B0201" w14:textId="77777777" w:rsidR="00223119" w:rsidRPr="00C95C1F" w:rsidRDefault="00223119" w:rsidP="00E70CA2">
      <w:pPr>
        <w:spacing w:line="360" w:lineRule="auto"/>
        <w:rPr>
          <w:rFonts w:ascii="Century Gothic" w:hAnsi="Century Gothic"/>
          <w:b/>
          <w:bCs/>
          <w:sz w:val="52"/>
          <w:szCs w:val="52"/>
        </w:rPr>
      </w:pPr>
      <w:r w:rsidRPr="00604925">
        <w:rPr>
          <w:rFonts w:ascii="Century Gothic" w:hAnsi="Century Gothic"/>
          <w:b/>
          <w:bCs/>
          <w:sz w:val="52"/>
          <w:szCs w:val="52"/>
          <w:highlight w:val="magenta"/>
        </w:rPr>
        <w:t>Student Number: 2308139</w:t>
      </w:r>
    </w:p>
    <w:p w14:paraId="394FE7C4" w14:textId="3076A6E8" w:rsidR="0007748C" w:rsidRPr="00C95C1F" w:rsidRDefault="0007748C" w:rsidP="00E70CA2">
      <w:pPr>
        <w:spacing w:line="360" w:lineRule="auto"/>
        <w:rPr>
          <w:rFonts w:ascii="Century Gothic" w:hAnsi="Century Gothic"/>
          <w:b/>
          <w:bCs/>
          <w:sz w:val="36"/>
          <w:szCs w:val="36"/>
        </w:rPr>
      </w:pPr>
      <w:r w:rsidRPr="00604925">
        <w:rPr>
          <w:rFonts w:ascii="Century Gothic" w:hAnsi="Century Gothic"/>
          <w:b/>
          <w:bCs/>
          <w:sz w:val="36"/>
          <w:szCs w:val="36"/>
          <w:highlight w:val="darkMagenta"/>
        </w:rPr>
        <w:t>Word Count:</w:t>
      </w:r>
      <w:r w:rsidR="00C95C1F" w:rsidRPr="00604925">
        <w:rPr>
          <w:rFonts w:ascii="Century Gothic" w:hAnsi="Century Gothic"/>
          <w:b/>
          <w:bCs/>
          <w:sz w:val="36"/>
          <w:szCs w:val="36"/>
          <w:highlight w:val="darkMagenta"/>
        </w:rPr>
        <w:t xml:space="preserve"> 33</w:t>
      </w:r>
      <w:r w:rsidR="005F0F0B">
        <w:rPr>
          <w:rFonts w:ascii="Century Gothic" w:hAnsi="Century Gothic"/>
          <w:b/>
          <w:bCs/>
          <w:sz w:val="36"/>
          <w:szCs w:val="36"/>
          <w:highlight w:val="darkMagenta"/>
        </w:rPr>
        <w:t>96</w:t>
      </w:r>
      <w:r w:rsidR="00C95C1F" w:rsidRPr="00604925">
        <w:rPr>
          <w:rFonts w:ascii="Century Gothic" w:hAnsi="Century Gothic"/>
          <w:b/>
          <w:bCs/>
          <w:sz w:val="36"/>
          <w:szCs w:val="36"/>
          <w:highlight w:val="darkMagenta"/>
        </w:rPr>
        <w:t xml:space="preserve"> words</w:t>
      </w:r>
    </w:p>
    <w:p w14:paraId="5A486C7A" w14:textId="12793025" w:rsidR="00223119" w:rsidRPr="00C95C1F" w:rsidRDefault="0007748C" w:rsidP="00E70CA2">
      <w:pPr>
        <w:pStyle w:val="Heading1"/>
        <w:spacing w:line="360" w:lineRule="auto"/>
        <w:rPr>
          <w:rFonts w:ascii="Century Gothic" w:hAnsi="Century Gothic"/>
        </w:rPr>
      </w:pPr>
      <w:r w:rsidRPr="00C95C1F">
        <w:rPr>
          <w:rFonts w:ascii="Century Gothic" w:hAnsi="Century Gothic"/>
        </w:rPr>
        <w:lastRenderedPageBreak/>
        <w:t>Contents</w:t>
      </w:r>
    </w:p>
    <w:p w14:paraId="5BC59FFC" w14:textId="0DE714EB" w:rsidR="0007748C" w:rsidRPr="00C95C1F" w:rsidRDefault="000919A7" w:rsidP="00E70CA2">
      <w:pPr>
        <w:spacing w:line="360" w:lineRule="auto"/>
        <w:rPr>
          <w:rFonts w:ascii="Century Gothic" w:hAnsi="Century Gothic"/>
          <w:b/>
          <w:bCs/>
          <w:sz w:val="52"/>
          <w:szCs w:val="52"/>
        </w:rPr>
      </w:pPr>
      <w:r w:rsidRPr="00C95C1F">
        <w:rPr>
          <w:rStyle w:val="Heading1Char"/>
          <w:rFonts w:ascii="Century Gothic" w:hAnsi="Century Gothic"/>
          <w:sz w:val="24"/>
          <w:szCs w:val="24"/>
        </w:rPr>
        <w:t>Aim, Focus and Purpose of the Research</w:t>
      </w:r>
      <w:r w:rsidR="00C95C1F">
        <w:rPr>
          <w:rStyle w:val="Heading1Char"/>
          <w:rFonts w:ascii="Century Gothic" w:hAnsi="Century Gothic"/>
          <w:sz w:val="24"/>
          <w:szCs w:val="24"/>
        </w:rPr>
        <w:tab/>
      </w:r>
      <w:r w:rsidR="00C95C1F">
        <w:rPr>
          <w:rStyle w:val="Heading1Char"/>
          <w:rFonts w:ascii="Century Gothic" w:hAnsi="Century Gothic"/>
          <w:sz w:val="24"/>
          <w:szCs w:val="24"/>
        </w:rPr>
        <w:tab/>
      </w:r>
      <w:r w:rsidR="00C95C1F">
        <w:rPr>
          <w:rStyle w:val="Heading1Char"/>
          <w:rFonts w:ascii="Century Gothic" w:hAnsi="Century Gothic"/>
          <w:sz w:val="24"/>
          <w:szCs w:val="24"/>
        </w:rPr>
        <w:tab/>
      </w:r>
      <w:r w:rsidR="00C95C1F">
        <w:rPr>
          <w:rStyle w:val="Heading1Char"/>
          <w:rFonts w:ascii="Century Gothic" w:hAnsi="Century Gothic"/>
          <w:sz w:val="24"/>
          <w:szCs w:val="24"/>
        </w:rPr>
        <w:tab/>
        <w:t>p3</w:t>
      </w:r>
    </w:p>
    <w:p w14:paraId="03040362" w14:textId="0A36C1F6" w:rsidR="00B22588" w:rsidRPr="00C95C1F" w:rsidRDefault="004A4B37" w:rsidP="00B22588">
      <w:pPr>
        <w:pStyle w:val="Heading1"/>
        <w:spacing w:line="360" w:lineRule="auto"/>
        <w:rPr>
          <w:rFonts w:ascii="Century Gothic" w:hAnsi="Century Gothic"/>
          <w:sz w:val="24"/>
          <w:szCs w:val="24"/>
        </w:rPr>
      </w:pPr>
      <w:bookmarkStart w:id="0" w:name="_Overview_of_relevant"/>
      <w:bookmarkEnd w:id="0"/>
      <w:r w:rsidRPr="00C95C1F">
        <w:rPr>
          <w:rStyle w:val="Heading1Char"/>
          <w:rFonts w:ascii="Century Gothic" w:hAnsi="Century Gothic"/>
          <w:sz w:val="24"/>
          <w:szCs w:val="24"/>
        </w:rPr>
        <w:t>Overview of relevant literature:</w:t>
      </w:r>
      <w:r w:rsidR="00C95C1F">
        <w:rPr>
          <w:rStyle w:val="Heading1Char"/>
          <w:rFonts w:ascii="Century Gothic" w:hAnsi="Century Gothic"/>
          <w:sz w:val="24"/>
          <w:szCs w:val="24"/>
        </w:rPr>
        <w:tab/>
      </w:r>
      <w:r w:rsidR="00C95C1F">
        <w:rPr>
          <w:rStyle w:val="Heading1Char"/>
          <w:rFonts w:ascii="Century Gothic" w:hAnsi="Century Gothic"/>
          <w:sz w:val="24"/>
          <w:szCs w:val="24"/>
        </w:rPr>
        <w:tab/>
      </w:r>
      <w:r w:rsidR="00C95C1F">
        <w:rPr>
          <w:rStyle w:val="Heading1Char"/>
          <w:rFonts w:ascii="Century Gothic" w:hAnsi="Century Gothic"/>
          <w:sz w:val="24"/>
          <w:szCs w:val="24"/>
        </w:rPr>
        <w:tab/>
      </w:r>
      <w:r w:rsidR="00C95C1F">
        <w:rPr>
          <w:rStyle w:val="Heading1Char"/>
          <w:rFonts w:ascii="Century Gothic" w:hAnsi="Century Gothic"/>
          <w:sz w:val="24"/>
          <w:szCs w:val="24"/>
        </w:rPr>
        <w:tab/>
      </w:r>
      <w:r w:rsidR="00C95C1F">
        <w:rPr>
          <w:rStyle w:val="Heading1Char"/>
          <w:rFonts w:ascii="Century Gothic" w:hAnsi="Century Gothic"/>
          <w:sz w:val="24"/>
          <w:szCs w:val="24"/>
        </w:rPr>
        <w:tab/>
      </w:r>
      <w:r w:rsidR="00C95C1F">
        <w:rPr>
          <w:rStyle w:val="Heading1Char"/>
          <w:rFonts w:ascii="Century Gothic" w:hAnsi="Century Gothic"/>
          <w:sz w:val="24"/>
          <w:szCs w:val="24"/>
        </w:rPr>
        <w:tab/>
        <w:t>p4</w:t>
      </w:r>
      <w:r w:rsidRPr="00C95C1F">
        <w:rPr>
          <w:rStyle w:val="Heading1Char"/>
          <w:rFonts w:ascii="Century Gothic" w:hAnsi="Century Gothic"/>
          <w:sz w:val="24"/>
          <w:szCs w:val="24"/>
        </w:rPr>
        <w:br/>
        <w:t xml:space="preserve">* </w:t>
      </w:r>
      <w:r w:rsidRPr="00C95C1F">
        <w:rPr>
          <w:rStyle w:val="Heading2Char"/>
          <w:rFonts w:ascii="Century Gothic" w:hAnsi="Century Gothic"/>
          <w:sz w:val="24"/>
          <w:szCs w:val="24"/>
        </w:rPr>
        <w:t>Theme 1: Models of Teacher Wellbeing</w:t>
      </w:r>
      <w:r w:rsidR="00C95C1F">
        <w:rPr>
          <w:rStyle w:val="Heading2Char"/>
          <w:rFonts w:ascii="Century Gothic" w:hAnsi="Century Gothic"/>
          <w:sz w:val="24"/>
          <w:szCs w:val="24"/>
        </w:rPr>
        <w:tab/>
      </w:r>
      <w:r w:rsidR="00C95C1F">
        <w:rPr>
          <w:rStyle w:val="Heading2Char"/>
          <w:rFonts w:ascii="Century Gothic" w:hAnsi="Century Gothic"/>
          <w:sz w:val="24"/>
          <w:szCs w:val="24"/>
        </w:rPr>
        <w:tab/>
      </w:r>
      <w:r w:rsidR="00C95C1F">
        <w:rPr>
          <w:rStyle w:val="Heading2Char"/>
          <w:rFonts w:ascii="Century Gothic" w:hAnsi="Century Gothic"/>
          <w:sz w:val="24"/>
          <w:szCs w:val="24"/>
        </w:rPr>
        <w:tab/>
      </w:r>
      <w:r w:rsidR="00C95C1F">
        <w:rPr>
          <w:rStyle w:val="Heading2Char"/>
          <w:rFonts w:ascii="Century Gothic" w:hAnsi="Century Gothic"/>
          <w:sz w:val="24"/>
          <w:szCs w:val="24"/>
        </w:rPr>
        <w:tab/>
        <w:t>p5</w:t>
      </w:r>
      <w:r w:rsidRPr="00C95C1F">
        <w:rPr>
          <w:rStyle w:val="Heading2Char"/>
          <w:rFonts w:ascii="Century Gothic" w:hAnsi="Century Gothic"/>
          <w:sz w:val="24"/>
          <w:szCs w:val="24"/>
        </w:rPr>
        <w:br/>
        <w:t xml:space="preserve">* </w:t>
      </w:r>
      <w:r w:rsidRPr="00C95C1F">
        <w:rPr>
          <w:rFonts w:ascii="Century Gothic" w:hAnsi="Century Gothic"/>
          <w:sz w:val="24"/>
          <w:szCs w:val="24"/>
        </w:rPr>
        <w:t>Theme 2: Factors Affecting Teacher Wellbeing</w:t>
      </w:r>
      <w:r w:rsidR="00C95C1F">
        <w:rPr>
          <w:rFonts w:ascii="Century Gothic" w:hAnsi="Century Gothic"/>
          <w:sz w:val="24"/>
          <w:szCs w:val="24"/>
        </w:rPr>
        <w:tab/>
      </w:r>
      <w:r w:rsidR="00C95C1F">
        <w:rPr>
          <w:rFonts w:ascii="Century Gothic" w:hAnsi="Century Gothic"/>
          <w:sz w:val="24"/>
          <w:szCs w:val="24"/>
        </w:rPr>
        <w:tab/>
      </w:r>
      <w:r w:rsidR="00C95C1F">
        <w:rPr>
          <w:rFonts w:ascii="Century Gothic" w:hAnsi="Century Gothic"/>
          <w:sz w:val="24"/>
          <w:szCs w:val="24"/>
        </w:rPr>
        <w:tab/>
        <w:t>p6</w:t>
      </w:r>
      <w:r w:rsidRPr="00C95C1F">
        <w:rPr>
          <w:rFonts w:ascii="Century Gothic" w:hAnsi="Century Gothic"/>
          <w:sz w:val="24"/>
          <w:szCs w:val="24"/>
        </w:rPr>
        <w:br/>
        <w:t>* Theme 3: Educational Visits and Experiential Learning</w:t>
      </w:r>
      <w:r w:rsidR="00C95C1F">
        <w:rPr>
          <w:rFonts w:ascii="Century Gothic" w:hAnsi="Century Gothic"/>
          <w:sz w:val="24"/>
          <w:szCs w:val="24"/>
        </w:rPr>
        <w:tab/>
      </w:r>
      <w:r w:rsidR="00C95C1F">
        <w:rPr>
          <w:rFonts w:ascii="Century Gothic" w:hAnsi="Century Gothic"/>
          <w:sz w:val="24"/>
          <w:szCs w:val="24"/>
        </w:rPr>
        <w:tab/>
        <w:t>p7</w:t>
      </w:r>
    </w:p>
    <w:p w14:paraId="2CE1F5B2" w14:textId="1FF243F3" w:rsidR="00C62468" w:rsidRPr="00C95C1F" w:rsidRDefault="00B22588" w:rsidP="00C62468">
      <w:pPr>
        <w:pStyle w:val="Heading1"/>
        <w:spacing w:line="360" w:lineRule="auto"/>
        <w:rPr>
          <w:rFonts w:ascii="Century Gothic" w:hAnsi="Century Gothic"/>
          <w:sz w:val="24"/>
          <w:szCs w:val="24"/>
        </w:rPr>
      </w:pPr>
      <w:r w:rsidRPr="00C95C1F">
        <w:rPr>
          <w:rFonts w:ascii="Century Gothic" w:hAnsi="Century Gothic"/>
          <w:sz w:val="24"/>
          <w:szCs w:val="24"/>
        </w:rPr>
        <w:t xml:space="preserve"> Relevance of the Literature to the Study</w:t>
      </w:r>
      <w:r w:rsidR="00C95C1F">
        <w:rPr>
          <w:rFonts w:ascii="Century Gothic" w:hAnsi="Century Gothic"/>
          <w:sz w:val="24"/>
          <w:szCs w:val="24"/>
        </w:rPr>
        <w:tab/>
      </w:r>
      <w:r w:rsidR="00C95C1F">
        <w:rPr>
          <w:rFonts w:ascii="Century Gothic" w:hAnsi="Century Gothic"/>
          <w:sz w:val="24"/>
          <w:szCs w:val="24"/>
        </w:rPr>
        <w:tab/>
      </w:r>
      <w:r w:rsidR="00C95C1F">
        <w:rPr>
          <w:rFonts w:ascii="Century Gothic" w:hAnsi="Century Gothic"/>
          <w:sz w:val="24"/>
          <w:szCs w:val="24"/>
        </w:rPr>
        <w:tab/>
      </w:r>
      <w:r w:rsidR="00C95C1F">
        <w:rPr>
          <w:rFonts w:ascii="Century Gothic" w:hAnsi="Century Gothic"/>
          <w:sz w:val="24"/>
          <w:szCs w:val="24"/>
        </w:rPr>
        <w:tab/>
        <w:t>p8</w:t>
      </w:r>
      <w:r w:rsidR="00C62468" w:rsidRPr="00C95C1F">
        <w:rPr>
          <w:rFonts w:ascii="Century Gothic" w:hAnsi="Century Gothic"/>
          <w:sz w:val="24"/>
          <w:szCs w:val="24"/>
        </w:rPr>
        <w:br/>
      </w:r>
      <w:r w:rsidR="00C62468" w:rsidRPr="00C95C1F">
        <w:rPr>
          <w:rFonts w:ascii="Century Gothic" w:hAnsi="Century Gothic"/>
          <w:sz w:val="24"/>
          <w:szCs w:val="24"/>
        </w:rPr>
        <w:br/>
        <w:t>Development of Research Questions</w:t>
      </w:r>
      <w:r w:rsidR="00C95C1F">
        <w:rPr>
          <w:rFonts w:ascii="Century Gothic" w:hAnsi="Century Gothic"/>
          <w:sz w:val="24"/>
          <w:szCs w:val="24"/>
        </w:rPr>
        <w:tab/>
      </w:r>
      <w:r w:rsidR="00C95C1F">
        <w:rPr>
          <w:rFonts w:ascii="Century Gothic" w:hAnsi="Century Gothic"/>
          <w:sz w:val="24"/>
          <w:szCs w:val="24"/>
        </w:rPr>
        <w:tab/>
      </w:r>
      <w:r w:rsidR="00C95C1F">
        <w:rPr>
          <w:rFonts w:ascii="Century Gothic" w:hAnsi="Century Gothic"/>
          <w:sz w:val="24"/>
          <w:szCs w:val="24"/>
        </w:rPr>
        <w:tab/>
      </w:r>
      <w:r w:rsidR="00C95C1F">
        <w:rPr>
          <w:rFonts w:ascii="Century Gothic" w:hAnsi="Century Gothic"/>
          <w:sz w:val="24"/>
          <w:szCs w:val="24"/>
        </w:rPr>
        <w:tab/>
      </w:r>
      <w:r w:rsidR="00C95C1F">
        <w:rPr>
          <w:rFonts w:ascii="Century Gothic" w:hAnsi="Century Gothic"/>
          <w:sz w:val="24"/>
          <w:szCs w:val="24"/>
        </w:rPr>
        <w:tab/>
        <w:t>p9</w:t>
      </w:r>
    </w:p>
    <w:p w14:paraId="5B8178DC" w14:textId="075A1500" w:rsidR="00C62468" w:rsidRPr="00C95C1F" w:rsidRDefault="00C62468" w:rsidP="00C62468">
      <w:pPr>
        <w:pStyle w:val="Heading1"/>
        <w:spacing w:line="360" w:lineRule="auto"/>
        <w:rPr>
          <w:rFonts w:ascii="Century Gothic" w:hAnsi="Century Gothic"/>
          <w:sz w:val="24"/>
          <w:szCs w:val="24"/>
        </w:rPr>
      </w:pPr>
      <w:r w:rsidRPr="00C95C1F">
        <w:rPr>
          <w:rFonts w:ascii="Century Gothic" w:hAnsi="Century Gothic"/>
          <w:sz w:val="24"/>
          <w:szCs w:val="24"/>
        </w:rPr>
        <w:t xml:space="preserve">Contribution to the Field </w:t>
      </w:r>
      <w:r w:rsidR="00C95C1F">
        <w:rPr>
          <w:rFonts w:ascii="Century Gothic" w:hAnsi="Century Gothic"/>
          <w:sz w:val="24"/>
          <w:szCs w:val="24"/>
        </w:rPr>
        <w:tab/>
      </w:r>
      <w:r w:rsidR="00C95C1F">
        <w:rPr>
          <w:rFonts w:ascii="Century Gothic" w:hAnsi="Century Gothic"/>
          <w:sz w:val="24"/>
          <w:szCs w:val="24"/>
        </w:rPr>
        <w:tab/>
      </w:r>
      <w:r w:rsidR="00C95C1F">
        <w:rPr>
          <w:rFonts w:ascii="Century Gothic" w:hAnsi="Century Gothic"/>
          <w:sz w:val="24"/>
          <w:szCs w:val="24"/>
        </w:rPr>
        <w:tab/>
      </w:r>
      <w:r w:rsidR="00C95C1F">
        <w:rPr>
          <w:rFonts w:ascii="Century Gothic" w:hAnsi="Century Gothic"/>
          <w:sz w:val="24"/>
          <w:szCs w:val="24"/>
        </w:rPr>
        <w:tab/>
      </w:r>
      <w:r w:rsidR="00C95C1F">
        <w:rPr>
          <w:rFonts w:ascii="Century Gothic" w:hAnsi="Century Gothic"/>
          <w:sz w:val="24"/>
          <w:szCs w:val="24"/>
        </w:rPr>
        <w:tab/>
      </w:r>
      <w:r w:rsidR="00C95C1F">
        <w:rPr>
          <w:rFonts w:ascii="Century Gothic" w:hAnsi="Century Gothic"/>
          <w:sz w:val="24"/>
          <w:szCs w:val="24"/>
        </w:rPr>
        <w:tab/>
      </w:r>
      <w:r w:rsidR="00C95C1F">
        <w:rPr>
          <w:rFonts w:ascii="Century Gothic" w:hAnsi="Century Gothic"/>
          <w:sz w:val="24"/>
          <w:szCs w:val="24"/>
        </w:rPr>
        <w:tab/>
        <w:t>p10</w:t>
      </w:r>
      <w:r w:rsidRPr="00C95C1F">
        <w:rPr>
          <w:rFonts w:ascii="Century Gothic" w:hAnsi="Century Gothic"/>
          <w:sz w:val="24"/>
          <w:szCs w:val="24"/>
        </w:rPr>
        <w:br/>
      </w:r>
      <w:r w:rsidRPr="00C95C1F">
        <w:rPr>
          <w:rFonts w:ascii="Century Gothic" w:hAnsi="Century Gothic"/>
          <w:sz w:val="24"/>
          <w:szCs w:val="24"/>
        </w:rPr>
        <w:br/>
        <w:t>Limitations to Proposed Research</w:t>
      </w:r>
      <w:r w:rsidR="00C95C1F">
        <w:rPr>
          <w:rFonts w:ascii="Century Gothic" w:hAnsi="Century Gothic"/>
          <w:sz w:val="24"/>
          <w:szCs w:val="24"/>
        </w:rPr>
        <w:tab/>
      </w:r>
      <w:r w:rsidR="00C95C1F">
        <w:rPr>
          <w:rFonts w:ascii="Century Gothic" w:hAnsi="Century Gothic"/>
          <w:sz w:val="24"/>
          <w:szCs w:val="24"/>
        </w:rPr>
        <w:tab/>
      </w:r>
      <w:r w:rsidR="00C95C1F">
        <w:rPr>
          <w:rFonts w:ascii="Century Gothic" w:hAnsi="Century Gothic"/>
          <w:sz w:val="24"/>
          <w:szCs w:val="24"/>
        </w:rPr>
        <w:tab/>
      </w:r>
      <w:r w:rsidR="00C95C1F">
        <w:rPr>
          <w:rFonts w:ascii="Century Gothic" w:hAnsi="Century Gothic"/>
          <w:sz w:val="24"/>
          <w:szCs w:val="24"/>
        </w:rPr>
        <w:tab/>
      </w:r>
      <w:r w:rsidR="00C95C1F">
        <w:rPr>
          <w:rFonts w:ascii="Century Gothic" w:hAnsi="Century Gothic"/>
          <w:sz w:val="24"/>
          <w:szCs w:val="24"/>
        </w:rPr>
        <w:tab/>
        <w:t>p12</w:t>
      </w:r>
      <w:r w:rsidRPr="00C95C1F">
        <w:rPr>
          <w:rFonts w:ascii="Century Gothic" w:hAnsi="Century Gothic"/>
          <w:sz w:val="24"/>
          <w:szCs w:val="24"/>
        </w:rPr>
        <w:br/>
      </w:r>
      <w:r w:rsidRPr="00C95C1F">
        <w:rPr>
          <w:rFonts w:ascii="Century Gothic" w:hAnsi="Century Gothic"/>
          <w:sz w:val="24"/>
          <w:szCs w:val="24"/>
        </w:rPr>
        <w:br/>
        <w:t>Reference List</w:t>
      </w:r>
      <w:r w:rsidR="00C95C1F">
        <w:rPr>
          <w:rFonts w:ascii="Century Gothic" w:hAnsi="Century Gothic"/>
          <w:sz w:val="24"/>
          <w:szCs w:val="24"/>
        </w:rPr>
        <w:tab/>
      </w:r>
      <w:r w:rsidR="00C95C1F">
        <w:rPr>
          <w:rFonts w:ascii="Century Gothic" w:hAnsi="Century Gothic"/>
          <w:sz w:val="24"/>
          <w:szCs w:val="24"/>
        </w:rPr>
        <w:tab/>
      </w:r>
      <w:r w:rsidR="00C95C1F">
        <w:rPr>
          <w:rFonts w:ascii="Century Gothic" w:hAnsi="Century Gothic"/>
          <w:sz w:val="24"/>
          <w:szCs w:val="24"/>
        </w:rPr>
        <w:tab/>
      </w:r>
      <w:r w:rsidR="00C95C1F">
        <w:rPr>
          <w:rFonts w:ascii="Century Gothic" w:hAnsi="Century Gothic"/>
          <w:sz w:val="24"/>
          <w:szCs w:val="24"/>
        </w:rPr>
        <w:tab/>
      </w:r>
      <w:r w:rsidR="00C95C1F">
        <w:rPr>
          <w:rFonts w:ascii="Century Gothic" w:hAnsi="Century Gothic"/>
          <w:sz w:val="24"/>
          <w:szCs w:val="24"/>
        </w:rPr>
        <w:tab/>
      </w:r>
      <w:r w:rsidR="00C95C1F">
        <w:rPr>
          <w:rFonts w:ascii="Century Gothic" w:hAnsi="Century Gothic"/>
          <w:sz w:val="24"/>
          <w:szCs w:val="24"/>
        </w:rPr>
        <w:tab/>
      </w:r>
      <w:r w:rsidR="00C95C1F">
        <w:rPr>
          <w:rFonts w:ascii="Century Gothic" w:hAnsi="Century Gothic"/>
          <w:sz w:val="24"/>
          <w:szCs w:val="24"/>
        </w:rPr>
        <w:tab/>
      </w:r>
      <w:r w:rsidR="00C95C1F">
        <w:rPr>
          <w:rFonts w:ascii="Century Gothic" w:hAnsi="Century Gothic"/>
          <w:sz w:val="24"/>
          <w:szCs w:val="24"/>
        </w:rPr>
        <w:tab/>
        <w:t>p13</w:t>
      </w:r>
    </w:p>
    <w:p w14:paraId="0B7B86CB" w14:textId="77777777" w:rsidR="00C62468" w:rsidRPr="00C95C1F" w:rsidRDefault="00C62468" w:rsidP="00C62468">
      <w:pPr>
        <w:rPr>
          <w:rFonts w:ascii="Century Gothic" w:hAnsi="Century Gothic"/>
        </w:rPr>
      </w:pPr>
    </w:p>
    <w:p w14:paraId="12C61A7E" w14:textId="77777777" w:rsidR="00C62468" w:rsidRPr="00C95C1F" w:rsidRDefault="00C62468" w:rsidP="00C62468">
      <w:pPr>
        <w:rPr>
          <w:rFonts w:ascii="Century Gothic" w:hAnsi="Century Gothic"/>
        </w:rPr>
      </w:pPr>
    </w:p>
    <w:p w14:paraId="44BC9F53" w14:textId="77777777" w:rsidR="00C62468" w:rsidRPr="00C95C1F" w:rsidRDefault="00C62468" w:rsidP="00C62468">
      <w:pPr>
        <w:rPr>
          <w:rFonts w:ascii="Century Gothic" w:hAnsi="Century Gothic"/>
        </w:rPr>
      </w:pPr>
    </w:p>
    <w:p w14:paraId="579C2241" w14:textId="2734FAA2" w:rsidR="004A4B37" w:rsidRPr="00C95C1F" w:rsidRDefault="004A4B37" w:rsidP="004A4B37">
      <w:pPr>
        <w:pStyle w:val="Heading2"/>
        <w:spacing w:line="360" w:lineRule="auto"/>
        <w:rPr>
          <w:rFonts w:ascii="Century Gothic" w:hAnsi="Century Gothic"/>
          <w:sz w:val="24"/>
          <w:szCs w:val="24"/>
        </w:rPr>
      </w:pPr>
    </w:p>
    <w:p w14:paraId="4DEA7ED3" w14:textId="77777777" w:rsidR="0007748C" w:rsidRPr="00C95C1F" w:rsidRDefault="0007748C" w:rsidP="00E70CA2">
      <w:pPr>
        <w:spacing w:line="360" w:lineRule="auto"/>
        <w:rPr>
          <w:rFonts w:ascii="Century Gothic" w:hAnsi="Century Gothic"/>
          <w:b/>
          <w:bCs/>
          <w:sz w:val="52"/>
          <w:szCs w:val="52"/>
        </w:rPr>
      </w:pPr>
    </w:p>
    <w:p w14:paraId="61A7A00A" w14:textId="77777777" w:rsidR="0007748C" w:rsidRPr="00C95C1F" w:rsidRDefault="0007748C" w:rsidP="00E70CA2">
      <w:pPr>
        <w:spacing w:line="360" w:lineRule="auto"/>
        <w:rPr>
          <w:rFonts w:ascii="Century Gothic" w:hAnsi="Century Gothic"/>
          <w:b/>
          <w:bCs/>
          <w:sz w:val="52"/>
          <w:szCs w:val="52"/>
        </w:rPr>
      </w:pPr>
    </w:p>
    <w:p w14:paraId="5DF9AE86" w14:textId="77777777" w:rsidR="00C62468" w:rsidRPr="00C95C1F" w:rsidRDefault="00C62468" w:rsidP="000919A7">
      <w:pPr>
        <w:spacing w:line="360" w:lineRule="auto"/>
        <w:rPr>
          <w:rStyle w:val="Heading1Char"/>
          <w:rFonts w:ascii="Century Gothic" w:hAnsi="Century Gothic"/>
          <w:sz w:val="24"/>
          <w:szCs w:val="24"/>
        </w:rPr>
      </w:pPr>
    </w:p>
    <w:p w14:paraId="4BDEFD7C" w14:textId="77777777" w:rsidR="00C62468" w:rsidRPr="00C95C1F" w:rsidRDefault="00C62468" w:rsidP="000919A7">
      <w:pPr>
        <w:spacing w:line="360" w:lineRule="auto"/>
        <w:rPr>
          <w:rStyle w:val="Heading1Char"/>
          <w:rFonts w:ascii="Century Gothic" w:hAnsi="Century Gothic"/>
          <w:sz w:val="24"/>
          <w:szCs w:val="24"/>
        </w:rPr>
      </w:pPr>
    </w:p>
    <w:p w14:paraId="1A6E17BF" w14:textId="4EA9318E" w:rsidR="00CD7389" w:rsidRPr="00C95C1F" w:rsidRDefault="00980C41" w:rsidP="000919A7">
      <w:pPr>
        <w:spacing w:line="360" w:lineRule="auto"/>
        <w:rPr>
          <w:rFonts w:ascii="Century Gothic" w:hAnsi="Century Gothic"/>
        </w:rPr>
      </w:pPr>
      <w:r w:rsidRPr="00C95C1F">
        <w:rPr>
          <w:rStyle w:val="Heading2Char"/>
          <w:rFonts w:ascii="Century Gothic" w:hAnsi="Century Gothic"/>
        </w:rPr>
        <w:lastRenderedPageBreak/>
        <w:t>Aim, Focus and Purpose of the Research</w:t>
      </w:r>
      <w:r w:rsidRPr="00C95C1F">
        <w:rPr>
          <w:rStyle w:val="Heading1Char"/>
          <w:rFonts w:ascii="Century Gothic" w:hAnsi="Century Gothic"/>
          <w:sz w:val="24"/>
          <w:szCs w:val="24"/>
        </w:rPr>
        <w:br/>
      </w:r>
      <w:r w:rsidR="00CD7389" w:rsidRPr="00C95C1F">
        <w:rPr>
          <w:rFonts w:ascii="Century Gothic" w:hAnsi="Century Gothic"/>
        </w:rPr>
        <w:t>Teacher wellbeing</w:t>
      </w:r>
      <w:r w:rsidR="0030470C" w:rsidRPr="00C95C1F">
        <w:rPr>
          <w:rFonts w:ascii="Century Gothic" w:hAnsi="Century Gothic"/>
        </w:rPr>
        <w:t>; we all have “wellbeing” and how it is currently being supported in teachers may be a contested topic</w:t>
      </w:r>
      <w:r w:rsidR="00485D4B" w:rsidRPr="00C95C1F">
        <w:rPr>
          <w:rFonts w:ascii="Century Gothic" w:hAnsi="Century Gothic"/>
        </w:rPr>
        <w:t>. I</w:t>
      </w:r>
      <w:r w:rsidR="00CD7389" w:rsidRPr="00C95C1F">
        <w:rPr>
          <w:rFonts w:ascii="Century Gothic" w:hAnsi="Century Gothic"/>
        </w:rPr>
        <w:t xml:space="preserve">n </w:t>
      </w:r>
      <w:r w:rsidR="00776EB1" w:rsidRPr="00C95C1F">
        <w:rPr>
          <w:rFonts w:ascii="Century Gothic" w:hAnsi="Century Gothic"/>
        </w:rPr>
        <w:t>their</w:t>
      </w:r>
      <w:r w:rsidR="00CD7389" w:rsidRPr="00C95C1F">
        <w:rPr>
          <w:rFonts w:ascii="Century Gothic" w:hAnsi="Century Gothic"/>
        </w:rPr>
        <w:t xml:space="preserve"> review,</w:t>
      </w:r>
      <w:r w:rsidR="00776EB1" w:rsidRPr="00C95C1F">
        <w:rPr>
          <w:rFonts w:ascii="Century Gothic" w:hAnsi="Century Gothic"/>
        </w:rPr>
        <w:t xml:space="preserve"> views from</w:t>
      </w:r>
      <w:r w:rsidR="00485D4B" w:rsidRPr="00C95C1F">
        <w:rPr>
          <w:rFonts w:ascii="Century Gothic" w:hAnsi="Century Gothic"/>
        </w:rPr>
        <w:t xml:space="preserve"> Ryff (1989)</w:t>
      </w:r>
      <w:r w:rsidR="00776EB1" w:rsidRPr="00C95C1F">
        <w:rPr>
          <w:rFonts w:ascii="Century Gothic" w:hAnsi="Century Gothic"/>
        </w:rPr>
        <w:t xml:space="preserve"> and</w:t>
      </w:r>
      <w:r w:rsidR="00485D4B" w:rsidRPr="00C95C1F">
        <w:rPr>
          <w:rFonts w:ascii="Century Gothic" w:hAnsi="Century Gothic"/>
        </w:rPr>
        <w:t xml:space="preserve"> </w:t>
      </w:r>
      <w:r w:rsidR="00776EB1" w:rsidRPr="00C95C1F">
        <w:rPr>
          <w:rFonts w:ascii="Century Gothic" w:hAnsi="Century Gothic"/>
        </w:rPr>
        <w:t>Diener (1984) contribute to</w:t>
      </w:r>
      <w:r w:rsidR="00CD7389" w:rsidRPr="00C95C1F">
        <w:rPr>
          <w:rFonts w:ascii="Century Gothic" w:hAnsi="Century Gothic"/>
        </w:rPr>
        <w:t xml:space="preserve"> Acton and Glasgow</w:t>
      </w:r>
      <w:r w:rsidR="00776EB1" w:rsidRPr="00C95C1F">
        <w:rPr>
          <w:rFonts w:ascii="Century Gothic" w:hAnsi="Century Gothic"/>
        </w:rPr>
        <w:t>’s</w:t>
      </w:r>
      <w:r w:rsidR="00CD7389" w:rsidRPr="00C95C1F">
        <w:rPr>
          <w:rFonts w:ascii="Century Gothic" w:hAnsi="Century Gothic"/>
        </w:rPr>
        <w:t xml:space="preserve"> (2015) definition</w:t>
      </w:r>
      <w:r w:rsidR="00776EB1" w:rsidRPr="00C95C1F">
        <w:rPr>
          <w:rFonts w:ascii="Century Gothic" w:hAnsi="Century Gothic"/>
        </w:rPr>
        <w:t>:</w:t>
      </w:r>
    </w:p>
    <w:p w14:paraId="0C91C924" w14:textId="09C3719F" w:rsidR="00CD7389" w:rsidRPr="00CD7389" w:rsidRDefault="0059523F" w:rsidP="000919A7">
      <w:pPr>
        <w:spacing w:line="360" w:lineRule="auto"/>
        <w:jc w:val="center"/>
        <w:rPr>
          <w:rFonts w:ascii="Century Gothic" w:hAnsi="Century Gothic"/>
          <w:i/>
          <w:iCs/>
        </w:rPr>
      </w:pPr>
      <w:r w:rsidRPr="00C95C1F">
        <w:rPr>
          <w:rFonts w:ascii="Century Gothic" w:hAnsi="Century Gothic"/>
          <w:i/>
          <w:iCs/>
        </w:rPr>
        <w:t>“</w:t>
      </w:r>
      <w:r w:rsidR="00CD7389" w:rsidRPr="00CD7389">
        <w:rPr>
          <w:rFonts w:ascii="Century Gothic" w:hAnsi="Century Gothic"/>
          <w:i/>
          <w:iCs/>
        </w:rPr>
        <w:t xml:space="preserve">Teacher wellbeing may be defined as an individual sense of personal professional fulfilment, satisfaction, purposefulness and happiness, constructed in a collaborative </w:t>
      </w:r>
      <w:r w:rsidR="000919A7" w:rsidRPr="00C95C1F">
        <w:rPr>
          <w:rFonts w:ascii="Century Gothic" w:hAnsi="Century Gothic"/>
          <w:i/>
          <w:iCs/>
        </w:rPr>
        <w:br/>
      </w:r>
      <w:r w:rsidR="00CD7389" w:rsidRPr="00CD7389">
        <w:rPr>
          <w:rFonts w:ascii="Century Gothic" w:hAnsi="Century Gothic"/>
          <w:i/>
          <w:iCs/>
        </w:rPr>
        <w:t>process with colleagues and students (p</w:t>
      </w:r>
      <w:r w:rsidRPr="00C95C1F">
        <w:rPr>
          <w:rFonts w:ascii="Century Gothic" w:hAnsi="Century Gothic"/>
          <w:i/>
          <w:iCs/>
        </w:rPr>
        <w:t>p</w:t>
      </w:r>
      <w:r w:rsidR="00CD7389" w:rsidRPr="00CD7389">
        <w:rPr>
          <w:rFonts w:ascii="Century Gothic" w:hAnsi="Century Gothic"/>
          <w:i/>
          <w:iCs/>
        </w:rPr>
        <w:t>. 102).</w:t>
      </w:r>
      <w:r w:rsidRPr="00C95C1F">
        <w:rPr>
          <w:rFonts w:ascii="Century Gothic" w:hAnsi="Century Gothic"/>
          <w:i/>
          <w:iCs/>
        </w:rPr>
        <w:t>”</w:t>
      </w:r>
    </w:p>
    <w:p w14:paraId="6363113B" w14:textId="68EB4555" w:rsidR="000A47E0" w:rsidRPr="00C95C1F" w:rsidRDefault="00A55DA2" w:rsidP="000919A7">
      <w:pPr>
        <w:spacing w:line="360" w:lineRule="auto"/>
        <w:rPr>
          <w:rFonts w:ascii="Century Gothic" w:hAnsi="Century Gothic"/>
        </w:rPr>
      </w:pPr>
      <w:r w:rsidRPr="00C95C1F">
        <w:rPr>
          <w:rFonts w:ascii="Century Gothic" w:hAnsi="Century Gothic"/>
        </w:rPr>
        <w:t xml:space="preserve">As a teacher educator in Wales, it is important to </w:t>
      </w:r>
      <w:r w:rsidR="007756EC" w:rsidRPr="00C95C1F">
        <w:rPr>
          <w:rFonts w:ascii="Century Gothic" w:hAnsi="Century Gothic"/>
        </w:rPr>
        <w:t xml:space="preserve">consider </w:t>
      </w:r>
      <w:r w:rsidR="00500599" w:rsidRPr="00C95C1F">
        <w:rPr>
          <w:rFonts w:ascii="Century Gothic" w:hAnsi="Century Gothic"/>
        </w:rPr>
        <w:t>e</w:t>
      </w:r>
      <w:r w:rsidRPr="00C95C1F">
        <w:rPr>
          <w:rFonts w:ascii="Century Gothic" w:hAnsi="Century Gothic"/>
        </w:rPr>
        <w:t xml:space="preserve">ducational research, linked closely to teacher retention, pupil outcomes, and overall school effectiveness (OECD, 2021). </w:t>
      </w:r>
      <w:r w:rsidR="002167CE" w:rsidRPr="00C95C1F">
        <w:rPr>
          <w:rFonts w:ascii="Century Gothic" w:hAnsi="Century Gothic"/>
        </w:rPr>
        <w:t xml:space="preserve">The aim of </w:t>
      </w:r>
      <w:r w:rsidR="002167CE" w:rsidRPr="00C95C1F">
        <w:rPr>
          <w:rFonts w:ascii="Century Gothic" w:hAnsi="Century Gothic"/>
          <w:i/>
          <w:iCs/>
        </w:rPr>
        <w:t>this</w:t>
      </w:r>
      <w:r w:rsidR="00980C41" w:rsidRPr="00C95C1F">
        <w:rPr>
          <w:rFonts w:ascii="Century Gothic" w:hAnsi="Century Gothic"/>
        </w:rPr>
        <w:t xml:space="preserve"> </w:t>
      </w:r>
      <w:r w:rsidRPr="00C95C1F">
        <w:rPr>
          <w:rFonts w:ascii="Century Gothic" w:hAnsi="Century Gothic"/>
        </w:rPr>
        <w:t xml:space="preserve">proposed </w:t>
      </w:r>
      <w:r w:rsidR="00980C41" w:rsidRPr="00C95C1F">
        <w:rPr>
          <w:rFonts w:ascii="Century Gothic" w:hAnsi="Century Gothic"/>
        </w:rPr>
        <w:t xml:space="preserve">research </w:t>
      </w:r>
      <w:r w:rsidR="002167CE" w:rsidRPr="00C95C1F">
        <w:rPr>
          <w:rFonts w:ascii="Century Gothic" w:hAnsi="Century Gothic"/>
        </w:rPr>
        <w:t xml:space="preserve">has evolved </w:t>
      </w:r>
      <w:r w:rsidR="00D74C91" w:rsidRPr="00C95C1F">
        <w:rPr>
          <w:rFonts w:ascii="Century Gothic" w:hAnsi="Century Gothic"/>
        </w:rPr>
        <w:t>from original ideas surrounding the impact of residential visits on the relationship between teacher and pupil</w:t>
      </w:r>
      <w:r w:rsidRPr="00C95C1F">
        <w:rPr>
          <w:rFonts w:ascii="Century Gothic" w:hAnsi="Century Gothic"/>
        </w:rPr>
        <w:t>, to solely focus on teachers, in the first instance</w:t>
      </w:r>
      <w:r w:rsidR="00D74C91" w:rsidRPr="00C95C1F">
        <w:rPr>
          <w:rFonts w:ascii="Century Gothic" w:hAnsi="Century Gothic"/>
        </w:rPr>
        <w:t xml:space="preserve">. </w:t>
      </w:r>
      <w:r w:rsidR="00C27D37" w:rsidRPr="00F85C88">
        <w:rPr>
          <w:rFonts w:ascii="Century Gothic" w:hAnsi="Century Gothic"/>
        </w:rPr>
        <w:t>In an educational context, residential visits are school-organised trips where pupils and staff stay away from home overnight, usually involving outdoor learning, team-building, cultural, or curriculum-linked activities</w:t>
      </w:r>
      <w:r w:rsidR="00C27D37">
        <w:rPr>
          <w:rFonts w:ascii="Century Gothic" w:hAnsi="Century Gothic"/>
        </w:rPr>
        <w:t xml:space="preserve"> (Learning Away, 2013)</w:t>
      </w:r>
      <w:r w:rsidR="00C27D37" w:rsidRPr="00F85C88">
        <w:rPr>
          <w:rFonts w:ascii="Century Gothic" w:hAnsi="Century Gothic"/>
        </w:rPr>
        <w:t xml:space="preserve"> -  although the term also lends itself to extended immersive visits whereby children may attend a location repeatedly over a long period of time. These visits typically take place at outdoor centres, camps, museums, or historical sites, and can last from one night to a week or more.</w:t>
      </w:r>
      <w:r w:rsidR="00C27D37">
        <w:rPr>
          <w:rFonts w:ascii="Century Gothic" w:hAnsi="Century Gothic"/>
        </w:rPr>
        <w:t xml:space="preserve"> </w:t>
      </w:r>
      <w:r w:rsidR="00D74C91" w:rsidRPr="00C95C1F">
        <w:rPr>
          <w:rFonts w:ascii="Century Gothic" w:hAnsi="Century Gothic"/>
        </w:rPr>
        <w:t xml:space="preserve">The </w:t>
      </w:r>
      <w:r w:rsidR="00832BCF" w:rsidRPr="00C95C1F">
        <w:rPr>
          <w:rFonts w:ascii="Century Gothic" w:hAnsi="Century Gothic"/>
        </w:rPr>
        <w:t xml:space="preserve">revised </w:t>
      </w:r>
      <w:r w:rsidR="00D74C91" w:rsidRPr="00C95C1F">
        <w:rPr>
          <w:rFonts w:ascii="Century Gothic" w:hAnsi="Century Gothic"/>
        </w:rPr>
        <w:t xml:space="preserve">aim is to </w:t>
      </w:r>
      <w:r w:rsidR="00980C41" w:rsidRPr="00C95C1F">
        <w:rPr>
          <w:rFonts w:ascii="Century Gothic" w:hAnsi="Century Gothic"/>
        </w:rPr>
        <w:t>explore how residential educational visits impact the wellbeing of primary school teachers in Wales</w:t>
      </w:r>
      <w:r w:rsidR="00500599" w:rsidRPr="00C95C1F">
        <w:rPr>
          <w:rFonts w:ascii="Century Gothic" w:hAnsi="Century Gothic"/>
        </w:rPr>
        <w:t>.</w:t>
      </w:r>
    </w:p>
    <w:p w14:paraId="3E970C01" w14:textId="7CB330DE" w:rsidR="00980C41" w:rsidRPr="00C95C1F" w:rsidRDefault="00CC28B9" w:rsidP="000919A7">
      <w:pPr>
        <w:spacing w:line="360" w:lineRule="auto"/>
        <w:rPr>
          <w:rFonts w:ascii="Century Gothic" w:hAnsi="Century Gothic"/>
        </w:rPr>
      </w:pPr>
      <w:r w:rsidRPr="00C95C1F">
        <w:rPr>
          <w:rFonts w:ascii="Century Gothic" w:hAnsi="Century Gothic"/>
        </w:rPr>
        <w:t>Th</w:t>
      </w:r>
      <w:r w:rsidR="00113EFC" w:rsidRPr="00C95C1F">
        <w:rPr>
          <w:rFonts w:ascii="Century Gothic" w:hAnsi="Century Gothic"/>
        </w:rPr>
        <w:t xml:space="preserve">is assignment </w:t>
      </w:r>
      <w:r w:rsidRPr="00C95C1F">
        <w:rPr>
          <w:rFonts w:ascii="Century Gothic" w:hAnsi="Century Gothic"/>
        </w:rPr>
        <w:t>hopes to outline relevant literature and inten</w:t>
      </w:r>
      <w:r w:rsidR="00774013" w:rsidRPr="00C95C1F">
        <w:rPr>
          <w:rFonts w:ascii="Century Gothic" w:hAnsi="Century Gothic"/>
        </w:rPr>
        <w:t>ds</w:t>
      </w:r>
      <w:r w:rsidRPr="00C95C1F">
        <w:rPr>
          <w:rFonts w:ascii="Century Gothic" w:hAnsi="Century Gothic"/>
        </w:rPr>
        <w:t xml:space="preserve"> to sharpen the focus </w:t>
      </w:r>
      <w:r w:rsidR="00774013" w:rsidRPr="00C95C1F">
        <w:rPr>
          <w:rFonts w:ascii="Century Gothic" w:hAnsi="Century Gothic"/>
        </w:rPr>
        <w:t>of future potential research by identifying</w:t>
      </w:r>
      <w:r w:rsidR="00F05E52" w:rsidRPr="00C95C1F">
        <w:rPr>
          <w:rFonts w:ascii="Century Gothic" w:hAnsi="Century Gothic"/>
        </w:rPr>
        <w:t xml:space="preserve"> gaps in existing research. </w:t>
      </w:r>
      <w:r w:rsidR="00980C41" w:rsidRPr="00C95C1F">
        <w:rPr>
          <w:rFonts w:ascii="Century Gothic" w:hAnsi="Century Gothic"/>
        </w:rPr>
        <w:t>Whil</w:t>
      </w:r>
      <w:r w:rsidR="00F05E52" w:rsidRPr="00C95C1F">
        <w:rPr>
          <w:rFonts w:ascii="Century Gothic" w:hAnsi="Century Gothic"/>
        </w:rPr>
        <w:t>e</w:t>
      </w:r>
      <w:r w:rsidR="00980C41" w:rsidRPr="00C95C1F">
        <w:rPr>
          <w:rFonts w:ascii="Century Gothic" w:hAnsi="Century Gothic"/>
        </w:rPr>
        <w:t xml:space="preserve"> educational visits are widely recognised for their benefits to pupils, particularly in enhancing confidence, social development, and experiential learning (Behrendt &amp; Franklin, 2014; Learning Away, 2015), the effects on teachers</w:t>
      </w:r>
      <w:r w:rsidR="00F05E52" w:rsidRPr="00C95C1F">
        <w:rPr>
          <w:rFonts w:ascii="Century Gothic" w:hAnsi="Century Gothic"/>
        </w:rPr>
        <w:t xml:space="preserve"> appear to</w:t>
      </w:r>
      <w:r w:rsidR="00980C41" w:rsidRPr="00C95C1F">
        <w:rPr>
          <w:rFonts w:ascii="Century Gothic" w:hAnsi="Century Gothic"/>
        </w:rPr>
        <w:t xml:space="preserve"> remain under-researched. This</w:t>
      </w:r>
      <w:r w:rsidR="00F05E52" w:rsidRPr="00C95C1F">
        <w:rPr>
          <w:rFonts w:ascii="Century Gothic" w:hAnsi="Century Gothic"/>
        </w:rPr>
        <w:t xml:space="preserve"> proposed study hopes to </w:t>
      </w:r>
      <w:r w:rsidR="00980C41" w:rsidRPr="00C95C1F">
        <w:rPr>
          <w:rFonts w:ascii="Century Gothic" w:hAnsi="Century Gothic"/>
        </w:rPr>
        <w:t>address that gap by focusing on the emotional, relational, and professional dimensions of teacher wellbeing</w:t>
      </w:r>
      <w:r w:rsidR="00C409CA" w:rsidRPr="00C95C1F">
        <w:rPr>
          <w:rFonts w:ascii="Century Gothic" w:hAnsi="Century Gothic"/>
        </w:rPr>
        <w:t xml:space="preserve"> before,</w:t>
      </w:r>
      <w:r w:rsidR="00980C41" w:rsidRPr="00C95C1F">
        <w:rPr>
          <w:rFonts w:ascii="Century Gothic" w:hAnsi="Century Gothic"/>
        </w:rPr>
        <w:t xml:space="preserve"> during and after residential trips.</w:t>
      </w:r>
    </w:p>
    <w:p w14:paraId="43B44713" w14:textId="329EC7B9" w:rsidR="00980C41" w:rsidRPr="00C95C1F" w:rsidRDefault="00980C41" w:rsidP="000919A7">
      <w:pPr>
        <w:spacing w:line="360" w:lineRule="auto"/>
        <w:rPr>
          <w:rFonts w:ascii="Century Gothic" w:hAnsi="Century Gothic"/>
        </w:rPr>
      </w:pPr>
      <w:r w:rsidRPr="00C95C1F">
        <w:rPr>
          <w:rFonts w:ascii="Century Gothic" w:hAnsi="Century Gothic"/>
        </w:rPr>
        <w:t xml:space="preserve">The </w:t>
      </w:r>
      <w:r w:rsidR="00BB0EA4" w:rsidRPr="00C95C1F">
        <w:rPr>
          <w:rFonts w:ascii="Century Gothic" w:hAnsi="Century Gothic"/>
        </w:rPr>
        <w:t>exploration</w:t>
      </w:r>
      <w:r w:rsidRPr="00C95C1F">
        <w:rPr>
          <w:rFonts w:ascii="Century Gothic" w:hAnsi="Century Gothic"/>
        </w:rPr>
        <w:t xml:space="preserve"> </w:t>
      </w:r>
      <w:r w:rsidR="00C409CA" w:rsidRPr="00C95C1F">
        <w:rPr>
          <w:rFonts w:ascii="Century Gothic" w:hAnsi="Century Gothic"/>
        </w:rPr>
        <w:t xml:space="preserve">may be considered </w:t>
      </w:r>
      <w:r w:rsidR="00847A78" w:rsidRPr="00C95C1F">
        <w:rPr>
          <w:rFonts w:ascii="Century Gothic" w:hAnsi="Century Gothic"/>
        </w:rPr>
        <w:t>one of</w:t>
      </w:r>
      <w:r w:rsidR="00C409CA" w:rsidRPr="00C95C1F">
        <w:rPr>
          <w:rFonts w:ascii="Century Gothic" w:hAnsi="Century Gothic"/>
        </w:rPr>
        <w:t xml:space="preserve"> personal </w:t>
      </w:r>
      <w:r w:rsidR="00847A78" w:rsidRPr="00C95C1F">
        <w:rPr>
          <w:rFonts w:ascii="Century Gothic" w:hAnsi="Century Gothic"/>
        </w:rPr>
        <w:t xml:space="preserve">interest </w:t>
      </w:r>
      <w:r w:rsidR="00C409CA" w:rsidRPr="00C95C1F">
        <w:rPr>
          <w:rFonts w:ascii="Century Gothic" w:hAnsi="Century Gothic"/>
        </w:rPr>
        <w:t>relating to the researchers</w:t>
      </w:r>
      <w:r w:rsidR="00BC1DEB" w:rsidRPr="00C95C1F">
        <w:rPr>
          <w:rFonts w:ascii="Century Gothic" w:hAnsi="Century Gothic"/>
        </w:rPr>
        <w:t>’</w:t>
      </w:r>
      <w:r w:rsidR="00C409CA" w:rsidRPr="00C95C1F">
        <w:rPr>
          <w:rFonts w:ascii="Century Gothic" w:hAnsi="Century Gothic"/>
        </w:rPr>
        <w:t xml:space="preserve"> own passion towards experiential learning </w:t>
      </w:r>
      <w:r w:rsidR="008470ED" w:rsidRPr="00C95C1F">
        <w:rPr>
          <w:rFonts w:ascii="Century Gothic" w:hAnsi="Century Gothic"/>
        </w:rPr>
        <w:t>through</w:t>
      </w:r>
      <w:r w:rsidRPr="00C95C1F">
        <w:rPr>
          <w:rFonts w:ascii="Century Gothic" w:hAnsi="Century Gothic"/>
        </w:rPr>
        <w:t xml:space="preserve"> involvement in national projects such as </w:t>
      </w:r>
      <w:r w:rsidRPr="00C95C1F">
        <w:rPr>
          <w:rFonts w:ascii="Century Gothic" w:hAnsi="Century Gothic"/>
          <w:i/>
          <w:iCs/>
        </w:rPr>
        <w:t>My Primary School is at the Museum</w:t>
      </w:r>
      <w:r w:rsidR="008470ED" w:rsidRPr="00C95C1F">
        <w:rPr>
          <w:rFonts w:ascii="Century Gothic" w:hAnsi="Century Gothic"/>
          <w:i/>
          <w:iCs/>
        </w:rPr>
        <w:t xml:space="preserve"> </w:t>
      </w:r>
      <w:r w:rsidR="008470ED" w:rsidRPr="00C95C1F">
        <w:rPr>
          <w:rFonts w:ascii="Century Gothic" w:hAnsi="Century Gothic"/>
        </w:rPr>
        <w:t xml:space="preserve">(Kings College, 2015). </w:t>
      </w:r>
      <w:r w:rsidRPr="00C95C1F">
        <w:rPr>
          <w:rFonts w:ascii="Century Gothic" w:hAnsi="Century Gothic"/>
        </w:rPr>
        <w:t xml:space="preserve"> I observed how immersive experiences </w:t>
      </w:r>
      <w:r w:rsidR="008470ED" w:rsidRPr="00C95C1F">
        <w:rPr>
          <w:rFonts w:ascii="Century Gothic" w:hAnsi="Century Gothic"/>
        </w:rPr>
        <w:t>can secure</w:t>
      </w:r>
      <w:r w:rsidRPr="00C95C1F">
        <w:rPr>
          <w:rFonts w:ascii="Century Gothic" w:hAnsi="Century Gothic"/>
        </w:rPr>
        <w:t xml:space="preserve"> positive shifts in teacher motivation, connection, and emotional </w:t>
      </w:r>
      <w:r w:rsidRPr="00C95C1F">
        <w:rPr>
          <w:rFonts w:ascii="Century Gothic" w:hAnsi="Century Gothic"/>
        </w:rPr>
        <w:lastRenderedPageBreak/>
        <w:t>engagement</w:t>
      </w:r>
      <w:r w:rsidR="008470ED" w:rsidRPr="00C95C1F">
        <w:rPr>
          <w:rFonts w:ascii="Century Gothic" w:hAnsi="Century Gothic"/>
        </w:rPr>
        <w:t xml:space="preserve"> and a</w:t>
      </w:r>
      <w:r w:rsidRPr="00C95C1F">
        <w:rPr>
          <w:rFonts w:ascii="Century Gothic" w:hAnsi="Century Gothic"/>
        </w:rPr>
        <w:t>s a post-positivist researcher</w:t>
      </w:r>
      <w:r w:rsidR="00A811D6" w:rsidRPr="00C95C1F">
        <w:rPr>
          <w:rFonts w:ascii="Century Gothic" w:hAnsi="Century Gothic"/>
        </w:rPr>
        <w:t xml:space="preserve"> (Creswell, 2014); </w:t>
      </w:r>
      <w:r w:rsidR="00E70CA2" w:rsidRPr="00C95C1F">
        <w:rPr>
          <w:rFonts w:ascii="Century Gothic" w:hAnsi="Century Gothic"/>
        </w:rPr>
        <w:t>Phillips &amp; Burbules, 2000)</w:t>
      </w:r>
      <w:r w:rsidRPr="00C95C1F">
        <w:rPr>
          <w:rFonts w:ascii="Century Gothic" w:hAnsi="Century Gothic"/>
        </w:rPr>
        <w:t>, I believe these experiences, though subjective, produce observable patterns in wellbeing that can inform wider practice.</w:t>
      </w:r>
    </w:p>
    <w:p w14:paraId="76176D08" w14:textId="01EF763F" w:rsidR="00980C41" w:rsidRPr="00C95C1F" w:rsidRDefault="00980C41" w:rsidP="000919A7">
      <w:pPr>
        <w:spacing w:line="360" w:lineRule="auto"/>
        <w:rPr>
          <w:rFonts w:ascii="Century Gothic" w:hAnsi="Century Gothic"/>
        </w:rPr>
      </w:pPr>
      <w:r w:rsidRPr="00C95C1F">
        <w:rPr>
          <w:rFonts w:ascii="Century Gothic" w:hAnsi="Century Gothic"/>
        </w:rPr>
        <w:t xml:space="preserve">The research is </w:t>
      </w:r>
      <w:r w:rsidR="00E70CA2" w:rsidRPr="00C95C1F">
        <w:rPr>
          <w:rFonts w:ascii="Century Gothic" w:hAnsi="Century Gothic"/>
        </w:rPr>
        <w:t>aligned with</w:t>
      </w:r>
      <w:r w:rsidRPr="00C95C1F">
        <w:rPr>
          <w:rFonts w:ascii="Century Gothic" w:hAnsi="Century Gothic"/>
        </w:rPr>
        <w:t xml:space="preserve"> the Welsh education policy context, including the Curriculum for Wales (2022) and the Well-being of Future Generations (Wales) Act (2015), which emphasise wellbeing as a key goal for educators and learners alike. Findings</w:t>
      </w:r>
      <w:r w:rsidR="00E70CA2" w:rsidRPr="00C95C1F">
        <w:rPr>
          <w:rFonts w:ascii="Century Gothic" w:hAnsi="Century Gothic"/>
        </w:rPr>
        <w:t xml:space="preserve"> of the suggested research</w:t>
      </w:r>
      <w:r w:rsidRPr="00C95C1F">
        <w:rPr>
          <w:rFonts w:ascii="Century Gothic" w:hAnsi="Century Gothic"/>
        </w:rPr>
        <w:t xml:space="preserve"> </w:t>
      </w:r>
      <w:r w:rsidR="00E70CA2" w:rsidRPr="00C95C1F">
        <w:rPr>
          <w:rFonts w:ascii="Century Gothic" w:hAnsi="Century Gothic"/>
        </w:rPr>
        <w:t>may</w:t>
      </w:r>
      <w:r w:rsidRPr="00C95C1F">
        <w:rPr>
          <w:rFonts w:ascii="Century Gothic" w:hAnsi="Century Gothic"/>
        </w:rPr>
        <w:t xml:space="preserve"> be relevant to teachers, school leaders, Estyn, and policymakers seeking to support teacher wellbeing in sustainable, experience-based ways.</w:t>
      </w:r>
    </w:p>
    <w:p w14:paraId="04C99D22" w14:textId="68957FF7" w:rsidR="00980C41" w:rsidRPr="00C95C1F" w:rsidRDefault="00980C41" w:rsidP="000919A7">
      <w:pPr>
        <w:spacing w:line="360" w:lineRule="auto"/>
        <w:rPr>
          <w:rFonts w:ascii="Century Gothic" w:hAnsi="Century Gothic"/>
        </w:rPr>
      </w:pPr>
      <w:r w:rsidRPr="00C95C1F">
        <w:rPr>
          <w:rStyle w:val="Heading2Char"/>
          <w:rFonts w:ascii="Century Gothic" w:hAnsi="Century Gothic"/>
        </w:rPr>
        <w:t xml:space="preserve">Overview of </w:t>
      </w:r>
      <w:r w:rsidR="006B33AA">
        <w:rPr>
          <w:rStyle w:val="Heading2Char"/>
          <w:rFonts w:ascii="Century Gothic" w:hAnsi="Century Gothic"/>
        </w:rPr>
        <w:t>R</w:t>
      </w:r>
      <w:r w:rsidRPr="00C95C1F">
        <w:rPr>
          <w:rStyle w:val="Heading2Char"/>
          <w:rFonts w:ascii="Century Gothic" w:hAnsi="Century Gothic"/>
        </w:rPr>
        <w:t xml:space="preserve">elevant </w:t>
      </w:r>
      <w:r w:rsidR="006B33AA">
        <w:rPr>
          <w:rStyle w:val="Heading2Char"/>
          <w:rFonts w:ascii="Century Gothic" w:hAnsi="Century Gothic"/>
        </w:rPr>
        <w:t>L</w:t>
      </w:r>
      <w:r w:rsidRPr="00C95C1F">
        <w:rPr>
          <w:rStyle w:val="Heading2Char"/>
          <w:rFonts w:ascii="Century Gothic" w:hAnsi="Century Gothic"/>
        </w:rPr>
        <w:t>iterature</w:t>
      </w:r>
      <w:r w:rsidRPr="00C95C1F">
        <w:rPr>
          <w:rFonts w:ascii="Century Gothic" w:hAnsi="Century Gothic"/>
        </w:rPr>
        <w:br/>
        <w:t xml:space="preserve">Teacher wellbeing is a central concern in contemporary education policy and research, </w:t>
      </w:r>
      <w:r w:rsidR="00C52375" w:rsidRPr="00C95C1F">
        <w:rPr>
          <w:rFonts w:ascii="Century Gothic" w:hAnsi="Century Gothic"/>
        </w:rPr>
        <w:t>as mentioned this</w:t>
      </w:r>
      <w:r w:rsidR="006B33AA">
        <w:rPr>
          <w:rFonts w:ascii="Century Gothic" w:hAnsi="Century Gothic"/>
        </w:rPr>
        <w:t xml:space="preserve"> is</w:t>
      </w:r>
      <w:r w:rsidR="00C52375" w:rsidRPr="00C95C1F">
        <w:rPr>
          <w:rFonts w:ascii="Century Gothic" w:hAnsi="Century Gothic"/>
        </w:rPr>
        <w:t xml:space="preserve"> </w:t>
      </w:r>
      <w:r w:rsidRPr="00C95C1F">
        <w:rPr>
          <w:rFonts w:ascii="Century Gothic" w:hAnsi="Century Gothic"/>
        </w:rPr>
        <w:t>especially</w:t>
      </w:r>
      <w:r w:rsidR="00C52375" w:rsidRPr="00C95C1F">
        <w:rPr>
          <w:rFonts w:ascii="Century Gothic" w:hAnsi="Century Gothic"/>
        </w:rPr>
        <w:t xml:space="preserve"> relevant</w:t>
      </w:r>
      <w:r w:rsidRPr="00C95C1F">
        <w:rPr>
          <w:rFonts w:ascii="Century Gothic" w:hAnsi="Century Gothic"/>
        </w:rPr>
        <w:t xml:space="preserve"> in Wales where the Curriculum for Wales (2022) and the Well-being of Future Generations (Wales) Act 2015</w:t>
      </w:r>
      <w:r w:rsidR="006B33AA">
        <w:rPr>
          <w:rFonts w:ascii="Century Gothic" w:hAnsi="Century Gothic"/>
        </w:rPr>
        <w:t>,</w:t>
      </w:r>
      <w:r w:rsidRPr="00C95C1F">
        <w:rPr>
          <w:rFonts w:ascii="Century Gothic" w:hAnsi="Century Gothic"/>
        </w:rPr>
        <w:t xml:space="preserve"> place wellbeing at the heart of the educational mission. The </w:t>
      </w:r>
      <w:r w:rsidR="001B5BB1" w:rsidRPr="00C95C1F">
        <w:rPr>
          <w:rFonts w:ascii="Century Gothic" w:hAnsi="Century Gothic"/>
        </w:rPr>
        <w:t>Organisation for Economic Co-operation and Development (OECD)</w:t>
      </w:r>
      <w:r w:rsidRPr="00C95C1F">
        <w:rPr>
          <w:rFonts w:ascii="Century Gothic" w:hAnsi="Century Gothic"/>
        </w:rPr>
        <w:t xml:space="preserve"> (2021) highlights teacher wellbeing as essential to both staff retention and student outcomes, while Estyn (2023) continues to emphasise the importance of emotionally safe school environments for both pupils and staff</w:t>
      </w:r>
      <w:r w:rsidR="00973669" w:rsidRPr="00C95C1F">
        <w:rPr>
          <w:rFonts w:ascii="Century Gothic" w:hAnsi="Century Gothic"/>
        </w:rPr>
        <w:t xml:space="preserve"> in their annual report</w:t>
      </w:r>
      <w:r w:rsidRPr="00C95C1F">
        <w:rPr>
          <w:rFonts w:ascii="Century Gothic" w:hAnsi="Century Gothic"/>
        </w:rPr>
        <w:t>. Despite this, much of the existing literature and policy development has prioritised pupil wellbeing, with limited exploration of what supports adult wellbeing beyond standard school interventions. In particular, the emotional and professional effects of residential educational visits on teachers remain under-researched.</w:t>
      </w:r>
      <w:r w:rsidR="00A90C63" w:rsidRPr="00C95C1F">
        <w:rPr>
          <w:rFonts w:ascii="Century Gothic" w:hAnsi="Century Gothic"/>
        </w:rPr>
        <w:t xml:space="preserve"> </w:t>
      </w:r>
    </w:p>
    <w:p w14:paraId="2FE0504E" w14:textId="32A6B298" w:rsidR="00A90C63" w:rsidRPr="00C95C1F" w:rsidRDefault="00A90C63" w:rsidP="000919A7">
      <w:pPr>
        <w:spacing w:line="360" w:lineRule="auto"/>
        <w:rPr>
          <w:rFonts w:ascii="Century Gothic" w:hAnsi="Century Gothic"/>
        </w:rPr>
      </w:pPr>
      <w:r w:rsidRPr="00C95C1F">
        <w:rPr>
          <w:rFonts w:ascii="Century Gothic" w:hAnsi="Century Gothic"/>
        </w:rPr>
        <w:t xml:space="preserve">Some initial reading </w:t>
      </w:r>
      <w:r w:rsidR="00AC670B" w:rsidRPr="00C95C1F">
        <w:rPr>
          <w:rFonts w:ascii="Century Gothic" w:hAnsi="Century Gothic"/>
        </w:rPr>
        <w:t>of r</w:t>
      </w:r>
      <w:r w:rsidRPr="00C95C1F">
        <w:rPr>
          <w:rFonts w:ascii="Century Gothic" w:hAnsi="Century Gothic"/>
        </w:rPr>
        <w:t>ecent literature suggests that residential educational visits may significantly influence teacher wellbeing and professional relationships, although the strength and scope of the evidence varies. F</w:t>
      </w:r>
      <w:r w:rsidR="005045B4" w:rsidRPr="00C95C1F">
        <w:rPr>
          <w:rFonts w:ascii="Century Gothic" w:hAnsi="Century Gothic"/>
        </w:rPr>
        <w:t>a</w:t>
      </w:r>
      <w:r w:rsidRPr="00C95C1F">
        <w:rPr>
          <w:rFonts w:ascii="Century Gothic" w:hAnsi="Century Gothic"/>
        </w:rPr>
        <w:t>gerstam (2014), through a qualitative study in Sweden, highlights how outdoor learning environments reduce teacher stress and enhance intrinsic motivation. The use of semi-structured interviews</w:t>
      </w:r>
      <w:r w:rsidR="008D4668" w:rsidRPr="00C95C1F">
        <w:rPr>
          <w:rFonts w:ascii="Century Gothic" w:hAnsi="Century Gothic"/>
        </w:rPr>
        <w:t xml:space="preserve"> within this study</w:t>
      </w:r>
      <w:r w:rsidRPr="00C95C1F">
        <w:rPr>
          <w:rFonts w:ascii="Century Gothic" w:hAnsi="Century Gothic"/>
        </w:rPr>
        <w:t xml:space="preserve"> allows for a nuanced understanding of teacher experiences, offering insight into how time spent in less formal settings </w:t>
      </w:r>
      <w:r w:rsidR="008D4668" w:rsidRPr="00C95C1F">
        <w:rPr>
          <w:rFonts w:ascii="Century Gothic" w:hAnsi="Century Gothic"/>
        </w:rPr>
        <w:t>enhances</w:t>
      </w:r>
      <w:r w:rsidRPr="00C95C1F">
        <w:rPr>
          <w:rFonts w:ascii="Century Gothic" w:hAnsi="Century Gothic"/>
        </w:rPr>
        <w:t xml:space="preserve"> emotional resilience and renewed pedagogical enthusiasm</w:t>
      </w:r>
      <w:r w:rsidR="008D4668" w:rsidRPr="00C95C1F">
        <w:rPr>
          <w:rFonts w:ascii="Century Gothic" w:hAnsi="Century Gothic"/>
        </w:rPr>
        <w:t xml:space="preserve"> – aligning to the previous experiences mentioned</w:t>
      </w:r>
      <w:r w:rsidRPr="00C95C1F">
        <w:rPr>
          <w:rFonts w:ascii="Century Gothic" w:hAnsi="Century Gothic"/>
        </w:rPr>
        <w:t xml:space="preserve">. However, the study’s limited sample size and international context present challenges for generalisability to the Welsh education system. These limitations are partially mitigated by national reports, such as Estyn’s (2021) </w:t>
      </w:r>
      <w:r w:rsidRPr="00C95C1F">
        <w:rPr>
          <w:rFonts w:ascii="Century Gothic" w:hAnsi="Century Gothic"/>
        </w:rPr>
        <w:lastRenderedPageBreak/>
        <w:t>summary of engagement calls, which provides contextually relevant evidence that Welsh schools are increasingly turning to outdoor and residential experiences to support both staff and pupil wellbeing</w:t>
      </w:r>
      <w:r w:rsidR="00334E46" w:rsidRPr="00C95C1F">
        <w:rPr>
          <w:rFonts w:ascii="Century Gothic" w:hAnsi="Century Gothic"/>
        </w:rPr>
        <w:t xml:space="preserve"> – critically, if you note the dates of this report it gathers data pre-covid school closures and is based on a time before the full implementation of the Curriculum for Wales.</w:t>
      </w:r>
      <w:r w:rsidRPr="00C95C1F">
        <w:rPr>
          <w:rFonts w:ascii="Century Gothic" w:hAnsi="Century Gothic"/>
        </w:rPr>
        <w:t xml:space="preserve"> While not peer-reviewed, Estyn’s account offers valuable practitioner perspectives that reflect how shared experiences beyond the classroom may enhance teacher–pupil relationships and trust.</w:t>
      </w:r>
    </w:p>
    <w:p w14:paraId="459DCCBC" w14:textId="119F6B81" w:rsidR="00980C41" w:rsidRPr="00C95C1F" w:rsidRDefault="00980C41" w:rsidP="000919A7">
      <w:pPr>
        <w:spacing w:line="360" w:lineRule="auto"/>
        <w:rPr>
          <w:rFonts w:ascii="Century Gothic" w:hAnsi="Century Gothic"/>
        </w:rPr>
      </w:pPr>
      <w:r w:rsidRPr="00C95C1F">
        <w:rPr>
          <w:rFonts w:ascii="Century Gothic" w:hAnsi="Century Gothic"/>
        </w:rPr>
        <w:t>This literature review aims to address that gap by exploring key models of teacher wellbeing, factors influencing it, and the role that experiential learning — particularly residential visits — might play in improving it. The review draws on psychological theories, empirical studies, and Welsh policy frameworks to justify the focus of this research and to identify where new contributions are needed.</w:t>
      </w:r>
      <w:r w:rsidR="009539A9" w:rsidRPr="00C95C1F">
        <w:rPr>
          <w:rFonts w:ascii="Century Gothic" w:hAnsi="Century Gothic"/>
        </w:rPr>
        <w:t xml:space="preserve"> As there are many components to the research surrounding teacher wellbeing linked to school visits, the literature has been split into “themes”. </w:t>
      </w:r>
    </w:p>
    <w:p w14:paraId="51C428A7" w14:textId="2BEBE445" w:rsidR="00980C41" w:rsidRPr="00C95C1F" w:rsidRDefault="00980C41" w:rsidP="000919A7">
      <w:pPr>
        <w:spacing w:line="360" w:lineRule="auto"/>
        <w:rPr>
          <w:rFonts w:ascii="Century Gothic" w:hAnsi="Century Gothic"/>
        </w:rPr>
      </w:pPr>
    </w:p>
    <w:p w14:paraId="6D587F22" w14:textId="6F82BE1F" w:rsidR="00980C41" w:rsidRPr="00C95C1F" w:rsidRDefault="00980C41" w:rsidP="005045B4">
      <w:pPr>
        <w:spacing w:line="360" w:lineRule="auto"/>
        <w:rPr>
          <w:rFonts w:ascii="Century Gothic" w:eastAsiaTheme="majorEastAsia" w:hAnsi="Century Gothic" w:cstheme="majorBidi"/>
          <w:color w:val="0F4761" w:themeColor="accent1" w:themeShade="BF"/>
        </w:rPr>
      </w:pPr>
      <w:r w:rsidRPr="00C95C1F">
        <w:rPr>
          <w:rStyle w:val="Heading2Char"/>
          <w:rFonts w:ascii="Century Gothic" w:hAnsi="Century Gothic"/>
        </w:rPr>
        <w:t>Theme 1: Models of Teacher Wellbeing</w:t>
      </w:r>
      <w:r w:rsidRPr="00C95C1F">
        <w:rPr>
          <w:rFonts w:ascii="Century Gothic" w:hAnsi="Century Gothic"/>
        </w:rPr>
        <w:br/>
        <w:t>Teacher wellbeing is best understood as a multi-dimensional construct encompassing emotional, psychological, relational, and professional elements (Viac &amp; Fraser, 2020). Rather than being the absence of stress</w:t>
      </w:r>
      <w:r w:rsidR="00512B8E" w:rsidRPr="00C95C1F">
        <w:rPr>
          <w:rFonts w:ascii="Century Gothic" w:hAnsi="Century Gothic"/>
        </w:rPr>
        <w:t xml:space="preserve"> as one may assume it to mean</w:t>
      </w:r>
      <w:r w:rsidRPr="00C95C1F">
        <w:rPr>
          <w:rFonts w:ascii="Century Gothic" w:hAnsi="Century Gothic"/>
        </w:rPr>
        <w:t xml:space="preserve">, </w:t>
      </w:r>
      <w:r w:rsidR="00512B8E" w:rsidRPr="00C95C1F">
        <w:rPr>
          <w:rFonts w:ascii="Century Gothic" w:hAnsi="Century Gothic"/>
        </w:rPr>
        <w:t>‘</w:t>
      </w:r>
      <w:r w:rsidRPr="00C95C1F">
        <w:rPr>
          <w:rFonts w:ascii="Century Gothic" w:hAnsi="Century Gothic"/>
        </w:rPr>
        <w:t>wellbeing</w:t>
      </w:r>
      <w:r w:rsidR="00512B8E" w:rsidRPr="00C95C1F">
        <w:rPr>
          <w:rFonts w:ascii="Century Gothic" w:hAnsi="Century Gothic"/>
        </w:rPr>
        <w:t>’</w:t>
      </w:r>
      <w:r w:rsidRPr="00C95C1F">
        <w:rPr>
          <w:rFonts w:ascii="Century Gothic" w:hAnsi="Century Gothic"/>
        </w:rPr>
        <w:t xml:space="preserve"> refers to a broader sense of thriving in one’s role (McCallum </w:t>
      </w:r>
      <w:r w:rsidRPr="00C95C1F">
        <w:rPr>
          <w:rFonts w:ascii="Century Gothic" w:hAnsi="Century Gothic"/>
          <w:i/>
          <w:iCs/>
        </w:rPr>
        <w:t>et al</w:t>
      </w:r>
      <w:r w:rsidRPr="00C95C1F">
        <w:rPr>
          <w:rFonts w:ascii="Century Gothic" w:hAnsi="Century Gothic"/>
        </w:rPr>
        <w:t>., 2017). To conceptualise wellbeing in this study, several well-established frameworks are relevant.</w:t>
      </w:r>
    </w:p>
    <w:p w14:paraId="77122DD7" w14:textId="67E98B38" w:rsidR="00980C41" w:rsidRPr="00C95C1F" w:rsidRDefault="00980C41" w:rsidP="000919A7">
      <w:pPr>
        <w:spacing w:line="360" w:lineRule="auto"/>
        <w:rPr>
          <w:rFonts w:ascii="Century Gothic" w:hAnsi="Century Gothic"/>
        </w:rPr>
      </w:pPr>
      <w:r w:rsidRPr="00C95C1F">
        <w:rPr>
          <w:rFonts w:ascii="Century Gothic" w:hAnsi="Century Gothic"/>
        </w:rPr>
        <w:t>One of the most widely cited</w:t>
      </w:r>
      <w:r w:rsidR="00040EDC" w:rsidRPr="00C95C1F">
        <w:rPr>
          <w:rFonts w:ascii="Century Gothic" w:hAnsi="Century Gothic"/>
        </w:rPr>
        <w:t xml:space="preserve"> and commonly used in the literature has been</w:t>
      </w:r>
      <w:r w:rsidRPr="00C95C1F">
        <w:rPr>
          <w:rFonts w:ascii="Century Gothic" w:hAnsi="Century Gothic"/>
        </w:rPr>
        <w:t xml:space="preserve"> Seligman’s PERMA model (2011), which identifies elements essential to wellbeing</w:t>
      </w:r>
      <w:r w:rsidR="007B16A9" w:rsidRPr="00C95C1F">
        <w:rPr>
          <w:rFonts w:ascii="Century Gothic" w:hAnsi="Century Gothic"/>
        </w:rPr>
        <w:t>. The Learning Away (201</w:t>
      </w:r>
      <w:r w:rsidR="00A005A1" w:rsidRPr="00C95C1F">
        <w:rPr>
          <w:rFonts w:ascii="Century Gothic" w:hAnsi="Century Gothic"/>
        </w:rPr>
        <w:t>5</w:t>
      </w:r>
      <w:r w:rsidR="007B16A9" w:rsidRPr="00C95C1F">
        <w:rPr>
          <w:rFonts w:ascii="Century Gothic" w:hAnsi="Century Gothic"/>
        </w:rPr>
        <w:t>) initiative conducted a comparative study on the impact of residential experiences on Year 6 pupils in England. The report indicates that residentials contribute to improved peer relationships, increased self-confidence, and enhanced wellbeing. These non-cognitive outcomes are linked to better academic performance, aligning with the PERMA components of relationships, meanin</w:t>
      </w:r>
      <w:r w:rsidR="00E157D4">
        <w:rPr>
          <w:rFonts w:ascii="Century Gothic" w:hAnsi="Century Gothic"/>
        </w:rPr>
        <w:t>g</w:t>
      </w:r>
      <w:r w:rsidR="007B16A9" w:rsidRPr="00C95C1F">
        <w:rPr>
          <w:rFonts w:ascii="Century Gothic" w:hAnsi="Century Gothic"/>
        </w:rPr>
        <w:t xml:space="preserve"> and accomplishment. </w:t>
      </w:r>
      <w:r w:rsidR="00187FF8" w:rsidRPr="00C95C1F">
        <w:rPr>
          <w:rFonts w:ascii="Century Gothic" w:hAnsi="Century Gothic"/>
        </w:rPr>
        <w:t>Similarly, Allan and McKenna (2019) conducted a quantitative analysis of outdoor adventure programs for higher education students. T</w:t>
      </w:r>
      <w:r w:rsidR="00863505">
        <w:rPr>
          <w:rFonts w:ascii="Century Gothic" w:hAnsi="Century Gothic"/>
        </w:rPr>
        <w:t>his</w:t>
      </w:r>
      <w:r w:rsidR="00187FF8" w:rsidRPr="00C95C1F">
        <w:rPr>
          <w:rFonts w:ascii="Century Gothic" w:hAnsi="Century Gothic"/>
        </w:rPr>
        <w:t xml:space="preserve"> study found that participation in these programs led to increased </w:t>
      </w:r>
      <w:r w:rsidR="00187FF8" w:rsidRPr="00C95C1F">
        <w:rPr>
          <w:rFonts w:ascii="Century Gothic" w:hAnsi="Century Gothic"/>
        </w:rPr>
        <w:lastRenderedPageBreak/>
        <w:t>self-perception and improved interpersonal relationships, contributing to greater resilience. These outcomes</w:t>
      </w:r>
      <w:r w:rsidR="00863505">
        <w:rPr>
          <w:rFonts w:ascii="Century Gothic" w:hAnsi="Century Gothic"/>
        </w:rPr>
        <w:t xml:space="preserve"> from Allan and McKenna (2019)</w:t>
      </w:r>
      <w:r w:rsidR="00187FF8" w:rsidRPr="00C95C1F">
        <w:rPr>
          <w:rFonts w:ascii="Century Gothic" w:hAnsi="Century Gothic"/>
        </w:rPr>
        <w:t xml:space="preserve"> are consistent with the PERMA elements of positive emotion, relationships, and accomplishment. </w:t>
      </w:r>
      <w:r w:rsidRPr="00C95C1F">
        <w:rPr>
          <w:rFonts w:ascii="Century Gothic" w:hAnsi="Century Gothic"/>
        </w:rPr>
        <w:t>However, the PERMA model has been criticised for focusing predominantly on individual traits and choices, underplaying the systemic and contextual influences on wellbeing (Noble &amp; McGrath, 2015).</w:t>
      </w:r>
    </w:p>
    <w:p w14:paraId="0F757FED" w14:textId="39075983" w:rsidR="00980C41" w:rsidRPr="00C95C1F" w:rsidRDefault="00980C41" w:rsidP="000919A7">
      <w:pPr>
        <w:spacing w:line="360" w:lineRule="auto"/>
        <w:rPr>
          <w:rFonts w:ascii="Century Gothic" w:hAnsi="Century Gothic"/>
        </w:rPr>
      </w:pPr>
      <w:r w:rsidRPr="00C95C1F">
        <w:rPr>
          <w:rFonts w:ascii="Century Gothic" w:hAnsi="Century Gothic"/>
        </w:rPr>
        <w:t xml:space="preserve">The Job Demands–Resources (JD-R) model (Bakker &amp; Demerouti, 2007) provides </w:t>
      </w:r>
      <w:r w:rsidR="00B12FC3" w:rsidRPr="00C95C1F">
        <w:rPr>
          <w:rFonts w:ascii="Century Gothic" w:hAnsi="Century Gothic"/>
        </w:rPr>
        <w:t xml:space="preserve">an approach </w:t>
      </w:r>
      <w:r w:rsidRPr="00C95C1F">
        <w:rPr>
          <w:rFonts w:ascii="Century Gothic" w:hAnsi="Century Gothic"/>
        </w:rPr>
        <w:t>useful in education</w:t>
      </w:r>
      <w:r w:rsidR="00B12FC3" w:rsidRPr="00C95C1F">
        <w:rPr>
          <w:rFonts w:ascii="Century Gothic" w:hAnsi="Century Gothic"/>
        </w:rPr>
        <w:t xml:space="preserve"> as it</w:t>
      </w:r>
      <w:r w:rsidRPr="00C95C1F">
        <w:rPr>
          <w:rFonts w:ascii="Century Gothic" w:hAnsi="Century Gothic"/>
        </w:rPr>
        <w:t xml:space="preserve"> posits that job demands (e.g., workload, emotional strain) can lead to burnout unless counterbalanced by sufficient resources — such as autonomy, support, or meaningful work. Residential visits may serve as one such </w:t>
      </w:r>
      <w:r w:rsidR="00B12FC3" w:rsidRPr="00C95C1F">
        <w:rPr>
          <w:rFonts w:ascii="Century Gothic" w:hAnsi="Century Gothic"/>
        </w:rPr>
        <w:t>‘</w:t>
      </w:r>
      <w:r w:rsidRPr="00C95C1F">
        <w:rPr>
          <w:rFonts w:ascii="Century Gothic" w:hAnsi="Century Gothic"/>
        </w:rPr>
        <w:t>resource</w:t>
      </w:r>
      <w:r w:rsidR="00B12FC3" w:rsidRPr="00C95C1F">
        <w:rPr>
          <w:rFonts w:ascii="Century Gothic" w:hAnsi="Century Gothic"/>
        </w:rPr>
        <w:t>’,</w:t>
      </w:r>
      <w:r w:rsidRPr="00C95C1F">
        <w:rPr>
          <w:rFonts w:ascii="Century Gothic" w:hAnsi="Century Gothic"/>
        </w:rPr>
        <w:t xml:space="preserve"> allowing teachers temporary relief from school pressures and offering space for creativity and connection. </w:t>
      </w:r>
      <w:r w:rsidR="00B12FC3" w:rsidRPr="00C95C1F">
        <w:rPr>
          <w:rFonts w:ascii="Century Gothic" w:hAnsi="Century Gothic"/>
        </w:rPr>
        <w:t>Notably</w:t>
      </w:r>
      <w:r w:rsidRPr="00C95C1F">
        <w:rPr>
          <w:rFonts w:ascii="Century Gothic" w:hAnsi="Century Gothic"/>
        </w:rPr>
        <w:t>, the JD-R model has primarily been applied to regular school contexts, with limited research into how atypical teaching environments like residentials might alter the demand-resource balance.</w:t>
      </w:r>
    </w:p>
    <w:p w14:paraId="29B97374" w14:textId="6E6F54B6" w:rsidR="00980C41" w:rsidRPr="00C95C1F" w:rsidRDefault="00980C41" w:rsidP="000919A7">
      <w:pPr>
        <w:spacing w:line="360" w:lineRule="auto"/>
        <w:rPr>
          <w:rFonts w:ascii="Century Gothic" w:hAnsi="Century Gothic"/>
        </w:rPr>
      </w:pPr>
      <w:r w:rsidRPr="00C95C1F">
        <w:rPr>
          <w:rFonts w:ascii="Century Gothic" w:hAnsi="Century Gothic"/>
        </w:rPr>
        <w:t>Self-Determination Theory (Deci &amp; Ryan, 2000) also offers a valuable lens. It identifies three psychological needs that underpin wellbeing: autonomy, competence, and relatedness. Residential visits have the potential to support all three</w:t>
      </w:r>
      <w:r w:rsidR="00B12FC3" w:rsidRPr="00C95C1F">
        <w:rPr>
          <w:rFonts w:ascii="Century Gothic" w:hAnsi="Century Gothic"/>
        </w:rPr>
        <w:t>. Again, a</w:t>
      </w:r>
      <w:r w:rsidRPr="00C95C1F">
        <w:rPr>
          <w:rFonts w:ascii="Century Gothic" w:hAnsi="Century Gothic"/>
        </w:rPr>
        <w:t>lthough this theory has informed several school-based wellbeing programmes, there is little evidence applying it specifically to teacher experiences in outdoor or residential settings.</w:t>
      </w:r>
    </w:p>
    <w:p w14:paraId="4A8EE023" w14:textId="77777777" w:rsidR="00980C41" w:rsidRPr="00C95C1F" w:rsidRDefault="00980C41" w:rsidP="000919A7">
      <w:pPr>
        <w:spacing w:line="360" w:lineRule="auto"/>
        <w:rPr>
          <w:rFonts w:ascii="Century Gothic" w:hAnsi="Century Gothic"/>
        </w:rPr>
      </w:pPr>
      <w:r w:rsidRPr="00C95C1F">
        <w:rPr>
          <w:rFonts w:ascii="Century Gothic" w:hAnsi="Century Gothic"/>
        </w:rPr>
        <w:t>These three models collectively provide a strong conceptual base for this study. They help frame teacher wellbeing as both internally and externally shaped, dynamic, and deeply relational — all of which are vital considerations when examining the role of residential educational visits.</w:t>
      </w:r>
    </w:p>
    <w:p w14:paraId="4D52868A" w14:textId="77777777" w:rsidR="00594E33" w:rsidRPr="00C95C1F" w:rsidRDefault="00594E33" w:rsidP="005045B4">
      <w:pPr>
        <w:pStyle w:val="Heading2"/>
        <w:rPr>
          <w:rFonts w:ascii="Century Gothic" w:hAnsi="Century Gothic"/>
        </w:rPr>
      </w:pPr>
    </w:p>
    <w:p w14:paraId="4750FE4D" w14:textId="77777777" w:rsidR="00980C41" w:rsidRPr="00C95C1F" w:rsidRDefault="00980C41" w:rsidP="005045B4">
      <w:pPr>
        <w:pStyle w:val="Heading2"/>
        <w:rPr>
          <w:rFonts w:ascii="Century Gothic" w:hAnsi="Century Gothic"/>
        </w:rPr>
      </w:pPr>
      <w:r w:rsidRPr="00C95C1F">
        <w:rPr>
          <w:rFonts w:ascii="Century Gothic" w:hAnsi="Century Gothic"/>
        </w:rPr>
        <w:t>Theme 2: Factors Affecting Teacher Wellbeing</w:t>
      </w:r>
    </w:p>
    <w:p w14:paraId="09389AFB" w14:textId="77777777" w:rsidR="00980C41" w:rsidRPr="00C95C1F" w:rsidRDefault="00980C41" w:rsidP="000919A7">
      <w:pPr>
        <w:spacing w:line="360" w:lineRule="auto"/>
        <w:rPr>
          <w:rFonts w:ascii="Century Gothic" w:hAnsi="Century Gothic"/>
        </w:rPr>
      </w:pPr>
      <w:r w:rsidRPr="00C95C1F">
        <w:rPr>
          <w:rFonts w:ascii="Century Gothic" w:hAnsi="Century Gothic"/>
        </w:rPr>
        <w:t xml:space="preserve">Much of the literature on teacher wellbeing centres on the negative pressures teachers face, often highlighting the emotional toll of the profession. Studies have consistently shown that teacher stress is closely linked to excessive workload, performative accountability, pupil behaviour, and emotional labour (Day &amp; Gu, 2010; Skaalvik &amp; Skaalvik, 2017). These pressures are especially evident in high-stakes, target-driven environments where </w:t>
      </w:r>
      <w:r w:rsidRPr="00C95C1F">
        <w:rPr>
          <w:rFonts w:ascii="Century Gothic" w:hAnsi="Century Gothic"/>
        </w:rPr>
        <w:lastRenderedPageBreak/>
        <w:t>professional autonomy is limited. Estyn (2023) continues to report that while wellbeing is prioritised in school development plans, the day-to-day experience of many teachers still includes unsustainable demands and limited time for reflection or professional connection.</w:t>
      </w:r>
    </w:p>
    <w:p w14:paraId="5B9E3BD7" w14:textId="77777777" w:rsidR="00980C41" w:rsidRPr="00C95C1F" w:rsidRDefault="00980C41" w:rsidP="000919A7">
      <w:pPr>
        <w:spacing w:line="360" w:lineRule="auto"/>
        <w:rPr>
          <w:rFonts w:ascii="Century Gothic" w:hAnsi="Century Gothic"/>
        </w:rPr>
      </w:pPr>
      <w:r w:rsidRPr="00C95C1F">
        <w:rPr>
          <w:rFonts w:ascii="Century Gothic" w:hAnsi="Century Gothic"/>
        </w:rPr>
        <w:t>Emotional labour, as theorised by Hochschild (1983) and later adapted to education by Hargreaves (1998), remains a central theme. Teachers are expected to manage their emotions, conceal frustration, and display consistent enthusiasm — all while building relationships with pupils and families. Over time, this can lead to emotional exhaustion and a sense of disconnection from one’s professional identity. Day and Qing (2009) describe this as “identity erosion,” where the purpose and passion that drew teachers to the profession become difficult to sustain amid competing institutional pressures.</w:t>
      </w:r>
    </w:p>
    <w:p w14:paraId="725D0483" w14:textId="4278FBF6" w:rsidR="00980C41" w:rsidRPr="00C95C1F" w:rsidRDefault="00980C41" w:rsidP="000919A7">
      <w:pPr>
        <w:spacing w:line="360" w:lineRule="auto"/>
        <w:rPr>
          <w:rFonts w:ascii="Century Gothic" w:hAnsi="Century Gothic"/>
        </w:rPr>
      </w:pPr>
      <w:r w:rsidRPr="00C95C1F">
        <w:rPr>
          <w:rFonts w:ascii="Century Gothic" w:hAnsi="Century Gothic"/>
        </w:rPr>
        <w:t xml:space="preserve">There is therefore a growing call for strength-based approaches to understanding teacher wellbeing (Acton &amp; Glasgow, 2015), including exploration of professional experiences that bring joy, meaning, and relational depth. </w:t>
      </w:r>
      <w:r w:rsidR="004C122F" w:rsidRPr="00C95C1F">
        <w:rPr>
          <w:rFonts w:ascii="Century Gothic" w:hAnsi="Century Gothic"/>
        </w:rPr>
        <w:br/>
      </w:r>
    </w:p>
    <w:p w14:paraId="1C3AA36E" w14:textId="77777777" w:rsidR="00980C41" w:rsidRPr="00C95C1F" w:rsidRDefault="00980C41" w:rsidP="005045B4">
      <w:pPr>
        <w:pStyle w:val="Heading2"/>
        <w:rPr>
          <w:rFonts w:ascii="Century Gothic" w:hAnsi="Century Gothic"/>
        </w:rPr>
      </w:pPr>
      <w:r w:rsidRPr="00C95C1F">
        <w:rPr>
          <w:rFonts w:ascii="Century Gothic" w:hAnsi="Century Gothic"/>
        </w:rPr>
        <w:t>Theme 3: Educational Visits and Experiential Learning</w:t>
      </w:r>
    </w:p>
    <w:p w14:paraId="109C6624" w14:textId="2E87B111" w:rsidR="00980C41" w:rsidRPr="00C95C1F" w:rsidRDefault="00980C41" w:rsidP="000919A7">
      <w:pPr>
        <w:spacing w:line="360" w:lineRule="auto"/>
        <w:rPr>
          <w:rFonts w:ascii="Century Gothic" w:hAnsi="Century Gothic"/>
        </w:rPr>
      </w:pPr>
      <w:r w:rsidRPr="00C95C1F">
        <w:rPr>
          <w:rFonts w:ascii="Century Gothic" w:hAnsi="Century Gothic"/>
        </w:rPr>
        <w:t>Educational visits, particularly residential experiences</w:t>
      </w:r>
      <w:r w:rsidR="004C122F" w:rsidRPr="00C95C1F">
        <w:rPr>
          <w:rFonts w:ascii="Century Gothic" w:hAnsi="Century Gothic"/>
        </w:rPr>
        <w:t xml:space="preserve"> (extended stays)</w:t>
      </w:r>
      <w:r w:rsidRPr="00C95C1F">
        <w:rPr>
          <w:rFonts w:ascii="Century Gothic" w:hAnsi="Century Gothic"/>
        </w:rPr>
        <w:t>, have long been promoted for their positive impact on pupils’ learning, confidence, and social development (Behrendt &amp; Franklin, 2014; Learning Away, 2015). In Wales, these visits are strongly endorsed through the Curriculum for Wales (2022), which encourages real-life, integrated learning experiences that promote wellbeing, engagement, and learner voice</w:t>
      </w:r>
      <w:r w:rsidR="00B721DE" w:rsidRPr="00C95C1F">
        <w:rPr>
          <w:rFonts w:ascii="Century Gothic" w:hAnsi="Century Gothic"/>
        </w:rPr>
        <w:t>, and are underpinned by the four purposes of the curriculum (Welsh Government, 2022)</w:t>
      </w:r>
      <w:r w:rsidRPr="00C95C1F">
        <w:rPr>
          <w:rFonts w:ascii="Century Gothic" w:hAnsi="Century Gothic"/>
        </w:rPr>
        <w:t xml:space="preserve">. Similarly, the Well-being of Future Generations (Wales) Act </w:t>
      </w:r>
      <w:r w:rsidR="00B721DE" w:rsidRPr="00C95C1F">
        <w:rPr>
          <w:rFonts w:ascii="Century Gothic" w:hAnsi="Century Gothic"/>
        </w:rPr>
        <w:t>(</w:t>
      </w:r>
      <w:r w:rsidRPr="00C95C1F">
        <w:rPr>
          <w:rFonts w:ascii="Century Gothic" w:hAnsi="Century Gothic"/>
        </w:rPr>
        <w:t>2015) supports outdoor and experiential learning as part of a national commitment to social, emotional, and environmental wellbeing.</w:t>
      </w:r>
    </w:p>
    <w:p w14:paraId="5B0728E0" w14:textId="0B82C9C0" w:rsidR="00980C41" w:rsidRPr="00C95C1F" w:rsidRDefault="00B721DE" w:rsidP="000919A7">
      <w:pPr>
        <w:spacing w:line="360" w:lineRule="auto"/>
        <w:rPr>
          <w:rFonts w:ascii="Century Gothic" w:hAnsi="Century Gothic"/>
        </w:rPr>
      </w:pPr>
      <w:r w:rsidRPr="00C95C1F">
        <w:rPr>
          <w:rFonts w:ascii="Century Gothic" w:hAnsi="Century Gothic"/>
        </w:rPr>
        <w:t>Contrastingly</w:t>
      </w:r>
      <w:r w:rsidR="00980C41" w:rsidRPr="00C95C1F">
        <w:rPr>
          <w:rFonts w:ascii="Century Gothic" w:hAnsi="Century Gothic"/>
        </w:rPr>
        <w:t>, while the benefits for pupils are widely documented, far less attention has been paid to how such experiences affect teachers. Residential visits remove both pupils and staff from the traditional structures of the school day, creating opportunities for new dynamics to emerge. Informal conversations, shared challenges, and co-participation in activities may foster mutual respect, understanding, and joy — all of which contribute to professional fulfilment and wellbeing (Waite &amp; Rea, 2018).</w:t>
      </w:r>
    </w:p>
    <w:p w14:paraId="3CB80340" w14:textId="680D16D0" w:rsidR="00980C41" w:rsidRPr="00C95C1F" w:rsidRDefault="00980C41" w:rsidP="000919A7">
      <w:pPr>
        <w:spacing w:line="360" w:lineRule="auto"/>
        <w:rPr>
          <w:rFonts w:ascii="Century Gothic" w:hAnsi="Century Gothic"/>
        </w:rPr>
      </w:pPr>
      <w:r w:rsidRPr="00C95C1F">
        <w:rPr>
          <w:rFonts w:ascii="Century Gothic" w:hAnsi="Century Gothic"/>
        </w:rPr>
        <w:lastRenderedPageBreak/>
        <w:t xml:space="preserve">Leather </w:t>
      </w:r>
      <w:r w:rsidRPr="00C95C1F">
        <w:rPr>
          <w:rFonts w:ascii="Century Gothic" w:hAnsi="Century Gothic"/>
          <w:i/>
          <w:iCs/>
        </w:rPr>
        <w:t>et al.</w:t>
      </w:r>
      <w:r w:rsidRPr="00C95C1F">
        <w:rPr>
          <w:rFonts w:ascii="Century Gothic" w:hAnsi="Century Gothic"/>
        </w:rPr>
        <w:t xml:space="preserve"> (2015) describe these experiences as “dislocating” in a positive sense — they shift the norms and expectations of classroom behaviour, allowing teachers to interact with pupils and colleagues in more relational ways. This shift can support what Seligman (2011) refers to as the “PERMA” elements of wellbeing. </w:t>
      </w:r>
      <w:r w:rsidR="00B721DE" w:rsidRPr="00C95C1F">
        <w:rPr>
          <w:rFonts w:ascii="Century Gothic" w:hAnsi="Century Gothic"/>
        </w:rPr>
        <w:t xml:space="preserve">Notably, </w:t>
      </w:r>
      <w:r w:rsidRPr="00C95C1F">
        <w:rPr>
          <w:rFonts w:ascii="Century Gothic" w:hAnsi="Century Gothic"/>
        </w:rPr>
        <w:t>these conclusions are often drawn from small-scale qualitative studies or pupil-focused evaluations</w:t>
      </w:r>
      <w:r w:rsidR="006746FD" w:rsidRPr="00C95C1F">
        <w:rPr>
          <w:rFonts w:ascii="Century Gothic" w:hAnsi="Century Gothic"/>
        </w:rPr>
        <w:t xml:space="preserve"> - something this proposed research aims to consider and remedy.</w:t>
      </w:r>
    </w:p>
    <w:p w14:paraId="08B7A2AA" w14:textId="7CC28D6B" w:rsidR="00980C41" w:rsidRPr="00C95C1F" w:rsidRDefault="00980C41" w:rsidP="000919A7">
      <w:pPr>
        <w:spacing w:line="360" w:lineRule="auto"/>
        <w:rPr>
          <w:rFonts w:ascii="Century Gothic" w:hAnsi="Century Gothic"/>
        </w:rPr>
      </w:pPr>
      <w:r w:rsidRPr="00C95C1F">
        <w:rPr>
          <w:rFonts w:ascii="Century Gothic" w:hAnsi="Century Gothic"/>
        </w:rPr>
        <w:t xml:space="preserve">The Learning Away </w:t>
      </w:r>
      <w:r w:rsidR="008E3D05" w:rsidRPr="00C95C1F">
        <w:rPr>
          <w:rFonts w:ascii="Century Gothic" w:hAnsi="Century Gothic"/>
        </w:rPr>
        <w:t>I</w:t>
      </w:r>
      <w:r w:rsidRPr="00C95C1F">
        <w:rPr>
          <w:rFonts w:ascii="Century Gothic" w:hAnsi="Century Gothic"/>
        </w:rPr>
        <w:t>nitiative (2015), one of the most comprehensive studies into residential learning in the UK, reported that 84% of teachers believed residentials had a positive impact on their relationships with pupils, and many described feeling reinvigorated and reconnected with their teaching purpose. However, teacher wellbeing was not a formal outcome measure, and findings were drawn from mixed participant reflections rather than systematic research into teacher emotional or professional experience.</w:t>
      </w:r>
      <w:r w:rsidR="00B65685" w:rsidRPr="00C95C1F">
        <w:rPr>
          <w:rFonts w:ascii="Century Gothic" w:hAnsi="Century Gothic"/>
        </w:rPr>
        <w:t xml:space="preserve"> </w:t>
      </w:r>
      <w:r w:rsidRPr="00C95C1F">
        <w:rPr>
          <w:rFonts w:ascii="Century Gothic" w:hAnsi="Century Gothic"/>
        </w:rPr>
        <w:t xml:space="preserve">Estyn has highlighted similar patterns. In its report </w:t>
      </w:r>
      <w:r w:rsidRPr="00C95C1F">
        <w:rPr>
          <w:rFonts w:ascii="Century Gothic" w:hAnsi="Century Gothic"/>
          <w:i/>
          <w:iCs/>
        </w:rPr>
        <w:t>Healthy and Happy: School Strategies to Promote Staff Wellbeing</w:t>
      </w:r>
      <w:r w:rsidRPr="00C95C1F">
        <w:rPr>
          <w:rFonts w:ascii="Century Gothic" w:hAnsi="Century Gothic"/>
        </w:rPr>
        <w:t xml:space="preserve"> (2019), Estyn noted that outdoor learning and off-site visits were valued by teachers as "morale-boosting and motivating," particularly when part of a supportive whole-school approach. </w:t>
      </w:r>
      <w:r w:rsidR="00B65685" w:rsidRPr="00C95C1F">
        <w:rPr>
          <w:rFonts w:ascii="Century Gothic" w:hAnsi="Century Gothic"/>
        </w:rPr>
        <w:t>Again</w:t>
      </w:r>
      <w:r w:rsidRPr="00C95C1F">
        <w:rPr>
          <w:rFonts w:ascii="Century Gothic" w:hAnsi="Century Gothic"/>
        </w:rPr>
        <w:t>, the report stops short of exploring residential visits specifically or analysing their sustained impact on teachers’ wellbeing beyond the visit itself.</w:t>
      </w:r>
    </w:p>
    <w:p w14:paraId="07E7FF25" w14:textId="77777777" w:rsidR="00980C41" w:rsidRPr="00C95C1F" w:rsidRDefault="00980C41" w:rsidP="000919A7">
      <w:pPr>
        <w:spacing w:line="360" w:lineRule="auto"/>
        <w:rPr>
          <w:rFonts w:ascii="Century Gothic" w:hAnsi="Century Gothic"/>
        </w:rPr>
      </w:pPr>
      <w:r w:rsidRPr="00C95C1F">
        <w:rPr>
          <w:rFonts w:ascii="Century Gothic" w:hAnsi="Century Gothic"/>
        </w:rPr>
        <w:t>Given the clear policy alignment and anecdotal evidence, there is a strong case for more targeted research into how residential educational visits might actively support teacher wellbeing — not just as a by-product of positive pupil outcomes, but as a primary focus in their own right.</w:t>
      </w:r>
    </w:p>
    <w:p w14:paraId="2BE55FB5" w14:textId="77777777" w:rsidR="00980C41" w:rsidRPr="00C95C1F" w:rsidRDefault="00980C41" w:rsidP="005045B4">
      <w:pPr>
        <w:pStyle w:val="Heading2"/>
        <w:rPr>
          <w:rFonts w:ascii="Century Gothic" w:hAnsi="Century Gothic"/>
        </w:rPr>
      </w:pPr>
      <w:r w:rsidRPr="00C95C1F">
        <w:rPr>
          <w:rFonts w:ascii="Century Gothic" w:hAnsi="Century Gothic"/>
        </w:rPr>
        <w:t>Relevance of the Literature to the Study</w:t>
      </w:r>
    </w:p>
    <w:p w14:paraId="1701E315" w14:textId="70C7006A" w:rsidR="00980C41" w:rsidRPr="00C95C1F" w:rsidRDefault="00980C41" w:rsidP="000919A7">
      <w:pPr>
        <w:spacing w:line="360" w:lineRule="auto"/>
        <w:rPr>
          <w:rFonts w:ascii="Century Gothic" w:hAnsi="Century Gothic"/>
        </w:rPr>
      </w:pPr>
      <w:r w:rsidRPr="00C95C1F">
        <w:rPr>
          <w:rFonts w:ascii="Century Gothic" w:hAnsi="Century Gothic"/>
        </w:rPr>
        <w:t xml:space="preserve">The literature reviewed highlights a significant imbalance in how teacher wellbeing is conceptualised and investigated. The review also demonstrates that although educational visits are widely celebrated for their impact on pupils’ development (Behrendt &amp; Franklin, 2014; Rickinson </w:t>
      </w:r>
      <w:r w:rsidRPr="00C95C1F">
        <w:rPr>
          <w:rFonts w:ascii="Century Gothic" w:hAnsi="Century Gothic"/>
          <w:i/>
          <w:iCs/>
        </w:rPr>
        <w:t>et al</w:t>
      </w:r>
      <w:r w:rsidRPr="00C95C1F">
        <w:rPr>
          <w:rFonts w:ascii="Century Gothic" w:hAnsi="Century Gothic"/>
        </w:rPr>
        <w:t xml:space="preserve">., 2004; Learning Away, 2015), there is very little systematic research into how these same visits affect the adults who lead them. In most cases, teacher feedback is used only to evidence pupil growth. Projects like </w:t>
      </w:r>
      <w:r w:rsidRPr="00C95C1F">
        <w:rPr>
          <w:rFonts w:ascii="Century Gothic" w:hAnsi="Century Gothic"/>
          <w:i/>
          <w:iCs/>
        </w:rPr>
        <w:t>My Primary School is at the Museum</w:t>
      </w:r>
      <w:r w:rsidRPr="00C95C1F">
        <w:rPr>
          <w:rFonts w:ascii="Century Gothic" w:hAnsi="Century Gothic"/>
        </w:rPr>
        <w:t xml:space="preserve"> (</w:t>
      </w:r>
      <w:r w:rsidR="005918C0" w:rsidRPr="00C95C1F">
        <w:rPr>
          <w:rFonts w:ascii="Century Gothic" w:hAnsi="Century Gothic"/>
        </w:rPr>
        <w:t>King’s College</w:t>
      </w:r>
      <w:r w:rsidRPr="00C95C1F">
        <w:rPr>
          <w:rFonts w:ascii="Century Gothic" w:hAnsi="Century Gothic"/>
        </w:rPr>
        <w:t>, 20</w:t>
      </w:r>
      <w:r w:rsidR="005918C0" w:rsidRPr="00C95C1F">
        <w:rPr>
          <w:rFonts w:ascii="Century Gothic" w:hAnsi="Century Gothic"/>
        </w:rPr>
        <w:t>14</w:t>
      </w:r>
      <w:r w:rsidRPr="00C95C1F">
        <w:rPr>
          <w:rFonts w:ascii="Century Gothic" w:hAnsi="Century Gothic"/>
        </w:rPr>
        <w:t xml:space="preserve">) and </w:t>
      </w:r>
      <w:r w:rsidRPr="00C95C1F">
        <w:rPr>
          <w:rFonts w:ascii="Century Gothic" w:hAnsi="Century Gothic"/>
          <w:i/>
          <w:iCs/>
        </w:rPr>
        <w:t>Schoolseum</w:t>
      </w:r>
      <w:r w:rsidRPr="00C95C1F">
        <w:rPr>
          <w:rFonts w:ascii="Century Gothic" w:hAnsi="Century Gothic"/>
        </w:rPr>
        <w:t xml:space="preserve"> (Jamieson, 2025) offer rich qualitative accounts of </w:t>
      </w:r>
      <w:r w:rsidRPr="00C95C1F">
        <w:rPr>
          <w:rFonts w:ascii="Century Gothic" w:hAnsi="Century Gothic"/>
        </w:rPr>
        <w:lastRenderedPageBreak/>
        <w:t xml:space="preserve">immersive learning environments, yet they stop short of analysing teacher wellbeing as a primary outcome. </w:t>
      </w:r>
      <w:r w:rsidR="001856FE" w:rsidRPr="00C95C1F">
        <w:rPr>
          <w:rFonts w:ascii="Century Gothic" w:hAnsi="Century Gothic"/>
        </w:rPr>
        <w:t xml:space="preserve">This ‘gap’ whilst disappointing, allows for an enthusiastic new </w:t>
      </w:r>
      <w:r w:rsidR="00B710D3" w:rsidRPr="00C95C1F">
        <w:rPr>
          <w:rFonts w:ascii="Century Gothic" w:hAnsi="Century Gothic"/>
        </w:rPr>
        <w:t>exploration of</w:t>
      </w:r>
      <w:r w:rsidR="001856FE" w:rsidRPr="00C95C1F">
        <w:rPr>
          <w:rFonts w:ascii="Century Gothic" w:hAnsi="Century Gothic"/>
        </w:rPr>
        <w:t xml:space="preserve"> residential visits through a teacher lens</w:t>
      </w:r>
      <w:r w:rsidR="00B710D3" w:rsidRPr="00C95C1F">
        <w:rPr>
          <w:rFonts w:ascii="Century Gothic" w:hAnsi="Century Gothic"/>
        </w:rPr>
        <w:t xml:space="preserve"> and the scope for research outlined in the next sections. </w:t>
      </w:r>
    </w:p>
    <w:p w14:paraId="641D8D43" w14:textId="77777777" w:rsidR="00011C30" w:rsidRPr="00C95C1F" w:rsidRDefault="00011C30" w:rsidP="005045B4">
      <w:pPr>
        <w:pStyle w:val="Heading2"/>
        <w:rPr>
          <w:rFonts w:ascii="Century Gothic" w:hAnsi="Century Gothic"/>
        </w:rPr>
      </w:pPr>
      <w:r w:rsidRPr="00C95C1F">
        <w:rPr>
          <w:rFonts w:ascii="Century Gothic" w:hAnsi="Century Gothic"/>
        </w:rPr>
        <w:t>Development of Research Questions</w:t>
      </w:r>
    </w:p>
    <w:p w14:paraId="5CC1262C" w14:textId="03C29CFF" w:rsidR="00011C30" w:rsidRPr="00C95C1F" w:rsidRDefault="00011C30" w:rsidP="000919A7">
      <w:pPr>
        <w:spacing w:line="360" w:lineRule="auto"/>
        <w:rPr>
          <w:rFonts w:ascii="Century Gothic" w:hAnsi="Century Gothic"/>
        </w:rPr>
      </w:pPr>
      <w:r w:rsidRPr="00C95C1F">
        <w:rPr>
          <w:rFonts w:ascii="Century Gothic" w:hAnsi="Century Gothic"/>
        </w:rPr>
        <w:t xml:space="preserve">The research questions for this study have been shaped by the </w:t>
      </w:r>
      <w:r w:rsidR="00B710D3" w:rsidRPr="00C95C1F">
        <w:rPr>
          <w:rFonts w:ascii="Century Gothic" w:hAnsi="Century Gothic"/>
        </w:rPr>
        <w:t>merging</w:t>
      </w:r>
      <w:r w:rsidRPr="00C95C1F">
        <w:rPr>
          <w:rFonts w:ascii="Century Gothic" w:hAnsi="Century Gothic"/>
        </w:rPr>
        <w:t xml:space="preserve"> of three key factors: the absence of teacher-centred wellbeing research in residential contexts, the professional need to understand how positive experiences shape teacher identity and the clear alignment with Welsh policy priorities. The literature reviewed consistently demonstrates that teacher wellbeing is most often explored through the lens of stress and strain (Day &amp; Gu, 2010; Acton &amp; Glasgow, 2015), while residential educational visits are studied primarily for their impact on pupils (Rickinson </w:t>
      </w:r>
      <w:r w:rsidRPr="00C95C1F">
        <w:rPr>
          <w:rFonts w:ascii="Century Gothic" w:hAnsi="Century Gothic"/>
          <w:i/>
          <w:iCs/>
        </w:rPr>
        <w:t>et al</w:t>
      </w:r>
      <w:r w:rsidRPr="00C95C1F">
        <w:rPr>
          <w:rFonts w:ascii="Century Gothic" w:hAnsi="Century Gothic"/>
        </w:rPr>
        <w:t>., 2004; Learning Away, 2015). These disconnects reveal a notable gap: the role of positive, immersive experiences in supporting adult wellbeing remains underexplored.</w:t>
      </w:r>
    </w:p>
    <w:p w14:paraId="1BC5872C" w14:textId="355822F4" w:rsidR="00011C30" w:rsidRPr="00C95C1F" w:rsidRDefault="00011C30" w:rsidP="000919A7">
      <w:pPr>
        <w:spacing w:line="360" w:lineRule="auto"/>
        <w:rPr>
          <w:rFonts w:ascii="Century Gothic" w:hAnsi="Century Gothic"/>
        </w:rPr>
      </w:pPr>
      <w:r w:rsidRPr="00C95C1F">
        <w:rPr>
          <w:rFonts w:ascii="Century Gothic" w:hAnsi="Century Gothic"/>
        </w:rPr>
        <w:t>Although teacher–pupil relationships form part of the study’s conceptual background</w:t>
      </w:r>
      <w:r w:rsidR="00FC06F1" w:rsidRPr="00C95C1F">
        <w:rPr>
          <w:rFonts w:ascii="Century Gothic" w:hAnsi="Century Gothic"/>
        </w:rPr>
        <w:t xml:space="preserve"> and were a consideration previously</w:t>
      </w:r>
      <w:r w:rsidRPr="00C95C1F">
        <w:rPr>
          <w:rFonts w:ascii="Century Gothic" w:hAnsi="Century Gothic"/>
        </w:rPr>
        <w:t>, the research has intentionally stepped away from directly involving children. This decision was grounded in ethical and methodological considerations</w:t>
      </w:r>
      <w:r w:rsidR="004E590C" w:rsidRPr="00C95C1F">
        <w:rPr>
          <w:rFonts w:ascii="Century Gothic" w:hAnsi="Century Gothic"/>
        </w:rPr>
        <w:t xml:space="preserve"> and a drive to become more concise with my focus as a developing researcher</w:t>
      </w:r>
      <w:r w:rsidRPr="00C95C1F">
        <w:rPr>
          <w:rFonts w:ascii="Century Gothic" w:hAnsi="Century Gothic"/>
        </w:rPr>
        <w:t>. The focus is on teachers' reflective accounts, and involving pupils would raise complex issues around consent</w:t>
      </w:r>
      <w:r w:rsidR="001E1A63" w:rsidRPr="00C95C1F">
        <w:rPr>
          <w:rFonts w:ascii="Century Gothic" w:hAnsi="Century Gothic"/>
        </w:rPr>
        <w:t>/assent</w:t>
      </w:r>
      <w:r w:rsidRPr="00C95C1F">
        <w:rPr>
          <w:rFonts w:ascii="Century Gothic" w:hAnsi="Century Gothic"/>
        </w:rPr>
        <w:t>, power, and emotional interpretation. In line with BERA (2024) ethical guidance, the research prioritises adult participants, ensuring a safe, voluntary space for in-depth discussion of personal wellbeing.</w:t>
      </w:r>
    </w:p>
    <w:p w14:paraId="03DF5245" w14:textId="2253CA74" w:rsidR="00011C30" w:rsidRPr="00C95C1F" w:rsidRDefault="00011C30" w:rsidP="000919A7">
      <w:pPr>
        <w:spacing w:line="360" w:lineRule="auto"/>
        <w:rPr>
          <w:rFonts w:ascii="Century Gothic" w:hAnsi="Century Gothic"/>
        </w:rPr>
      </w:pPr>
      <w:r w:rsidRPr="00C95C1F">
        <w:rPr>
          <w:rFonts w:ascii="Century Gothic" w:hAnsi="Century Gothic"/>
        </w:rPr>
        <w:t xml:space="preserve">The research questions are therefore designed to foreground teachers' lived experiences. </w:t>
      </w:r>
      <w:r w:rsidR="001E1A63" w:rsidRPr="00C95C1F">
        <w:rPr>
          <w:rFonts w:ascii="Century Gothic" w:hAnsi="Century Gothic"/>
        </w:rPr>
        <w:t>A</w:t>
      </w:r>
      <w:r w:rsidRPr="00C95C1F">
        <w:rPr>
          <w:rFonts w:ascii="Century Gothic" w:hAnsi="Century Gothic"/>
        </w:rPr>
        <w:t xml:space="preserve"> post-positivist stance allows for the exploration of patterns in subjective reflections, with the aim of producing trustworthy, policy-relevant knowledge that can inform wellbeing strategies in Welsh primary education.</w:t>
      </w:r>
    </w:p>
    <w:p w14:paraId="3EF1CD3E" w14:textId="725C0E33" w:rsidR="00011C30" w:rsidRPr="00C95C1F" w:rsidRDefault="00011C30" w:rsidP="000919A7">
      <w:pPr>
        <w:spacing w:line="360" w:lineRule="auto"/>
        <w:rPr>
          <w:rFonts w:ascii="Century Gothic" w:hAnsi="Century Gothic"/>
        </w:rPr>
      </w:pPr>
      <w:r w:rsidRPr="00C95C1F">
        <w:rPr>
          <w:rFonts w:ascii="Century Gothic" w:hAnsi="Century Gothic"/>
        </w:rPr>
        <w:t xml:space="preserve">This study investigates how residential educational visits are perceived by primary school teachers in Wales to impact their personal wellbeing. It </w:t>
      </w:r>
      <w:r w:rsidR="0062078B" w:rsidRPr="00C95C1F">
        <w:rPr>
          <w:rFonts w:ascii="Century Gothic" w:hAnsi="Century Gothic"/>
        </w:rPr>
        <w:t>aims to consider</w:t>
      </w:r>
      <w:r w:rsidRPr="00C95C1F">
        <w:rPr>
          <w:rFonts w:ascii="Century Gothic" w:hAnsi="Century Gothic"/>
        </w:rPr>
        <w:t xml:space="preserve"> the broader context of increasing concern for teacher mental health and retention, both nationally and internationally (OECD, 2021; Education Support, 2023). While existing literature has </w:t>
      </w:r>
      <w:r w:rsidRPr="00C95C1F">
        <w:rPr>
          <w:rFonts w:ascii="Century Gothic" w:hAnsi="Century Gothic"/>
        </w:rPr>
        <w:lastRenderedPageBreak/>
        <w:t>extensively documented the pressures that threaten teacher wellbeing — including workload, accountability, and emotional labour (Skaalvik &amp; Skaalvik, 2017; Day &amp; Gu, 2010) — far less is known about the professional experiences that may sustain or enhance it. In particular, positive, immersive experiences such as residential visits have received limited attention, despite policy frameworks like the Curriculum for Wales (2022) and the Well-being of Future Generations (Wales) Act (2015) advocating for wellbeing as a holistic, relational, and system-wide goal.</w:t>
      </w:r>
    </w:p>
    <w:p w14:paraId="71C951EE" w14:textId="395062BA" w:rsidR="00011C30" w:rsidRPr="00C95C1F" w:rsidRDefault="00011C30" w:rsidP="000919A7">
      <w:pPr>
        <w:spacing w:line="360" w:lineRule="auto"/>
        <w:rPr>
          <w:rFonts w:ascii="Century Gothic" w:hAnsi="Century Gothic"/>
        </w:rPr>
      </w:pPr>
      <w:r w:rsidRPr="00C95C1F">
        <w:rPr>
          <w:rFonts w:ascii="Century Gothic" w:hAnsi="Century Gothic"/>
        </w:rPr>
        <w:t xml:space="preserve">The central research question underpinning this study asks: </w:t>
      </w:r>
      <w:r w:rsidRPr="00C95C1F">
        <w:rPr>
          <w:rFonts w:ascii="Century Gothic" w:hAnsi="Century Gothic"/>
          <w:i/>
          <w:iCs/>
        </w:rPr>
        <w:t>How do primary school teachers perceive the impact of residential educational visits on their wellbeing?</w:t>
      </w:r>
      <w:r w:rsidRPr="00C95C1F">
        <w:rPr>
          <w:rFonts w:ascii="Century Gothic" w:hAnsi="Century Gothic"/>
        </w:rPr>
        <w:t xml:space="preserve"> This question has emerged from both the reviewed literature and professional experience</w:t>
      </w:r>
      <w:r w:rsidR="0046544B" w:rsidRPr="00C95C1F">
        <w:rPr>
          <w:rFonts w:ascii="Century Gothic" w:hAnsi="Century Gothic"/>
        </w:rPr>
        <w:t xml:space="preserve"> and a need to define the overall research area</w:t>
      </w:r>
      <w:r w:rsidR="00991983" w:rsidRPr="00C95C1F">
        <w:rPr>
          <w:rFonts w:ascii="Century Gothic" w:hAnsi="Century Gothic"/>
        </w:rPr>
        <w:t xml:space="preserve"> and remove the element of complexity of research with children AND adults (Alderson &amp; Morrow, 2020; Coyne </w:t>
      </w:r>
      <w:r w:rsidR="00991983" w:rsidRPr="00C95C1F">
        <w:rPr>
          <w:rFonts w:ascii="Century Gothic" w:hAnsi="Century Gothic"/>
          <w:i/>
          <w:iCs/>
        </w:rPr>
        <w:t>et al</w:t>
      </w:r>
      <w:r w:rsidR="00991983" w:rsidRPr="00C95C1F">
        <w:rPr>
          <w:rFonts w:ascii="Century Gothic" w:hAnsi="Century Gothic"/>
        </w:rPr>
        <w:t>., 2014)</w:t>
      </w:r>
      <w:r w:rsidR="0046544B" w:rsidRPr="00C95C1F">
        <w:rPr>
          <w:rFonts w:ascii="Century Gothic" w:hAnsi="Century Gothic"/>
        </w:rPr>
        <w:t xml:space="preserve">. </w:t>
      </w:r>
      <w:r w:rsidRPr="00C95C1F">
        <w:rPr>
          <w:rFonts w:ascii="Century Gothic" w:hAnsi="Century Gothic"/>
        </w:rPr>
        <w:t xml:space="preserve"> The study will explore how teachers describe their emotional and professional experiences during these visits, which aspects of the experience they associate with enhanced wellbeing, and whether they perceive any sustained effects on their motivation, energy, or sense of professional purpose upon returning to school.</w:t>
      </w:r>
      <w:r w:rsidR="0046544B" w:rsidRPr="00C95C1F">
        <w:rPr>
          <w:rFonts w:ascii="Century Gothic" w:hAnsi="Century Gothic"/>
        </w:rPr>
        <w:t xml:space="preserve"> Also, considering the </w:t>
      </w:r>
      <w:r w:rsidR="005052CD" w:rsidRPr="00C95C1F">
        <w:rPr>
          <w:rFonts w:ascii="Century Gothic" w:hAnsi="Century Gothic"/>
        </w:rPr>
        <w:t>preparation and impact prior to a visit</w:t>
      </w:r>
      <w:r w:rsidR="00991983" w:rsidRPr="00C95C1F">
        <w:rPr>
          <w:rFonts w:ascii="Century Gothic" w:hAnsi="Century Gothic"/>
        </w:rPr>
        <w:t xml:space="preserve">. </w:t>
      </w:r>
      <w:r w:rsidRPr="00C95C1F">
        <w:rPr>
          <w:rFonts w:ascii="Century Gothic" w:hAnsi="Century Gothic"/>
        </w:rPr>
        <w:t xml:space="preserve">Moreover, adult participants such as teachers </w:t>
      </w:r>
      <w:r w:rsidR="00991983" w:rsidRPr="00C95C1F">
        <w:rPr>
          <w:rFonts w:ascii="Century Gothic" w:hAnsi="Century Gothic"/>
        </w:rPr>
        <w:t>may be considered</w:t>
      </w:r>
      <w:r w:rsidRPr="00C95C1F">
        <w:rPr>
          <w:rFonts w:ascii="Century Gothic" w:hAnsi="Century Gothic"/>
        </w:rPr>
        <w:t xml:space="preserve"> typically equipped to engage in in-depth reflection, articulate emotional </w:t>
      </w:r>
      <w:r w:rsidR="00991983" w:rsidRPr="00C95C1F">
        <w:rPr>
          <w:rFonts w:ascii="Century Gothic" w:hAnsi="Century Gothic"/>
        </w:rPr>
        <w:t>views</w:t>
      </w:r>
      <w:r w:rsidRPr="00C95C1F">
        <w:rPr>
          <w:rFonts w:ascii="Century Gothic" w:hAnsi="Century Gothic"/>
        </w:rPr>
        <w:t>, and critically evaluate professional experience (Cohen, Manion &amp; Morrison, 2018). Th</w:t>
      </w:r>
      <w:r w:rsidR="00991983" w:rsidRPr="00C95C1F">
        <w:rPr>
          <w:rFonts w:ascii="Century Gothic" w:hAnsi="Century Gothic"/>
        </w:rPr>
        <w:t>e</w:t>
      </w:r>
      <w:r w:rsidRPr="00C95C1F">
        <w:rPr>
          <w:rFonts w:ascii="Century Gothic" w:hAnsi="Century Gothic"/>
        </w:rPr>
        <w:t xml:space="preserve"> decision</w:t>
      </w:r>
      <w:r w:rsidR="00991983" w:rsidRPr="00C95C1F">
        <w:rPr>
          <w:rFonts w:ascii="Century Gothic" w:hAnsi="Century Gothic"/>
        </w:rPr>
        <w:t xml:space="preserve"> to focus on adults, in the first instance,</w:t>
      </w:r>
      <w:r w:rsidRPr="00C95C1F">
        <w:rPr>
          <w:rFonts w:ascii="Century Gothic" w:hAnsi="Century Gothic"/>
        </w:rPr>
        <w:t xml:space="preserve"> ensures ethical clarity, alig</w:t>
      </w:r>
      <w:r w:rsidR="00991983" w:rsidRPr="00C95C1F">
        <w:rPr>
          <w:rFonts w:ascii="Century Gothic" w:hAnsi="Century Gothic"/>
        </w:rPr>
        <w:t>ning</w:t>
      </w:r>
      <w:r w:rsidRPr="00C95C1F">
        <w:rPr>
          <w:rFonts w:ascii="Century Gothic" w:hAnsi="Century Gothic"/>
        </w:rPr>
        <w:t xml:space="preserve"> with BERA</w:t>
      </w:r>
      <w:r w:rsidR="00991983" w:rsidRPr="00C95C1F">
        <w:rPr>
          <w:rFonts w:ascii="Century Gothic" w:hAnsi="Century Gothic"/>
        </w:rPr>
        <w:t>’s</w:t>
      </w:r>
      <w:r w:rsidRPr="00C95C1F">
        <w:rPr>
          <w:rFonts w:ascii="Century Gothic" w:hAnsi="Century Gothic"/>
        </w:rPr>
        <w:t xml:space="preserve"> (2024) guidance on minimising risk to vulnerable groups, and supports the study’s aim to foreground teacher voice in a context that encourages openness and self-awareness.</w:t>
      </w:r>
    </w:p>
    <w:p w14:paraId="19BC0D1D" w14:textId="0D431A3A" w:rsidR="00011C30" w:rsidRPr="00C95C1F" w:rsidRDefault="00011C30" w:rsidP="005045B4">
      <w:pPr>
        <w:pStyle w:val="Heading2"/>
        <w:rPr>
          <w:rFonts w:ascii="Century Gothic" w:hAnsi="Century Gothic"/>
        </w:rPr>
      </w:pPr>
      <w:r w:rsidRPr="00C95C1F">
        <w:rPr>
          <w:rFonts w:ascii="Century Gothic" w:hAnsi="Century Gothic"/>
        </w:rPr>
        <w:t xml:space="preserve">Contribution to the Field </w:t>
      </w:r>
    </w:p>
    <w:p w14:paraId="5E4FC78F" w14:textId="654FE714" w:rsidR="00011C30" w:rsidRPr="00C95C1F" w:rsidRDefault="00011C30" w:rsidP="000919A7">
      <w:pPr>
        <w:spacing w:line="360" w:lineRule="auto"/>
        <w:rPr>
          <w:rFonts w:ascii="Century Gothic" w:hAnsi="Century Gothic"/>
        </w:rPr>
      </w:pPr>
      <w:r w:rsidRPr="00C95C1F">
        <w:rPr>
          <w:rFonts w:ascii="Century Gothic" w:hAnsi="Century Gothic"/>
        </w:rPr>
        <w:t>Th</w:t>
      </w:r>
      <w:r w:rsidR="00C53B4E" w:rsidRPr="00C95C1F">
        <w:rPr>
          <w:rFonts w:ascii="Century Gothic" w:hAnsi="Century Gothic"/>
        </w:rPr>
        <w:t>e proposed research</w:t>
      </w:r>
      <w:r w:rsidRPr="00C95C1F">
        <w:rPr>
          <w:rFonts w:ascii="Century Gothic" w:hAnsi="Century Gothic"/>
        </w:rPr>
        <w:t xml:space="preserve"> study </w:t>
      </w:r>
      <w:r w:rsidR="00C53B4E" w:rsidRPr="00C95C1F">
        <w:rPr>
          <w:rFonts w:ascii="Century Gothic" w:hAnsi="Century Gothic"/>
        </w:rPr>
        <w:t xml:space="preserve">hopes to </w:t>
      </w:r>
      <w:r w:rsidRPr="00C95C1F">
        <w:rPr>
          <w:rFonts w:ascii="Century Gothic" w:hAnsi="Century Gothic"/>
        </w:rPr>
        <w:t xml:space="preserve">make an original contribution by exploring how residential educational visits support the wellbeing of primary school teachers — a topic that has received limited empirical attention, particularly in the Welsh education system. While teacher wellbeing is increasingly acknowledged as a policy and practice priority (OECD, 2021; Welsh Government, 2022), much of the research continues to focus on managing stress or preventing burnout (Skaalvik &amp; Skaalvik, 2017; Day &amp; Gu, 2010). Less is known about the experiences that actively foster wellbeing, especially those that occur </w:t>
      </w:r>
      <w:r w:rsidRPr="00C95C1F">
        <w:rPr>
          <w:rFonts w:ascii="Century Gothic" w:hAnsi="Century Gothic"/>
        </w:rPr>
        <w:lastRenderedPageBreak/>
        <w:t>outside the classroom. This research seeks to fill that gap by investigating residential visits as potential sources of emotional renewal, motivation, and professional connection.</w:t>
      </w:r>
    </w:p>
    <w:p w14:paraId="35A7915E" w14:textId="50CA7409" w:rsidR="00011C30" w:rsidRPr="00C95C1F" w:rsidRDefault="00011C30" w:rsidP="000919A7">
      <w:pPr>
        <w:spacing w:line="360" w:lineRule="auto"/>
        <w:rPr>
          <w:rFonts w:ascii="Century Gothic" w:hAnsi="Century Gothic"/>
        </w:rPr>
      </w:pPr>
      <w:r w:rsidRPr="00C95C1F">
        <w:rPr>
          <w:rFonts w:ascii="Century Gothic" w:hAnsi="Century Gothic"/>
        </w:rPr>
        <w:t xml:space="preserve">Where previous studies have concentrated on pupils’ outcomes from educational visits (Rickinson </w:t>
      </w:r>
      <w:r w:rsidRPr="00C95C1F">
        <w:rPr>
          <w:rFonts w:ascii="Century Gothic" w:hAnsi="Century Gothic"/>
          <w:i/>
          <w:iCs/>
        </w:rPr>
        <w:t>et al</w:t>
      </w:r>
      <w:r w:rsidRPr="00C95C1F">
        <w:rPr>
          <w:rFonts w:ascii="Century Gothic" w:hAnsi="Century Gothic"/>
        </w:rPr>
        <w:t xml:space="preserve">., 2004; Learning Away, 2015), </w:t>
      </w:r>
      <w:r w:rsidR="00C53B4E" w:rsidRPr="00C95C1F">
        <w:rPr>
          <w:rFonts w:ascii="Century Gothic" w:hAnsi="Century Gothic"/>
        </w:rPr>
        <w:t xml:space="preserve"> the suggested research </w:t>
      </w:r>
      <w:r w:rsidRPr="00C95C1F">
        <w:rPr>
          <w:rFonts w:ascii="Century Gothic" w:hAnsi="Century Gothic"/>
        </w:rPr>
        <w:t xml:space="preserve">shifts the focus to teachers themselves. By </w:t>
      </w:r>
      <w:r w:rsidR="006B7503">
        <w:rPr>
          <w:rFonts w:ascii="Century Gothic" w:hAnsi="Century Gothic"/>
        </w:rPr>
        <w:t>focussing on</w:t>
      </w:r>
      <w:r w:rsidRPr="00C95C1F">
        <w:rPr>
          <w:rFonts w:ascii="Century Gothic" w:hAnsi="Century Gothic"/>
        </w:rPr>
        <w:t xml:space="preserve"> teacher voice and using wellbeing frameworks such as PERMA (Seligman, 2011) and the JD-R model (Bakker &amp; Demerouti, 2007), this research contributes new conceptual and practical insights into how residential visits may support staff wellbeing in authentic, experience-based ways.</w:t>
      </w:r>
    </w:p>
    <w:p w14:paraId="5DA302AE" w14:textId="77777777" w:rsidR="008C1C7D" w:rsidRPr="00C95C1F" w:rsidRDefault="00011C30" w:rsidP="000919A7">
      <w:pPr>
        <w:spacing w:line="360" w:lineRule="auto"/>
        <w:rPr>
          <w:rFonts w:ascii="Century Gothic" w:hAnsi="Century Gothic"/>
        </w:rPr>
      </w:pPr>
      <w:r w:rsidRPr="00C95C1F">
        <w:rPr>
          <w:rFonts w:ascii="Century Gothic" w:hAnsi="Century Gothic"/>
        </w:rPr>
        <w:t>The study is also highly relevant to the Welsh policy landscape</w:t>
      </w:r>
      <w:r w:rsidR="005F7342" w:rsidRPr="00C95C1F">
        <w:rPr>
          <w:rFonts w:ascii="Century Gothic" w:hAnsi="Century Gothic"/>
        </w:rPr>
        <w:t xml:space="preserve">, as mentioned, </w:t>
      </w:r>
      <w:r w:rsidRPr="00C95C1F">
        <w:rPr>
          <w:rFonts w:ascii="Century Gothic" w:hAnsi="Century Gothic"/>
        </w:rPr>
        <w:t xml:space="preserve"> The Curriculum for Wales (2022) embed wellbeing as a national commitment, yet there is a disconnect between these ambitions and the evidence base available to support them in practice. Estyn (2019; 2023) has highlighted the importance of staff wellbeing and recognised off-site learning as beneficial for morale, but further research is needed to explore this claim in depth. </w:t>
      </w:r>
      <w:r w:rsidR="005F7342" w:rsidRPr="00C95C1F">
        <w:rPr>
          <w:rFonts w:ascii="Century Gothic" w:hAnsi="Century Gothic"/>
        </w:rPr>
        <w:t>By researching directly with teachers surrounding residential visits, it</w:t>
      </w:r>
      <w:r w:rsidRPr="00C95C1F">
        <w:rPr>
          <w:rFonts w:ascii="Century Gothic" w:hAnsi="Century Gothic"/>
        </w:rPr>
        <w:t xml:space="preserve"> responds directly to that need by examining teacher perspectives before, during, and after residential visits, providing insight into both the immediate and sustained emotional impact of such experiences.</w:t>
      </w:r>
      <w:r w:rsidR="00C239FB" w:rsidRPr="00C95C1F">
        <w:rPr>
          <w:rFonts w:ascii="Century Gothic" w:hAnsi="Century Gothic"/>
        </w:rPr>
        <w:t xml:space="preserve"> </w:t>
      </w:r>
      <w:r w:rsidRPr="00C95C1F">
        <w:rPr>
          <w:rFonts w:ascii="Century Gothic" w:hAnsi="Century Gothic"/>
        </w:rPr>
        <w:t>In practice, the findings could</w:t>
      </w:r>
      <w:r w:rsidR="00C239FB" w:rsidRPr="00C95C1F">
        <w:rPr>
          <w:rFonts w:ascii="Century Gothic" w:hAnsi="Century Gothic"/>
        </w:rPr>
        <w:t xml:space="preserve"> potentially</w:t>
      </w:r>
      <w:r w:rsidRPr="00C95C1F">
        <w:rPr>
          <w:rFonts w:ascii="Century Gothic" w:hAnsi="Century Gothic"/>
        </w:rPr>
        <w:t xml:space="preserve"> inform how schools plan and resource residential visits — not just as pupil experiences, but as part of a whole-school wellbeing strategy. This may be particularly valuable in a post-COVID context, where staff morale, workload pressures, and retention continue to challenge the profession (Education Support, 2023). </w:t>
      </w:r>
      <w:r w:rsidR="00C239FB" w:rsidRPr="00C95C1F">
        <w:rPr>
          <w:rFonts w:ascii="Century Gothic" w:hAnsi="Century Gothic"/>
        </w:rPr>
        <w:t xml:space="preserve"> </w:t>
      </w:r>
    </w:p>
    <w:p w14:paraId="7A37AD92" w14:textId="4CFA609D" w:rsidR="00D238C5" w:rsidRPr="00C95C1F" w:rsidRDefault="00C239FB" w:rsidP="000919A7">
      <w:pPr>
        <w:spacing w:line="360" w:lineRule="auto"/>
        <w:rPr>
          <w:rFonts w:ascii="Century Gothic" w:hAnsi="Century Gothic"/>
        </w:rPr>
      </w:pPr>
      <w:r w:rsidRPr="00C95C1F">
        <w:rPr>
          <w:rFonts w:ascii="Century Gothic" w:hAnsi="Century Gothic"/>
        </w:rPr>
        <w:t>By u</w:t>
      </w:r>
      <w:r w:rsidR="00011C30" w:rsidRPr="00C95C1F">
        <w:rPr>
          <w:rFonts w:ascii="Century Gothic" w:hAnsi="Century Gothic"/>
        </w:rPr>
        <w:t>nderstanding how positive, shared experiences outside school contribute to teacher wellbeing could support more holistic, relational leadership approaches and inform local authority or national guidance on staff development</w:t>
      </w:r>
      <w:r w:rsidR="006B69CF" w:rsidRPr="00C95C1F">
        <w:rPr>
          <w:rFonts w:ascii="Century Gothic" w:hAnsi="Century Gothic"/>
        </w:rPr>
        <w:t>, it could be useful to many relevant educational bodies to consider the value of residential visits</w:t>
      </w:r>
      <w:r w:rsidR="008C1C7D" w:rsidRPr="00C95C1F">
        <w:rPr>
          <w:rFonts w:ascii="Century Gothic" w:hAnsi="Century Gothic"/>
        </w:rPr>
        <w:t xml:space="preserve">. Interestingly, Estyn </w:t>
      </w:r>
      <w:r w:rsidR="00385D87" w:rsidRPr="00C95C1F">
        <w:rPr>
          <w:rFonts w:ascii="Century Gothic" w:hAnsi="Century Gothic"/>
        </w:rPr>
        <w:t xml:space="preserve">(the education and training inspectorate for Wales) </w:t>
      </w:r>
      <w:r w:rsidR="008C1C7D" w:rsidRPr="00C95C1F">
        <w:rPr>
          <w:rFonts w:ascii="Century Gothic" w:hAnsi="Century Gothic"/>
        </w:rPr>
        <w:t>has documented several case studies highlighting the positive impact of residential visits on pupil wellbeing and engagement</w:t>
      </w:r>
      <w:r w:rsidR="00385D87" w:rsidRPr="00C95C1F">
        <w:rPr>
          <w:rFonts w:ascii="Century Gothic" w:hAnsi="Century Gothic"/>
        </w:rPr>
        <w:t xml:space="preserve">, but repeatedly nothing on teacher perspectives. </w:t>
      </w:r>
      <w:r w:rsidR="00810A04" w:rsidRPr="00C95C1F">
        <w:rPr>
          <w:rFonts w:ascii="Century Gothic" w:hAnsi="Century Gothic"/>
        </w:rPr>
        <w:t>Two case studies that highlight the importance of residential visits by Estyn are “</w:t>
      </w:r>
      <w:r w:rsidR="008C1C7D" w:rsidRPr="008C1C7D">
        <w:rPr>
          <w:rFonts w:ascii="Century Gothic" w:hAnsi="Century Gothic"/>
        </w:rPr>
        <w:t>Greenhill School – Fully Funded Residential Experiences</w:t>
      </w:r>
      <w:r w:rsidR="00810A04" w:rsidRPr="00C95C1F">
        <w:rPr>
          <w:rFonts w:ascii="Century Gothic" w:hAnsi="Century Gothic"/>
        </w:rPr>
        <w:t>” (</w:t>
      </w:r>
      <w:r w:rsidR="0099791E" w:rsidRPr="00C95C1F">
        <w:rPr>
          <w:rFonts w:ascii="Century Gothic" w:hAnsi="Century Gothic"/>
        </w:rPr>
        <w:t xml:space="preserve">ESTYN, </w:t>
      </w:r>
      <w:r w:rsidR="00810A04" w:rsidRPr="00C95C1F">
        <w:rPr>
          <w:rFonts w:ascii="Century Gothic" w:hAnsi="Century Gothic"/>
        </w:rPr>
        <w:t xml:space="preserve">2022) </w:t>
      </w:r>
      <w:r w:rsidR="0099791E" w:rsidRPr="00C95C1F">
        <w:rPr>
          <w:rFonts w:ascii="Century Gothic" w:hAnsi="Century Gothic"/>
        </w:rPr>
        <w:t xml:space="preserve">who claim the </w:t>
      </w:r>
      <w:r w:rsidR="008C1C7D" w:rsidRPr="008C1C7D">
        <w:rPr>
          <w:rFonts w:ascii="Century Gothic" w:hAnsi="Century Gothic"/>
        </w:rPr>
        <w:t xml:space="preserve">impact has been significant, with reductions in </w:t>
      </w:r>
      <w:r w:rsidR="008C1C7D" w:rsidRPr="008C1C7D">
        <w:rPr>
          <w:rFonts w:ascii="Century Gothic" w:hAnsi="Century Gothic"/>
        </w:rPr>
        <w:lastRenderedPageBreak/>
        <w:t>negative incidents and exclusions, and improvements in pupil focus and emotional regulation</w:t>
      </w:r>
      <w:r w:rsidR="0099791E" w:rsidRPr="00C95C1F">
        <w:rPr>
          <w:rFonts w:ascii="Century Gothic" w:hAnsi="Century Gothic"/>
        </w:rPr>
        <w:t xml:space="preserve">. Also, </w:t>
      </w:r>
      <w:r w:rsidR="008C1C7D" w:rsidRPr="008C1C7D">
        <w:rPr>
          <w:rFonts w:ascii="Century Gothic" w:hAnsi="Century Gothic"/>
        </w:rPr>
        <w:t xml:space="preserve"> </w:t>
      </w:r>
      <w:r w:rsidR="0099791E" w:rsidRPr="00C95C1F">
        <w:rPr>
          <w:rFonts w:ascii="Century Gothic" w:hAnsi="Century Gothic"/>
        </w:rPr>
        <w:t>“</w:t>
      </w:r>
      <w:r w:rsidR="008C1C7D" w:rsidRPr="008C1C7D">
        <w:rPr>
          <w:rFonts w:ascii="Century Gothic" w:hAnsi="Century Gothic"/>
        </w:rPr>
        <w:t>Swansea University Schools' Partnership – Student Teacher Involvement in Residential Visits</w:t>
      </w:r>
      <w:r w:rsidR="0099791E" w:rsidRPr="00C95C1F">
        <w:rPr>
          <w:rFonts w:ascii="Century Gothic" w:hAnsi="Century Gothic"/>
        </w:rPr>
        <w:t xml:space="preserve">” (ESTYN, 2024) which </w:t>
      </w:r>
      <w:r w:rsidR="00A15239" w:rsidRPr="00C95C1F">
        <w:rPr>
          <w:rFonts w:ascii="Century Gothic" w:hAnsi="Century Gothic"/>
        </w:rPr>
        <w:t xml:space="preserve">is a report documenting how the university </w:t>
      </w:r>
      <w:r w:rsidR="0099791E" w:rsidRPr="00C95C1F">
        <w:rPr>
          <w:rFonts w:ascii="Century Gothic" w:hAnsi="Century Gothic"/>
        </w:rPr>
        <w:t>encourages</w:t>
      </w:r>
      <w:r w:rsidR="008C1C7D" w:rsidRPr="008C1C7D">
        <w:rPr>
          <w:rFonts w:ascii="Century Gothic" w:hAnsi="Century Gothic"/>
        </w:rPr>
        <w:t xml:space="preserve"> student teachers to participate in residential visits as part of their training</w:t>
      </w:r>
      <w:r w:rsidR="00A15239" w:rsidRPr="00C95C1F">
        <w:rPr>
          <w:rFonts w:ascii="Century Gothic" w:hAnsi="Century Gothic"/>
        </w:rPr>
        <w:t xml:space="preserve">, helping </w:t>
      </w:r>
      <w:r w:rsidR="008C1C7D" w:rsidRPr="008C1C7D">
        <w:rPr>
          <w:rFonts w:ascii="Century Gothic" w:hAnsi="Century Gothic"/>
        </w:rPr>
        <w:t>them develop practical teaching skills and understand the importance of experiential learning in fostering pupil engagement and wellbeing.</w:t>
      </w:r>
      <w:r w:rsidR="00A15239" w:rsidRPr="00C95C1F">
        <w:rPr>
          <w:rFonts w:ascii="Century Gothic" w:hAnsi="Century Gothic"/>
        </w:rPr>
        <w:t xml:space="preserve"> Again, </w:t>
      </w:r>
      <w:r w:rsidR="002A7C8E">
        <w:rPr>
          <w:rFonts w:ascii="Century Gothic" w:hAnsi="Century Gothic"/>
        </w:rPr>
        <w:t xml:space="preserve">this </w:t>
      </w:r>
      <w:r w:rsidR="005F0F0B">
        <w:rPr>
          <w:rFonts w:ascii="Century Gothic" w:hAnsi="Century Gothic"/>
        </w:rPr>
        <w:t xml:space="preserve">report does </w:t>
      </w:r>
      <w:r w:rsidR="00A15239" w:rsidRPr="00C95C1F">
        <w:rPr>
          <w:rFonts w:ascii="Century Gothic" w:hAnsi="Century Gothic"/>
        </w:rPr>
        <w:t>not</w:t>
      </w:r>
      <w:r w:rsidR="00D238C5" w:rsidRPr="00C95C1F">
        <w:rPr>
          <w:rFonts w:ascii="Century Gothic" w:hAnsi="Century Gothic"/>
        </w:rPr>
        <w:t xml:space="preserve"> specifically</w:t>
      </w:r>
      <w:r w:rsidR="00A15239" w:rsidRPr="00C95C1F">
        <w:rPr>
          <w:rFonts w:ascii="Century Gothic" w:hAnsi="Century Gothic"/>
        </w:rPr>
        <w:t xml:space="preserve"> look at the</w:t>
      </w:r>
      <w:r w:rsidR="005F0F0B">
        <w:rPr>
          <w:rFonts w:ascii="Century Gothic" w:hAnsi="Century Gothic"/>
        </w:rPr>
        <w:t xml:space="preserve"> </w:t>
      </w:r>
      <w:r w:rsidR="00A15239" w:rsidRPr="00C95C1F">
        <w:rPr>
          <w:rFonts w:ascii="Century Gothic" w:hAnsi="Century Gothic"/>
        </w:rPr>
        <w:t>impact on teachers</w:t>
      </w:r>
      <w:r w:rsidR="005F0F0B">
        <w:rPr>
          <w:rFonts w:ascii="Century Gothic" w:hAnsi="Century Gothic"/>
        </w:rPr>
        <w:t>’ wellbeing</w:t>
      </w:r>
      <w:r w:rsidR="00A15239" w:rsidRPr="00C95C1F">
        <w:rPr>
          <w:rFonts w:ascii="Century Gothic" w:hAnsi="Century Gothic"/>
        </w:rPr>
        <w:t>.</w:t>
      </w:r>
    </w:p>
    <w:p w14:paraId="2C3D353A" w14:textId="11F3AFA3" w:rsidR="007B1628" w:rsidRPr="00C95C1F" w:rsidRDefault="007B1628" w:rsidP="005045B4">
      <w:pPr>
        <w:pStyle w:val="Heading2"/>
        <w:rPr>
          <w:rFonts w:ascii="Century Gothic" w:hAnsi="Century Gothic"/>
        </w:rPr>
      </w:pPr>
      <w:r w:rsidRPr="00C95C1F">
        <w:rPr>
          <w:rFonts w:ascii="Century Gothic" w:hAnsi="Century Gothic"/>
        </w:rPr>
        <w:t xml:space="preserve">Limitations to </w:t>
      </w:r>
      <w:r w:rsidR="007A525A">
        <w:rPr>
          <w:rFonts w:ascii="Century Gothic" w:hAnsi="Century Gothic"/>
        </w:rPr>
        <w:t>P</w:t>
      </w:r>
      <w:r w:rsidRPr="00C95C1F">
        <w:rPr>
          <w:rFonts w:ascii="Century Gothic" w:hAnsi="Century Gothic"/>
        </w:rPr>
        <w:t xml:space="preserve">roposed </w:t>
      </w:r>
      <w:r w:rsidR="007A525A">
        <w:rPr>
          <w:rFonts w:ascii="Century Gothic" w:hAnsi="Century Gothic"/>
        </w:rPr>
        <w:t>R</w:t>
      </w:r>
      <w:r w:rsidRPr="00C95C1F">
        <w:rPr>
          <w:rFonts w:ascii="Century Gothic" w:hAnsi="Century Gothic"/>
        </w:rPr>
        <w:t>esearch</w:t>
      </w:r>
    </w:p>
    <w:p w14:paraId="6B818595" w14:textId="1E84EDA1" w:rsidR="006A7B66" w:rsidRPr="008C1C7D" w:rsidRDefault="006A7B66" w:rsidP="000919A7">
      <w:pPr>
        <w:spacing w:line="360" w:lineRule="auto"/>
        <w:rPr>
          <w:rFonts w:ascii="Century Gothic" w:hAnsi="Century Gothic"/>
        </w:rPr>
      </w:pPr>
      <w:r w:rsidRPr="00C95C1F">
        <w:rPr>
          <w:rFonts w:ascii="Century Gothic" w:hAnsi="Century Gothic"/>
        </w:rPr>
        <w:t xml:space="preserve">It is worth considering why there is such a notable gap in the research and addressing potential limitations. </w:t>
      </w:r>
      <w:r w:rsidR="00751E07" w:rsidRPr="00C95C1F">
        <w:rPr>
          <w:rFonts w:ascii="Century Gothic" w:hAnsi="Century Gothic"/>
        </w:rPr>
        <w:t xml:space="preserve">Although residential visits are widely acknowledged to enhance learner engagement, wellbeing, and social development (Learning Away, 2015; Christie </w:t>
      </w:r>
      <w:r w:rsidR="00751E07" w:rsidRPr="00C95C1F">
        <w:rPr>
          <w:rFonts w:ascii="Century Gothic" w:hAnsi="Century Gothic"/>
          <w:i/>
          <w:iCs/>
        </w:rPr>
        <w:t>et al</w:t>
      </w:r>
      <w:r w:rsidR="00751E07" w:rsidRPr="00C95C1F">
        <w:rPr>
          <w:rFonts w:ascii="Century Gothic" w:hAnsi="Century Gothic"/>
        </w:rPr>
        <w:t xml:space="preserve">., 2014), many schools are opting not to participate in such experiences. A key barrier is financial constraint, particularly in areas of socio-economic deprivation, where schools struggle to subsidise costs or rely heavily on parental contributions (DfE, 2019). The post-pandemic context has further exacerbated funding issues and staffing shortages, limiting schools’ capacity to organise off-site learning (EEF, 2021). Moreover, the increasing pressure of accountability measures and curriculum coverage can discourage leaders from prioritising time-consuming enrichment activities </w:t>
      </w:r>
      <w:r w:rsidR="000919A7" w:rsidRPr="00C95C1F">
        <w:rPr>
          <w:rFonts w:ascii="Century Gothic" w:hAnsi="Century Gothic"/>
        </w:rPr>
        <w:t xml:space="preserve">possibly </w:t>
      </w:r>
      <w:r w:rsidR="00751E07" w:rsidRPr="00C95C1F">
        <w:rPr>
          <w:rFonts w:ascii="Century Gothic" w:hAnsi="Century Gothic"/>
        </w:rPr>
        <w:t xml:space="preserve">perceived as peripheral to academic outcomes (Ball, 2003). Schools may also face logistical and safeguarding challenges, including risk assessments and insurance requirements, which add to teachers’ workloads and perceived stress (Waite </w:t>
      </w:r>
      <w:r w:rsidR="00751E07" w:rsidRPr="00C95C1F">
        <w:rPr>
          <w:rFonts w:ascii="Century Gothic" w:hAnsi="Century Gothic"/>
          <w:i/>
          <w:iCs/>
        </w:rPr>
        <w:t>et al.</w:t>
      </w:r>
      <w:r w:rsidR="00751E07" w:rsidRPr="00C95C1F">
        <w:rPr>
          <w:rFonts w:ascii="Century Gothic" w:hAnsi="Century Gothic"/>
        </w:rPr>
        <w:t>, 2016). In addition, a lack of initial teacher training in learning</w:t>
      </w:r>
      <w:r w:rsidR="000919A7" w:rsidRPr="00C95C1F">
        <w:rPr>
          <w:rFonts w:ascii="Century Gothic" w:hAnsi="Century Gothic"/>
        </w:rPr>
        <w:t xml:space="preserve"> out of the classroom</w:t>
      </w:r>
      <w:r w:rsidR="00751E07" w:rsidRPr="00C95C1F">
        <w:rPr>
          <w:rFonts w:ascii="Century Gothic" w:hAnsi="Century Gothic"/>
        </w:rPr>
        <w:t xml:space="preserve"> means many educators feel unprepared to lead residentials, diminishing confidence in the value or feasibility of such experiences (Humberstone </w:t>
      </w:r>
      <w:r w:rsidR="000919A7" w:rsidRPr="00C95C1F">
        <w:rPr>
          <w:rFonts w:ascii="Century Gothic" w:hAnsi="Century Gothic"/>
        </w:rPr>
        <w:t xml:space="preserve">&amp; </w:t>
      </w:r>
      <w:r w:rsidR="00751E07" w:rsidRPr="00C95C1F">
        <w:rPr>
          <w:rFonts w:ascii="Century Gothic" w:hAnsi="Century Gothic"/>
        </w:rPr>
        <w:t>Stan, 2011). These factors collectively create a risk-averse culture in some settings, limiting access to the developmental and relational benefits associated with residential learning. Addressing these barriers requires strategic support and policy alignment to reposition residential visits as essential rather than optional.</w:t>
      </w:r>
      <w:r w:rsidR="000919A7" w:rsidRPr="00C95C1F">
        <w:rPr>
          <w:rFonts w:ascii="Century Gothic" w:hAnsi="Century Gothic"/>
        </w:rPr>
        <w:t xml:space="preserve"> Perhaps the proposed research can contribute to this by understanding the impact residential visits have on teachers.</w:t>
      </w:r>
    </w:p>
    <w:p w14:paraId="7542138D" w14:textId="1905CFB0" w:rsidR="00011C30" w:rsidRPr="00C95C1F" w:rsidRDefault="00011C30" w:rsidP="000919A7">
      <w:pPr>
        <w:spacing w:line="360" w:lineRule="auto"/>
        <w:rPr>
          <w:rFonts w:ascii="Century Gothic" w:hAnsi="Century Gothic"/>
        </w:rPr>
      </w:pPr>
    </w:p>
    <w:p w14:paraId="030A986B" w14:textId="77777777" w:rsidR="00980C41" w:rsidRPr="00C95C1F" w:rsidRDefault="00980C41" w:rsidP="000919A7">
      <w:pPr>
        <w:spacing w:line="360" w:lineRule="auto"/>
        <w:rPr>
          <w:rFonts w:ascii="Century Gothic" w:hAnsi="Century Gothic"/>
        </w:rPr>
      </w:pPr>
    </w:p>
    <w:p w14:paraId="1EBB633F" w14:textId="34D7FC9C" w:rsidR="004A79E5" w:rsidRPr="00C95C1F" w:rsidRDefault="004A79E5" w:rsidP="005045B4">
      <w:pPr>
        <w:pStyle w:val="Heading2"/>
        <w:rPr>
          <w:rFonts w:ascii="Century Gothic" w:hAnsi="Century Gothic"/>
        </w:rPr>
      </w:pPr>
      <w:r w:rsidRPr="00C95C1F">
        <w:rPr>
          <w:rFonts w:ascii="Century Gothic" w:hAnsi="Century Gothic"/>
        </w:rPr>
        <w:t>Reference List</w:t>
      </w:r>
    </w:p>
    <w:p w14:paraId="15DB37C3" w14:textId="662C64DE" w:rsidR="004A79E5" w:rsidRPr="00C95C1F" w:rsidRDefault="004A79E5" w:rsidP="000919A7">
      <w:pPr>
        <w:spacing w:line="360" w:lineRule="auto"/>
        <w:rPr>
          <w:rFonts w:ascii="Century Gothic" w:hAnsi="Century Gothic"/>
        </w:rPr>
      </w:pPr>
      <w:r w:rsidRPr="00C95C1F">
        <w:rPr>
          <w:rFonts w:ascii="Century Gothic" w:hAnsi="Century Gothic"/>
        </w:rPr>
        <w:t xml:space="preserve">Acton, R. and Glasgow, P., </w:t>
      </w:r>
      <w:r w:rsidR="005045B4" w:rsidRPr="00C95C1F">
        <w:rPr>
          <w:rFonts w:ascii="Century Gothic" w:hAnsi="Century Gothic"/>
        </w:rPr>
        <w:t>(</w:t>
      </w:r>
      <w:r w:rsidRPr="00C95C1F">
        <w:rPr>
          <w:rFonts w:ascii="Century Gothic" w:hAnsi="Century Gothic"/>
        </w:rPr>
        <w:t>2015</w:t>
      </w:r>
      <w:r w:rsidR="005045B4" w:rsidRPr="00C95C1F">
        <w:rPr>
          <w:rFonts w:ascii="Century Gothic" w:hAnsi="Century Gothic"/>
        </w:rPr>
        <w:t>)</w:t>
      </w:r>
      <w:r w:rsidRPr="00C95C1F">
        <w:rPr>
          <w:rFonts w:ascii="Century Gothic" w:hAnsi="Century Gothic"/>
        </w:rPr>
        <w:t xml:space="preserve">. Teacher wellbeing in neoliberal contexts: A review of the literature. </w:t>
      </w:r>
      <w:r w:rsidRPr="00C95C1F">
        <w:rPr>
          <w:rFonts w:ascii="Century Gothic" w:hAnsi="Century Gothic"/>
          <w:i/>
          <w:iCs/>
        </w:rPr>
        <w:t>Australian Journal of Teacher Education</w:t>
      </w:r>
      <w:r w:rsidRPr="00C95C1F">
        <w:rPr>
          <w:rFonts w:ascii="Century Gothic" w:hAnsi="Century Gothic"/>
        </w:rPr>
        <w:t>, 40(8), pp.99–114. https://doi.org/10.14221/ajte.2015v40n8.6</w:t>
      </w:r>
    </w:p>
    <w:p w14:paraId="15F6FF72" w14:textId="71B4AC88" w:rsidR="004A79E5" w:rsidRPr="00C95C1F" w:rsidRDefault="004A79E5" w:rsidP="000919A7">
      <w:pPr>
        <w:spacing w:line="360" w:lineRule="auto"/>
        <w:rPr>
          <w:rFonts w:ascii="Century Gothic" w:hAnsi="Century Gothic"/>
        </w:rPr>
      </w:pPr>
      <w:r w:rsidRPr="00C95C1F">
        <w:rPr>
          <w:rFonts w:ascii="Century Gothic" w:hAnsi="Century Gothic"/>
        </w:rPr>
        <w:t xml:space="preserve">Alderson, P. and Morrow, V., </w:t>
      </w:r>
      <w:r w:rsidR="005045B4" w:rsidRPr="00C95C1F">
        <w:rPr>
          <w:rFonts w:ascii="Century Gothic" w:hAnsi="Century Gothic"/>
        </w:rPr>
        <w:t>(</w:t>
      </w:r>
      <w:r w:rsidRPr="00C95C1F">
        <w:rPr>
          <w:rFonts w:ascii="Century Gothic" w:hAnsi="Century Gothic"/>
        </w:rPr>
        <w:t>2020</w:t>
      </w:r>
      <w:r w:rsidR="005045B4" w:rsidRPr="00C95C1F">
        <w:rPr>
          <w:rFonts w:ascii="Century Gothic" w:hAnsi="Century Gothic"/>
        </w:rPr>
        <w:t>)</w:t>
      </w:r>
      <w:r w:rsidRPr="00C95C1F">
        <w:rPr>
          <w:rFonts w:ascii="Century Gothic" w:hAnsi="Century Gothic"/>
        </w:rPr>
        <w:t xml:space="preserve">. </w:t>
      </w:r>
      <w:r w:rsidRPr="00C95C1F">
        <w:rPr>
          <w:rFonts w:ascii="Century Gothic" w:hAnsi="Century Gothic"/>
          <w:i/>
          <w:iCs/>
        </w:rPr>
        <w:t>The ethics of research with children and young people</w:t>
      </w:r>
      <w:r w:rsidRPr="00C95C1F">
        <w:rPr>
          <w:rFonts w:ascii="Century Gothic" w:hAnsi="Century Gothic"/>
        </w:rPr>
        <w:t>. 2nd ed. London: SAGE Publications.</w:t>
      </w:r>
    </w:p>
    <w:p w14:paraId="599EA15D" w14:textId="77777777" w:rsidR="00CE2337" w:rsidRPr="00C95C1F" w:rsidRDefault="004A79E5" w:rsidP="00CE2337">
      <w:pPr>
        <w:spacing w:line="360" w:lineRule="auto"/>
        <w:rPr>
          <w:rFonts w:ascii="Century Gothic" w:hAnsi="Century Gothic"/>
        </w:rPr>
      </w:pPr>
      <w:r w:rsidRPr="00C95C1F">
        <w:rPr>
          <w:rFonts w:ascii="Century Gothic" w:hAnsi="Century Gothic"/>
        </w:rPr>
        <w:t>Bakker, A. and Demerouti, E.,</w:t>
      </w:r>
      <w:r w:rsidR="005045B4" w:rsidRPr="00C95C1F">
        <w:rPr>
          <w:rFonts w:ascii="Century Gothic" w:hAnsi="Century Gothic"/>
        </w:rPr>
        <w:t>(</w:t>
      </w:r>
      <w:r w:rsidRPr="00C95C1F">
        <w:rPr>
          <w:rFonts w:ascii="Century Gothic" w:hAnsi="Century Gothic"/>
        </w:rPr>
        <w:t>2007</w:t>
      </w:r>
      <w:r w:rsidR="005045B4" w:rsidRPr="00C95C1F">
        <w:rPr>
          <w:rFonts w:ascii="Century Gothic" w:hAnsi="Century Gothic"/>
        </w:rPr>
        <w:t>)</w:t>
      </w:r>
      <w:r w:rsidRPr="00C95C1F">
        <w:rPr>
          <w:rFonts w:ascii="Century Gothic" w:hAnsi="Century Gothic"/>
        </w:rPr>
        <w:t>. The Job Demands</w:t>
      </w:r>
      <w:r w:rsidRPr="00C95C1F">
        <w:rPr>
          <w:rFonts w:ascii="Cambria Math" w:hAnsi="Cambria Math" w:cs="Cambria Math"/>
        </w:rPr>
        <w:t>‐</w:t>
      </w:r>
      <w:r w:rsidRPr="00C95C1F">
        <w:rPr>
          <w:rFonts w:ascii="Century Gothic" w:hAnsi="Century Gothic"/>
        </w:rPr>
        <w:t xml:space="preserve">Resources model: State of the art. </w:t>
      </w:r>
      <w:r w:rsidRPr="00C95C1F">
        <w:rPr>
          <w:rFonts w:ascii="Century Gothic" w:hAnsi="Century Gothic"/>
          <w:i/>
          <w:iCs/>
        </w:rPr>
        <w:t>Journal of Managerial Psychology</w:t>
      </w:r>
      <w:r w:rsidRPr="00C95C1F">
        <w:rPr>
          <w:rFonts w:ascii="Century Gothic" w:hAnsi="Century Gothic"/>
        </w:rPr>
        <w:t>, 22(3), pp.309–328.</w:t>
      </w:r>
      <w:r w:rsidR="00CE2337" w:rsidRPr="00C95C1F">
        <w:rPr>
          <w:rFonts w:ascii="Century Gothic" w:hAnsi="Century Gothic"/>
        </w:rPr>
        <w:t xml:space="preserve"> </w:t>
      </w:r>
    </w:p>
    <w:p w14:paraId="3FB27674" w14:textId="3BFFBC31" w:rsidR="004A79E5" w:rsidRPr="00C95C1F" w:rsidRDefault="00CE2337" w:rsidP="00CE2337">
      <w:pPr>
        <w:spacing w:line="360" w:lineRule="auto"/>
        <w:rPr>
          <w:rFonts w:ascii="Century Gothic" w:hAnsi="Century Gothic"/>
        </w:rPr>
      </w:pPr>
      <w:r w:rsidRPr="00B22588">
        <w:rPr>
          <w:rFonts w:ascii="Century Gothic" w:hAnsi="Century Gothic"/>
        </w:rPr>
        <w:t>Ball, S.</w:t>
      </w:r>
      <w:r w:rsidRPr="00C95C1F">
        <w:rPr>
          <w:rFonts w:ascii="Century Gothic" w:hAnsi="Century Gothic"/>
        </w:rPr>
        <w:t>, (</w:t>
      </w:r>
      <w:r w:rsidRPr="00B22588">
        <w:rPr>
          <w:rFonts w:ascii="Century Gothic" w:hAnsi="Century Gothic"/>
        </w:rPr>
        <w:t>2003</w:t>
      </w:r>
      <w:r w:rsidRPr="00C95C1F">
        <w:rPr>
          <w:rFonts w:ascii="Century Gothic" w:hAnsi="Century Gothic"/>
        </w:rPr>
        <w:t>)</w:t>
      </w:r>
      <w:r w:rsidRPr="00B22588">
        <w:rPr>
          <w:rFonts w:ascii="Century Gothic" w:hAnsi="Century Gothic"/>
        </w:rPr>
        <w:t xml:space="preserve">. </w:t>
      </w:r>
      <w:r w:rsidRPr="00B22588">
        <w:rPr>
          <w:rFonts w:ascii="Century Gothic" w:hAnsi="Century Gothic"/>
          <w:i/>
          <w:iCs/>
        </w:rPr>
        <w:t>The teacher’s soul and the terrors of performativity</w:t>
      </w:r>
      <w:r w:rsidRPr="00B22588">
        <w:rPr>
          <w:rFonts w:ascii="Century Gothic" w:hAnsi="Century Gothic"/>
        </w:rPr>
        <w:t>. Journal of Education Policy, 18(2), pp.215–228.</w:t>
      </w:r>
    </w:p>
    <w:p w14:paraId="3C772944" w14:textId="0769A3FA" w:rsidR="004A79E5" w:rsidRPr="00C95C1F" w:rsidRDefault="004A79E5" w:rsidP="000919A7">
      <w:pPr>
        <w:spacing w:line="360" w:lineRule="auto"/>
        <w:rPr>
          <w:rFonts w:ascii="Century Gothic" w:hAnsi="Century Gothic"/>
        </w:rPr>
      </w:pPr>
      <w:r w:rsidRPr="00C95C1F">
        <w:rPr>
          <w:rFonts w:ascii="Century Gothic" w:hAnsi="Century Gothic"/>
        </w:rPr>
        <w:t xml:space="preserve">Beauchamp, C. and Thomas, L., </w:t>
      </w:r>
      <w:r w:rsidR="005045B4" w:rsidRPr="00C95C1F">
        <w:rPr>
          <w:rFonts w:ascii="Century Gothic" w:hAnsi="Century Gothic"/>
        </w:rPr>
        <w:t>(</w:t>
      </w:r>
      <w:r w:rsidRPr="00C95C1F">
        <w:rPr>
          <w:rFonts w:ascii="Century Gothic" w:hAnsi="Century Gothic"/>
        </w:rPr>
        <w:t>2009</w:t>
      </w:r>
      <w:r w:rsidR="005045B4" w:rsidRPr="00C95C1F">
        <w:rPr>
          <w:rFonts w:ascii="Century Gothic" w:hAnsi="Century Gothic"/>
        </w:rPr>
        <w:t>)</w:t>
      </w:r>
      <w:r w:rsidRPr="00C95C1F">
        <w:rPr>
          <w:rFonts w:ascii="Century Gothic" w:hAnsi="Century Gothic"/>
        </w:rPr>
        <w:t xml:space="preserve">. Understanding teacher identity: An overview of issues in the literature and implications for teacher education. </w:t>
      </w:r>
      <w:r w:rsidRPr="00C95C1F">
        <w:rPr>
          <w:rFonts w:ascii="Century Gothic" w:hAnsi="Century Gothic"/>
          <w:i/>
          <w:iCs/>
        </w:rPr>
        <w:t>Cambridge Journal of Education</w:t>
      </w:r>
      <w:r w:rsidRPr="00C95C1F">
        <w:rPr>
          <w:rFonts w:ascii="Century Gothic" w:hAnsi="Century Gothic"/>
        </w:rPr>
        <w:t>, 39(2), pp.175–189.</w:t>
      </w:r>
    </w:p>
    <w:p w14:paraId="4276E979" w14:textId="5B25EEA9" w:rsidR="004A79E5" w:rsidRPr="00C95C1F" w:rsidRDefault="004A79E5" w:rsidP="000919A7">
      <w:pPr>
        <w:spacing w:line="360" w:lineRule="auto"/>
        <w:rPr>
          <w:rFonts w:ascii="Century Gothic" w:hAnsi="Century Gothic"/>
        </w:rPr>
      </w:pPr>
      <w:r w:rsidRPr="00C95C1F">
        <w:rPr>
          <w:rFonts w:ascii="Century Gothic" w:hAnsi="Century Gothic"/>
        </w:rPr>
        <w:t xml:space="preserve">Behrendt, M. and Franklin, T., </w:t>
      </w:r>
      <w:r w:rsidR="005045B4" w:rsidRPr="00C95C1F">
        <w:rPr>
          <w:rFonts w:ascii="Century Gothic" w:hAnsi="Century Gothic"/>
        </w:rPr>
        <w:t>(</w:t>
      </w:r>
      <w:r w:rsidRPr="00C95C1F">
        <w:rPr>
          <w:rFonts w:ascii="Century Gothic" w:hAnsi="Century Gothic"/>
        </w:rPr>
        <w:t>2014</w:t>
      </w:r>
      <w:r w:rsidR="005045B4" w:rsidRPr="00C95C1F">
        <w:rPr>
          <w:rFonts w:ascii="Century Gothic" w:hAnsi="Century Gothic"/>
        </w:rPr>
        <w:t>)</w:t>
      </w:r>
      <w:r w:rsidRPr="00C95C1F">
        <w:rPr>
          <w:rFonts w:ascii="Century Gothic" w:hAnsi="Century Gothic"/>
        </w:rPr>
        <w:t xml:space="preserve">. A review of research on school field trips and their value in education. </w:t>
      </w:r>
      <w:r w:rsidRPr="00C95C1F">
        <w:rPr>
          <w:rFonts w:ascii="Century Gothic" w:hAnsi="Century Gothic"/>
          <w:i/>
          <w:iCs/>
        </w:rPr>
        <w:t>International Journal of Environmental and Science Education</w:t>
      </w:r>
      <w:r w:rsidRPr="00C95C1F">
        <w:rPr>
          <w:rFonts w:ascii="Century Gothic" w:hAnsi="Century Gothic"/>
        </w:rPr>
        <w:t>, 9(3), pp.235–245.</w:t>
      </w:r>
    </w:p>
    <w:p w14:paraId="5994B2F4" w14:textId="77777777" w:rsidR="00CE2337" w:rsidRPr="00C95C1F" w:rsidRDefault="004A79E5" w:rsidP="00CE2337">
      <w:pPr>
        <w:spacing w:line="360" w:lineRule="auto"/>
        <w:rPr>
          <w:rFonts w:ascii="Century Gothic" w:hAnsi="Century Gothic"/>
        </w:rPr>
      </w:pPr>
      <w:r w:rsidRPr="00C95C1F">
        <w:rPr>
          <w:rFonts w:ascii="Century Gothic" w:hAnsi="Century Gothic"/>
        </w:rPr>
        <w:t xml:space="preserve">British Educational Research Association (BERA), 2024. </w:t>
      </w:r>
      <w:r w:rsidRPr="00C95C1F">
        <w:rPr>
          <w:rFonts w:ascii="Century Gothic" w:hAnsi="Century Gothic"/>
          <w:i/>
          <w:iCs/>
        </w:rPr>
        <w:t>Ethical Guidelines for Educational Research</w:t>
      </w:r>
      <w:r w:rsidRPr="00C95C1F">
        <w:rPr>
          <w:rFonts w:ascii="Century Gothic" w:hAnsi="Century Gothic"/>
        </w:rPr>
        <w:t xml:space="preserve"> (5th ed.)</w:t>
      </w:r>
      <w:r w:rsidR="000B6D73" w:rsidRPr="00C95C1F">
        <w:rPr>
          <w:rFonts w:ascii="Century Gothic" w:hAnsi="Century Gothic"/>
        </w:rPr>
        <w:t xml:space="preserve">  </w:t>
      </w:r>
      <w:r w:rsidRPr="00C95C1F">
        <w:rPr>
          <w:rFonts w:ascii="Century Gothic" w:hAnsi="Century Gothic"/>
        </w:rPr>
        <w:t xml:space="preserve">London. Available at: https://www.bera.ac.uk/publication/ethical-guidelines-for-educational-research-fifth-edition-2024 [Accessed </w:t>
      </w:r>
      <w:r w:rsidR="000B6D73" w:rsidRPr="00C95C1F">
        <w:rPr>
          <w:rFonts w:ascii="Century Gothic" w:hAnsi="Century Gothic"/>
        </w:rPr>
        <w:t>27</w:t>
      </w:r>
      <w:r w:rsidRPr="00C95C1F">
        <w:rPr>
          <w:rFonts w:ascii="Century Gothic" w:hAnsi="Century Gothic"/>
        </w:rPr>
        <w:t xml:space="preserve"> </w:t>
      </w:r>
      <w:r w:rsidR="000B6D73" w:rsidRPr="00C95C1F">
        <w:rPr>
          <w:rFonts w:ascii="Century Gothic" w:hAnsi="Century Gothic"/>
        </w:rPr>
        <w:t>March</w:t>
      </w:r>
      <w:r w:rsidRPr="00C95C1F">
        <w:rPr>
          <w:rFonts w:ascii="Century Gothic" w:hAnsi="Century Gothic"/>
        </w:rPr>
        <w:t xml:space="preserve"> 2025].</w:t>
      </w:r>
      <w:r w:rsidR="00CE2337" w:rsidRPr="00C95C1F">
        <w:rPr>
          <w:rFonts w:ascii="Century Gothic" w:hAnsi="Century Gothic"/>
        </w:rPr>
        <w:t xml:space="preserve"> </w:t>
      </w:r>
    </w:p>
    <w:p w14:paraId="675BAA25" w14:textId="4696131C" w:rsidR="00CE2337" w:rsidRPr="00B22588" w:rsidRDefault="00CE2337" w:rsidP="00CE2337">
      <w:pPr>
        <w:spacing w:line="360" w:lineRule="auto"/>
        <w:rPr>
          <w:rFonts w:ascii="Century Gothic" w:hAnsi="Century Gothic"/>
        </w:rPr>
      </w:pPr>
      <w:r w:rsidRPr="00B22588">
        <w:rPr>
          <w:rFonts w:ascii="Century Gothic" w:hAnsi="Century Gothic"/>
        </w:rPr>
        <w:t xml:space="preserve">Christie, B., Higgins, P. and McLaughlin, P., </w:t>
      </w:r>
      <w:r w:rsidRPr="00C95C1F">
        <w:rPr>
          <w:rFonts w:ascii="Century Gothic" w:hAnsi="Century Gothic"/>
        </w:rPr>
        <w:t>(</w:t>
      </w:r>
      <w:r w:rsidRPr="00B22588">
        <w:rPr>
          <w:rFonts w:ascii="Century Gothic" w:hAnsi="Century Gothic"/>
        </w:rPr>
        <w:t>2014</w:t>
      </w:r>
      <w:r w:rsidRPr="00C95C1F">
        <w:rPr>
          <w:rFonts w:ascii="Century Gothic" w:hAnsi="Century Gothic"/>
        </w:rPr>
        <w:t>)</w:t>
      </w:r>
      <w:r w:rsidRPr="00B22588">
        <w:rPr>
          <w:rFonts w:ascii="Century Gothic" w:hAnsi="Century Gothic"/>
        </w:rPr>
        <w:t xml:space="preserve">. </w:t>
      </w:r>
      <w:r w:rsidRPr="00B22588">
        <w:rPr>
          <w:rFonts w:ascii="Century Gothic" w:hAnsi="Century Gothic"/>
          <w:i/>
          <w:iCs/>
        </w:rPr>
        <w:t>‘Did you enjoy your holiday?’: Can residential outdoor learning benefit mainstream schooling?</w:t>
      </w:r>
      <w:r w:rsidRPr="00B22588">
        <w:rPr>
          <w:rFonts w:ascii="Century Gothic" w:hAnsi="Century Gothic"/>
        </w:rPr>
        <w:t>. Journal of Adventure Education and Outdoor Learning, 14(1), pp.1–23.</w:t>
      </w:r>
    </w:p>
    <w:p w14:paraId="5F7DBEDE" w14:textId="26FA898A" w:rsidR="004A79E5" w:rsidRPr="00C95C1F" w:rsidRDefault="004A79E5" w:rsidP="000919A7">
      <w:pPr>
        <w:spacing w:line="360" w:lineRule="auto"/>
        <w:rPr>
          <w:rFonts w:ascii="Century Gothic" w:hAnsi="Century Gothic"/>
        </w:rPr>
      </w:pPr>
      <w:r w:rsidRPr="00C95C1F">
        <w:rPr>
          <w:rFonts w:ascii="Century Gothic" w:hAnsi="Century Gothic"/>
        </w:rPr>
        <w:t xml:space="preserve">Cohen, L., Manion, L. and Morrison, K., </w:t>
      </w:r>
      <w:r w:rsidR="00562233" w:rsidRPr="00C95C1F">
        <w:rPr>
          <w:rFonts w:ascii="Century Gothic" w:hAnsi="Century Gothic"/>
        </w:rPr>
        <w:t>(</w:t>
      </w:r>
      <w:r w:rsidRPr="00C95C1F">
        <w:rPr>
          <w:rFonts w:ascii="Century Gothic" w:hAnsi="Century Gothic"/>
        </w:rPr>
        <w:t>2018</w:t>
      </w:r>
      <w:r w:rsidR="00562233" w:rsidRPr="00C95C1F">
        <w:rPr>
          <w:rFonts w:ascii="Century Gothic" w:hAnsi="Century Gothic"/>
        </w:rPr>
        <w:t>)</w:t>
      </w:r>
      <w:r w:rsidRPr="00C95C1F">
        <w:rPr>
          <w:rFonts w:ascii="Century Gothic" w:hAnsi="Century Gothic"/>
        </w:rPr>
        <w:t xml:space="preserve">. </w:t>
      </w:r>
      <w:r w:rsidRPr="00C95C1F">
        <w:rPr>
          <w:rFonts w:ascii="Century Gothic" w:hAnsi="Century Gothic"/>
          <w:i/>
          <w:iCs/>
        </w:rPr>
        <w:t>Research methods in education</w:t>
      </w:r>
      <w:r w:rsidRPr="00C95C1F">
        <w:rPr>
          <w:rFonts w:ascii="Century Gothic" w:hAnsi="Century Gothic"/>
        </w:rPr>
        <w:t>. 8th ed. London: Routledge.</w:t>
      </w:r>
    </w:p>
    <w:p w14:paraId="761020E3" w14:textId="36761E76" w:rsidR="004A79E5" w:rsidRPr="00C95C1F" w:rsidRDefault="004A79E5" w:rsidP="000919A7">
      <w:pPr>
        <w:spacing w:line="360" w:lineRule="auto"/>
        <w:rPr>
          <w:rFonts w:ascii="Century Gothic" w:hAnsi="Century Gothic"/>
        </w:rPr>
      </w:pPr>
      <w:r w:rsidRPr="00C95C1F">
        <w:rPr>
          <w:rFonts w:ascii="Century Gothic" w:hAnsi="Century Gothic"/>
        </w:rPr>
        <w:t xml:space="preserve">Coyne, I., Hayes, E. and Gallagher, P., </w:t>
      </w:r>
      <w:r w:rsidR="00562233" w:rsidRPr="00C95C1F">
        <w:rPr>
          <w:rFonts w:ascii="Century Gothic" w:hAnsi="Century Gothic"/>
        </w:rPr>
        <w:t>(</w:t>
      </w:r>
      <w:r w:rsidRPr="00C95C1F">
        <w:rPr>
          <w:rFonts w:ascii="Century Gothic" w:hAnsi="Century Gothic"/>
        </w:rPr>
        <w:t>2014</w:t>
      </w:r>
      <w:r w:rsidR="00562233" w:rsidRPr="00C95C1F">
        <w:rPr>
          <w:rFonts w:ascii="Century Gothic" w:hAnsi="Century Gothic"/>
        </w:rPr>
        <w:t>)</w:t>
      </w:r>
      <w:r w:rsidRPr="00C95C1F">
        <w:rPr>
          <w:rFonts w:ascii="Century Gothic" w:hAnsi="Century Gothic"/>
        </w:rPr>
        <w:t xml:space="preserve">. Research with children and young people: The issue of parental (proxy) consent. </w:t>
      </w:r>
      <w:r w:rsidRPr="00C95C1F">
        <w:rPr>
          <w:rFonts w:ascii="Century Gothic" w:hAnsi="Century Gothic"/>
          <w:i/>
          <w:iCs/>
        </w:rPr>
        <w:t>Children &amp; Society</w:t>
      </w:r>
      <w:r w:rsidRPr="00C95C1F">
        <w:rPr>
          <w:rFonts w:ascii="Century Gothic" w:hAnsi="Century Gothic"/>
        </w:rPr>
        <w:t>, 28(3), pp.231–241.</w:t>
      </w:r>
    </w:p>
    <w:p w14:paraId="63CAA74A" w14:textId="79F22214" w:rsidR="004A79E5" w:rsidRPr="00C95C1F" w:rsidRDefault="004A79E5" w:rsidP="000919A7">
      <w:pPr>
        <w:spacing w:line="360" w:lineRule="auto"/>
        <w:rPr>
          <w:rFonts w:ascii="Century Gothic" w:hAnsi="Century Gothic"/>
        </w:rPr>
      </w:pPr>
      <w:r w:rsidRPr="00C95C1F">
        <w:rPr>
          <w:rFonts w:ascii="Century Gothic" w:hAnsi="Century Gothic"/>
        </w:rPr>
        <w:lastRenderedPageBreak/>
        <w:t xml:space="preserve">Curriculum for Wales, </w:t>
      </w:r>
      <w:r w:rsidR="00562233" w:rsidRPr="00C95C1F">
        <w:rPr>
          <w:rFonts w:ascii="Century Gothic" w:hAnsi="Century Gothic"/>
        </w:rPr>
        <w:t>(</w:t>
      </w:r>
      <w:r w:rsidRPr="00C95C1F">
        <w:rPr>
          <w:rFonts w:ascii="Century Gothic" w:hAnsi="Century Gothic"/>
        </w:rPr>
        <w:t>2022</w:t>
      </w:r>
      <w:r w:rsidR="00562233" w:rsidRPr="00C95C1F">
        <w:rPr>
          <w:rFonts w:ascii="Century Gothic" w:hAnsi="Century Gothic"/>
        </w:rPr>
        <w:t>)</w:t>
      </w:r>
      <w:r w:rsidRPr="00C95C1F">
        <w:rPr>
          <w:rFonts w:ascii="Century Gothic" w:hAnsi="Century Gothic"/>
        </w:rPr>
        <w:t xml:space="preserve">. </w:t>
      </w:r>
      <w:r w:rsidRPr="00C95C1F">
        <w:rPr>
          <w:rFonts w:ascii="Century Gothic" w:hAnsi="Century Gothic"/>
          <w:i/>
          <w:iCs/>
        </w:rPr>
        <w:t>Curriculum for Wales guidance</w:t>
      </w:r>
      <w:r w:rsidRPr="00C95C1F">
        <w:rPr>
          <w:rFonts w:ascii="Century Gothic" w:hAnsi="Century Gothic"/>
        </w:rPr>
        <w:t xml:space="preserve">. Cardiff: Welsh Government. Available at: https://www.gov.wales/curriculum-wales [Accessed 30 </w:t>
      </w:r>
      <w:r w:rsidR="00562233" w:rsidRPr="00C95C1F">
        <w:rPr>
          <w:rFonts w:ascii="Century Gothic" w:hAnsi="Century Gothic"/>
        </w:rPr>
        <w:t>March</w:t>
      </w:r>
      <w:r w:rsidRPr="00C95C1F">
        <w:rPr>
          <w:rFonts w:ascii="Century Gothic" w:hAnsi="Century Gothic"/>
        </w:rPr>
        <w:t>. 2025].</w:t>
      </w:r>
    </w:p>
    <w:p w14:paraId="79F77CE0" w14:textId="643DB6D3" w:rsidR="00C52375" w:rsidRPr="00C95C1F" w:rsidRDefault="00C52375" w:rsidP="000919A7">
      <w:pPr>
        <w:spacing w:line="360" w:lineRule="auto"/>
        <w:rPr>
          <w:rFonts w:ascii="Century Gothic" w:hAnsi="Century Gothic"/>
        </w:rPr>
      </w:pPr>
      <w:r w:rsidRPr="00C95C1F">
        <w:rPr>
          <w:rFonts w:ascii="Century Gothic" w:hAnsi="Century Gothic"/>
        </w:rPr>
        <w:t>Creswell, J</w:t>
      </w:r>
      <w:r w:rsidR="00790441" w:rsidRPr="00C95C1F">
        <w:rPr>
          <w:rFonts w:ascii="Century Gothic" w:hAnsi="Century Gothic"/>
        </w:rPr>
        <w:t>.</w:t>
      </w:r>
      <w:r w:rsidRPr="00C95C1F">
        <w:rPr>
          <w:rFonts w:ascii="Century Gothic" w:hAnsi="Century Gothic"/>
        </w:rPr>
        <w:t xml:space="preserve">, </w:t>
      </w:r>
      <w:r w:rsidR="00562233" w:rsidRPr="00C95C1F">
        <w:rPr>
          <w:rFonts w:ascii="Century Gothic" w:hAnsi="Century Gothic"/>
        </w:rPr>
        <w:t>(</w:t>
      </w:r>
      <w:r w:rsidRPr="00C95C1F">
        <w:rPr>
          <w:rFonts w:ascii="Century Gothic" w:hAnsi="Century Gothic"/>
        </w:rPr>
        <w:t>2014</w:t>
      </w:r>
      <w:r w:rsidR="00562233" w:rsidRPr="00C95C1F">
        <w:rPr>
          <w:rFonts w:ascii="Century Gothic" w:hAnsi="Century Gothic"/>
        </w:rPr>
        <w:t>)</w:t>
      </w:r>
      <w:r w:rsidRPr="00C95C1F">
        <w:rPr>
          <w:rFonts w:ascii="Century Gothic" w:hAnsi="Century Gothic"/>
        </w:rPr>
        <w:t xml:space="preserve">. </w:t>
      </w:r>
      <w:r w:rsidRPr="00C95C1F">
        <w:rPr>
          <w:rFonts w:ascii="Century Gothic" w:hAnsi="Century Gothic"/>
          <w:i/>
          <w:iCs/>
        </w:rPr>
        <w:t>Research design: qualitative, quantitative, and mixed methods approaches</w:t>
      </w:r>
      <w:r w:rsidRPr="00C95C1F">
        <w:rPr>
          <w:rFonts w:ascii="Century Gothic" w:hAnsi="Century Gothic"/>
        </w:rPr>
        <w:t>. 4th ed. Thousand Oaks: SAGE Publications.</w:t>
      </w:r>
    </w:p>
    <w:p w14:paraId="7080A16A" w14:textId="177953C5" w:rsidR="004A79E5" w:rsidRPr="00C95C1F" w:rsidRDefault="004A79E5" w:rsidP="000919A7">
      <w:pPr>
        <w:spacing w:line="360" w:lineRule="auto"/>
        <w:rPr>
          <w:rFonts w:ascii="Century Gothic" w:hAnsi="Century Gothic"/>
        </w:rPr>
      </w:pPr>
      <w:r w:rsidRPr="00C95C1F">
        <w:rPr>
          <w:rFonts w:ascii="Century Gothic" w:hAnsi="Century Gothic"/>
        </w:rPr>
        <w:t xml:space="preserve">Day, C. and Gu, Q., </w:t>
      </w:r>
      <w:r w:rsidR="00562233" w:rsidRPr="00C95C1F">
        <w:rPr>
          <w:rFonts w:ascii="Century Gothic" w:hAnsi="Century Gothic"/>
        </w:rPr>
        <w:t>(</w:t>
      </w:r>
      <w:r w:rsidRPr="00C95C1F">
        <w:rPr>
          <w:rFonts w:ascii="Century Gothic" w:hAnsi="Century Gothic"/>
        </w:rPr>
        <w:t>2010</w:t>
      </w:r>
      <w:r w:rsidR="00562233" w:rsidRPr="00C95C1F">
        <w:rPr>
          <w:rFonts w:ascii="Century Gothic" w:hAnsi="Century Gothic"/>
        </w:rPr>
        <w:t>)</w:t>
      </w:r>
      <w:r w:rsidRPr="00C95C1F">
        <w:rPr>
          <w:rFonts w:ascii="Century Gothic" w:hAnsi="Century Gothic"/>
        </w:rPr>
        <w:t xml:space="preserve">. </w:t>
      </w:r>
      <w:r w:rsidRPr="00C95C1F">
        <w:rPr>
          <w:rFonts w:ascii="Century Gothic" w:hAnsi="Century Gothic"/>
          <w:i/>
          <w:iCs/>
        </w:rPr>
        <w:t>The new lives of teachers</w:t>
      </w:r>
      <w:r w:rsidRPr="00C95C1F">
        <w:rPr>
          <w:rFonts w:ascii="Century Gothic" w:hAnsi="Century Gothic"/>
        </w:rPr>
        <w:t>. London: Routledge.</w:t>
      </w:r>
    </w:p>
    <w:p w14:paraId="11BD500E" w14:textId="50DD4E99" w:rsidR="004A79E5" w:rsidRPr="00C95C1F" w:rsidRDefault="004A79E5" w:rsidP="000919A7">
      <w:pPr>
        <w:spacing w:line="360" w:lineRule="auto"/>
        <w:rPr>
          <w:rFonts w:ascii="Century Gothic" w:hAnsi="Century Gothic"/>
        </w:rPr>
      </w:pPr>
      <w:r w:rsidRPr="00C95C1F">
        <w:rPr>
          <w:rFonts w:ascii="Century Gothic" w:hAnsi="Century Gothic"/>
        </w:rPr>
        <w:t xml:space="preserve">Day, C. and Qing, G., </w:t>
      </w:r>
      <w:r w:rsidR="00562233" w:rsidRPr="00C95C1F">
        <w:rPr>
          <w:rFonts w:ascii="Century Gothic" w:hAnsi="Century Gothic"/>
        </w:rPr>
        <w:t>(</w:t>
      </w:r>
      <w:r w:rsidRPr="00C95C1F">
        <w:rPr>
          <w:rFonts w:ascii="Century Gothic" w:hAnsi="Century Gothic"/>
        </w:rPr>
        <w:t>2009</w:t>
      </w:r>
      <w:r w:rsidR="00562233" w:rsidRPr="00C95C1F">
        <w:rPr>
          <w:rFonts w:ascii="Century Gothic" w:hAnsi="Century Gothic"/>
        </w:rPr>
        <w:t>)</w:t>
      </w:r>
      <w:r w:rsidRPr="00C95C1F">
        <w:rPr>
          <w:rFonts w:ascii="Century Gothic" w:hAnsi="Century Gothic"/>
        </w:rPr>
        <w:t>. Teacher emotions: Wellbeing and effectiveness.</w:t>
      </w:r>
      <w:r w:rsidR="00790441" w:rsidRPr="00C95C1F">
        <w:rPr>
          <w:rFonts w:ascii="Century Gothic" w:hAnsi="Century Gothic"/>
        </w:rPr>
        <w:t xml:space="preserve"> London: Routledge.</w:t>
      </w:r>
    </w:p>
    <w:p w14:paraId="7A763E6C" w14:textId="77777777" w:rsidR="00CE2337" w:rsidRPr="00C95C1F" w:rsidRDefault="004A79E5" w:rsidP="00CE2337">
      <w:pPr>
        <w:spacing w:line="360" w:lineRule="auto"/>
        <w:rPr>
          <w:rFonts w:ascii="Century Gothic" w:hAnsi="Century Gothic"/>
        </w:rPr>
      </w:pPr>
      <w:r w:rsidRPr="00C95C1F">
        <w:rPr>
          <w:rFonts w:ascii="Century Gothic" w:hAnsi="Century Gothic"/>
        </w:rPr>
        <w:t>Deci, E</w:t>
      </w:r>
      <w:r w:rsidR="00790441" w:rsidRPr="00C95C1F">
        <w:rPr>
          <w:rFonts w:ascii="Century Gothic" w:hAnsi="Century Gothic"/>
        </w:rPr>
        <w:t>.</w:t>
      </w:r>
      <w:r w:rsidRPr="00C95C1F">
        <w:rPr>
          <w:rFonts w:ascii="Century Gothic" w:hAnsi="Century Gothic"/>
        </w:rPr>
        <w:t xml:space="preserve"> and Ryan, R</w:t>
      </w:r>
      <w:r w:rsidR="00790441" w:rsidRPr="00C95C1F">
        <w:rPr>
          <w:rFonts w:ascii="Century Gothic" w:hAnsi="Century Gothic"/>
        </w:rPr>
        <w:t>.</w:t>
      </w:r>
      <w:r w:rsidRPr="00C95C1F">
        <w:rPr>
          <w:rFonts w:ascii="Century Gothic" w:hAnsi="Century Gothic"/>
        </w:rPr>
        <w:t xml:space="preserve">, </w:t>
      </w:r>
      <w:r w:rsidR="00790441" w:rsidRPr="00C95C1F">
        <w:rPr>
          <w:rFonts w:ascii="Century Gothic" w:hAnsi="Century Gothic"/>
        </w:rPr>
        <w:t>(</w:t>
      </w:r>
      <w:r w:rsidRPr="00C95C1F">
        <w:rPr>
          <w:rFonts w:ascii="Century Gothic" w:hAnsi="Century Gothic"/>
        </w:rPr>
        <w:t>2000</w:t>
      </w:r>
      <w:r w:rsidR="00790441" w:rsidRPr="00C95C1F">
        <w:rPr>
          <w:rFonts w:ascii="Century Gothic" w:hAnsi="Century Gothic"/>
        </w:rPr>
        <w:t>)</w:t>
      </w:r>
      <w:r w:rsidRPr="00C95C1F">
        <w:rPr>
          <w:rFonts w:ascii="Century Gothic" w:hAnsi="Century Gothic"/>
        </w:rPr>
        <w:t xml:space="preserve">. The "what" and "why" of goal pursuits: Human needs and the self-determination of </w:t>
      </w:r>
      <w:r w:rsidR="00790441" w:rsidRPr="00C95C1F">
        <w:rPr>
          <w:rFonts w:ascii="Century Gothic" w:hAnsi="Century Gothic"/>
        </w:rPr>
        <w:t>behaviour</w:t>
      </w:r>
      <w:r w:rsidRPr="00C95C1F">
        <w:rPr>
          <w:rFonts w:ascii="Century Gothic" w:hAnsi="Century Gothic"/>
        </w:rPr>
        <w:t xml:space="preserve">. </w:t>
      </w:r>
      <w:r w:rsidRPr="00C95C1F">
        <w:rPr>
          <w:rFonts w:ascii="Century Gothic" w:hAnsi="Century Gothic"/>
          <w:i/>
          <w:iCs/>
        </w:rPr>
        <w:t>Psychological Inquiry</w:t>
      </w:r>
      <w:r w:rsidRPr="00C95C1F">
        <w:rPr>
          <w:rFonts w:ascii="Century Gothic" w:hAnsi="Century Gothic"/>
        </w:rPr>
        <w:t>, 11(4), pp.227–268.</w:t>
      </w:r>
      <w:r w:rsidR="00CE2337" w:rsidRPr="00C95C1F">
        <w:rPr>
          <w:rFonts w:ascii="Century Gothic" w:hAnsi="Century Gothic"/>
        </w:rPr>
        <w:t xml:space="preserve"> </w:t>
      </w:r>
    </w:p>
    <w:p w14:paraId="26B4D5F8" w14:textId="4C683A83" w:rsidR="004A79E5" w:rsidRPr="00C95C1F" w:rsidRDefault="00CE2337" w:rsidP="00CE2337">
      <w:pPr>
        <w:spacing w:line="360" w:lineRule="auto"/>
        <w:rPr>
          <w:rFonts w:ascii="Century Gothic" w:hAnsi="Century Gothic"/>
        </w:rPr>
      </w:pPr>
      <w:r w:rsidRPr="00B22588">
        <w:rPr>
          <w:rFonts w:ascii="Century Gothic" w:hAnsi="Century Gothic"/>
        </w:rPr>
        <w:t xml:space="preserve">DfE (Department for Education), </w:t>
      </w:r>
      <w:r w:rsidRPr="00C95C1F">
        <w:rPr>
          <w:rFonts w:ascii="Century Gothic" w:hAnsi="Century Gothic"/>
        </w:rPr>
        <w:t>(</w:t>
      </w:r>
      <w:r w:rsidRPr="00B22588">
        <w:rPr>
          <w:rFonts w:ascii="Century Gothic" w:hAnsi="Century Gothic"/>
        </w:rPr>
        <w:t>2019</w:t>
      </w:r>
      <w:r w:rsidRPr="00C95C1F">
        <w:rPr>
          <w:rFonts w:ascii="Century Gothic" w:hAnsi="Century Gothic"/>
        </w:rPr>
        <w:t>)</w:t>
      </w:r>
      <w:r w:rsidRPr="00B22588">
        <w:rPr>
          <w:rFonts w:ascii="Century Gothic" w:hAnsi="Century Gothic"/>
        </w:rPr>
        <w:t xml:space="preserve">. </w:t>
      </w:r>
      <w:r w:rsidRPr="00B22588">
        <w:rPr>
          <w:rFonts w:ascii="Century Gothic" w:hAnsi="Century Gothic"/>
          <w:i/>
          <w:iCs/>
        </w:rPr>
        <w:t>Overcoming barriers to enrichment: A summary of evidence</w:t>
      </w:r>
      <w:r w:rsidRPr="00B22588">
        <w:rPr>
          <w:rFonts w:ascii="Century Gothic" w:hAnsi="Century Gothic"/>
        </w:rPr>
        <w:t>. [online] London: DfE. Available at: https://www.gov.uk/government/publications/enrichment-barriers-to-participation [Accessed 1</w:t>
      </w:r>
      <w:r w:rsidRPr="00C95C1F">
        <w:rPr>
          <w:rFonts w:ascii="Century Gothic" w:hAnsi="Century Gothic"/>
        </w:rPr>
        <w:t>2 March</w:t>
      </w:r>
      <w:r w:rsidRPr="00B22588">
        <w:rPr>
          <w:rFonts w:ascii="Century Gothic" w:hAnsi="Century Gothic"/>
        </w:rPr>
        <w:t xml:space="preserve"> 2025].</w:t>
      </w:r>
    </w:p>
    <w:p w14:paraId="2ADCCA06" w14:textId="1CD6B955" w:rsidR="00481306" w:rsidRPr="00B22588" w:rsidRDefault="00481306" w:rsidP="00481306">
      <w:pPr>
        <w:spacing w:line="360" w:lineRule="auto"/>
        <w:rPr>
          <w:rFonts w:ascii="Century Gothic" w:hAnsi="Century Gothic"/>
        </w:rPr>
      </w:pPr>
      <w:r w:rsidRPr="00B22588">
        <w:rPr>
          <w:rFonts w:ascii="Century Gothic" w:hAnsi="Century Gothic"/>
        </w:rPr>
        <w:t xml:space="preserve">EEF (Education Endowment Foundation), 2021. </w:t>
      </w:r>
      <w:r w:rsidRPr="00B22588">
        <w:rPr>
          <w:rFonts w:ascii="Century Gothic" w:hAnsi="Century Gothic"/>
          <w:i/>
          <w:iCs/>
        </w:rPr>
        <w:t>Covid-19 Support Guide for Schools</w:t>
      </w:r>
      <w:r w:rsidRPr="00B22588">
        <w:rPr>
          <w:rFonts w:ascii="Century Gothic" w:hAnsi="Century Gothic"/>
        </w:rPr>
        <w:t>.  Available at: https://educationendowmentfoundation.org.uk/support-for-schools/covid-19-resources [Accessed 1</w:t>
      </w:r>
      <w:r w:rsidRPr="00C95C1F">
        <w:rPr>
          <w:rFonts w:ascii="Century Gothic" w:hAnsi="Century Gothic"/>
        </w:rPr>
        <w:t>7 March</w:t>
      </w:r>
      <w:r w:rsidRPr="00B22588">
        <w:rPr>
          <w:rFonts w:ascii="Century Gothic" w:hAnsi="Century Gothic"/>
        </w:rPr>
        <w:t xml:space="preserve"> 2025].</w:t>
      </w:r>
    </w:p>
    <w:p w14:paraId="02815D5E" w14:textId="3070A61C" w:rsidR="004A79E5" w:rsidRPr="00C95C1F" w:rsidRDefault="004A79E5" w:rsidP="000919A7">
      <w:pPr>
        <w:spacing w:line="360" w:lineRule="auto"/>
        <w:rPr>
          <w:rFonts w:ascii="Century Gothic" w:hAnsi="Century Gothic"/>
        </w:rPr>
      </w:pPr>
      <w:r w:rsidRPr="00C95C1F">
        <w:rPr>
          <w:rFonts w:ascii="Century Gothic" w:hAnsi="Century Gothic"/>
        </w:rPr>
        <w:t xml:space="preserve">Education Support, </w:t>
      </w:r>
      <w:r w:rsidR="00790441" w:rsidRPr="00C95C1F">
        <w:rPr>
          <w:rFonts w:ascii="Century Gothic" w:hAnsi="Century Gothic"/>
        </w:rPr>
        <w:t>(</w:t>
      </w:r>
      <w:r w:rsidRPr="00C95C1F">
        <w:rPr>
          <w:rFonts w:ascii="Century Gothic" w:hAnsi="Century Gothic"/>
        </w:rPr>
        <w:t>2023</w:t>
      </w:r>
      <w:r w:rsidR="00790441" w:rsidRPr="00C95C1F">
        <w:rPr>
          <w:rFonts w:ascii="Century Gothic" w:hAnsi="Century Gothic"/>
        </w:rPr>
        <w:t>)</w:t>
      </w:r>
      <w:r w:rsidRPr="00C95C1F">
        <w:rPr>
          <w:rFonts w:ascii="Century Gothic" w:hAnsi="Century Gothic"/>
        </w:rPr>
        <w:t xml:space="preserve">. </w:t>
      </w:r>
      <w:r w:rsidRPr="00C95C1F">
        <w:rPr>
          <w:rFonts w:ascii="Century Gothic" w:hAnsi="Century Gothic"/>
          <w:i/>
          <w:iCs/>
        </w:rPr>
        <w:t>Teacher Wellbeing Index</w:t>
      </w:r>
      <w:r w:rsidRPr="00C95C1F">
        <w:rPr>
          <w:rFonts w:ascii="Century Gothic" w:hAnsi="Century Gothic"/>
        </w:rPr>
        <w:t xml:space="preserve">. London: Education Support. Available at: https://www.educationsupport.org.uk/resources/research-reports/teacher-wellbeing-index-2023/ [Accessed </w:t>
      </w:r>
      <w:r w:rsidR="00790441" w:rsidRPr="00C95C1F">
        <w:rPr>
          <w:rFonts w:ascii="Century Gothic" w:hAnsi="Century Gothic"/>
        </w:rPr>
        <w:t xml:space="preserve">27 March </w:t>
      </w:r>
      <w:r w:rsidRPr="00C95C1F">
        <w:rPr>
          <w:rFonts w:ascii="Century Gothic" w:hAnsi="Century Gothic"/>
        </w:rPr>
        <w:t>2025].</w:t>
      </w:r>
    </w:p>
    <w:p w14:paraId="4C7A7892" w14:textId="1DD746EE" w:rsidR="004A79E5" w:rsidRPr="00C95C1F" w:rsidRDefault="004A79E5" w:rsidP="000919A7">
      <w:pPr>
        <w:spacing w:line="360" w:lineRule="auto"/>
        <w:rPr>
          <w:rFonts w:ascii="Century Gothic" w:hAnsi="Century Gothic"/>
        </w:rPr>
      </w:pPr>
      <w:r w:rsidRPr="00C95C1F">
        <w:rPr>
          <w:rFonts w:ascii="Century Gothic" w:hAnsi="Century Gothic"/>
        </w:rPr>
        <w:t xml:space="preserve">Estyn, </w:t>
      </w:r>
      <w:r w:rsidR="00362C01" w:rsidRPr="00C95C1F">
        <w:rPr>
          <w:rFonts w:ascii="Century Gothic" w:hAnsi="Century Gothic"/>
        </w:rPr>
        <w:t>(</w:t>
      </w:r>
      <w:r w:rsidRPr="00C95C1F">
        <w:rPr>
          <w:rFonts w:ascii="Century Gothic" w:hAnsi="Century Gothic"/>
        </w:rPr>
        <w:t>2019</w:t>
      </w:r>
      <w:r w:rsidR="00362C01" w:rsidRPr="00C95C1F">
        <w:rPr>
          <w:rFonts w:ascii="Century Gothic" w:hAnsi="Century Gothic"/>
        </w:rPr>
        <w:t>)</w:t>
      </w:r>
      <w:r w:rsidRPr="00C95C1F">
        <w:rPr>
          <w:rFonts w:ascii="Century Gothic" w:hAnsi="Century Gothic"/>
        </w:rPr>
        <w:t xml:space="preserve">. </w:t>
      </w:r>
      <w:r w:rsidRPr="00C95C1F">
        <w:rPr>
          <w:rFonts w:ascii="Century Gothic" w:hAnsi="Century Gothic"/>
          <w:i/>
          <w:iCs/>
        </w:rPr>
        <w:t>Healthy and happy: school strategies to promote staff wellbeing</w:t>
      </w:r>
      <w:r w:rsidRPr="00C95C1F">
        <w:rPr>
          <w:rFonts w:ascii="Century Gothic" w:hAnsi="Century Gothic"/>
        </w:rPr>
        <w:t xml:space="preserve">. Cardiff: </w:t>
      </w:r>
      <w:r w:rsidR="00362C01" w:rsidRPr="00C95C1F">
        <w:rPr>
          <w:rFonts w:ascii="Century Gothic" w:hAnsi="Century Gothic"/>
        </w:rPr>
        <w:t>Crown Copyright</w:t>
      </w:r>
      <w:r w:rsidRPr="00C95C1F">
        <w:rPr>
          <w:rFonts w:ascii="Century Gothic" w:hAnsi="Century Gothic"/>
        </w:rPr>
        <w:t>.</w:t>
      </w:r>
    </w:p>
    <w:p w14:paraId="7C653F69" w14:textId="77777777" w:rsidR="00362C01" w:rsidRPr="00C95C1F" w:rsidRDefault="004A79E5" w:rsidP="000919A7">
      <w:pPr>
        <w:spacing w:line="360" w:lineRule="auto"/>
        <w:rPr>
          <w:rFonts w:ascii="Century Gothic" w:hAnsi="Century Gothic"/>
        </w:rPr>
      </w:pPr>
      <w:r w:rsidRPr="00C95C1F">
        <w:rPr>
          <w:rFonts w:ascii="Century Gothic" w:hAnsi="Century Gothic"/>
        </w:rPr>
        <w:t xml:space="preserve">Estyn, </w:t>
      </w:r>
      <w:r w:rsidR="00362C01" w:rsidRPr="00C95C1F">
        <w:rPr>
          <w:rFonts w:ascii="Century Gothic" w:hAnsi="Century Gothic"/>
        </w:rPr>
        <w:t>(</w:t>
      </w:r>
      <w:r w:rsidRPr="00C95C1F">
        <w:rPr>
          <w:rFonts w:ascii="Century Gothic" w:hAnsi="Century Gothic"/>
        </w:rPr>
        <w:t>2023</w:t>
      </w:r>
      <w:r w:rsidR="00362C01" w:rsidRPr="00C95C1F">
        <w:rPr>
          <w:rFonts w:ascii="Century Gothic" w:hAnsi="Century Gothic"/>
        </w:rPr>
        <w:t>)</w:t>
      </w:r>
      <w:r w:rsidRPr="00C95C1F">
        <w:rPr>
          <w:rFonts w:ascii="Century Gothic" w:hAnsi="Century Gothic"/>
        </w:rPr>
        <w:t xml:space="preserve">. </w:t>
      </w:r>
      <w:r w:rsidRPr="00C95C1F">
        <w:rPr>
          <w:rFonts w:ascii="Century Gothic" w:hAnsi="Century Gothic"/>
          <w:i/>
          <w:iCs/>
        </w:rPr>
        <w:t>Annual Report 2022–2023</w:t>
      </w:r>
      <w:r w:rsidRPr="00C95C1F">
        <w:rPr>
          <w:rFonts w:ascii="Century Gothic" w:hAnsi="Century Gothic"/>
        </w:rPr>
        <w:t xml:space="preserve">. Cardiff: </w:t>
      </w:r>
      <w:r w:rsidR="00362C01" w:rsidRPr="00C95C1F">
        <w:rPr>
          <w:rFonts w:ascii="Century Gothic" w:hAnsi="Century Gothic"/>
        </w:rPr>
        <w:t>Crown Copyright</w:t>
      </w:r>
      <w:r w:rsidRPr="00C95C1F">
        <w:rPr>
          <w:rFonts w:ascii="Century Gothic" w:hAnsi="Century Gothic"/>
        </w:rPr>
        <w:t>.</w:t>
      </w:r>
    </w:p>
    <w:p w14:paraId="7720C96E" w14:textId="6CD32CA9" w:rsidR="007B1628" w:rsidRPr="00C95C1F" w:rsidRDefault="007B1628" w:rsidP="000919A7">
      <w:pPr>
        <w:spacing w:line="360" w:lineRule="auto"/>
        <w:rPr>
          <w:rFonts w:ascii="Century Gothic" w:hAnsi="Century Gothic"/>
        </w:rPr>
      </w:pPr>
      <w:r w:rsidRPr="00C95C1F">
        <w:rPr>
          <w:rFonts w:ascii="Century Gothic" w:hAnsi="Century Gothic"/>
        </w:rPr>
        <w:t xml:space="preserve">Estyn, </w:t>
      </w:r>
      <w:r w:rsidR="00362C01" w:rsidRPr="00C95C1F">
        <w:rPr>
          <w:rFonts w:ascii="Century Gothic" w:hAnsi="Century Gothic"/>
        </w:rPr>
        <w:t>(</w:t>
      </w:r>
      <w:r w:rsidRPr="00C95C1F">
        <w:rPr>
          <w:rFonts w:ascii="Century Gothic" w:hAnsi="Century Gothic"/>
        </w:rPr>
        <w:t>2022</w:t>
      </w:r>
      <w:r w:rsidR="00362C01" w:rsidRPr="00C95C1F">
        <w:rPr>
          <w:rFonts w:ascii="Century Gothic" w:hAnsi="Century Gothic"/>
        </w:rPr>
        <w:t>)</w:t>
      </w:r>
      <w:r w:rsidRPr="00C95C1F">
        <w:rPr>
          <w:rFonts w:ascii="Century Gothic" w:hAnsi="Century Gothic"/>
        </w:rPr>
        <w:t xml:space="preserve">. </w:t>
      </w:r>
      <w:r w:rsidRPr="00C95C1F">
        <w:rPr>
          <w:rFonts w:ascii="Century Gothic" w:hAnsi="Century Gothic"/>
          <w:i/>
          <w:iCs/>
        </w:rPr>
        <w:t>Greenhill School’s approach to ensuring equity.</w:t>
      </w:r>
      <w:r w:rsidRPr="00C95C1F">
        <w:rPr>
          <w:rFonts w:ascii="Century Gothic" w:hAnsi="Century Gothic"/>
        </w:rPr>
        <w:t xml:space="preserve">  Available at: https://www.estyn.gov.wales/improvement-resources/greenhill-schools-approach-to-ensuring-equity [Accessed 1</w:t>
      </w:r>
      <w:r w:rsidR="00362C01" w:rsidRPr="00C95C1F">
        <w:rPr>
          <w:rFonts w:ascii="Century Gothic" w:hAnsi="Century Gothic"/>
        </w:rPr>
        <w:t>2 April</w:t>
      </w:r>
      <w:r w:rsidRPr="00C95C1F">
        <w:rPr>
          <w:rFonts w:ascii="Century Gothic" w:hAnsi="Century Gothic"/>
        </w:rPr>
        <w:t xml:space="preserve"> 2025].</w:t>
      </w:r>
    </w:p>
    <w:p w14:paraId="01B2A283" w14:textId="0E42086F" w:rsidR="007B1628" w:rsidRPr="007B1628" w:rsidRDefault="007B1628" w:rsidP="000919A7">
      <w:pPr>
        <w:spacing w:line="360" w:lineRule="auto"/>
        <w:rPr>
          <w:rFonts w:ascii="Century Gothic" w:hAnsi="Century Gothic"/>
        </w:rPr>
      </w:pPr>
      <w:r w:rsidRPr="007B1628">
        <w:rPr>
          <w:rFonts w:ascii="Century Gothic" w:hAnsi="Century Gothic"/>
        </w:rPr>
        <w:lastRenderedPageBreak/>
        <w:t xml:space="preserve">Estyn, </w:t>
      </w:r>
      <w:r w:rsidR="00362C01" w:rsidRPr="00C95C1F">
        <w:rPr>
          <w:rFonts w:ascii="Century Gothic" w:hAnsi="Century Gothic"/>
        </w:rPr>
        <w:t>(</w:t>
      </w:r>
      <w:r w:rsidRPr="007B1628">
        <w:rPr>
          <w:rFonts w:ascii="Century Gothic" w:hAnsi="Century Gothic"/>
        </w:rPr>
        <w:t>2024</w:t>
      </w:r>
      <w:r w:rsidR="00362C01" w:rsidRPr="00C95C1F">
        <w:rPr>
          <w:rFonts w:ascii="Century Gothic" w:hAnsi="Century Gothic"/>
        </w:rPr>
        <w:t>)</w:t>
      </w:r>
      <w:r w:rsidRPr="007B1628">
        <w:rPr>
          <w:rFonts w:ascii="Century Gothic" w:hAnsi="Century Gothic"/>
        </w:rPr>
        <w:t>. Inspection report: Swansea University Schools’ Partnership. Available at: https://www.estyn.gov.wales/app/uploads/2024/09/Inspection-report-Swansea-University-Schools-Partnership-2024.pdf [Accessed 1</w:t>
      </w:r>
      <w:r w:rsidR="00362C01" w:rsidRPr="00C95C1F">
        <w:rPr>
          <w:rFonts w:ascii="Century Gothic" w:hAnsi="Century Gothic"/>
        </w:rPr>
        <w:t>2 April</w:t>
      </w:r>
      <w:r w:rsidRPr="007B1628">
        <w:rPr>
          <w:rFonts w:ascii="Century Gothic" w:hAnsi="Century Gothic"/>
        </w:rPr>
        <w:t xml:space="preserve"> 2025].</w:t>
      </w:r>
    </w:p>
    <w:p w14:paraId="1EF15EDA" w14:textId="18D78582" w:rsidR="004A79E5" w:rsidRPr="00C95C1F" w:rsidRDefault="004A79E5" w:rsidP="000919A7">
      <w:pPr>
        <w:spacing w:line="360" w:lineRule="auto"/>
        <w:rPr>
          <w:rFonts w:ascii="Century Gothic" w:hAnsi="Century Gothic"/>
        </w:rPr>
      </w:pPr>
      <w:r w:rsidRPr="00C95C1F">
        <w:rPr>
          <w:rFonts w:ascii="Century Gothic" w:hAnsi="Century Gothic"/>
        </w:rPr>
        <w:t>F</w:t>
      </w:r>
      <w:r w:rsidR="00362C01" w:rsidRPr="00C95C1F">
        <w:rPr>
          <w:rFonts w:ascii="Century Gothic" w:hAnsi="Century Gothic"/>
        </w:rPr>
        <w:t>a</w:t>
      </w:r>
      <w:r w:rsidRPr="00C95C1F">
        <w:rPr>
          <w:rFonts w:ascii="Century Gothic" w:hAnsi="Century Gothic"/>
        </w:rPr>
        <w:t xml:space="preserve">gerstam, E., </w:t>
      </w:r>
      <w:r w:rsidR="00362C01" w:rsidRPr="00C95C1F">
        <w:rPr>
          <w:rFonts w:ascii="Century Gothic" w:hAnsi="Century Gothic"/>
        </w:rPr>
        <w:t>(</w:t>
      </w:r>
      <w:r w:rsidRPr="00C95C1F">
        <w:rPr>
          <w:rFonts w:ascii="Century Gothic" w:hAnsi="Century Gothic"/>
        </w:rPr>
        <w:t>2012</w:t>
      </w:r>
      <w:r w:rsidR="00362C01" w:rsidRPr="00C95C1F">
        <w:rPr>
          <w:rFonts w:ascii="Century Gothic" w:hAnsi="Century Gothic"/>
        </w:rPr>
        <w:t>)</w:t>
      </w:r>
      <w:r w:rsidRPr="00C95C1F">
        <w:rPr>
          <w:rFonts w:ascii="Century Gothic" w:hAnsi="Century Gothic"/>
        </w:rPr>
        <w:t xml:space="preserve">. Space and place: Perspectives on outdoor teaching and learning. </w:t>
      </w:r>
      <w:r w:rsidRPr="00C95C1F">
        <w:rPr>
          <w:rFonts w:ascii="Century Gothic" w:hAnsi="Century Gothic"/>
          <w:i/>
          <w:iCs/>
        </w:rPr>
        <w:t>Education Inquiry</w:t>
      </w:r>
      <w:r w:rsidRPr="00C95C1F">
        <w:rPr>
          <w:rFonts w:ascii="Century Gothic" w:hAnsi="Century Gothic"/>
        </w:rPr>
        <w:t>, 3(4), pp.647–664.</w:t>
      </w:r>
    </w:p>
    <w:p w14:paraId="5A69D931" w14:textId="77777777" w:rsidR="00CE2337" w:rsidRPr="00C95C1F" w:rsidRDefault="004A79E5" w:rsidP="00CE2337">
      <w:pPr>
        <w:spacing w:line="360" w:lineRule="auto"/>
        <w:rPr>
          <w:rFonts w:ascii="Century Gothic" w:hAnsi="Century Gothic"/>
        </w:rPr>
      </w:pPr>
      <w:r w:rsidRPr="00C95C1F">
        <w:rPr>
          <w:rFonts w:ascii="Century Gothic" w:hAnsi="Century Gothic"/>
        </w:rPr>
        <w:t xml:space="preserve">Hargreaves, A., </w:t>
      </w:r>
      <w:r w:rsidR="00362C01" w:rsidRPr="00C95C1F">
        <w:rPr>
          <w:rFonts w:ascii="Century Gothic" w:hAnsi="Century Gothic"/>
        </w:rPr>
        <w:t>(</w:t>
      </w:r>
      <w:r w:rsidRPr="00C95C1F">
        <w:rPr>
          <w:rFonts w:ascii="Century Gothic" w:hAnsi="Century Gothic"/>
        </w:rPr>
        <w:t>1998</w:t>
      </w:r>
      <w:r w:rsidR="00362C01" w:rsidRPr="00C95C1F">
        <w:rPr>
          <w:rFonts w:ascii="Century Gothic" w:hAnsi="Century Gothic"/>
        </w:rPr>
        <w:t>)</w:t>
      </w:r>
      <w:r w:rsidRPr="00C95C1F">
        <w:rPr>
          <w:rFonts w:ascii="Century Gothic" w:hAnsi="Century Gothic"/>
        </w:rPr>
        <w:t xml:space="preserve">. The emotional practice of teaching. </w:t>
      </w:r>
      <w:r w:rsidRPr="00C95C1F">
        <w:rPr>
          <w:rFonts w:ascii="Century Gothic" w:hAnsi="Century Gothic"/>
          <w:i/>
          <w:iCs/>
        </w:rPr>
        <w:t>Teaching and Teacher Education</w:t>
      </w:r>
      <w:r w:rsidRPr="00C95C1F">
        <w:rPr>
          <w:rFonts w:ascii="Century Gothic" w:hAnsi="Century Gothic"/>
        </w:rPr>
        <w:t>, 14(8), pp.835–854.</w:t>
      </w:r>
      <w:r w:rsidR="00CE2337" w:rsidRPr="00C95C1F">
        <w:rPr>
          <w:rFonts w:ascii="Century Gothic" w:hAnsi="Century Gothic"/>
        </w:rPr>
        <w:t xml:space="preserve"> </w:t>
      </w:r>
    </w:p>
    <w:p w14:paraId="7C77BCFE" w14:textId="77777777" w:rsidR="00CE2337" w:rsidRPr="00C95C1F" w:rsidRDefault="00CE2337" w:rsidP="00CE2337">
      <w:pPr>
        <w:spacing w:line="360" w:lineRule="auto"/>
        <w:rPr>
          <w:rFonts w:ascii="Century Gothic" w:hAnsi="Century Gothic"/>
        </w:rPr>
      </w:pPr>
      <w:r w:rsidRPr="00B22588">
        <w:rPr>
          <w:rFonts w:ascii="Century Gothic" w:hAnsi="Century Gothic"/>
        </w:rPr>
        <w:t xml:space="preserve">Humberstone, B. and Stan, I., 2011. </w:t>
      </w:r>
      <w:r w:rsidRPr="00B22588">
        <w:rPr>
          <w:rFonts w:ascii="Century Gothic" w:hAnsi="Century Gothic"/>
          <w:i/>
          <w:iCs/>
        </w:rPr>
        <w:t>Outdoor learning and the pedagogic potential of adventure education: Using reflective practice to inform pedagogy</w:t>
      </w:r>
      <w:r w:rsidRPr="00B22588">
        <w:rPr>
          <w:rFonts w:ascii="Century Gothic" w:hAnsi="Century Gothic"/>
        </w:rPr>
        <w:t>. Journal of Adventure Education and Outdoor Learning, 11(3), pp.199–212.</w:t>
      </w:r>
    </w:p>
    <w:p w14:paraId="55F7723C" w14:textId="50E857A9" w:rsidR="004A79E5" w:rsidRPr="00C95C1F" w:rsidRDefault="004A79E5" w:rsidP="00CE2337">
      <w:pPr>
        <w:spacing w:line="360" w:lineRule="auto"/>
        <w:rPr>
          <w:rFonts w:ascii="Century Gothic" w:hAnsi="Century Gothic"/>
        </w:rPr>
      </w:pPr>
      <w:r w:rsidRPr="00C95C1F">
        <w:rPr>
          <w:rFonts w:ascii="Century Gothic" w:hAnsi="Century Gothic"/>
        </w:rPr>
        <w:t xml:space="preserve">Jamieson, G., </w:t>
      </w:r>
      <w:r w:rsidR="00362C01" w:rsidRPr="00C95C1F">
        <w:rPr>
          <w:rFonts w:ascii="Century Gothic" w:hAnsi="Century Gothic"/>
        </w:rPr>
        <w:t>(</w:t>
      </w:r>
      <w:r w:rsidRPr="00C95C1F">
        <w:rPr>
          <w:rFonts w:ascii="Century Gothic" w:hAnsi="Century Gothic"/>
        </w:rPr>
        <w:t>2025</w:t>
      </w:r>
      <w:r w:rsidR="00362C01" w:rsidRPr="00C95C1F">
        <w:rPr>
          <w:rFonts w:ascii="Century Gothic" w:hAnsi="Century Gothic"/>
        </w:rPr>
        <w:t>)</w:t>
      </w:r>
      <w:r w:rsidRPr="00C95C1F">
        <w:rPr>
          <w:rFonts w:ascii="Century Gothic" w:hAnsi="Century Gothic"/>
        </w:rPr>
        <w:t xml:space="preserve">. </w:t>
      </w:r>
      <w:r w:rsidRPr="00C95C1F">
        <w:rPr>
          <w:rFonts w:ascii="Century Gothic" w:hAnsi="Century Gothic"/>
          <w:i/>
          <w:iCs/>
        </w:rPr>
        <w:t>Schoolseum: A case study in bridging design, creativity and career development</w:t>
      </w:r>
      <w:r w:rsidRPr="00C95C1F">
        <w:rPr>
          <w:rFonts w:ascii="Century Gothic" w:hAnsi="Century Gothic"/>
        </w:rPr>
        <w:t>. Dundee: V&amp;A Dundee.</w:t>
      </w:r>
    </w:p>
    <w:p w14:paraId="10E64310" w14:textId="5E7CA2BD" w:rsidR="004A79E5" w:rsidRPr="00C95C1F" w:rsidRDefault="004A79E5" w:rsidP="000919A7">
      <w:pPr>
        <w:spacing w:line="360" w:lineRule="auto"/>
        <w:rPr>
          <w:rFonts w:ascii="Century Gothic" w:hAnsi="Century Gothic"/>
        </w:rPr>
      </w:pPr>
      <w:r w:rsidRPr="00C95C1F">
        <w:rPr>
          <w:rFonts w:ascii="Century Gothic" w:hAnsi="Century Gothic"/>
        </w:rPr>
        <w:t xml:space="preserve">Learning Away, </w:t>
      </w:r>
      <w:r w:rsidR="00362C01" w:rsidRPr="00C95C1F">
        <w:rPr>
          <w:rFonts w:ascii="Century Gothic" w:hAnsi="Century Gothic"/>
        </w:rPr>
        <w:t>(</w:t>
      </w:r>
      <w:r w:rsidRPr="00C95C1F">
        <w:rPr>
          <w:rFonts w:ascii="Century Gothic" w:hAnsi="Century Gothic"/>
        </w:rPr>
        <w:t>2015</w:t>
      </w:r>
      <w:r w:rsidR="00362C01" w:rsidRPr="00C95C1F">
        <w:rPr>
          <w:rFonts w:ascii="Century Gothic" w:hAnsi="Century Gothic"/>
        </w:rPr>
        <w:t>)</w:t>
      </w:r>
      <w:r w:rsidRPr="00C95C1F">
        <w:rPr>
          <w:rFonts w:ascii="Century Gothic" w:hAnsi="Century Gothic"/>
        </w:rPr>
        <w:t xml:space="preserve">. </w:t>
      </w:r>
      <w:r w:rsidRPr="00C95C1F">
        <w:rPr>
          <w:rFonts w:ascii="Century Gothic" w:hAnsi="Century Gothic"/>
          <w:i/>
          <w:iCs/>
        </w:rPr>
        <w:t>Final Evaluation Report: Brilliant Residentials</w:t>
      </w:r>
      <w:r w:rsidRPr="00C95C1F">
        <w:rPr>
          <w:rFonts w:ascii="Century Gothic" w:hAnsi="Century Gothic"/>
        </w:rPr>
        <w:t xml:space="preserve">. [online] Paul Hamlyn Foundation. Available at: https://learningaway.org.uk [Accessed </w:t>
      </w:r>
      <w:r w:rsidR="00481306" w:rsidRPr="00C95C1F">
        <w:rPr>
          <w:rFonts w:ascii="Century Gothic" w:hAnsi="Century Gothic"/>
        </w:rPr>
        <w:t>12</w:t>
      </w:r>
      <w:r w:rsidRPr="00C95C1F">
        <w:rPr>
          <w:rFonts w:ascii="Century Gothic" w:hAnsi="Century Gothic"/>
        </w:rPr>
        <w:t xml:space="preserve"> </w:t>
      </w:r>
      <w:r w:rsidR="00481306" w:rsidRPr="00C95C1F">
        <w:rPr>
          <w:rFonts w:ascii="Century Gothic" w:hAnsi="Century Gothic"/>
        </w:rPr>
        <w:t>March</w:t>
      </w:r>
      <w:r w:rsidRPr="00C95C1F">
        <w:rPr>
          <w:rFonts w:ascii="Century Gothic" w:hAnsi="Century Gothic"/>
        </w:rPr>
        <w:t xml:space="preserve"> 2025].</w:t>
      </w:r>
    </w:p>
    <w:p w14:paraId="6B626088" w14:textId="418E4C24" w:rsidR="00071D9E" w:rsidRPr="00C95C1F" w:rsidRDefault="001D40B5" w:rsidP="000919A7">
      <w:pPr>
        <w:spacing w:line="360" w:lineRule="auto"/>
        <w:rPr>
          <w:rFonts w:ascii="Century Gothic" w:hAnsi="Century Gothic"/>
        </w:rPr>
      </w:pPr>
      <w:r w:rsidRPr="00C95C1F">
        <w:rPr>
          <w:rFonts w:ascii="Century Gothic" w:hAnsi="Century Gothic"/>
        </w:rPr>
        <w:t>Organisation for Economic Co-operation and Development</w:t>
      </w:r>
      <w:r w:rsidR="004A79E5" w:rsidRPr="00C95C1F">
        <w:rPr>
          <w:rFonts w:ascii="Century Gothic" w:hAnsi="Century Gothic"/>
        </w:rPr>
        <w:t xml:space="preserve">, </w:t>
      </w:r>
      <w:r w:rsidR="00481306" w:rsidRPr="00C95C1F">
        <w:rPr>
          <w:rFonts w:ascii="Century Gothic" w:hAnsi="Century Gothic"/>
        </w:rPr>
        <w:t>(</w:t>
      </w:r>
      <w:r w:rsidR="004A79E5" w:rsidRPr="00C95C1F">
        <w:rPr>
          <w:rFonts w:ascii="Century Gothic" w:hAnsi="Century Gothic"/>
        </w:rPr>
        <w:t>2021</w:t>
      </w:r>
      <w:r w:rsidR="00481306" w:rsidRPr="00C95C1F">
        <w:rPr>
          <w:rFonts w:ascii="Century Gothic" w:hAnsi="Century Gothic"/>
        </w:rPr>
        <w:t>)</w:t>
      </w:r>
      <w:r w:rsidR="004A79E5" w:rsidRPr="00C95C1F">
        <w:rPr>
          <w:rFonts w:ascii="Century Gothic" w:hAnsi="Century Gothic"/>
        </w:rPr>
        <w:t xml:space="preserve">. </w:t>
      </w:r>
      <w:r w:rsidR="004A79E5" w:rsidRPr="00C95C1F">
        <w:rPr>
          <w:rFonts w:ascii="Century Gothic" w:hAnsi="Century Gothic"/>
          <w:i/>
          <w:iCs/>
        </w:rPr>
        <w:t>Teachers and Leaders in Schools: TALIS 2018 Results Volume II</w:t>
      </w:r>
      <w:r w:rsidR="004A79E5" w:rsidRPr="00C95C1F">
        <w:rPr>
          <w:rFonts w:ascii="Century Gothic" w:hAnsi="Century Gothic"/>
        </w:rPr>
        <w:t xml:space="preserve">. Paris: OECD Publishing. </w:t>
      </w:r>
      <w:r w:rsidR="00481306" w:rsidRPr="00C95C1F">
        <w:rPr>
          <w:rFonts w:ascii="Century Gothic" w:hAnsi="Century Gothic"/>
        </w:rPr>
        <w:t>https://doi.org/10.1787/19cf08df-en [Accessed 12 March 2025]</w:t>
      </w:r>
    </w:p>
    <w:p w14:paraId="7A01A3D9" w14:textId="3A22AB10" w:rsidR="00071D9E" w:rsidRPr="00C95C1F" w:rsidRDefault="00071D9E" w:rsidP="000919A7">
      <w:pPr>
        <w:spacing w:line="360" w:lineRule="auto"/>
        <w:rPr>
          <w:rFonts w:ascii="Century Gothic" w:hAnsi="Century Gothic"/>
        </w:rPr>
      </w:pPr>
      <w:r w:rsidRPr="00C95C1F">
        <w:rPr>
          <w:rFonts w:ascii="Century Gothic" w:hAnsi="Century Gothic"/>
        </w:rPr>
        <w:t>Ozturk, M., Wigelsworth, M. and Squires, G. (2024) ‘A conceptual model for teacher wellbeing: towards a holistic understanding’, </w:t>
      </w:r>
      <w:r w:rsidRPr="00C95C1F">
        <w:rPr>
          <w:rFonts w:ascii="Century Gothic" w:hAnsi="Century Gothic"/>
          <w:i/>
          <w:iCs/>
        </w:rPr>
        <w:t>Cogent Education</w:t>
      </w:r>
      <w:r w:rsidRPr="00C95C1F">
        <w:rPr>
          <w:rFonts w:ascii="Century Gothic" w:hAnsi="Century Gothic"/>
        </w:rPr>
        <w:t>, 11(1). doi: 10.1080/2331186X.2024.2396156.</w:t>
      </w:r>
    </w:p>
    <w:p w14:paraId="6CA7796D" w14:textId="0D4DAE86" w:rsidR="004A79E5" w:rsidRPr="00C95C1F" w:rsidRDefault="008E7625" w:rsidP="000919A7">
      <w:pPr>
        <w:spacing w:line="360" w:lineRule="auto"/>
        <w:rPr>
          <w:rFonts w:ascii="Century Gothic" w:hAnsi="Century Gothic"/>
        </w:rPr>
      </w:pPr>
      <w:r w:rsidRPr="008E7625">
        <w:rPr>
          <w:rFonts w:ascii="Century Gothic" w:hAnsi="Century Gothic"/>
        </w:rPr>
        <w:t xml:space="preserve">Phillips, D. and Burbules, N., </w:t>
      </w:r>
      <w:r w:rsidR="00790441" w:rsidRPr="00C95C1F">
        <w:rPr>
          <w:rFonts w:ascii="Century Gothic" w:hAnsi="Century Gothic"/>
        </w:rPr>
        <w:t>(</w:t>
      </w:r>
      <w:r w:rsidRPr="008E7625">
        <w:rPr>
          <w:rFonts w:ascii="Century Gothic" w:hAnsi="Century Gothic"/>
        </w:rPr>
        <w:t>2000</w:t>
      </w:r>
      <w:r w:rsidR="00790441" w:rsidRPr="00C95C1F">
        <w:rPr>
          <w:rFonts w:ascii="Century Gothic" w:hAnsi="Century Gothic"/>
        </w:rPr>
        <w:t>)</w:t>
      </w:r>
      <w:r w:rsidRPr="008E7625">
        <w:rPr>
          <w:rFonts w:ascii="Century Gothic" w:hAnsi="Century Gothic"/>
        </w:rPr>
        <w:t xml:space="preserve">. </w:t>
      </w:r>
      <w:r w:rsidRPr="008E7625">
        <w:rPr>
          <w:rFonts w:ascii="Century Gothic" w:hAnsi="Century Gothic"/>
          <w:i/>
          <w:iCs/>
        </w:rPr>
        <w:t>Post</w:t>
      </w:r>
      <w:r w:rsidR="00481306" w:rsidRPr="00C95C1F">
        <w:rPr>
          <w:rFonts w:ascii="Century Gothic" w:hAnsi="Century Gothic"/>
          <w:i/>
          <w:iCs/>
        </w:rPr>
        <w:t>-</w:t>
      </w:r>
      <w:r w:rsidRPr="008E7625">
        <w:rPr>
          <w:rFonts w:ascii="Century Gothic" w:hAnsi="Century Gothic"/>
          <w:i/>
          <w:iCs/>
        </w:rPr>
        <w:t>positivism and educational research</w:t>
      </w:r>
      <w:r w:rsidRPr="008E7625">
        <w:rPr>
          <w:rFonts w:ascii="Century Gothic" w:hAnsi="Century Gothic"/>
        </w:rPr>
        <w:t>. Lanham: Rowman &amp; Littlefield.</w:t>
      </w:r>
    </w:p>
    <w:p w14:paraId="6FEA48C6" w14:textId="72CB62EE" w:rsidR="004A79E5" w:rsidRPr="00C95C1F" w:rsidRDefault="004A79E5" w:rsidP="000919A7">
      <w:pPr>
        <w:spacing w:line="360" w:lineRule="auto"/>
        <w:rPr>
          <w:rFonts w:ascii="Century Gothic" w:hAnsi="Century Gothic"/>
        </w:rPr>
      </w:pPr>
      <w:r w:rsidRPr="001B0DEA">
        <w:rPr>
          <w:rFonts w:ascii="Century Gothic" w:hAnsi="Century Gothic"/>
        </w:rPr>
        <w:t xml:space="preserve">Pyhältö, K., Pietarinen, J. and Salmela-Aro, K., </w:t>
      </w:r>
      <w:r w:rsidR="00481306" w:rsidRPr="001B0DEA">
        <w:rPr>
          <w:rFonts w:ascii="Century Gothic" w:hAnsi="Century Gothic"/>
        </w:rPr>
        <w:t>(</w:t>
      </w:r>
      <w:r w:rsidRPr="001B0DEA">
        <w:rPr>
          <w:rFonts w:ascii="Century Gothic" w:hAnsi="Century Gothic"/>
        </w:rPr>
        <w:t>2011</w:t>
      </w:r>
      <w:r w:rsidR="00481306" w:rsidRPr="001B0DEA">
        <w:rPr>
          <w:rFonts w:ascii="Century Gothic" w:hAnsi="Century Gothic"/>
        </w:rPr>
        <w:t>)</w:t>
      </w:r>
      <w:r w:rsidRPr="001B0DEA">
        <w:rPr>
          <w:rFonts w:ascii="Century Gothic" w:hAnsi="Century Gothic"/>
        </w:rPr>
        <w:t xml:space="preserve">. </w:t>
      </w:r>
      <w:r w:rsidRPr="00C95C1F">
        <w:rPr>
          <w:rFonts w:ascii="Century Gothic" w:hAnsi="Century Gothic"/>
        </w:rPr>
        <w:t xml:space="preserve">Teacher–working-environment fit as a framework for burnout experienced by Finnish teachers. </w:t>
      </w:r>
      <w:r w:rsidRPr="00C95C1F">
        <w:rPr>
          <w:rFonts w:ascii="Century Gothic" w:hAnsi="Century Gothic"/>
          <w:i/>
          <w:iCs/>
        </w:rPr>
        <w:t>Teaching and Teacher Education</w:t>
      </w:r>
      <w:r w:rsidRPr="00C95C1F">
        <w:rPr>
          <w:rFonts w:ascii="Century Gothic" w:hAnsi="Century Gothic"/>
        </w:rPr>
        <w:t>, 27(7), pp.1101–1110.</w:t>
      </w:r>
    </w:p>
    <w:p w14:paraId="09F6CFA4" w14:textId="1C03008B" w:rsidR="004A79E5" w:rsidRPr="00C95C1F" w:rsidRDefault="004A79E5" w:rsidP="000919A7">
      <w:pPr>
        <w:spacing w:line="360" w:lineRule="auto"/>
        <w:rPr>
          <w:rFonts w:ascii="Century Gothic" w:hAnsi="Century Gothic"/>
        </w:rPr>
      </w:pPr>
      <w:r w:rsidRPr="00C95C1F">
        <w:rPr>
          <w:rFonts w:ascii="Century Gothic" w:hAnsi="Century Gothic"/>
        </w:rPr>
        <w:t xml:space="preserve">Rickinson, M., Dillon, J., Teamey, K., Morris, M., Choi, M.Y., Sanders, D. and Benefield, P., </w:t>
      </w:r>
      <w:r w:rsidR="00481306" w:rsidRPr="00C95C1F">
        <w:rPr>
          <w:rFonts w:ascii="Century Gothic" w:hAnsi="Century Gothic"/>
        </w:rPr>
        <w:t>(</w:t>
      </w:r>
      <w:r w:rsidRPr="00C95C1F">
        <w:rPr>
          <w:rFonts w:ascii="Century Gothic" w:hAnsi="Century Gothic"/>
        </w:rPr>
        <w:t>2004</w:t>
      </w:r>
      <w:r w:rsidR="00481306" w:rsidRPr="00C95C1F">
        <w:rPr>
          <w:rFonts w:ascii="Century Gothic" w:hAnsi="Century Gothic"/>
        </w:rPr>
        <w:t>)</w:t>
      </w:r>
      <w:r w:rsidRPr="00C95C1F">
        <w:rPr>
          <w:rFonts w:ascii="Century Gothic" w:hAnsi="Century Gothic"/>
        </w:rPr>
        <w:t xml:space="preserve">. </w:t>
      </w:r>
      <w:r w:rsidRPr="00C95C1F">
        <w:rPr>
          <w:rFonts w:ascii="Century Gothic" w:hAnsi="Century Gothic"/>
          <w:i/>
          <w:iCs/>
        </w:rPr>
        <w:t>A review of research on outdoor learning</w:t>
      </w:r>
      <w:r w:rsidRPr="00C95C1F">
        <w:rPr>
          <w:rFonts w:ascii="Century Gothic" w:hAnsi="Century Gothic"/>
        </w:rPr>
        <w:t>. Shrewsbury: National Foundation for Educational Research/Field Studies Council.</w:t>
      </w:r>
    </w:p>
    <w:p w14:paraId="5C8875DB" w14:textId="2103FAAE" w:rsidR="004A79E5" w:rsidRPr="00C95C1F" w:rsidRDefault="004A79E5" w:rsidP="000919A7">
      <w:pPr>
        <w:spacing w:line="360" w:lineRule="auto"/>
        <w:rPr>
          <w:rFonts w:ascii="Century Gothic" w:hAnsi="Century Gothic"/>
        </w:rPr>
      </w:pPr>
      <w:r w:rsidRPr="00C95C1F">
        <w:rPr>
          <w:rFonts w:ascii="Century Gothic" w:hAnsi="Century Gothic"/>
        </w:rPr>
        <w:lastRenderedPageBreak/>
        <w:t xml:space="preserve">Robinson, C. and Taylor, C., </w:t>
      </w:r>
      <w:r w:rsidR="00481306" w:rsidRPr="00C95C1F">
        <w:rPr>
          <w:rFonts w:ascii="Century Gothic" w:hAnsi="Century Gothic"/>
        </w:rPr>
        <w:t>(</w:t>
      </w:r>
      <w:r w:rsidRPr="00C95C1F">
        <w:rPr>
          <w:rFonts w:ascii="Century Gothic" w:hAnsi="Century Gothic"/>
        </w:rPr>
        <w:t>2007</w:t>
      </w:r>
      <w:r w:rsidR="00481306" w:rsidRPr="00C95C1F">
        <w:rPr>
          <w:rFonts w:ascii="Century Gothic" w:hAnsi="Century Gothic"/>
        </w:rPr>
        <w:t>)</w:t>
      </w:r>
      <w:r w:rsidRPr="00C95C1F">
        <w:rPr>
          <w:rFonts w:ascii="Century Gothic" w:hAnsi="Century Gothic"/>
        </w:rPr>
        <w:t>. Theor</w:t>
      </w:r>
      <w:r w:rsidR="00481306" w:rsidRPr="00C95C1F">
        <w:rPr>
          <w:rFonts w:ascii="Century Gothic" w:hAnsi="Century Gothic"/>
        </w:rPr>
        <w:t>is</w:t>
      </w:r>
      <w:r w:rsidRPr="00C95C1F">
        <w:rPr>
          <w:rFonts w:ascii="Century Gothic" w:hAnsi="Century Gothic"/>
        </w:rPr>
        <w:t xml:space="preserve">ing student voice: Values and perspectives. </w:t>
      </w:r>
      <w:r w:rsidRPr="00C95C1F">
        <w:rPr>
          <w:rFonts w:ascii="Century Gothic" w:hAnsi="Century Gothic"/>
          <w:i/>
          <w:iCs/>
        </w:rPr>
        <w:t>Improving Schools</w:t>
      </w:r>
      <w:r w:rsidRPr="00C95C1F">
        <w:rPr>
          <w:rFonts w:ascii="Century Gothic" w:hAnsi="Century Gothic"/>
        </w:rPr>
        <w:t>, 10(1), pp.5–17.</w:t>
      </w:r>
    </w:p>
    <w:p w14:paraId="7A1E43FF" w14:textId="1BEAC2C2" w:rsidR="004A79E5" w:rsidRPr="00C95C1F" w:rsidRDefault="004A79E5" w:rsidP="000919A7">
      <w:pPr>
        <w:spacing w:line="360" w:lineRule="auto"/>
        <w:rPr>
          <w:rFonts w:ascii="Century Gothic" w:hAnsi="Century Gothic"/>
        </w:rPr>
      </w:pPr>
      <w:r w:rsidRPr="00C95C1F">
        <w:rPr>
          <w:rFonts w:ascii="Century Gothic" w:hAnsi="Century Gothic"/>
        </w:rPr>
        <w:t xml:space="preserve">Schneller, M.B., Duncan, S., Schipperijn, J., Nielsen, G. and Stallknecht, B., </w:t>
      </w:r>
      <w:r w:rsidR="00481306" w:rsidRPr="00C95C1F">
        <w:rPr>
          <w:rFonts w:ascii="Century Gothic" w:hAnsi="Century Gothic"/>
        </w:rPr>
        <w:t>(</w:t>
      </w:r>
      <w:r w:rsidRPr="00C95C1F">
        <w:rPr>
          <w:rFonts w:ascii="Century Gothic" w:hAnsi="Century Gothic"/>
        </w:rPr>
        <w:t>2017</w:t>
      </w:r>
      <w:r w:rsidR="00481306" w:rsidRPr="00C95C1F">
        <w:rPr>
          <w:rFonts w:ascii="Century Gothic" w:hAnsi="Century Gothic"/>
        </w:rPr>
        <w:t>)</w:t>
      </w:r>
      <w:r w:rsidRPr="00C95C1F">
        <w:rPr>
          <w:rFonts w:ascii="Century Gothic" w:hAnsi="Century Gothic"/>
        </w:rPr>
        <w:t xml:space="preserve">. Are school trips an effective way to promote physical activity? </w:t>
      </w:r>
      <w:r w:rsidRPr="00C95C1F">
        <w:rPr>
          <w:rFonts w:ascii="Century Gothic" w:hAnsi="Century Gothic"/>
          <w:i/>
          <w:iCs/>
        </w:rPr>
        <w:t>International Journal of Environmental Research and Public Health</w:t>
      </w:r>
      <w:r w:rsidRPr="00C95C1F">
        <w:rPr>
          <w:rFonts w:ascii="Century Gothic" w:hAnsi="Century Gothic"/>
        </w:rPr>
        <w:t>, 14(5), p.501.</w:t>
      </w:r>
    </w:p>
    <w:p w14:paraId="76238DFC" w14:textId="261DD0C5" w:rsidR="004A79E5" w:rsidRPr="00C95C1F" w:rsidRDefault="004A79E5" w:rsidP="000919A7">
      <w:pPr>
        <w:spacing w:line="360" w:lineRule="auto"/>
        <w:rPr>
          <w:rFonts w:ascii="Century Gothic" w:hAnsi="Century Gothic"/>
        </w:rPr>
      </w:pPr>
      <w:r w:rsidRPr="00C95C1F">
        <w:rPr>
          <w:rFonts w:ascii="Century Gothic" w:hAnsi="Century Gothic"/>
        </w:rPr>
        <w:t xml:space="preserve">Seligman, M., </w:t>
      </w:r>
      <w:r w:rsidR="00481306" w:rsidRPr="00C95C1F">
        <w:rPr>
          <w:rFonts w:ascii="Century Gothic" w:hAnsi="Century Gothic"/>
        </w:rPr>
        <w:t>(</w:t>
      </w:r>
      <w:r w:rsidRPr="00C95C1F">
        <w:rPr>
          <w:rFonts w:ascii="Century Gothic" w:hAnsi="Century Gothic"/>
        </w:rPr>
        <w:t>2011</w:t>
      </w:r>
      <w:r w:rsidR="00481306" w:rsidRPr="00C95C1F">
        <w:rPr>
          <w:rFonts w:ascii="Century Gothic" w:hAnsi="Century Gothic"/>
        </w:rPr>
        <w:t>)</w:t>
      </w:r>
      <w:r w:rsidRPr="00C95C1F">
        <w:rPr>
          <w:rFonts w:ascii="Century Gothic" w:hAnsi="Century Gothic"/>
        </w:rPr>
        <w:t xml:space="preserve">. </w:t>
      </w:r>
      <w:r w:rsidRPr="00C95C1F">
        <w:rPr>
          <w:rFonts w:ascii="Century Gothic" w:hAnsi="Century Gothic"/>
          <w:i/>
          <w:iCs/>
        </w:rPr>
        <w:t>Flourish: A visionary new understanding of happiness and wellbeing</w:t>
      </w:r>
      <w:r w:rsidRPr="00C95C1F">
        <w:rPr>
          <w:rFonts w:ascii="Century Gothic" w:hAnsi="Century Gothic"/>
        </w:rPr>
        <w:t>. New York: Free Press.</w:t>
      </w:r>
    </w:p>
    <w:p w14:paraId="4D0B0298" w14:textId="2B9E0A9B" w:rsidR="004A79E5" w:rsidRPr="00C95C1F" w:rsidRDefault="004A79E5" w:rsidP="000919A7">
      <w:pPr>
        <w:spacing w:line="360" w:lineRule="auto"/>
        <w:rPr>
          <w:rFonts w:ascii="Century Gothic" w:hAnsi="Century Gothic"/>
        </w:rPr>
      </w:pPr>
      <w:r w:rsidRPr="001B0DEA">
        <w:rPr>
          <w:rFonts w:ascii="Century Gothic" w:hAnsi="Century Gothic"/>
        </w:rPr>
        <w:t xml:space="preserve">Skaalvik, E. and Skaalvik, S., </w:t>
      </w:r>
      <w:r w:rsidR="00481306" w:rsidRPr="001B0DEA">
        <w:rPr>
          <w:rFonts w:ascii="Century Gothic" w:hAnsi="Century Gothic"/>
        </w:rPr>
        <w:t>(</w:t>
      </w:r>
      <w:r w:rsidRPr="001B0DEA">
        <w:rPr>
          <w:rFonts w:ascii="Century Gothic" w:hAnsi="Century Gothic"/>
        </w:rPr>
        <w:t>2017</w:t>
      </w:r>
      <w:r w:rsidR="00481306" w:rsidRPr="001B0DEA">
        <w:rPr>
          <w:rFonts w:ascii="Century Gothic" w:hAnsi="Century Gothic"/>
        </w:rPr>
        <w:t>)</w:t>
      </w:r>
      <w:r w:rsidRPr="001B0DEA">
        <w:rPr>
          <w:rFonts w:ascii="Century Gothic" w:hAnsi="Century Gothic"/>
        </w:rPr>
        <w:t xml:space="preserve">. </w:t>
      </w:r>
      <w:r w:rsidRPr="00C95C1F">
        <w:rPr>
          <w:rFonts w:ascii="Century Gothic" w:hAnsi="Century Gothic"/>
        </w:rPr>
        <w:t xml:space="preserve">Motivated for teaching? Associations with school goal structure, teacher self-efficacy, job satisfaction and emotional exhaustion. </w:t>
      </w:r>
      <w:r w:rsidRPr="00C95C1F">
        <w:rPr>
          <w:rFonts w:ascii="Century Gothic" w:hAnsi="Century Gothic"/>
          <w:i/>
          <w:iCs/>
        </w:rPr>
        <w:t>Teaching and Teacher Education</w:t>
      </w:r>
      <w:r w:rsidRPr="00C95C1F">
        <w:rPr>
          <w:rFonts w:ascii="Century Gothic" w:hAnsi="Century Gothic"/>
        </w:rPr>
        <w:t>, 67, pp.152–160.</w:t>
      </w:r>
    </w:p>
    <w:p w14:paraId="3A6F5969" w14:textId="3192A486" w:rsidR="004A79E5" w:rsidRPr="00C95C1F" w:rsidRDefault="004A79E5" w:rsidP="000919A7">
      <w:pPr>
        <w:spacing w:line="360" w:lineRule="auto"/>
        <w:rPr>
          <w:rFonts w:ascii="Century Gothic" w:hAnsi="Century Gothic"/>
        </w:rPr>
      </w:pPr>
      <w:r w:rsidRPr="00C95C1F">
        <w:rPr>
          <w:rFonts w:ascii="Century Gothic" w:hAnsi="Century Gothic"/>
        </w:rPr>
        <w:t xml:space="preserve">Tight, M., </w:t>
      </w:r>
      <w:r w:rsidR="00481306" w:rsidRPr="00C95C1F">
        <w:rPr>
          <w:rFonts w:ascii="Century Gothic" w:hAnsi="Century Gothic"/>
        </w:rPr>
        <w:t>(</w:t>
      </w:r>
      <w:r w:rsidRPr="00C95C1F">
        <w:rPr>
          <w:rFonts w:ascii="Century Gothic" w:hAnsi="Century Gothic"/>
        </w:rPr>
        <w:t>2017</w:t>
      </w:r>
      <w:r w:rsidR="00481306" w:rsidRPr="00C95C1F">
        <w:rPr>
          <w:rFonts w:ascii="Century Gothic" w:hAnsi="Century Gothic"/>
        </w:rPr>
        <w:t>)</w:t>
      </w:r>
      <w:r w:rsidRPr="00C95C1F">
        <w:rPr>
          <w:rFonts w:ascii="Century Gothic" w:hAnsi="Century Gothic"/>
        </w:rPr>
        <w:t xml:space="preserve">. </w:t>
      </w:r>
      <w:r w:rsidRPr="00C95C1F">
        <w:rPr>
          <w:rFonts w:ascii="Century Gothic" w:hAnsi="Century Gothic"/>
          <w:i/>
          <w:iCs/>
        </w:rPr>
        <w:t>Understanding Case Study Research: Small-scale Research with Meaning</w:t>
      </w:r>
      <w:r w:rsidRPr="00C95C1F">
        <w:rPr>
          <w:rFonts w:ascii="Century Gothic" w:hAnsi="Century Gothic"/>
        </w:rPr>
        <w:t>. London: SAGE Publications.</w:t>
      </w:r>
    </w:p>
    <w:p w14:paraId="5CC5E2F7" w14:textId="65349364" w:rsidR="004A79E5" w:rsidRPr="00C95C1F" w:rsidRDefault="004A79E5" w:rsidP="000919A7">
      <w:pPr>
        <w:spacing w:line="360" w:lineRule="auto"/>
        <w:rPr>
          <w:rFonts w:ascii="Century Gothic" w:hAnsi="Century Gothic"/>
        </w:rPr>
      </w:pPr>
      <w:r w:rsidRPr="00C95C1F">
        <w:rPr>
          <w:rFonts w:ascii="Century Gothic" w:hAnsi="Century Gothic"/>
        </w:rPr>
        <w:t xml:space="preserve">Viac, C. and Fraser, P., </w:t>
      </w:r>
      <w:r w:rsidR="00481306" w:rsidRPr="00C95C1F">
        <w:rPr>
          <w:rFonts w:ascii="Century Gothic" w:hAnsi="Century Gothic"/>
        </w:rPr>
        <w:t>(</w:t>
      </w:r>
      <w:r w:rsidRPr="00C95C1F">
        <w:rPr>
          <w:rFonts w:ascii="Century Gothic" w:hAnsi="Century Gothic"/>
        </w:rPr>
        <w:t>2020</w:t>
      </w:r>
      <w:r w:rsidR="00481306" w:rsidRPr="00C95C1F">
        <w:rPr>
          <w:rFonts w:ascii="Century Gothic" w:hAnsi="Century Gothic"/>
        </w:rPr>
        <w:t>)</w:t>
      </w:r>
      <w:r w:rsidRPr="00C95C1F">
        <w:rPr>
          <w:rFonts w:ascii="Century Gothic" w:hAnsi="Century Gothic"/>
        </w:rPr>
        <w:t xml:space="preserve">. </w:t>
      </w:r>
      <w:r w:rsidRPr="00C95C1F">
        <w:rPr>
          <w:rFonts w:ascii="Century Gothic" w:hAnsi="Century Gothic"/>
          <w:i/>
          <w:iCs/>
        </w:rPr>
        <w:t>Teachers’ wellbeing: A framework for data collection and analysis</w:t>
      </w:r>
      <w:r w:rsidRPr="00C95C1F">
        <w:rPr>
          <w:rFonts w:ascii="Century Gothic" w:hAnsi="Century Gothic"/>
        </w:rPr>
        <w:t>. OECD Education Working Papers, No. 213. Paris: OECD Publishing. https://doi.org/10.1787/c36fc9d5-en</w:t>
      </w:r>
    </w:p>
    <w:p w14:paraId="2EA1050F" w14:textId="273C1067" w:rsidR="004A79E5" w:rsidRPr="00C95C1F" w:rsidRDefault="004A79E5" w:rsidP="00CE2337">
      <w:pPr>
        <w:spacing w:line="360" w:lineRule="auto"/>
        <w:rPr>
          <w:rFonts w:ascii="Century Gothic" w:hAnsi="Century Gothic"/>
        </w:rPr>
      </w:pPr>
      <w:r w:rsidRPr="00C95C1F">
        <w:rPr>
          <w:rFonts w:ascii="Century Gothic" w:hAnsi="Century Gothic"/>
        </w:rPr>
        <w:t xml:space="preserve">Waite, S., Rogers, S. and Evans, J., </w:t>
      </w:r>
      <w:r w:rsidR="00481306" w:rsidRPr="00C95C1F">
        <w:rPr>
          <w:rFonts w:ascii="Century Gothic" w:hAnsi="Century Gothic"/>
        </w:rPr>
        <w:t>(</w:t>
      </w:r>
      <w:r w:rsidRPr="00C95C1F">
        <w:rPr>
          <w:rFonts w:ascii="Century Gothic" w:hAnsi="Century Gothic"/>
        </w:rPr>
        <w:t>2016</w:t>
      </w:r>
      <w:r w:rsidR="00481306" w:rsidRPr="00C95C1F">
        <w:rPr>
          <w:rFonts w:ascii="Century Gothic" w:hAnsi="Century Gothic"/>
        </w:rPr>
        <w:t>)</w:t>
      </w:r>
      <w:r w:rsidRPr="00C95C1F">
        <w:rPr>
          <w:rFonts w:ascii="Century Gothic" w:hAnsi="Century Gothic"/>
        </w:rPr>
        <w:t xml:space="preserve">. Freedom, flow and fairness: Exploring how children develop socially at school through outdoor play. </w:t>
      </w:r>
      <w:r w:rsidRPr="00C95C1F">
        <w:rPr>
          <w:rFonts w:ascii="Century Gothic" w:hAnsi="Century Gothic"/>
          <w:i/>
          <w:iCs/>
        </w:rPr>
        <w:t>Journal of Adventure Education and Outdoor Learning</w:t>
      </w:r>
      <w:r w:rsidRPr="00C95C1F">
        <w:rPr>
          <w:rFonts w:ascii="Century Gothic" w:hAnsi="Century Gothic"/>
        </w:rPr>
        <w:t>, 16(1), pp.51–66.</w:t>
      </w:r>
      <w:r w:rsidR="00CE2337" w:rsidRPr="00C95C1F">
        <w:rPr>
          <w:rFonts w:ascii="Century Gothic" w:hAnsi="Century Gothic"/>
        </w:rPr>
        <w:t xml:space="preserve"> </w:t>
      </w:r>
    </w:p>
    <w:p w14:paraId="724BD66E" w14:textId="181BE013" w:rsidR="004A79E5" w:rsidRPr="00C95C1F" w:rsidRDefault="004A79E5" w:rsidP="000919A7">
      <w:pPr>
        <w:spacing w:line="360" w:lineRule="auto"/>
        <w:rPr>
          <w:rFonts w:ascii="Century Gothic" w:hAnsi="Century Gothic"/>
        </w:rPr>
      </w:pPr>
      <w:r w:rsidRPr="00C95C1F">
        <w:rPr>
          <w:rFonts w:ascii="Century Gothic" w:hAnsi="Century Gothic"/>
        </w:rPr>
        <w:t xml:space="preserve">Well-being of Future Generations (Wales) Act 2015. </w:t>
      </w:r>
      <w:r w:rsidR="00481306" w:rsidRPr="00C95C1F">
        <w:rPr>
          <w:rFonts w:ascii="Century Gothic" w:hAnsi="Century Gothic"/>
        </w:rPr>
        <w:t>(</w:t>
      </w:r>
      <w:r w:rsidRPr="00C95C1F">
        <w:rPr>
          <w:rFonts w:ascii="Century Gothic" w:hAnsi="Century Gothic"/>
        </w:rPr>
        <w:t>2015</w:t>
      </w:r>
      <w:r w:rsidR="00481306" w:rsidRPr="00C95C1F">
        <w:rPr>
          <w:rFonts w:ascii="Century Gothic" w:hAnsi="Century Gothic"/>
        </w:rPr>
        <w:t>)</w:t>
      </w:r>
      <w:r w:rsidRPr="00C95C1F">
        <w:rPr>
          <w:rFonts w:ascii="Century Gothic" w:hAnsi="Century Gothic"/>
        </w:rPr>
        <w:t xml:space="preserve">. </w:t>
      </w:r>
      <w:r w:rsidRPr="00C95C1F">
        <w:rPr>
          <w:rFonts w:ascii="Century Gothic" w:hAnsi="Century Gothic"/>
          <w:i/>
          <w:iCs/>
        </w:rPr>
        <w:t>An Act of the National Assembly for Wales</w:t>
      </w:r>
      <w:r w:rsidRPr="00C95C1F">
        <w:rPr>
          <w:rFonts w:ascii="Century Gothic" w:hAnsi="Century Gothic"/>
        </w:rPr>
        <w:t xml:space="preserve">. Cardiff: Welsh Government. Available at: https://www.futuregenerations.wales/about-us/future-generations-act/ [Accessed </w:t>
      </w:r>
      <w:r w:rsidR="00481306" w:rsidRPr="00C95C1F">
        <w:rPr>
          <w:rFonts w:ascii="Century Gothic" w:hAnsi="Century Gothic"/>
        </w:rPr>
        <w:t>17 March</w:t>
      </w:r>
      <w:r w:rsidRPr="00C95C1F">
        <w:rPr>
          <w:rFonts w:ascii="Century Gothic" w:hAnsi="Century Gothic"/>
        </w:rPr>
        <w:t xml:space="preserve"> 2025].</w:t>
      </w:r>
    </w:p>
    <w:p w14:paraId="626E2CD3" w14:textId="4F7946D5" w:rsidR="004A79E5" w:rsidRPr="00C95C1F" w:rsidRDefault="004A79E5" w:rsidP="000919A7">
      <w:pPr>
        <w:spacing w:line="360" w:lineRule="auto"/>
        <w:rPr>
          <w:rFonts w:ascii="Century Gothic" w:hAnsi="Century Gothic"/>
        </w:rPr>
      </w:pPr>
      <w:r w:rsidRPr="00C95C1F">
        <w:rPr>
          <w:rFonts w:ascii="Century Gothic" w:hAnsi="Century Gothic"/>
        </w:rPr>
        <w:t xml:space="preserve">Yin, R., </w:t>
      </w:r>
      <w:r w:rsidR="00481306" w:rsidRPr="00C95C1F">
        <w:rPr>
          <w:rFonts w:ascii="Century Gothic" w:hAnsi="Century Gothic"/>
        </w:rPr>
        <w:t>(</w:t>
      </w:r>
      <w:r w:rsidRPr="00C95C1F">
        <w:rPr>
          <w:rFonts w:ascii="Century Gothic" w:hAnsi="Century Gothic"/>
        </w:rPr>
        <w:t>2018</w:t>
      </w:r>
      <w:r w:rsidR="00481306" w:rsidRPr="00C95C1F">
        <w:rPr>
          <w:rFonts w:ascii="Century Gothic" w:hAnsi="Century Gothic"/>
        </w:rPr>
        <w:t>)</w:t>
      </w:r>
      <w:r w:rsidRPr="00C95C1F">
        <w:rPr>
          <w:rFonts w:ascii="Century Gothic" w:hAnsi="Century Gothic"/>
        </w:rPr>
        <w:t xml:space="preserve">. </w:t>
      </w:r>
      <w:r w:rsidRPr="00C95C1F">
        <w:rPr>
          <w:rFonts w:ascii="Century Gothic" w:hAnsi="Century Gothic"/>
          <w:i/>
          <w:iCs/>
        </w:rPr>
        <w:t>Case study research and applications: Design and methods</w:t>
      </w:r>
      <w:r w:rsidRPr="00C95C1F">
        <w:rPr>
          <w:rFonts w:ascii="Century Gothic" w:hAnsi="Century Gothic"/>
        </w:rPr>
        <w:t>. 6th ed. Los Angeles: SAGE Publications.</w:t>
      </w:r>
    </w:p>
    <w:p w14:paraId="7AED6D66" w14:textId="77777777" w:rsidR="004A79E5" w:rsidRPr="00C95C1F" w:rsidRDefault="004A79E5" w:rsidP="000919A7">
      <w:pPr>
        <w:spacing w:line="360" w:lineRule="auto"/>
        <w:rPr>
          <w:rFonts w:ascii="Century Gothic" w:hAnsi="Century Gothic"/>
        </w:rPr>
      </w:pPr>
    </w:p>
    <w:p w14:paraId="4232A37B" w14:textId="77777777" w:rsidR="00B22588" w:rsidRPr="00C95C1F" w:rsidRDefault="00B22588" w:rsidP="000919A7">
      <w:pPr>
        <w:spacing w:line="360" w:lineRule="auto"/>
        <w:rPr>
          <w:rFonts w:ascii="Century Gothic" w:hAnsi="Century Gothic"/>
        </w:rPr>
      </w:pPr>
    </w:p>
    <w:p w14:paraId="46E8FD61" w14:textId="77777777" w:rsidR="004A79E5" w:rsidRPr="00C95C1F" w:rsidRDefault="004A79E5" w:rsidP="000919A7">
      <w:pPr>
        <w:spacing w:line="360" w:lineRule="auto"/>
        <w:rPr>
          <w:rFonts w:ascii="Century Gothic" w:hAnsi="Century Gothic"/>
        </w:rPr>
      </w:pPr>
    </w:p>
    <w:sectPr w:rsidR="004A79E5" w:rsidRPr="00C95C1F" w:rsidSect="00C95C1F">
      <w:footerReference w:type="default" r:id="rId8"/>
      <w:pgSz w:w="11906" w:h="16838"/>
      <w:pgMar w:top="1440" w:right="566" w:bottom="1440" w:left="709"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9659B3" w14:textId="77777777" w:rsidR="00F4216E" w:rsidRDefault="00F4216E" w:rsidP="00A90C63">
      <w:pPr>
        <w:spacing w:after="0" w:line="240" w:lineRule="auto"/>
      </w:pPr>
      <w:r>
        <w:separator/>
      </w:r>
    </w:p>
  </w:endnote>
  <w:endnote w:type="continuationSeparator" w:id="0">
    <w:p w14:paraId="0DE42CBF" w14:textId="77777777" w:rsidR="00F4216E" w:rsidRDefault="00F4216E" w:rsidP="00A90C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entury Gothic">
    <w:panose1 w:val="020B0502020202020204"/>
    <w:charset w:val="00"/>
    <w:family w:val="swiss"/>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38213689"/>
      <w:docPartObj>
        <w:docPartGallery w:val="Page Numbers (Bottom of Page)"/>
        <w:docPartUnique/>
      </w:docPartObj>
    </w:sdtPr>
    <w:sdtContent>
      <w:p w14:paraId="3AEA0725" w14:textId="1CB790BC" w:rsidR="00C95C1F" w:rsidRDefault="00C95C1F">
        <w:pPr>
          <w:pStyle w:val="Footer"/>
          <w:jc w:val="right"/>
        </w:pPr>
        <w:r>
          <w:fldChar w:fldCharType="begin"/>
        </w:r>
        <w:r>
          <w:instrText>PAGE   \* MERGEFORMAT</w:instrText>
        </w:r>
        <w:r>
          <w:fldChar w:fldCharType="separate"/>
        </w:r>
        <w:r>
          <w:t>2</w:t>
        </w:r>
        <w:r>
          <w:fldChar w:fldCharType="end"/>
        </w:r>
      </w:p>
    </w:sdtContent>
  </w:sdt>
  <w:p w14:paraId="392EB2A8" w14:textId="77777777" w:rsidR="00C95C1F" w:rsidRDefault="00C95C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9B6BC5" w14:textId="77777777" w:rsidR="00F4216E" w:rsidRDefault="00F4216E" w:rsidP="00A90C63">
      <w:pPr>
        <w:spacing w:after="0" w:line="240" w:lineRule="auto"/>
      </w:pPr>
      <w:r>
        <w:separator/>
      </w:r>
    </w:p>
  </w:footnote>
  <w:footnote w:type="continuationSeparator" w:id="0">
    <w:p w14:paraId="4A1413CA" w14:textId="77777777" w:rsidR="00F4216E" w:rsidRDefault="00F4216E" w:rsidP="00A90C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990FD9"/>
    <w:multiLevelType w:val="hybridMultilevel"/>
    <w:tmpl w:val="97B6AAB0"/>
    <w:lvl w:ilvl="0" w:tplc="F2E864FC">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094564"/>
    <w:multiLevelType w:val="multilevel"/>
    <w:tmpl w:val="BB540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64325667">
    <w:abstractNumId w:val="1"/>
  </w:num>
  <w:num w:numId="2" w16cid:durableId="4923796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4E33"/>
    <w:rsid w:val="00011C30"/>
    <w:rsid w:val="00040EDC"/>
    <w:rsid w:val="00071D9E"/>
    <w:rsid w:val="0007748C"/>
    <w:rsid w:val="000919A7"/>
    <w:rsid w:val="00097F4D"/>
    <w:rsid w:val="000A47E0"/>
    <w:rsid w:val="000B6D73"/>
    <w:rsid w:val="000E3A78"/>
    <w:rsid w:val="001036E4"/>
    <w:rsid w:val="00113EFC"/>
    <w:rsid w:val="001856FE"/>
    <w:rsid w:val="00187FF8"/>
    <w:rsid w:val="001B0DEA"/>
    <w:rsid w:val="001B5BB1"/>
    <w:rsid w:val="001C08E8"/>
    <w:rsid w:val="001C3EBC"/>
    <w:rsid w:val="001D40B5"/>
    <w:rsid w:val="001E1A63"/>
    <w:rsid w:val="00202EA1"/>
    <w:rsid w:val="0020492E"/>
    <w:rsid w:val="002167CE"/>
    <w:rsid w:val="00223119"/>
    <w:rsid w:val="0024325F"/>
    <w:rsid w:val="00256498"/>
    <w:rsid w:val="002571B8"/>
    <w:rsid w:val="002A7C8E"/>
    <w:rsid w:val="0030470C"/>
    <w:rsid w:val="00334E46"/>
    <w:rsid w:val="00362C01"/>
    <w:rsid w:val="00385D87"/>
    <w:rsid w:val="0046544B"/>
    <w:rsid w:val="00481306"/>
    <w:rsid w:val="00485D4B"/>
    <w:rsid w:val="004A4B37"/>
    <w:rsid w:val="004A79E5"/>
    <w:rsid w:val="004C122F"/>
    <w:rsid w:val="004E590C"/>
    <w:rsid w:val="00500599"/>
    <w:rsid w:val="005045B4"/>
    <w:rsid w:val="005052CD"/>
    <w:rsid w:val="00512B8E"/>
    <w:rsid w:val="00554B1B"/>
    <w:rsid w:val="00562233"/>
    <w:rsid w:val="00572FEA"/>
    <w:rsid w:val="005918C0"/>
    <w:rsid w:val="00594E33"/>
    <w:rsid w:val="0059523F"/>
    <w:rsid w:val="005F0F0B"/>
    <w:rsid w:val="005F7342"/>
    <w:rsid w:val="00604925"/>
    <w:rsid w:val="0062078B"/>
    <w:rsid w:val="00661F4E"/>
    <w:rsid w:val="0067354D"/>
    <w:rsid w:val="006746FD"/>
    <w:rsid w:val="006A7B66"/>
    <w:rsid w:val="006B33AA"/>
    <w:rsid w:val="006B69CF"/>
    <w:rsid w:val="006B7503"/>
    <w:rsid w:val="00751E07"/>
    <w:rsid w:val="007610F9"/>
    <w:rsid w:val="00774013"/>
    <w:rsid w:val="007756EC"/>
    <w:rsid w:val="00776EB1"/>
    <w:rsid w:val="00790441"/>
    <w:rsid w:val="007A525A"/>
    <w:rsid w:val="007B1628"/>
    <w:rsid w:val="007B16A9"/>
    <w:rsid w:val="00810A04"/>
    <w:rsid w:val="00832BCF"/>
    <w:rsid w:val="008470ED"/>
    <w:rsid w:val="00847A78"/>
    <w:rsid w:val="00863505"/>
    <w:rsid w:val="0089376D"/>
    <w:rsid w:val="008C1C7D"/>
    <w:rsid w:val="008D4668"/>
    <w:rsid w:val="008E3D05"/>
    <w:rsid w:val="008E7625"/>
    <w:rsid w:val="00937807"/>
    <w:rsid w:val="009539A9"/>
    <w:rsid w:val="00973669"/>
    <w:rsid w:val="00980C41"/>
    <w:rsid w:val="00980EED"/>
    <w:rsid w:val="00991983"/>
    <w:rsid w:val="0099791E"/>
    <w:rsid w:val="009A2A68"/>
    <w:rsid w:val="00A005A1"/>
    <w:rsid w:val="00A15239"/>
    <w:rsid w:val="00A55DA2"/>
    <w:rsid w:val="00A811D6"/>
    <w:rsid w:val="00A90C63"/>
    <w:rsid w:val="00AA69F5"/>
    <w:rsid w:val="00AC670B"/>
    <w:rsid w:val="00B12FC3"/>
    <w:rsid w:val="00B22588"/>
    <w:rsid w:val="00B65685"/>
    <w:rsid w:val="00B710D3"/>
    <w:rsid w:val="00B721DE"/>
    <w:rsid w:val="00B86C64"/>
    <w:rsid w:val="00BB0EA4"/>
    <w:rsid w:val="00BC1DEB"/>
    <w:rsid w:val="00BC6454"/>
    <w:rsid w:val="00C239FB"/>
    <w:rsid w:val="00C27D37"/>
    <w:rsid w:val="00C409CA"/>
    <w:rsid w:val="00C52375"/>
    <w:rsid w:val="00C53B4E"/>
    <w:rsid w:val="00C62468"/>
    <w:rsid w:val="00C95C1F"/>
    <w:rsid w:val="00CA1B69"/>
    <w:rsid w:val="00CC28B9"/>
    <w:rsid w:val="00CD7325"/>
    <w:rsid w:val="00CD7389"/>
    <w:rsid w:val="00CE2337"/>
    <w:rsid w:val="00CF33AD"/>
    <w:rsid w:val="00D238C5"/>
    <w:rsid w:val="00D6707F"/>
    <w:rsid w:val="00D74C91"/>
    <w:rsid w:val="00E157D4"/>
    <w:rsid w:val="00E70CA2"/>
    <w:rsid w:val="00EC5487"/>
    <w:rsid w:val="00F05E52"/>
    <w:rsid w:val="00F06670"/>
    <w:rsid w:val="00F4216E"/>
    <w:rsid w:val="00F61A5F"/>
    <w:rsid w:val="00F75096"/>
    <w:rsid w:val="00FC06F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A3DA70"/>
  <w15:chartTrackingRefBased/>
  <w15:docId w15:val="{4B5D0D88-0EC9-4874-8413-07B5215D06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4E3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94E3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4E3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4E3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4E3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4E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4E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4E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4E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4E3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94E3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4E3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4E3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4E3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4E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4E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4E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4E33"/>
    <w:rPr>
      <w:rFonts w:eastAsiaTheme="majorEastAsia" w:cstheme="majorBidi"/>
      <w:color w:val="272727" w:themeColor="text1" w:themeTint="D8"/>
    </w:rPr>
  </w:style>
  <w:style w:type="paragraph" w:styleId="Title">
    <w:name w:val="Title"/>
    <w:basedOn w:val="Normal"/>
    <w:next w:val="Normal"/>
    <w:link w:val="TitleChar"/>
    <w:uiPriority w:val="10"/>
    <w:qFormat/>
    <w:rsid w:val="00594E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4E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4E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4E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4E33"/>
    <w:pPr>
      <w:spacing w:before="160"/>
      <w:jc w:val="center"/>
    </w:pPr>
    <w:rPr>
      <w:i/>
      <w:iCs/>
      <w:color w:val="404040" w:themeColor="text1" w:themeTint="BF"/>
    </w:rPr>
  </w:style>
  <w:style w:type="character" w:customStyle="1" w:styleId="QuoteChar">
    <w:name w:val="Quote Char"/>
    <w:basedOn w:val="DefaultParagraphFont"/>
    <w:link w:val="Quote"/>
    <w:uiPriority w:val="29"/>
    <w:rsid w:val="00594E33"/>
    <w:rPr>
      <w:i/>
      <w:iCs/>
      <w:color w:val="404040" w:themeColor="text1" w:themeTint="BF"/>
    </w:rPr>
  </w:style>
  <w:style w:type="paragraph" w:styleId="ListParagraph">
    <w:name w:val="List Paragraph"/>
    <w:basedOn w:val="Normal"/>
    <w:uiPriority w:val="34"/>
    <w:qFormat/>
    <w:rsid w:val="00594E33"/>
    <w:pPr>
      <w:ind w:left="720"/>
      <w:contextualSpacing/>
    </w:pPr>
  </w:style>
  <w:style w:type="character" w:styleId="IntenseEmphasis">
    <w:name w:val="Intense Emphasis"/>
    <w:basedOn w:val="DefaultParagraphFont"/>
    <w:uiPriority w:val="21"/>
    <w:qFormat/>
    <w:rsid w:val="00594E33"/>
    <w:rPr>
      <w:i/>
      <w:iCs/>
      <w:color w:val="0F4761" w:themeColor="accent1" w:themeShade="BF"/>
    </w:rPr>
  </w:style>
  <w:style w:type="paragraph" w:styleId="IntenseQuote">
    <w:name w:val="Intense Quote"/>
    <w:basedOn w:val="Normal"/>
    <w:next w:val="Normal"/>
    <w:link w:val="IntenseQuoteChar"/>
    <w:uiPriority w:val="30"/>
    <w:qFormat/>
    <w:rsid w:val="00594E3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4E33"/>
    <w:rPr>
      <w:i/>
      <w:iCs/>
      <w:color w:val="0F4761" w:themeColor="accent1" w:themeShade="BF"/>
    </w:rPr>
  </w:style>
  <w:style w:type="character" w:styleId="IntenseReference">
    <w:name w:val="Intense Reference"/>
    <w:basedOn w:val="DefaultParagraphFont"/>
    <w:uiPriority w:val="32"/>
    <w:qFormat/>
    <w:rsid w:val="00594E33"/>
    <w:rPr>
      <w:b/>
      <w:bCs/>
      <w:smallCaps/>
      <w:color w:val="0F4761" w:themeColor="accent1" w:themeShade="BF"/>
      <w:spacing w:val="5"/>
    </w:rPr>
  </w:style>
  <w:style w:type="character" w:styleId="Hyperlink">
    <w:name w:val="Hyperlink"/>
    <w:basedOn w:val="DefaultParagraphFont"/>
    <w:uiPriority w:val="99"/>
    <w:unhideWhenUsed/>
    <w:rsid w:val="004A79E5"/>
    <w:rPr>
      <w:color w:val="467886" w:themeColor="hyperlink"/>
      <w:u w:val="single"/>
    </w:rPr>
  </w:style>
  <w:style w:type="character" w:styleId="UnresolvedMention">
    <w:name w:val="Unresolved Mention"/>
    <w:basedOn w:val="DefaultParagraphFont"/>
    <w:uiPriority w:val="99"/>
    <w:semiHidden/>
    <w:unhideWhenUsed/>
    <w:rsid w:val="004A79E5"/>
    <w:rPr>
      <w:color w:val="605E5C"/>
      <w:shd w:val="clear" w:color="auto" w:fill="E1DFDD"/>
    </w:rPr>
  </w:style>
  <w:style w:type="paragraph" w:styleId="Header">
    <w:name w:val="header"/>
    <w:basedOn w:val="Normal"/>
    <w:link w:val="HeaderChar"/>
    <w:uiPriority w:val="99"/>
    <w:unhideWhenUsed/>
    <w:rsid w:val="00A90C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0C63"/>
  </w:style>
  <w:style w:type="paragraph" w:styleId="Footer">
    <w:name w:val="footer"/>
    <w:basedOn w:val="Normal"/>
    <w:link w:val="FooterChar"/>
    <w:uiPriority w:val="99"/>
    <w:unhideWhenUsed/>
    <w:rsid w:val="00A90C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0C63"/>
  </w:style>
  <w:style w:type="paragraph" w:styleId="NormalWeb">
    <w:name w:val="Normal (Web)"/>
    <w:basedOn w:val="Normal"/>
    <w:uiPriority w:val="99"/>
    <w:semiHidden/>
    <w:unhideWhenUsed/>
    <w:rsid w:val="00CD7389"/>
    <w:rPr>
      <w:rFonts w:ascii="Times New Roman" w:hAnsi="Times New Roman" w:cs="Times New Roman"/>
    </w:rPr>
  </w:style>
  <w:style w:type="character" w:styleId="FollowedHyperlink">
    <w:name w:val="FollowedHyperlink"/>
    <w:basedOn w:val="DefaultParagraphFont"/>
    <w:uiPriority w:val="99"/>
    <w:semiHidden/>
    <w:unhideWhenUsed/>
    <w:rsid w:val="005045B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91977">
      <w:bodyDiv w:val="1"/>
      <w:marLeft w:val="0"/>
      <w:marRight w:val="0"/>
      <w:marTop w:val="0"/>
      <w:marBottom w:val="0"/>
      <w:divBdr>
        <w:top w:val="none" w:sz="0" w:space="0" w:color="auto"/>
        <w:left w:val="none" w:sz="0" w:space="0" w:color="auto"/>
        <w:bottom w:val="none" w:sz="0" w:space="0" w:color="auto"/>
        <w:right w:val="none" w:sz="0" w:space="0" w:color="auto"/>
      </w:divBdr>
    </w:div>
    <w:div w:id="55902554">
      <w:bodyDiv w:val="1"/>
      <w:marLeft w:val="0"/>
      <w:marRight w:val="0"/>
      <w:marTop w:val="0"/>
      <w:marBottom w:val="0"/>
      <w:divBdr>
        <w:top w:val="none" w:sz="0" w:space="0" w:color="auto"/>
        <w:left w:val="none" w:sz="0" w:space="0" w:color="auto"/>
        <w:bottom w:val="none" w:sz="0" w:space="0" w:color="auto"/>
        <w:right w:val="none" w:sz="0" w:space="0" w:color="auto"/>
      </w:divBdr>
    </w:div>
    <w:div w:id="60713601">
      <w:bodyDiv w:val="1"/>
      <w:marLeft w:val="0"/>
      <w:marRight w:val="0"/>
      <w:marTop w:val="0"/>
      <w:marBottom w:val="0"/>
      <w:divBdr>
        <w:top w:val="none" w:sz="0" w:space="0" w:color="auto"/>
        <w:left w:val="none" w:sz="0" w:space="0" w:color="auto"/>
        <w:bottom w:val="none" w:sz="0" w:space="0" w:color="auto"/>
        <w:right w:val="none" w:sz="0" w:space="0" w:color="auto"/>
      </w:divBdr>
    </w:div>
    <w:div w:id="84693550">
      <w:bodyDiv w:val="1"/>
      <w:marLeft w:val="0"/>
      <w:marRight w:val="0"/>
      <w:marTop w:val="0"/>
      <w:marBottom w:val="0"/>
      <w:divBdr>
        <w:top w:val="none" w:sz="0" w:space="0" w:color="auto"/>
        <w:left w:val="none" w:sz="0" w:space="0" w:color="auto"/>
        <w:bottom w:val="none" w:sz="0" w:space="0" w:color="auto"/>
        <w:right w:val="none" w:sz="0" w:space="0" w:color="auto"/>
      </w:divBdr>
    </w:div>
    <w:div w:id="88235578">
      <w:bodyDiv w:val="1"/>
      <w:marLeft w:val="0"/>
      <w:marRight w:val="0"/>
      <w:marTop w:val="0"/>
      <w:marBottom w:val="0"/>
      <w:divBdr>
        <w:top w:val="none" w:sz="0" w:space="0" w:color="auto"/>
        <w:left w:val="none" w:sz="0" w:space="0" w:color="auto"/>
        <w:bottom w:val="none" w:sz="0" w:space="0" w:color="auto"/>
        <w:right w:val="none" w:sz="0" w:space="0" w:color="auto"/>
      </w:divBdr>
    </w:div>
    <w:div w:id="201287674">
      <w:bodyDiv w:val="1"/>
      <w:marLeft w:val="0"/>
      <w:marRight w:val="0"/>
      <w:marTop w:val="0"/>
      <w:marBottom w:val="0"/>
      <w:divBdr>
        <w:top w:val="none" w:sz="0" w:space="0" w:color="auto"/>
        <w:left w:val="none" w:sz="0" w:space="0" w:color="auto"/>
        <w:bottom w:val="none" w:sz="0" w:space="0" w:color="auto"/>
        <w:right w:val="none" w:sz="0" w:space="0" w:color="auto"/>
      </w:divBdr>
      <w:divsChild>
        <w:div w:id="1567303950">
          <w:marLeft w:val="1200"/>
          <w:marRight w:val="0"/>
          <w:marTop w:val="240"/>
          <w:marBottom w:val="240"/>
          <w:divBdr>
            <w:top w:val="none" w:sz="0" w:space="0" w:color="auto"/>
            <w:left w:val="none" w:sz="0" w:space="0" w:color="auto"/>
            <w:bottom w:val="none" w:sz="0" w:space="0" w:color="auto"/>
            <w:right w:val="none" w:sz="0" w:space="0" w:color="auto"/>
          </w:divBdr>
        </w:div>
      </w:divsChild>
    </w:div>
    <w:div w:id="297613460">
      <w:bodyDiv w:val="1"/>
      <w:marLeft w:val="0"/>
      <w:marRight w:val="0"/>
      <w:marTop w:val="0"/>
      <w:marBottom w:val="0"/>
      <w:divBdr>
        <w:top w:val="none" w:sz="0" w:space="0" w:color="auto"/>
        <w:left w:val="none" w:sz="0" w:space="0" w:color="auto"/>
        <w:bottom w:val="none" w:sz="0" w:space="0" w:color="auto"/>
        <w:right w:val="none" w:sz="0" w:space="0" w:color="auto"/>
      </w:divBdr>
    </w:div>
    <w:div w:id="300765669">
      <w:bodyDiv w:val="1"/>
      <w:marLeft w:val="0"/>
      <w:marRight w:val="0"/>
      <w:marTop w:val="0"/>
      <w:marBottom w:val="0"/>
      <w:divBdr>
        <w:top w:val="none" w:sz="0" w:space="0" w:color="auto"/>
        <w:left w:val="none" w:sz="0" w:space="0" w:color="auto"/>
        <w:bottom w:val="none" w:sz="0" w:space="0" w:color="auto"/>
        <w:right w:val="none" w:sz="0" w:space="0" w:color="auto"/>
      </w:divBdr>
    </w:div>
    <w:div w:id="318576686">
      <w:bodyDiv w:val="1"/>
      <w:marLeft w:val="0"/>
      <w:marRight w:val="0"/>
      <w:marTop w:val="0"/>
      <w:marBottom w:val="0"/>
      <w:divBdr>
        <w:top w:val="none" w:sz="0" w:space="0" w:color="auto"/>
        <w:left w:val="none" w:sz="0" w:space="0" w:color="auto"/>
        <w:bottom w:val="none" w:sz="0" w:space="0" w:color="auto"/>
        <w:right w:val="none" w:sz="0" w:space="0" w:color="auto"/>
      </w:divBdr>
    </w:div>
    <w:div w:id="345863842">
      <w:bodyDiv w:val="1"/>
      <w:marLeft w:val="0"/>
      <w:marRight w:val="0"/>
      <w:marTop w:val="0"/>
      <w:marBottom w:val="0"/>
      <w:divBdr>
        <w:top w:val="none" w:sz="0" w:space="0" w:color="auto"/>
        <w:left w:val="none" w:sz="0" w:space="0" w:color="auto"/>
        <w:bottom w:val="none" w:sz="0" w:space="0" w:color="auto"/>
        <w:right w:val="none" w:sz="0" w:space="0" w:color="auto"/>
      </w:divBdr>
    </w:div>
    <w:div w:id="354312803">
      <w:bodyDiv w:val="1"/>
      <w:marLeft w:val="0"/>
      <w:marRight w:val="0"/>
      <w:marTop w:val="0"/>
      <w:marBottom w:val="0"/>
      <w:divBdr>
        <w:top w:val="none" w:sz="0" w:space="0" w:color="auto"/>
        <w:left w:val="none" w:sz="0" w:space="0" w:color="auto"/>
        <w:bottom w:val="none" w:sz="0" w:space="0" w:color="auto"/>
        <w:right w:val="none" w:sz="0" w:space="0" w:color="auto"/>
      </w:divBdr>
    </w:div>
    <w:div w:id="394939256">
      <w:bodyDiv w:val="1"/>
      <w:marLeft w:val="0"/>
      <w:marRight w:val="0"/>
      <w:marTop w:val="0"/>
      <w:marBottom w:val="0"/>
      <w:divBdr>
        <w:top w:val="none" w:sz="0" w:space="0" w:color="auto"/>
        <w:left w:val="none" w:sz="0" w:space="0" w:color="auto"/>
        <w:bottom w:val="none" w:sz="0" w:space="0" w:color="auto"/>
        <w:right w:val="none" w:sz="0" w:space="0" w:color="auto"/>
      </w:divBdr>
    </w:div>
    <w:div w:id="423495027">
      <w:bodyDiv w:val="1"/>
      <w:marLeft w:val="0"/>
      <w:marRight w:val="0"/>
      <w:marTop w:val="0"/>
      <w:marBottom w:val="0"/>
      <w:divBdr>
        <w:top w:val="none" w:sz="0" w:space="0" w:color="auto"/>
        <w:left w:val="none" w:sz="0" w:space="0" w:color="auto"/>
        <w:bottom w:val="none" w:sz="0" w:space="0" w:color="auto"/>
        <w:right w:val="none" w:sz="0" w:space="0" w:color="auto"/>
      </w:divBdr>
    </w:div>
    <w:div w:id="490876695">
      <w:bodyDiv w:val="1"/>
      <w:marLeft w:val="0"/>
      <w:marRight w:val="0"/>
      <w:marTop w:val="0"/>
      <w:marBottom w:val="0"/>
      <w:divBdr>
        <w:top w:val="none" w:sz="0" w:space="0" w:color="auto"/>
        <w:left w:val="none" w:sz="0" w:space="0" w:color="auto"/>
        <w:bottom w:val="none" w:sz="0" w:space="0" w:color="auto"/>
        <w:right w:val="none" w:sz="0" w:space="0" w:color="auto"/>
      </w:divBdr>
      <w:divsChild>
        <w:div w:id="741756851">
          <w:marLeft w:val="1200"/>
          <w:marRight w:val="0"/>
          <w:marTop w:val="240"/>
          <w:marBottom w:val="240"/>
          <w:divBdr>
            <w:top w:val="none" w:sz="0" w:space="0" w:color="auto"/>
            <w:left w:val="none" w:sz="0" w:space="0" w:color="auto"/>
            <w:bottom w:val="none" w:sz="0" w:space="0" w:color="auto"/>
            <w:right w:val="none" w:sz="0" w:space="0" w:color="auto"/>
          </w:divBdr>
        </w:div>
      </w:divsChild>
    </w:div>
    <w:div w:id="522984364">
      <w:bodyDiv w:val="1"/>
      <w:marLeft w:val="0"/>
      <w:marRight w:val="0"/>
      <w:marTop w:val="0"/>
      <w:marBottom w:val="0"/>
      <w:divBdr>
        <w:top w:val="none" w:sz="0" w:space="0" w:color="auto"/>
        <w:left w:val="none" w:sz="0" w:space="0" w:color="auto"/>
        <w:bottom w:val="none" w:sz="0" w:space="0" w:color="auto"/>
        <w:right w:val="none" w:sz="0" w:space="0" w:color="auto"/>
      </w:divBdr>
    </w:div>
    <w:div w:id="640813801">
      <w:bodyDiv w:val="1"/>
      <w:marLeft w:val="0"/>
      <w:marRight w:val="0"/>
      <w:marTop w:val="0"/>
      <w:marBottom w:val="0"/>
      <w:divBdr>
        <w:top w:val="none" w:sz="0" w:space="0" w:color="auto"/>
        <w:left w:val="none" w:sz="0" w:space="0" w:color="auto"/>
        <w:bottom w:val="none" w:sz="0" w:space="0" w:color="auto"/>
        <w:right w:val="none" w:sz="0" w:space="0" w:color="auto"/>
      </w:divBdr>
      <w:divsChild>
        <w:div w:id="422723027">
          <w:blockQuote w:val="1"/>
          <w:marLeft w:val="720"/>
          <w:marRight w:val="720"/>
          <w:marTop w:val="100"/>
          <w:marBottom w:val="100"/>
          <w:divBdr>
            <w:top w:val="none" w:sz="0" w:space="0" w:color="auto"/>
            <w:left w:val="none" w:sz="0" w:space="0" w:color="auto"/>
            <w:bottom w:val="none" w:sz="0" w:space="0" w:color="auto"/>
            <w:right w:val="none" w:sz="0" w:space="0" w:color="auto"/>
          </w:divBdr>
        </w:div>
        <w:div w:id="175061140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45356771">
      <w:bodyDiv w:val="1"/>
      <w:marLeft w:val="0"/>
      <w:marRight w:val="0"/>
      <w:marTop w:val="0"/>
      <w:marBottom w:val="0"/>
      <w:divBdr>
        <w:top w:val="none" w:sz="0" w:space="0" w:color="auto"/>
        <w:left w:val="none" w:sz="0" w:space="0" w:color="auto"/>
        <w:bottom w:val="none" w:sz="0" w:space="0" w:color="auto"/>
        <w:right w:val="none" w:sz="0" w:space="0" w:color="auto"/>
      </w:divBdr>
    </w:div>
    <w:div w:id="669797309">
      <w:bodyDiv w:val="1"/>
      <w:marLeft w:val="0"/>
      <w:marRight w:val="0"/>
      <w:marTop w:val="0"/>
      <w:marBottom w:val="0"/>
      <w:divBdr>
        <w:top w:val="none" w:sz="0" w:space="0" w:color="auto"/>
        <w:left w:val="none" w:sz="0" w:space="0" w:color="auto"/>
        <w:bottom w:val="none" w:sz="0" w:space="0" w:color="auto"/>
        <w:right w:val="none" w:sz="0" w:space="0" w:color="auto"/>
      </w:divBdr>
    </w:div>
    <w:div w:id="722095969">
      <w:bodyDiv w:val="1"/>
      <w:marLeft w:val="0"/>
      <w:marRight w:val="0"/>
      <w:marTop w:val="0"/>
      <w:marBottom w:val="0"/>
      <w:divBdr>
        <w:top w:val="none" w:sz="0" w:space="0" w:color="auto"/>
        <w:left w:val="none" w:sz="0" w:space="0" w:color="auto"/>
        <w:bottom w:val="none" w:sz="0" w:space="0" w:color="auto"/>
        <w:right w:val="none" w:sz="0" w:space="0" w:color="auto"/>
      </w:divBdr>
    </w:div>
    <w:div w:id="760682335">
      <w:bodyDiv w:val="1"/>
      <w:marLeft w:val="0"/>
      <w:marRight w:val="0"/>
      <w:marTop w:val="0"/>
      <w:marBottom w:val="0"/>
      <w:divBdr>
        <w:top w:val="none" w:sz="0" w:space="0" w:color="auto"/>
        <w:left w:val="none" w:sz="0" w:space="0" w:color="auto"/>
        <w:bottom w:val="none" w:sz="0" w:space="0" w:color="auto"/>
        <w:right w:val="none" w:sz="0" w:space="0" w:color="auto"/>
      </w:divBdr>
    </w:div>
    <w:div w:id="773019158">
      <w:bodyDiv w:val="1"/>
      <w:marLeft w:val="0"/>
      <w:marRight w:val="0"/>
      <w:marTop w:val="0"/>
      <w:marBottom w:val="0"/>
      <w:divBdr>
        <w:top w:val="none" w:sz="0" w:space="0" w:color="auto"/>
        <w:left w:val="none" w:sz="0" w:space="0" w:color="auto"/>
        <w:bottom w:val="none" w:sz="0" w:space="0" w:color="auto"/>
        <w:right w:val="none" w:sz="0" w:space="0" w:color="auto"/>
      </w:divBdr>
    </w:div>
    <w:div w:id="810169188">
      <w:bodyDiv w:val="1"/>
      <w:marLeft w:val="0"/>
      <w:marRight w:val="0"/>
      <w:marTop w:val="0"/>
      <w:marBottom w:val="0"/>
      <w:divBdr>
        <w:top w:val="none" w:sz="0" w:space="0" w:color="auto"/>
        <w:left w:val="none" w:sz="0" w:space="0" w:color="auto"/>
        <w:bottom w:val="none" w:sz="0" w:space="0" w:color="auto"/>
        <w:right w:val="none" w:sz="0" w:space="0" w:color="auto"/>
      </w:divBdr>
    </w:div>
    <w:div w:id="817767268">
      <w:bodyDiv w:val="1"/>
      <w:marLeft w:val="0"/>
      <w:marRight w:val="0"/>
      <w:marTop w:val="0"/>
      <w:marBottom w:val="0"/>
      <w:divBdr>
        <w:top w:val="none" w:sz="0" w:space="0" w:color="auto"/>
        <w:left w:val="none" w:sz="0" w:space="0" w:color="auto"/>
        <w:bottom w:val="none" w:sz="0" w:space="0" w:color="auto"/>
        <w:right w:val="none" w:sz="0" w:space="0" w:color="auto"/>
      </w:divBdr>
    </w:div>
    <w:div w:id="833686913">
      <w:bodyDiv w:val="1"/>
      <w:marLeft w:val="0"/>
      <w:marRight w:val="0"/>
      <w:marTop w:val="0"/>
      <w:marBottom w:val="0"/>
      <w:divBdr>
        <w:top w:val="none" w:sz="0" w:space="0" w:color="auto"/>
        <w:left w:val="none" w:sz="0" w:space="0" w:color="auto"/>
        <w:bottom w:val="none" w:sz="0" w:space="0" w:color="auto"/>
        <w:right w:val="none" w:sz="0" w:space="0" w:color="auto"/>
      </w:divBdr>
    </w:div>
    <w:div w:id="1015963628">
      <w:bodyDiv w:val="1"/>
      <w:marLeft w:val="0"/>
      <w:marRight w:val="0"/>
      <w:marTop w:val="0"/>
      <w:marBottom w:val="0"/>
      <w:divBdr>
        <w:top w:val="none" w:sz="0" w:space="0" w:color="auto"/>
        <w:left w:val="none" w:sz="0" w:space="0" w:color="auto"/>
        <w:bottom w:val="none" w:sz="0" w:space="0" w:color="auto"/>
        <w:right w:val="none" w:sz="0" w:space="0" w:color="auto"/>
      </w:divBdr>
    </w:div>
    <w:div w:id="1026519383">
      <w:bodyDiv w:val="1"/>
      <w:marLeft w:val="0"/>
      <w:marRight w:val="0"/>
      <w:marTop w:val="0"/>
      <w:marBottom w:val="0"/>
      <w:divBdr>
        <w:top w:val="none" w:sz="0" w:space="0" w:color="auto"/>
        <w:left w:val="none" w:sz="0" w:space="0" w:color="auto"/>
        <w:bottom w:val="none" w:sz="0" w:space="0" w:color="auto"/>
        <w:right w:val="none" w:sz="0" w:space="0" w:color="auto"/>
      </w:divBdr>
    </w:div>
    <w:div w:id="1158497471">
      <w:bodyDiv w:val="1"/>
      <w:marLeft w:val="0"/>
      <w:marRight w:val="0"/>
      <w:marTop w:val="0"/>
      <w:marBottom w:val="0"/>
      <w:divBdr>
        <w:top w:val="none" w:sz="0" w:space="0" w:color="auto"/>
        <w:left w:val="none" w:sz="0" w:space="0" w:color="auto"/>
        <w:bottom w:val="none" w:sz="0" w:space="0" w:color="auto"/>
        <w:right w:val="none" w:sz="0" w:space="0" w:color="auto"/>
      </w:divBdr>
    </w:div>
    <w:div w:id="1166748364">
      <w:bodyDiv w:val="1"/>
      <w:marLeft w:val="0"/>
      <w:marRight w:val="0"/>
      <w:marTop w:val="0"/>
      <w:marBottom w:val="0"/>
      <w:divBdr>
        <w:top w:val="none" w:sz="0" w:space="0" w:color="auto"/>
        <w:left w:val="none" w:sz="0" w:space="0" w:color="auto"/>
        <w:bottom w:val="none" w:sz="0" w:space="0" w:color="auto"/>
        <w:right w:val="none" w:sz="0" w:space="0" w:color="auto"/>
      </w:divBdr>
    </w:div>
    <w:div w:id="1181700801">
      <w:bodyDiv w:val="1"/>
      <w:marLeft w:val="0"/>
      <w:marRight w:val="0"/>
      <w:marTop w:val="0"/>
      <w:marBottom w:val="0"/>
      <w:divBdr>
        <w:top w:val="none" w:sz="0" w:space="0" w:color="auto"/>
        <w:left w:val="none" w:sz="0" w:space="0" w:color="auto"/>
        <w:bottom w:val="none" w:sz="0" w:space="0" w:color="auto"/>
        <w:right w:val="none" w:sz="0" w:space="0" w:color="auto"/>
      </w:divBdr>
    </w:div>
    <w:div w:id="1184787911">
      <w:bodyDiv w:val="1"/>
      <w:marLeft w:val="0"/>
      <w:marRight w:val="0"/>
      <w:marTop w:val="0"/>
      <w:marBottom w:val="0"/>
      <w:divBdr>
        <w:top w:val="none" w:sz="0" w:space="0" w:color="auto"/>
        <w:left w:val="none" w:sz="0" w:space="0" w:color="auto"/>
        <w:bottom w:val="none" w:sz="0" w:space="0" w:color="auto"/>
        <w:right w:val="none" w:sz="0" w:space="0" w:color="auto"/>
      </w:divBdr>
    </w:div>
    <w:div w:id="1192650150">
      <w:bodyDiv w:val="1"/>
      <w:marLeft w:val="0"/>
      <w:marRight w:val="0"/>
      <w:marTop w:val="0"/>
      <w:marBottom w:val="0"/>
      <w:divBdr>
        <w:top w:val="none" w:sz="0" w:space="0" w:color="auto"/>
        <w:left w:val="none" w:sz="0" w:space="0" w:color="auto"/>
        <w:bottom w:val="none" w:sz="0" w:space="0" w:color="auto"/>
        <w:right w:val="none" w:sz="0" w:space="0" w:color="auto"/>
      </w:divBdr>
    </w:div>
    <w:div w:id="1208294306">
      <w:bodyDiv w:val="1"/>
      <w:marLeft w:val="0"/>
      <w:marRight w:val="0"/>
      <w:marTop w:val="0"/>
      <w:marBottom w:val="0"/>
      <w:divBdr>
        <w:top w:val="none" w:sz="0" w:space="0" w:color="auto"/>
        <w:left w:val="none" w:sz="0" w:space="0" w:color="auto"/>
        <w:bottom w:val="none" w:sz="0" w:space="0" w:color="auto"/>
        <w:right w:val="none" w:sz="0" w:space="0" w:color="auto"/>
      </w:divBdr>
    </w:div>
    <w:div w:id="1211726455">
      <w:bodyDiv w:val="1"/>
      <w:marLeft w:val="0"/>
      <w:marRight w:val="0"/>
      <w:marTop w:val="0"/>
      <w:marBottom w:val="0"/>
      <w:divBdr>
        <w:top w:val="none" w:sz="0" w:space="0" w:color="auto"/>
        <w:left w:val="none" w:sz="0" w:space="0" w:color="auto"/>
        <w:bottom w:val="none" w:sz="0" w:space="0" w:color="auto"/>
        <w:right w:val="none" w:sz="0" w:space="0" w:color="auto"/>
      </w:divBdr>
    </w:div>
    <w:div w:id="1216967013">
      <w:bodyDiv w:val="1"/>
      <w:marLeft w:val="0"/>
      <w:marRight w:val="0"/>
      <w:marTop w:val="0"/>
      <w:marBottom w:val="0"/>
      <w:divBdr>
        <w:top w:val="none" w:sz="0" w:space="0" w:color="auto"/>
        <w:left w:val="none" w:sz="0" w:space="0" w:color="auto"/>
        <w:bottom w:val="none" w:sz="0" w:space="0" w:color="auto"/>
        <w:right w:val="none" w:sz="0" w:space="0" w:color="auto"/>
      </w:divBdr>
    </w:div>
    <w:div w:id="1219364578">
      <w:bodyDiv w:val="1"/>
      <w:marLeft w:val="0"/>
      <w:marRight w:val="0"/>
      <w:marTop w:val="0"/>
      <w:marBottom w:val="0"/>
      <w:divBdr>
        <w:top w:val="none" w:sz="0" w:space="0" w:color="auto"/>
        <w:left w:val="none" w:sz="0" w:space="0" w:color="auto"/>
        <w:bottom w:val="none" w:sz="0" w:space="0" w:color="auto"/>
        <w:right w:val="none" w:sz="0" w:space="0" w:color="auto"/>
      </w:divBdr>
    </w:div>
    <w:div w:id="1233007881">
      <w:bodyDiv w:val="1"/>
      <w:marLeft w:val="0"/>
      <w:marRight w:val="0"/>
      <w:marTop w:val="0"/>
      <w:marBottom w:val="0"/>
      <w:divBdr>
        <w:top w:val="none" w:sz="0" w:space="0" w:color="auto"/>
        <w:left w:val="none" w:sz="0" w:space="0" w:color="auto"/>
        <w:bottom w:val="none" w:sz="0" w:space="0" w:color="auto"/>
        <w:right w:val="none" w:sz="0" w:space="0" w:color="auto"/>
      </w:divBdr>
    </w:div>
    <w:div w:id="1234778862">
      <w:bodyDiv w:val="1"/>
      <w:marLeft w:val="0"/>
      <w:marRight w:val="0"/>
      <w:marTop w:val="0"/>
      <w:marBottom w:val="0"/>
      <w:divBdr>
        <w:top w:val="none" w:sz="0" w:space="0" w:color="auto"/>
        <w:left w:val="none" w:sz="0" w:space="0" w:color="auto"/>
        <w:bottom w:val="none" w:sz="0" w:space="0" w:color="auto"/>
        <w:right w:val="none" w:sz="0" w:space="0" w:color="auto"/>
      </w:divBdr>
      <w:divsChild>
        <w:div w:id="1587375265">
          <w:blockQuote w:val="1"/>
          <w:marLeft w:val="720"/>
          <w:marRight w:val="720"/>
          <w:marTop w:val="100"/>
          <w:marBottom w:val="100"/>
          <w:divBdr>
            <w:top w:val="none" w:sz="0" w:space="0" w:color="auto"/>
            <w:left w:val="none" w:sz="0" w:space="0" w:color="auto"/>
            <w:bottom w:val="none" w:sz="0" w:space="0" w:color="auto"/>
            <w:right w:val="none" w:sz="0" w:space="0" w:color="auto"/>
          </w:divBdr>
        </w:div>
        <w:div w:id="206656369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41721864">
      <w:bodyDiv w:val="1"/>
      <w:marLeft w:val="0"/>
      <w:marRight w:val="0"/>
      <w:marTop w:val="0"/>
      <w:marBottom w:val="0"/>
      <w:divBdr>
        <w:top w:val="none" w:sz="0" w:space="0" w:color="auto"/>
        <w:left w:val="none" w:sz="0" w:space="0" w:color="auto"/>
        <w:bottom w:val="none" w:sz="0" w:space="0" w:color="auto"/>
        <w:right w:val="none" w:sz="0" w:space="0" w:color="auto"/>
      </w:divBdr>
    </w:div>
    <w:div w:id="1249080419">
      <w:bodyDiv w:val="1"/>
      <w:marLeft w:val="0"/>
      <w:marRight w:val="0"/>
      <w:marTop w:val="0"/>
      <w:marBottom w:val="0"/>
      <w:divBdr>
        <w:top w:val="none" w:sz="0" w:space="0" w:color="auto"/>
        <w:left w:val="none" w:sz="0" w:space="0" w:color="auto"/>
        <w:bottom w:val="none" w:sz="0" w:space="0" w:color="auto"/>
        <w:right w:val="none" w:sz="0" w:space="0" w:color="auto"/>
      </w:divBdr>
    </w:div>
    <w:div w:id="1285847903">
      <w:bodyDiv w:val="1"/>
      <w:marLeft w:val="0"/>
      <w:marRight w:val="0"/>
      <w:marTop w:val="0"/>
      <w:marBottom w:val="0"/>
      <w:divBdr>
        <w:top w:val="none" w:sz="0" w:space="0" w:color="auto"/>
        <w:left w:val="none" w:sz="0" w:space="0" w:color="auto"/>
        <w:bottom w:val="none" w:sz="0" w:space="0" w:color="auto"/>
        <w:right w:val="none" w:sz="0" w:space="0" w:color="auto"/>
      </w:divBdr>
    </w:div>
    <w:div w:id="1301226133">
      <w:bodyDiv w:val="1"/>
      <w:marLeft w:val="0"/>
      <w:marRight w:val="0"/>
      <w:marTop w:val="0"/>
      <w:marBottom w:val="0"/>
      <w:divBdr>
        <w:top w:val="none" w:sz="0" w:space="0" w:color="auto"/>
        <w:left w:val="none" w:sz="0" w:space="0" w:color="auto"/>
        <w:bottom w:val="none" w:sz="0" w:space="0" w:color="auto"/>
        <w:right w:val="none" w:sz="0" w:space="0" w:color="auto"/>
      </w:divBdr>
    </w:div>
    <w:div w:id="1351176842">
      <w:bodyDiv w:val="1"/>
      <w:marLeft w:val="0"/>
      <w:marRight w:val="0"/>
      <w:marTop w:val="0"/>
      <w:marBottom w:val="0"/>
      <w:divBdr>
        <w:top w:val="none" w:sz="0" w:space="0" w:color="auto"/>
        <w:left w:val="none" w:sz="0" w:space="0" w:color="auto"/>
        <w:bottom w:val="none" w:sz="0" w:space="0" w:color="auto"/>
        <w:right w:val="none" w:sz="0" w:space="0" w:color="auto"/>
      </w:divBdr>
    </w:div>
    <w:div w:id="1352949558">
      <w:bodyDiv w:val="1"/>
      <w:marLeft w:val="0"/>
      <w:marRight w:val="0"/>
      <w:marTop w:val="0"/>
      <w:marBottom w:val="0"/>
      <w:divBdr>
        <w:top w:val="none" w:sz="0" w:space="0" w:color="auto"/>
        <w:left w:val="none" w:sz="0" w:space="0" w:color="auto"/>
        <w:bottom w:val="none" w:sz="0" w:space="0" w:color="auto"/>
        <w:right w:val="none" w:sz="0" w:space="0" w:color="auto"/>
      </w:divBdr>
    </w:div>
    <w:div w:id="1426262937">
      <w:bodyDiv w:val="1"/>
      <w:marLeft w:val="0"/>
      <w:marRight w:val="0"/>
      <w:marTop w:val="0"/>
      <w:marBottom w:val="0"/>
      <w:divBdr>
        <w:top w:val="none" w:sz="0" w:space="0" w:color="auto"/>
        <w:left w:val="none" w:sz="0" w:space="0" w:color="auto"/>
        <w:bottom w:val="none" w:sz="0" w:space="0" w:color="auto"/>
        <w:right w:val="none" w:sz="0" w:space="0" w:color="auto"/>
      </w:divBdr>
    </w:div>
    <w:div w:id="1527984795">
      <w:bodyDiv w:val="1"/>
      <w:marLeft w:val="0"/>
      <w:marRight w:val="0"/>
      <w:marTop w:val="0"/>
      <w:marBottom w:val="0"/>
      <w:divBdr>
        <w:top w:val="none" w:sz="0" w:space="0" w:color="auto"/>
        <w:left w:val="none" w:sz="0" w:space="0" w:color="auto"/>
        <w:bottom w:val="none" w:sz="0" w:space="0" w:color="auto"/>
        <w:right w:val="none" w:sz="0" w:space="0" w:color="auto"/>
      </w:divBdr>
    </w:div>
    <w:div w:id="1564678075">
      <w:bodyDiv w:val="1"/>
      <w:marLeft w:val="0"/>
      <w:marRight w:val="0"/>
      <w:marTop w:val="0"/>
      <w:marBottom w:val="0"/>
      <w:divBdr>
        <w:top w:val="none" w:sz="0" w:space="0" w:color="auto"/>
        <w:left w:val="none" w:sz="0" w:space="0" w:color="auto"/>
        <w:bottom w:val="none" w:sz="0" w:space="0" w:color="auto"/>
        <w:right w:val="none" w:sz="0" w:space="0" w:color="auto"/>
      </w:divBdr>
    </w:div>
    <w:div w:id="1593704756">
      <w:bodyDiv w:val="1"/>
      <w:marLeft w:val="0"/>
      <w:marRight w:val="0"/>
      <w:marTop w:val="0"/>
      <w:marBottom w:val="0"/>
      <w:divBdr>
        <w:top w:val="none" w:sz="0" w:space="0" w:color="auto"/>
        <w:left w:val="none" w:sz="0" w:space="0" w:color="auto"/>
        <w:bottom w:val="none" w:sz="0" w:space="0" w:color="auto"/>
        <w:right w:val="none" w:sz="0" w:space="0" w:color="auto"/>
      </w:divBdr>
    </w:div>
    <w:div w:id="1616324440">
      <w:bodyDiv w:val="1"/>
      <w:marLeft w:val="0"/>
      <w:marRight w:val="0"/>
      <w:marTop w:val="0"/>
      <w:marBottom w:val="0"/>
      <w:divBdr>
        <w:top w:val="none" w:sz="0" w:space="0" w:color="auto"/>
        <w:left w:val="none" w:sz="0" w:space="0" w:color="auto"/>
        <w:bottom w:val="none" w:sz="0" w:space="0" w:color="auto"/>
        <w:right w:val="none" w:sz="0" w:space="0" w:color="auto"/>
      </w:divBdr>
    </w:div>
    <w:div w:id="1628077965">
      <w:bodyDiv w:val="1"/>
      <w:marLeft w:val="0"/>
      <w:marRight w:val="0"/>
      <w:marTop w:val="0"/>
      <w:marBottom w:val="0"/>
      <w:divBdr>
        <w:top w:val="none" w:sz="0" w:space="0" w:color="auto"/>
        <w:left w:val="none" w:sz="0" w:space="0" w:color="auto"/>
        <w:bottom w:val="none" w:sz="0" w:space="0" w:color="auto"/>
        <w:right w:val="none" w:sz="0" w:space="0" w:color="auto"/>
      </w:divBdr>
    </w:div>
    <w:div w:id="1671371082">
      <w:bodyDiv w:val="1"/>
      <w:marLeft w:val="0"/>
      <w:marRight w:val="0"/>
      <w:marTop w:val="0"/>
      <w:marBottom w:val="0"/>
      <w:divBdr>
        <w:top w:val="none" w:sz="0" w:space="0" w:color="auto"/>
        <w:left w:val="none" w:sz="0" w:space="0" w:color="auto"/>
        <w:bottom w:val="none" w:sz="0" w:space="0" w:color="auto"/>
        <w:right w:val="none" w:sz="0" w:space="0" w:color="auto"/>
      </w:divBdr>
    </w:div>
    <w:div w:id="1674139475">
      <w:bodyDiv w:val="1"/>
      <w:marLeft w:val="0"/>
      <w:marRight w:val="0"/>
      <w:marTop w:val="0"/>
      <w:marBottom w:val="0"/>
      <w:divBdr>
        <w:top w:val="none" w:sz="0" w:space="0" w:color="auto"/>
        <w:left w:val="none" w:sz="0" w:space="0" w:color="auto"/>
        <w:bottom w:val="none" w:sz="0" w:space="0" w:color="auto"/>
        <w:right w:val="none" w:sz="0" w:space="0" w:color="auto"/>
      </w:divBdr>
    </w:div>
    <w:div w:id="1686403183">
      <w:bodyDiv w:val="1"/>
      <w:marLeft w:val="0"/>
      <w:marRight w:val="0"/>
      <w:marTop w:val="0"/>
      <w:marBottom w:val="0"/>
      <w:divBdr>
        <w:top w:val="none" w:sz="0" w:space="0" w:color="auto"/>
        <w:left w:val="none" w:sz="0" w:space="0" w:color="auto"/>
        <w:bottom w:val="none" w:sz="0" w:space="0" w:color="auto"/>
        <w:right w:val="none" w:sz="0" w:space="0" w:color="auto"/>
      </w:divBdr>
    </w:div>
    <w:div w:id="1750232669">
      <w:bodyDiv w:val="1"/>
      <w:marLeft w:val="0"/>
      <w:marRight w:val="0"/>
      <w:marTop w:val="0"/>
      <w:marBottom w:val="0"/>
      <w:divBdr>
        <w:top w:val="none" w:sz="0" w:space="0" w:color="auto"/>
        <w:left w:val="none" w:sz="0" w:space="0" w:color="auto"/>
        <w:bottom w:val="none" w:sz="0" w:space="0" w:color="auto"/>
        <w:right w:val="none" w:sz="0" w:space="0" w:color="auto"/>
      </w:divBdr>
    </w:div>
    <w:div w:id="1805614162">
      <w:bodyDiv w:val="1"/>
      <w:marLeft w:val="0"/>
      <w:marRight w:val="0"/>
      <w:marTop w:val="0"/>
      <w:marBottom w:val="0"/>
      <w:divBdr>
        <w:top w:val="none" w:sz="0" w:space="0" w:color="auto"/>
        <w:left w:val="none" w:sz="0" w:space="0" w:color="auto"/>
        <w:bottom w:val="none" w:sz="0" w:space="0" w:color="auto"/>
        <w:right w:val="none" w:sz="0" w:space="0" w:color="auto"/>
      </w:divBdr>
    </w:div>
    <w:div w:id="1815634444">
      <w:bodyDiv w:val="1"/>
      <w:marLeft w:val="0"/>
      <w:marRight w:val="0"/>
      <w:marTop w:val="0"/>
      <w:marBottom w:val="0"/>
      <w:divBdr>
        <w:top w:val="none" w:sz="0" w:space="0" w:color="auto"/>
        <w:left w:val="none" w:sz="0" w:space="0" w:color="auto"/>
        <w:bottom w:val="none" w:sz="0" w:space="0" w:color="auto"/>
        <w:right w:val="none" w:sz="0" w:space="0" w:color="auto"/>
      </w:divBdr>
    </w:div>
    <w:div w:id="1920019877">
      <w:bodyDiv w:val="1"/>
      <w:marLeft w:val="0"/>
      <w:marRight w:val="0"/>
      <w:marTop w:val="0"/>
      <w:marBottom w:val="0"/>
      <w:divBdr>
        <w:top w:val="none" w:sz="0" w:space="0" w:color="auto"/>
        <w:left w:val="none" w:sz="0" w:space="0" w:color="auto"/>
        <w:bottom w:val="none" w:sz="0" w:space="0" w:color="auto"/>
        <w:right w:val="none" w:sz="0" w:space="0" w:color="auto"/>
      </w:divBdr>
    </w:div>
    <w:div w:id="1928809250">
      <w:bodyDiv w:val="1"/>
      <w:marLeft w:val="0"/>
      <w:marRight w:val="0"/>
      <w:marTop w:val="0"/>
      <w:marBottom w:val="0"/>
      <w:divBdr>
        <w:top w:val="none" w:sz="0" w:space="0" w:color="auto"/>
        <w:left w:val="none" w:sz="0" w:space="0" w:color="auto"/>
        <w:bottom w:val="none" w:sz="0" w:space="0" w:color="auto"/>
        <w:right w:val="none" w:sz="0" w:space="0" w:color="auto"/>
      </w:divBdr>
    </w:div>
    <w:div w:id="1968386048">
      <w:bodyDiv w:val="1"/>
      <w:marLeft w:val="0"/>
      <w:marRight w:val="0"/>
      <w:marTop w:val="0"/>
      <w:marBottom w:val="0"/>
      <w:divBdr>
        <w:top w:val="none" w:sz="0" w:space="0" w:color="auto"/>
        <w:left w:val="none" w:sz="0" w:space="0" w:color="auto"/>
        <w:bottom w:val="none" w:sz="0" w:space="0" w:color="auto"/>
        <w:right w:val="none" w:sz="0" w:space="0" w:color="auto"/>
      </w:divBdr>
    </w:div>
    <w:div w:id="1973897713">
      <w:bodyDiv w:val="1"/>
      <w:marLeft w:val="0"/>
      <w:marRight w:val="0"/>
      <w:marTop w:val="0"/>
      <w:marBottom w:val="0"/>
      <w:divBdr>
        <w:top w:val="none" w:sz="0" w:space="0" w:color="auto"/>
        <w:left w:val="none" w:sz="0" w:space="0" w:color="auto"/>
        <w:bottom w:val="none" w:sz="0" w:space="0" w:color="auto"/>
        <w:right w:val="none" w:sz="0" w:space="0" w:color="auto"/>
      </w:divBdr>
    </w:div>
    <w:div w:id="2012561708">
      <w:bodyDiv w:val="1"/>
      <w:marLeft w:val="0"/>
      <w:marRight w:val="0"/>
      <w:marTop w:val="0"/>
      <w:marBottom w:val="0"/>
      <w:divBdr>
        <w:top w:val="none" w:sz="0" w:space="0" w:color="auto"/>
        <w:left w:val="none" w:sz="0" w:space="0" w:color="auto"/>
        <w:bottom w:val="none" w:sz="0" w:space="0" w:color="auto"/>
        <w:right w:val="none" w:sz="0" w:space="0" w:color="auto"/>
      </w:divBdr>
    </w:div>
    <w:div w:id="2046520698">
      <w:bodyDiv w:val="1"/>
      <w:marLeft w:val="0"/>
      <w:marRight w:val="0"/>
      <w:marTop w:val="0"/>
      <w:marBottom w:val="0"/>
      <w:divBdr>
        <w:top w:val="none" w:sz="0" w:space="0" w:color="auto"/>
        <w:left w:val="none" w:sz="0" w:space="0" w:color="auto"/>
        <w:bottom w:val="none" w:sz="0" w:space="0" w:color="auto"/>
        <w:right w:val="none" w:sz="0" w:space="0" w:color="auto"/>
      </w:divBdr>
    </w:div>
    <w:div w:id="21067989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4798</Words>
  <Characters>27354</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Emanuel</dc:creator>
  <cp:keywords/>
  <dc:description/>
  <cp:lastModifiedBy>Laura Emanuel</cp:lastModifiedBy>
  <cp:revision>108</cp:revision>
  <dcterms:created xsi:type="dcterms:W3CDTF">2025-04-30T16:19:00Z</dcterms:created>
  <dcterms:modified xsi:type="dcterms:W3CDTF">2025-05-01T18:48:00Z</dcterms:modified>
</cp:coreProperties>
</file>