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1389D7" w14:textId="74DA75D1" w:rsidR="009B2454" w:rsidRDefault="00832A32">
      <w:r>
        <w:t>In this essay I will be describing and evaluating Childe’s criteria from 1950 to s</w:t>
      </w:r>
      <w:r w:rsidR="00685E8E">
        <w:t>uggest</w:t>
      </w:r>
      <w:r>
        <w:t xml:space="preserve"> the development of social complexity </w:t>
      </w:r>
      <w:r w:rsidR="00685E8E">
        <w:t>in</w:t>
      </w:r>
      <w:r>
        <w:t xml:space="preserve"> Egypt </w:t>
      </w:r>
      <w:r w:rsidR="00685E8E">
        <w:t>during</w:t>
      </w:r>
      <w:r>
        <w:t xml:space="preserve"> the Bronze Age, I will be looking specifically at the </w:t>
      </w:r>
      <w:r w:rsidR="00564B95">
        <w:t>Egyptian city</w:t>
      </w:r>
      <w:r w:rsidR="00685E8E">
        <w:t xml:space="preserve"> of</w:t>
      </w:r>
      <w:r w:rsidR="00564B95">
        <w:t xml:space="preserve"> Thebes. </w:t>
      </w:r>
      <w:r w:rsidR="00D61B08">
        <w:t>Hayden (2014) suggests that social complexity can be defined by</w:t>
      </w:r>
      <w:r w:rsidR="009C731B">
        <w:t xml:space="preserve"> “the ability to produce food” and “to use them in a variety of strategies that enhance individual abilities to survive and reproduce</w:t>
      </w:r>
      <w:r w:rsidR="00685E8E">
        <w:t>”</w:t>
      </w:r>
      <w:r w:rsidR="009C731B">
        <w:t>. The first emergence of this seems to be within more developed hunter gatherer groups (Hayden 2014).</w:t>
      </w:r>
      <w:r w:rsidR="00685E8E">
        <w:t xml:space="preserve"> However, I relate social complexity to the actions and abilities of the people in these societies. This relates to</w:t>
      </w:r>
      <w:r w:rsidR="009C731B">
        <w:t xml:space="preserve"> </w:t>
      </w:r>
      <w:bookmarkStart w:id="0" w:name="_GoBack"/>
      <w:r w:rsidR="009C731B">
        <w:t>Childe’s criteria consist</w:t>
      </w:r>
      <w:r w:rsidR="00685E8E">
        <w:t>ing</w:t>
      </w:r>
      <w:r w:rsidR="009C731B">
        <w:t xml:space="preserve"> of 10</w:t>
      </w:r>
      <w:r w:rsidR="005256B6">
        <w:t xml:space="preserve"> points which he describes</w:t>
      </w:r>
      <w:r w:rsidR="000D39D8">
        <w:t xml:space="preserve"> to </w:t>
      </w:r>
      <w:r w:rsidR="00685E8E">
        <w:t>be</w:t>
      </w:r>
      <w:r w:rsidR="000D39D8">
        <w:t xml:space="preserve"> </w:t>
      </w:r>
      <w:r w:rsidR="00685E8E">
        <w:t>the</w:t>
      </w:r>
      <w:r w:rsidR="000D39D8">
        <w:t xml:space="preserve"> most typical or </w:t>
      </w:r>
      <w:bookmarkEnd w:id="0"/>
      <w:r w:rsidR="000D39D8">
        <w:t>common when towns and states were first emerging</w:t>
      </w:r>
      <w:r w:rsidR="005256B6">
        <w:t xml:space="preserve"> (Childe 1950)</w:t>
      </w:r>
      <w:r w:rsidR="000D39D8">
        <w:t xml:space="preserve">. </w:t>
      </w:r>
    </w:p>
    <w:p w14:paraId="4826C94C" w14:textId="77777777" w:rsidR="00D3040E" w:rsidRDefault="00D3040E"/>
    <w:p w14:paraId="03EDA164" w14:textId="2AE325D1" w:rsidR="000D39D8" w:rsidRDefault="000D39D8">
      <w:r>
        <w:t xml:space="preserve">Childe’s first criteria from his </w:t>
      </w:r>
      <w:r w:rsidR="00D3040E">
        <w:t>journal article</w:t>
      </w:r>
      <w:r>
        <w:t xml:space="preserve"> is </w:t>
      </w:r>
      <w:r w:rsidR="00D3040E">
        <w:t xml:space="preserve">related to </w:t>
      </w:r>
      <w:r w:rsidR="00685E8E">
        <w:t>population size</w:t>
      </w:r>
      <w:r>
        <w:t xml:space="preserve"> and settlement.</w:t>
      </w:r>
      <w:r w:rsidR="00D3040E">
        <w:t xml:space="preserve"> This can be something described as “densely populated”</w:t>
      </w:r>
      <w:r>
        <w:t xml:space="preserve"> </w:t>
      </w:r>
      <w:r w:rsidR="00D3040E">
        <w:t>and would have ranged from the large scale of 7,000 to 20,000 people (Childe 1950: 11; Harris 1994: 106). According to Mark (2016), Thebes had a population of 80,000 people during the Ama</w:t>
      </w:r>
      <w:r w:rsidR="00BD3120">
        <w:t>r</w:t>
      </w:r>
      <w:r w:rsidR="00D3040E">
        <w:t>na Period</w:t>
      </w:r>
      <w:r w:rsidR="00685E8E">
        <w:t xml:space="preserve"> (around the 18</w:t>
      </w:r>
      <w:r w:rsidR="00685E8E" w:rsidRPr="00685E8E">
        <w:rPr>
          <w:vertAlign w:val="superscript"/>
        </w:rPr>
        <w:t>th</w:t>
      </w:r>
      <w:r w:rsidR="00685E8E">
        <w:t xml:space="preserve"> dynasty)</w:t>
      </w:r>
      <w:r w:rsidR="00D3040E">
        <w:t xml:space="preserve"> and was coined as the largest city of the world at the time. Ancient Thebes is said to have covered a space of 93 kilometres squared which suggests it was very vast (Mark 2016; Dorman 2020). Referring back to Childe’s first criteria it can be assumed that Thebes was in fact a very large city and it excels the necessary numbers. Thebes was the capital of Ancient Egypt within the Eleventh Dynasty and so as a result Childe’s criteria is limited in its usefulness for interpreting social complex or can be seen as too simplified (Strudwick 2006: 271). This can be deferred </w:t>
      </w:r>
      <w:r w:rsidR="00685E8E">
        <w:t xml:space="preserve">from </w:t>
      </w:r>
      <w:r w:rsidR="00D3040E">
        <w:t>how Childe</w:t>
      </w:r>
      <w:r w:rsidR="00685E8E">
        <w:t>’s</w:t>
      </w:r>
      <w:r w:rsidR="00D3040E">
        <w:t xml:space="preserve"> belie</w:t>
      </w:r>
      <w:r w:rsidR="00685E8E">
        <w:t>f</w:t>
      </w:r>
      <w:r w:rsidR="00D3040E">
        <w:t xml:space="preserve"> that a very small number of 7,000 can be compared to that of 80,000. However, the first point of the criteria can also be seen as having strengths because it gives a starting point when analysing area</w:t>
      </w:r>
      <w:r w:rsidR="00685E8E">
        <w:t xml:space="preserve"> populations</w:t>
      </w:r>
      <w:r w:rsidR="00D3040E">
        <w:t>. Therefore, the evaluation of social complexity can be revised and looked at according to the original scale that Childe presented.</w:t>
      </w:r>
    </w:p>
    <w:p w14:paraId="69496982" w14:textId="4F3871B7" w:rsidR="000D39D8" w:rsidRDefault="000D39D8"/>
    <w:p w14:paraId="436F654D" w14:textId="2860E340" w:rsidR="003A78B7" w:rsidRDefault="003A78B7">
      <w:r>
        <w:t xml:space="preserve">Childe’s second point in his criteria refers to the divisions of labour and how class systems can be defined by said labour (Childe 1950: 11). Harris (1994) defines this through documenting how some people would be in direct relations to farming whilst others would not come into contact with the agricultural industry. </w:t>
      </w:r>
      <w:r w:rsidR="00311B67">
        <w:t>In Egypt, there was the existence of Pharaohs and so there was a hierarchy. This leads to the</w:t>
      </w:r>
      <w:r w:rsidR="00685E8E">
        <w:t xml:space="preserve"> use of</w:t>
      </w:r>
      <w:r w:rsidR="00311B67">
        <w:t xml:space="preserve"> servants and people who would work below or on behalf of the said leaders. These Pharaohs would not come into contact with everyday tasks such as making food etc and would have this done for them. This suggests that Childe’s criteria does show social complexity because different people would carry out different tasks and this would cause a class system to develop.</w:t>
      </w:r>
      <w:r w:rsidR="00685E8E">
        <w:t xml:space="preserve"> This can be evaluated in a positive light because typically there were different classifications in society then and now.</w:t>
      </w:r>
    </w:p>
    <w:p w14:paraId="5D36B58D" w14:textId="16DFCDF9" w:rsidR="00747D83" w:rsidRDefault="00747D83"/>
    <w:p w14:paraId="22ED8494" w14:textId="673F8F63" w:rsidR="00747D83" w:rsidRDefault="00747D83">
      <w:r>
        <w:t xml:space="preserve">The next point in the criteria refers to taxation systems which can also be linked to the </w:t>
      </w:r>
      <w:r w:rsidR="00652CCF">
        <w:t>seventh</w:t>
      </w:r>
      <w:r>
        <w:t xml:space="preserve"> point in Childe’s exhaustive list. These taxes were given to “an imaginary deity or divine king” (Childe 1950: 11).</w:t>
      </w:r>
      <w:r w:rsidR="00652CCF">
        <w:t xml:space="preserve"> This suggests there needs to be some kind of advanced government or sense of leadership. According to Strudwick (2006: 271), Thebes was made capitol by the princes of the time suggesting that there was a dominant leader at the time. There are also implications that Thebes became powerful through governing bodies which allows the deduction that there was a higher power in which taxes would be paid towards </w:t>
      </w:r>
      <w:r w:rsidR="00652CCF">
        <w:lastRenderedPageBreak/>
        <w:t xml:space="preserve">(Mark 2016). However, the suggestion of princes leads to the Egyptian state as a whole, not just Thebes as a city. As a result, this point does not suggest that each town had its own form of individual leadership. To counter this, Thebes did have its local deity Montu which should be noted when considering this point of criteria. </w:t>
      </w:r>
      <w:r w:rsidR="004427FD">
        <w:t xml:space="preserve">This can show the emergence of social complexity because it suggests that </w:t>
      </w:r>
      <w:r w:rsidR="00BD3120">
        <w:t>they had their own belief system on top of that of just those of the general Egyptian gods.</w:t>
      </w:r>
    </w:p>
    <w:p w14:paraId="53173012" w14:textId="3B9C091E" w:rsidR="00652CCF" w:rsidRDefault="00652CCF"/>
    <w:p w14:paraId="6C1690EC" w14:textId="6AF44FE0" w:rsidR="00652CCF" w:rsidRDefault="00652CCF">
      <w:r>
        <w:t xml:space="preserve">This corresponds to the seventh criterion because it </w:t>
      </w:r>
      <w:r w:rsidR="00685E8E">
        <w:t>suggests there would be</w:t>
      </w:r>
      <w:r>
        <w:t xml:space="preserve"> some kind of literary ability. This can be clearly linked to Ancient Egypt as a whole because of the existence of hieroglyphics (Strudwick 2006: 271). Childe (1950: 14) himself in the criteria notes the use of papyrus in Egypt. Although Thebes had its own named portrayed in hieroglyphics this was typical of all of the cities and towns of the contemporary period and as a result Thebes being the city chosen to evaluate Childe does not make a difference to the evidence that can be found. This criterion as a whole can be greatly criticised because in general not every single member of the community or society would have been of a great literary ability or standard. However, it can also be seen as a strength because it can be used to check records and compared to other types of hieroglyphics across the state of Egypt.</w:t>
      </w:r>
      <w:r w:rsidR="00311B67">
        <w:t xml:space="preserve"> This shows the emergence of social complexity because Egypt as a whole had a way of </w:t>
      </w:r>
      <w:r w:rsidR="00685E8E">
        <w:t>recording data which could then be compared to other locations.</w:t>
      </w:r>
    </w:p>
    <w:p w14:paraId="6978416A" w14:textId="45727DE9" w:rsidR="00652CCF" w:rsidRDefault="00652CCF"/>
    <w:p w14:paraId="2D2CC2DD" w14:textId="2CF53C4F" w:rsidR="00652CCF" w:rsidRDefault="00652CCF">
      <w:r>
        <w:t>This links in to the following and fourth criteria that monumental structures were erected (Childe 1950: 12). This would not only suggest that the state had disposable capit</w:t>
      </w:r>
      <w:r w:rsidR="00685E8E">
        <w:t>a</w:t>
      </w:r>
      <w:r>
        <w:t>l, but it had the labours to do so meaning it could show its power through physical structures (Harris 1994: 107). Childe identifies that temples would be considered as monumental structures which can be seen throughout the Theban states history. The Karnak Temple was built by Amenhotep III which was dedicated to both general and local gods including Amun, Mut, Khons and Montu who was the warrior god and seen as the protector of the city (Strudwick 2006: 271). Monuments and temples were erected between the Nile and the Theban hills which also exaggerated the wealth and prosperity of the city. This criterion can be evaluated as strong when viewing Childe’s criteria as a whole because it can be used to see how the state was doing financially at the time and therefore compared to other states as well as countries as a whole. The physical features such as the materials used can also be looked at to see trade developments to establish the connections with other areas at the time</w:t>
      </w:r>
      <w:r w:rsidR="00311B67">
        <w:t>, this in itself shows an element of social complexity through its relations with other states</w:t>
      </w:r>
      <w:r>
        <w:t>. However, monuments such as temples were very common in this era and as a result this can be argued to not be a defining characteristic of what makes a state and leads to social complexity.</w:t>
      </w:r>
    </w:p>
    <w:p w14:paraId="6D82A4B9" w14:textId="039183A9" w:rsidR="00652CCF" w:rsidRDefault="00652CCF"/>
    <w:p w14:paraId="1F218836" w14:textId="19789C11" w:rsidR="00652CCF" w:rsidRDefault="00652CCF">
      <w:r>
        <w:t xml:space="preserve">The fifth criterion is in relation to the existence of a ruling class which consisted of “priests, civil and military leaders” (Childe 1950: 12). Harris (1994: 107) describes this class as “exempt from manual tasks”. This would create a clear difference between the lower class and the upper class which would typically be differentiated by the tasks that they performed, in essence, the lower classes or ‘ordinary’ people would have jobs such as farming and that of labourers. According to Strudwick (2006: 275) people lived in the Eastern part of Thebes. This included that of “ordinary, dignitaries and royals” suggesting </w:t>
      </w:r>
      <w:r>
        <w:lastRenderedPageBreak/>
        <w:t>that the class divide was not ridiculously severe in terms of location but would have more than likely been in terms of conditions. This criterion can be criticised because it is a very typical sociological view which Childe was known to be. This means that when configuring the criteria there may have been bias from a Marxist standpoint as this theory’s foundation is based on a bourgeoisie and a proletariat relating to the ruling class and the working class. But this criterion can also be applauded as it is very common in all societies for there to be some kind of class hierarchical system</w:t>
      </w:r>
      <w:r w:rsidR="00311B67">
        <w:t xml:space="preserve"> which suggests social complexity</w:t>
      </w:r>
      <w:r>
        <w:t>.</w:t>
      </w:r>
    </w:p>
    <w:p w14:paraId="02035A05" w14:textId="55A11C00" w:rsidR="00652CCF" w:rsidRDefault="00652CCF"/>
    <w:p w14:paraId="596633A0" w14:textId="2A3B1A3C" w:rsidR="00311B67" w:rsidRDefault="00652CCF">
      <w:r>
        <w:t>The next criteria to consider is that of recording systems and sciences. Childe (1950: 14) suggests in his own words “Egyptian, Maya and Babylonian calendars were as different as any systems based on a single natural unit could be”.</w:t>
      </w:r>
      <w:r w:rsidR="00311B67">
        <w:t xml:space="preserve"> As already suggested, the Egyptians used hieroglyphics to record data and had their own calendars which were defined by the land and the rising and setting of the sun. This suggests social complexity because it means that a higher engagement of thinking would have taken place in order for these calendars to have been developed. All members of the state would have taken this into account bringing the society together as they would have the same beliefs. </w:t>
      </w:r>
    </w:p>
    <w:p w14:paraId="1C32ABB5" w14:textId="3A937289" w:rsidR="00652CCF" w:rsidRDefault="00652CCF">
      <w:r>
        <w:t xml:space="preserve"> </w:t>
      </w:r>
    </w:p>
    <w:p w14:paraId="37CB76E7" w14:textId="3BD0B861" w:rsidR="00311B67" w:rsidRDefault="00652CCF" w:rsidP="00311B67">
      <w:r>
        <w:t xml:space="preserve">The ninth criterion consists of importation and trade particularly of precious materials. “Trade extended from Egypt to at least as far as Byblos” which is </w:t>
      </w:r>
      <w:r w:rsidR="00685E8E">
        <w:t>estimated to be</w:t>
      </w:r>
      <w:r>
        <w:t xml:space="preserve"> over one thousand kilometres from one to the other (Childe 1950: 15). Thebes is suggested to have started as a minor trading point for upper Egypt and so even before it found its major popularity it was involved in trade routes (Mark 2016). This could have given Thebes an upper hand at a later period when it needed to trade and exchange materials which were necessary for the glorification of Egypt.</w:t>
      </w:r>
      <w:r w:rsidR="00255D4C">
        <w:t xml:space="preserve"> This criterion can be seen as good because it suggests that states needed to have developed relationships with other states or countries in order to be seen as socially complex. This makes sense because trade was not only a way to gain capitol, but the materials traded e.g. precious metals or bricks could be used for jewellery or buildings. This would boast Egypt’s diversity in terms of their public relations and so is more difficult to criticise. However, as Mark (2016) suggested, Thebes was already considered to be a minor trading location before it gained a higher status. Resultingly, it can be assumed that Thebes had characteristics of a state in Childe’s eyes before it actually became a state.</w:t>
      </w:r>
      <w:r w:rsidR="00311B67">
        <w:t xml:space="preserve"> This can be linked to </w:t>
      </w:r>
      <w:r w:rsidR="00311B67">
        <w:t xml:space="preserve">the emergence of “artistic expression” and sophisticated methods of craftsmanship (Childe 1950: 15). This includes that of sculptors and jewellery makers. </w:t>
      </w:r>
      <w:r w:rsidR="00311B67">
        <w:t>They would have needed said precious materials in order to carry out their work.</w:t>
      </w:r>
    </w:p>
    <w:p w14:paraId="494C0855" w14:textId="04E88218" w:rsidR="00652CCF" w:rsidRDefault="00652CCF"/>
    <w:p w14:paraId="66D384B2" w14:textId="5BFE6A74" w:rsidR="00652CCF" w:rsidRDefault="00652CCF">
      <w:r>
        <w:t xml:space="preserve">The final point in the criteria relates to the state as a whole. Childe (1950: 16) suggests “the city was a community to which a craftsman could belong politically as well as economically”. This suggests that </w:t>
      </w:r>
      <w:r w:rsidR="00BD3120">
        <w:t xml:space="preserve">members of the community </w:t>
      </w:r>
      <w:r w:rsidR="00311B67">
        <w:t xml:space="preserve">were given the materials needed to carry out their employment as they were not just considered members of the society because of birth rights but were residents because of where they lived. This suggests social complexity because people had the right to become members of the community based on residency rather than merely who their parents were. This criterion again has both positives and negatives. </w:t>
      </w:r>
    </w:p>
    <w:p w14:paraId="295FEC4B" w14:textId="5FF8BD6E" w:rsidR="00832A32" w:rsidRDefault="00832A32"/>
    <w:p w14:paraId="64880A0A" w14:textId="513E3203" w:rsidR="00832A32" w:rsidRDefault="00747D83">
      <w:r>
        <w:lastRenderedPageBreak/>
        <w:t>In conclusion, Childe’s criteria can be noted for both positive</w:t>
      </w:r>
      <w:r w:rsidR="00685E8E">
        <w:t>s</w:t>
      </w:r>
      <w:r>
        <w:t xml:space="preserve"> and negatives when interpreting social complexity in Bronze Age Egypt. Thebes can be seen also as having strengths and weaknesses when applying this to a real-life setting contemporary of the said time. </w:t>
      </w:r>
      <w:r w:rsidR="00652CCF">
        <w:t>To generalise, Thebes can be seen as a good city in this research because at the time it was very dominant in terms of Egyptian culture and way of life, however, its vast size and scale of population also limits it in terms of evaluation in Childe’s criteria. Childe’s criteria as a whole can be seen as a good starting point and a basis when considering what made a state in the time, but Thebes was already a much more established city than merely hunter-gatherer at this time. As a result, although this research can be seen as reliable and generalisable to Egypt as a whole, it would be more accurate and valid to consider multiple cities and states to confirm the statement at hand.</w:t>
      </w:r>
      <w:r w:rsidR="00BD3120">
        <w:t xml:space="preserve"> Furthermore, some of Childe’s criteria may have existed in states or towns but this does not necessarily take away from the fact that it may have or may have not been considered a town or state. </w:t>
      </w:r>
    </w:p>
    <w:p w14:paraId="64EE006E" w14:textId="6D05BD91" w:rsidR="00832A32" w:rsidRDefault="00832A32"/>
    <w:p w14:paraId="10465EC9" w14:textId="5362606A" w:rsidR="00D3040E" w:rsidRDefault="00D3040E"/>
    <w:p w14:paraId="0019A32B" w14:textId="7295683C" w:rsidR="004427FD" w:rsidRDefault="004427FD"/>
    <w:p w14:paraId="68CCA7CD" w14:textId="0E4E6195" w:rsidR="004427FD" w:rsidRDefault="004427FD"/>
    <w:p w14:paraId="70023923" w14:textId="2056F3C5" w:rsidR="004427FD" w:rsidRDefault="004427FD"/>
    <w:p w14:paraId="42D29060" w14:textId="22F99B7A" w:rsidR="004427FD" w:rsidRDefault="004427FD"/>
    <w:p w14:paraId="5CCE60AC" w14:textId="745FA004" w:rsidR="004427FD" w:rsidRDefault="004427FD"/>
    <w:p w14:paraId="138AAB1F" w14:textId="49D38CDE" w:rsidR="004427FD" w:rsidRDefault="004427FD"/>
    <w:p w14:paraId="53CFFADC" w14:textId="4A46B882" w:rsidR="004427FD" w:rsidRDefault="004427FD"/>
    <w:p w14:paraId="1621414D" w14:textId="14D2D3EF" w:rsidR="00311B67" w:rsidRDefault="00311B67"/>
    <w:p w14:paraId="77192AB3" w14:textId="1B87FBAF" w:rsidR="00311B67" w:rsidRDefault="00311B67"/>
    <w:p w14:paraId="4ACF165B" w14:textId="05997A3A" w:rsidR="00311B67" w:rsidRDefault="00311B67"/>
    <w:p w14:paraId="6BF2BC63" w14:textId="5A322071" w:rsidR="00311B67" w:rsidRDefault="00311B67"/>
    <w:p w14:paraId="50138044" w14:textId="172C9C27" w:rsidR="00311B67" w:rsidRDefault="00311B67"/>
    <w:p w14:paraId="256F49C7" w14:textId="396E2751" w:rsidR="00311B67" w:rsidRDefault="00311B67"/>
    <w:p w14:paraId="51E727F7" w14:textId="2BF50AE5" w:rsidR="00311B67" w:rsidRDefault="00311B67"/>
    <w:p w14:paraId="72AFB6B3" w14:textId="5A00E41E" w:rsidR="00311B67" w:rsidRDefault="00311B67"/>
    <w:p w14:paraId="6F3C2CBC" w14:textId="728D2054" w:rsidR="00311B67" w:rsidRDefault="00311B67"/>
    <w:p w14:paraId="2B1E366B" w14:textId="411A831C" w:rsidR="00311B67" w:rsidRDefault="00311B67"/>
    <w:p w14:paraId="312493A7" w14:textId="63413646" w:rsidR="00311B67" w:rsidRDefault="00311B67"/>
    <w:p w14:paraId="57CBF5A4" w14:textId="469B8917" w:rsidR="00311B67" w:rsidRDefault="00311B67"/>
    <w:p w14:paraId="57E72280" w14:textId="59237EF6" w:rsidR="00311B67" w:rsidRDefault="00311B67"/>
    <w:p w14:paraId="41CA83E0" w14:textId="1132006B" w:rsidR="00311B67" w:rsidRDefault="00311B67"/>
    <w:p w14:paraId="4646CCC2" w14:textId="2529F7AF" w:rsidR="00311B67" w:rsidRDefault="00311B67"/>
    <w:p w14:paraId="560FB9CF" w14:textId="34580DBF" w:rsidR="00311B67" w:rsidRDefault="00311B67"/>
    <w:p w14:paraId="3114202B" w14:textId="77777777" w:rsidR="00311B67" w:rsidRDefault="00311B67"/>
    <w:p w14:paraId="2BB19379" w14:textId="56735934" w:rsidR="004427FD" w:rsidRDefault="004427FD"/>
    <w:p w14:paraId="22320E56" w14:textId="755CC90A" w:rsidR="004427FD" w:rsidRDefault="004427FD"/>
    <w:p w14:paraId="03996FA2" w14:textId="305C5C04" w:rsidR="004427FD" w:rsidRDefault="004427FD"/>
    <w:p w14:paraId="6242C7D6" w14:textId="36F95A66" w:rsidR="004427FD" w:rsidRDefault="004427FD"/>
    <w:p w14:paraId="170DC5FC" w14:textId="77777777" w:rsidR="004427FD" w:rsidRDefault="004427FD"/>
    <w:p w14:paraId="3403D4D7" w14:textId="77777777" w:rsidR="00D3040E" w:rsidRDefault="00D3040E"/>
    <w:sdt>
      <w:sdtPr>
        <w:id w:val="-424573760"/>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46BC7D5A" w14:textId="61AA9C15" w:rsidR="00790BD8" w:rsidRDefault="00790BD8">
          <w:pPr>
            <w:pStyle w:val="Heading1"/>
          </w:pPr>
          <w:r>
            <w:t>Bibliography</w:t>
          </w:r>
        </w:p>
        <w:p w14:paraId="6932C4A4" w14:textId="77777777" w:rsidR="00D3040E" w:rsidRPr="00D3040E" w:rsidRDefault="00D3040E" w:rsidP="00D3040E">
          <w:pPr>
            <w:rPr>
              <w:lang w:val="en-US" w:bidi="en-US"/>
            </w:rPr>
          </w:pPr>
        </w:p>
        <w:p w14:paraId="66ADFB4A" w14:textId="5DA35CC9" w:rsidR="00832A32" w:rsidRDefault="00832A32" w:rsidP="00832A32">
          <w:pPr>
            <w:rPr>
              <w:lang w:val="en-US" w:bidi="en-US"/>
            </w:rPr>
          </w:pPr>
          <w:r>
            <w:rPr>
              <w:lang w:val="en-US" w:bidi="en-US"/>
            </w:rPr>
            <w:t>Bader</w:t>
          </w:r>
          <w:r w:rsidR="00564B95">
            <w:rPr>
              <w:lang w:val="en-US" w:bidi="en-US"/>
            </w:rPr>
            <w:t>, B. 2015. Egypt and the Mediterranean in the Bronze Age: The Archeological Evidence. Oxford Handbooks Online</w:t>
          </w:r>
        </w:p>
        <w:p w14:paraId="5F2B6DB3" w14:textId="4EBA9ABF" w:rsidR="00564B95" w:rsidRDefault="00564B95" w:rsidP="00832A32">
          <w:pPr>
            <w:rPr>
              <w:lang w:val="en-US" w:bidi="en-US"/>
            </w:rPr>
          </w:pPr>
          <w:r>
            <w:rPr>
              <w:lang w:val="en-US" w:bidi="en-US"/>
            </w:rPr>
            <w:t xml:space="preserve">Available from: </w:t>
          </w:r>
          <w:hyperlink r:id="rId8" w:history="1">
            <w:r w:rsidRPr="00B64750">
              <w:rPr>
                <w:rStyle w:val="Hyperlink"/>
                <w:lang w:val="en-US" w:bidi="en-US"/>
              </w:rPr>
              <w:t>https://www.oxfordhandbooksonline.com/</w:t>
            </w:r>
          </w:hyperlink>
        </w:p>
        <w:p w14:paraId="685F0C01" w14:textId="14657D5C" w:rsidR="00564B95" w:rsidRDefault="00564B95" w:rsidP="00832A32">
          <w:pPr>
            <w:rPr>
              <w:lang w:val="en-US" w:bidi="en-US"/>
            </w:rPr>
          </w:pPr>
          <w:r>
            <w:rPr>
              <w:lang w:val="en-US" w:bidi="en-US"/>
            </w:rPr>
            <w:t>[Accessed 19</w:t>
          </w:r>
          <w:r w:rsidRPr="00564B95">
            <w:rPr>
              <w:vertAlign w:val="superscript"/>
              <w:lang w:val="en-US" w:bidi="en-US"/>
            </w:rPr>
            <w:t>th</w:t>
          </w:r>
          <w:r>
            <w:rPr>
              <w:lang w:val="en-US" w:bidi="en-US"/>
            </w:rPr>
            <w:t xml:space="preserve"> April 2020]</w:t>
          </w:r>
        </w:p>
        <w:p w14:paraId="1596EC61" w14:textId="77777777" w:rsidR="00564B95" w:rsidRDefault="00564B95" w:rsidP="00832A32">
          <w:pPr>
            <w:rPr>
              <w:lang w:val="en-US" w:bidi="en-US"/>
            </w:rPr>
          </w:pPr>
        </w:p>
        <w:p w14:paraId="471CE4CC" w14:textId="6B4012F2" w:rsidR="00C82527" w:rsidRDefault="00790BD8">
          <w:sdt>
            <w:sdtPr>
              <w:id w:val="111145805"/>
              <w:bibliography/>
            </w:sdtPr>
            <w:sdtContent>
              <w:r>
                <w:t>Childe, V. G. 1950. The Urban Revolution</w:t>
              </w:r>
              <w:r w:rsidR="00C82527">
                <w:t xml:space="preserve">. </w:t>
              </w:r>
              <w:r w:rsidR="00C82527">
                <w:rPr>
                  <w:i/>
                  <w:iCs/>
                </w:rPr>
                <w:t xml:space="preserve">The Town Planning Review </w:t>
              </w:r>
              <w:r w:rsidR="00C82527">
                <w:t>21</w:t>
              </w:r>
            </w:sdtContent>
          </w:sdt>
          <w:r w:rsidR="00C82527">
            <w:t>(1): 3-17</w:t>
          </w:r>
        </w:p>
        <w:p w14:paraId="1423B0D3" w14:textId="21CA993B" w:rsidR="005256B6" w:rsidRDefault="005256B6"/>
        <w:p w14:paraId="7465345D" w14:textId="59484947" w:rsidR="005256B6" w:rsidRDefault="005256B6">
          <w:r>
            <w:t>Dorman, P. F. 2020. Thebes: Ancient City, Egypt. Encyclopaedia Britannica.</w:t>
          </w:r>
        </w:p>
        <w:p w14:paraId="4530082D" w14:textId="354B825F" w:rsidR="005256B6" w:rsidRDefault="005256B6">
          <w:r>
            <w:t xml:space="preserve">Available from: </w:t>
          </w:r>
          <w:hyperlink r:id="rId9" w:history="1">
            <w:r w:rsidRPr="00B64750">
              <w:rPr>
                <w:rStyle w:val="Hyperlink"/>
              </w:rPr>
              <w:t>https://britannica.com/</w:t>
            </w:r>
          </w:hyperlink>
        </w:p>
        <w:p w14:paraId="116A702C" w14:textId="7904CF32" w:rsidR="005256B6" w:rsidRDefault="005256B6">
          <w:r>
            <w:t>[Accessed 18</w:t>
          </w:r>
          <w:r w:rsidRPr="005256B6">
            <w:rPr>
              <w:vertAlign w:val="superscript"/>
            </w:rPr>
            <w:t>th</w:t>
          </w:r>
          <w:r>
            <w:t xml:space="preserve"> April 2020]</w:t>
          </w:r>
        </w:p>
        <w:p w14:paraId="3432040D" w14:textId="77777777" w:rsidR="00C82527" w:rsidRDefault="00C82527"/>
        <w:p w14:paraId="2AD68027" w14:textId="457BAB9C" w:rsidR="00C82527" w:rsidRDefault="00C82527">
          <w:r>
            <w:t>Harris, D. R. 1994. The Archaeology of V. Gordon Childe</w:t>
          </w:r>
          <w:r w:rsidR="00D3040E">
            <w:t xml:space="preserve"> Contemporary Perspectives</w:t>
          </w:r>
          <w:r>
            <w:t>. Chicago: The University of Chicago Press</w:t>
          </w:r>
        </w:p>
        <w:p w14:paraId="322EF671" w14:textId="24BC9015" w:rsidR="00C82527" w:rsidRDefault="00C82527"/>
        <w:p w14:paraId="70F02E7F" w14:textId="60854731" w:rsidR="00564B95" w:rsidRDefault="00564B95">
          <w:r>
            <w:t>Hayden, B. 2014. Social Complexity. Oxford Handbooks Online</w:t>
          </w:r>
        </w:p>
        <w:p w14:paraId="2A214BA1" w14:textId="5A5F1942" w:rsidR="00564B95" w:rsidRDefault="00564B95">
          <w:r>
            <w:t xml:space="preserve">Available from: </w:t>
          </w:r>
          <w:hyperlink r:id="rId10" w:history="1">
            <w:r w:rsidRPr="00B64750">
              <w:rPr>
                <w:rStyle w:val="Hyperlink"/>
              </w:rPr>
              <w:t>https://www.oxfordhandbooksonline.com/</w:t>
            </w:r>
          </w:hyperlink>
        </w:p>
        <w:p w14:paraId="46D2F177" w14:textId="0D58D48B" w:rsidR="00564B95" w:rsidRDefault="00564B95">
          <w:r>
            <w:t>[Accessed 19</w:t>
          </w:r>
          <w:r w:rsidRPr="00564B95">
            <w:rPr>
              <w:vertAlign w:val="superscript"/>
            </w:rPr>
            <w:t>th</w:t>
          </w:r>
          <w:r>
            <w:t xml:space="preserve"> April 2020]</w:t>
          </w:r>
        </w:p>
        <w:p w14:paraId="06B08A5B" w14:textId="77777777" w:rsidR="00564B95" w:rsidRDefault="00564B95"/>
        <w:p w14:paraId="56DF038F" w14:textId="77777777" w:rsidR="00C82527" w:rsidRDefault="00C82527">
          <w:r>
            <w:t>Mark. J. J. 2016. Thebes (Egypt). Ancient History Encyclopedia</w:t>
          </w:r>
        </w:p>
        <w:p w14:paraId="746A11F8" w14:textId="1F37CAC2" w:rsidR="00C82527" w:rsidRDefault="00C82527">
          <w:r>
            <w:t xml:space="preserve">Available from: </w:t>
          </w:r>
          <w:hyperlink r:id="rId11" w:history="1">
            <w:r w:rsidRPr="00B64750">
              <w:rPr>
                <w:rStyle w:val="Hyperlink"/>
              </w:rPr>
              <w:t>https://www.ancient.eu/</w:t>
            </w:r>
          </w:hyperlink>
        </w:p>
        <w:p w14:paraId="631751E9" w14:textId="77777777" w:rsidR="00C82527" w:rsidRDefault="00C82527">
          <w:r>
            <w:t>[Accessed 17</w:t>
          </w:r>
          <w:r w:rsidRPr="00C82527">
            <w:rPr>
              <w:vertAlign w:val="superscript"/>
            </w:rPr>
            <w:t>th</w:t>
          </w:r>
          <w:r>
            <w:t xml:space="preserve"> April 2020)</w:t>
          </w:r>
        </w:p>
        <w:p w14:paraId="7E5283DD" w14:textId="77777777" w:rsidR="00D3040E" w:rsidRDefault="00D3040E"/>
        <w:p w14:paraId="4821C3A8" w14:textId="71BC58E1" w:rsidR="00790BD8" w:rsidRDefault="00D3040E">
          <w:r>
            <w:t xml:space="preserve">Strudwick, H. 2006. Thebes, ‘City of 100 Gates’, in </w:t>
          </w:r>
          <w:r>
            <w:rPr>
              <w:i/>
              <w:iCs/>
            </w:rPr>
            <w:t xml:space="preserve">The Encyclopedia of Ancient Egypt. </w:t>
          </w:r>
          <w:r>
            <w:t>London: Amber Books Ltd</w:t>
          </w:r>
        </w:p>
      </w:sdtContent>
    </w:sdt>
    <w:p w14:paraId="178CD6F3" w14:textId="77777777" w:rsidR="00564B95" w:rsidRDefault="00564B95"/>
    <w:sectPr w:rsidR="00564B95" w:rsidSect="00C9430C">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93F3EB" w14:textId="77777777" w:rsidR="0076266A" w:rsidRDefault="0076266A" w:rsidP="00790BD8">
      <w:r>
        <w:separator/>
      </w:r>
    </w:p>
  </w:endnote>
  <w:endnote w:type="continuationSeparator" w:id="0">
    <w:p w14:paraId="4273E35C" w14:textId="77777777" w:rsidR="0076266A" w:rsidRDefault="0076266A" w:rsidP="00790B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5215504"/>
      <w:docPartObj>
        <w:docPartGallery w:val="Page Numbers (Bottom of Page)"/>
        <w:docPartUnique/>
      </w:docPartObj>
    </w:sdtPr>
    <w:sdtContent>
      <w:p w14:paraId="06E574B2" w14:textId="2CCB31FE" w:rsidR="00790BD8" w:rsidRDefault="00790BD8" w:rsidP="00B647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407764" w14:textId="77777777" w:rsidR="00790BD8" w:rsidRDefault="00790BD8" w:rsidP="00790B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52120811"/>
      <w:docPartObj>
        <w:docPartGallery w:val="Page Numbers (Bottom of Page)"/>
        <w:docPartUnique/>
      </w:docPartObj>
    </w:sdtPr>
    <w:sdtContent>
      <w:p w14:paraId="62158F6C" w14:textId="79028175" w:rsidR="00790BD8" w:rsidRDefault="00790BD8" w:rsidP="00B647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19568E" w14:textId="52E4D085" w:rsidR="00790BD8" w:rsidRDefault="00790BD8" w:rsidP="00790BD8">
    <w:pPr>
      <w:pStyle w:val="Footer"/>
      <w:ind w:right="360"/>
    </w:pPr>
    <w:r>
      <w:t>HPAR4005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F2F004" w14:textId="77777777" w:rsidR="0076266A" w:rsidRDefault="0076266A" w:rsidP="00790BD8">
      <w:r>
        <w:separator/>
      </w:r>
    </w:p>
  </w:footnote>
  <w:footnote w:type="continuationSeparator" w:id="0">
    <w:p w14:paraId="42A1A766" w14:textId="77777777" w:rsidR="0076266A" w:rsidRDefault="0076266A" w:rsidP="00790B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95EEE" w14:textId="6D153FEF" w:rsidR="00790BD8" w:rsidRDefault="00790BD8">
    <w:pPr>
      <w:pStyle w:val="Header"/>
    </w:pPr>
    <w:r>
      <w:t xml:space="preserve">Feryn Walmsley </w:t>
    </w:r>
    <w:r w:rsidR="008D6BB6">
      <w:t>1901540</w:t>
    </w:r>
  </w:p>
  <w:p w14:paraId="79538B49" w14:textId="77777777" w:rsidR="00832A32" w:rsidRDefault="00832A32" w:rsidP="00832A32">
    <w:r>
      <w:t>Consider how useful Childe’s criteria for the emergence of towns and states are for interpreting the emergence of social complexity in the East Mediterranean in the Bronze Age. Answer with reference to a case study from Egypt.</w:t>
    </w:r>
  </w:p>
  <w:p w14:paraId="3DEE482C" w14:textId="77777777" w:rsidR="00832A32" w:rsidRDefault="00832A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BD4E5A"/>
    <w:multiLevelType w:val="hybridMultilevel"/>
    <w:tmpl w:val="38486E8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FE6253"/>
    <w:multiLevelType w:val="multilevel"/>
    <w:tmpl w:val="BBA66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6C1"/>
    <w:rsid w:val="000D39D8"/>
    <w:rsid w:val="000E6D7B"/>
    <w:rsid w:val="00154CFF"/>
    <w:rsid w:val="00255D4C"/>
    <w:rsid w:val="00311B67"/>
    <w:rsid w:val="003A78B7"/>
    <w:rsid w:val="004427FD"/>
    <w:rsid w:val="005256B6"/>
    <w:rsid w:val="00564B95"/>
    <w:rsid w:val="00652CCF"/>
    <w:rsid w:val="00685E8E"/>
    <w:rsid w:val="00747D83"/>
    <w:rsid w:val="0076266A"/>
    <w:rsid w:val="00790BD8"/>
    <w:rsid w:val="00832A32"/>
    <w:rsid w:val="008D6BB6"/>
    <w:rsid w:val="009B2454"/>
    <w:rsid w:val="009C731B"/>
    <w:rsid w:val="00BD3120"/>
    <w:rsid w:val="00C82527"/>
    <w:rsid w:val="00C92B62"/>
    <w:rsid w:val="00C9430C"/>
    <w:rsid w:val="00D3040E"/>
    <w:rsid w:val="00D61B08"/>
    <w:rsid w:val="00E05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D6A46A"/>
  <w15:chartTrackingRefBased/>
  <w15:docId w15:val="{2DF0D842-FC8B-DB44-9C98-C507661F6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BD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832A3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BD8"/>
    <w:pPr>
      <w:tabs>
        <w:tab w:val="center" w:pos="4513"/>
        <w:tab w:val="right" w:pos="9026"/>
      </w:tabs>
    </w:pPr>
  </w:style>
  <w:style w:type="character" w:customStyle="1" w:styleId="HeaderChar">
    <w:name w:val="Header Char"/>
    <w:basedOn w:val="DefaultParagraphFont"/>
    <w:link w:val="Header"/>
    <w:uiPriority w:val="99"/>
    <w:rsid w:val="00790BD8"/>
  </w:style>
  <w:style w:type="paragraph" w:styleId="Footer">
    <w:name w:val="footer"/>
    <w:basedOn w:val="Normal"/>
    <w:link w:val="FooterChar"/>
    <w:uiPriority w:val="99"/>
    <w:unhideWhenUsed/>
    <w:rsid w:val="00790BD8"/>
    <w:pPr>
      <w:tabs>
        <w:tab w:val="center" w:pos="4513"/>
        <w:tab w:val="right" w:pos="9026"/>
      </w:tabs>
    </w:pPr>
  </w:style>
  <w:style w:type="character" w:customStyle="1" w:styleId="FooterChar">
    <w:name w:val="Footer Char"/>
    <w:basedOn w:val="DefaultParagraphFont"/>
    <w:link w:val="Footer"/>
    <w:uiPriority w:val="99"/>
    <w:rsid w:val="00790BD8"/>
  </w:style>
  <w:style w:type="character" w:styleId="PageNumber">
    <w:name w:val="page number"/>
    <w:basedOn w:val="DefaultParagraphFont"/>
    <w:uiPriority w:val="99"/>
    <w:semiHidden/>
    <w:unhideWhenUsed/>
    <w:rsid w:val="00790BD8"/>
  </w:style>
  <w:style w:type="character" w:customStyle="1" w:styleId="Heading1Char">
    <w:name w:val="Heading 1 Char"/>
    <w:basedOn w:val="DefaultParagraphFont"/>
    <w:link w:val="Heading1"/>
    <w:uiPriority w:val="9"/>
    <w:rsid w:val="00790BD8"/>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C82527"/>
    <w:rPr>
      <w:color w:val="0563C1" w:themeColor="hyperlink"/>
      <w:u w:val="single"/>
    </w:rPr>
  </w:style>
  <w:style w:type="character" w:styleId="UnresolvedMention">
    <w:name w:val="Unresolved Mention"/>
    <w:basedOn w:val="DefaultParagraphFont"/>
    <w:uiPriority w:val="99"/>
    <w:semiHidden/>
    <w:unhideWhenUsed/>
    <w:rsid w:val="00C82527"/>
    <w:rPr>
      <w:color w:val="605E5C"/>
      <w:shd w:val="clear" w:color="auto" w:fill="E1DFDD"/>
    </w:rPr>
  </w:style>
  <w:style w:type="character" w:customStyle="1" w:styleId="Heading2Char">
    <w:name w:val="Heading 2 Char"/>
    <w:basedOn w:val="DefaultParagraphFont"/>
    <w:link w:val="Heading2"/>
    <w:uiPriority w:val="9"/>
    <w:semiHidden/>
    <w:rsid w:val="00832A32"/>
    <w:rPr>
      <w:rFonts w:asciiTheme="majorHAnsi" w:eastAsiaTheme="majorEastAsia" w:hAnsiTheme="majorHAnsi" w:cstheme="majorBidi"/>
      <w:color w:val="2F5496" w:themeColor="accent1" w:themeShade="BF"/>
      <w:sz w:val="26"/>
      <w:szCs w:val="26"/>
    </w:rPr>
  </w:style>
  <w:style w:type="character" w:customStyle="1" w:styleId="titlepart">
    <w:name w:val="titlepart"/>
    <w:basedOn w:val="DefaultParagraphFont"/>
    <w:rsid w:val="00832A32"/>
  </w:style>
  <w:style w:type="character" w:customStyle="1" w:styleId="apple-converted-space">
    <w:name w:val="apple-converted-space"/>
    <w:basedOn w:val="DefaultParagraphFont"/>
    <w:rsid w:val="00832A32"/>
  </w:style>
  <w:style w:type="character" w:customStyle="1" w:styleId="availabilityicon">
    <w:name w:val="availabilityicon"/>
    <w:basedOn w:val="DefaultParagraphFont"/>
    <w:rsid w:val="00832A32"/>
  </w:style>
  <w:style w:type="character" w:customStyle="1" w:styleId="hi">
    <w:name w:val="hi"/>
    <w:basedOn w:val="DefaultParagraphFont"/>
    <w:rsid w:val="00564B95"/>
  </w:style>
  <w:style w:type="character" w:styleId="HTMLCite">
    <w:name w:val="HTML Cite"/>
    <w:basedOn w:val="DefaultParagraphFont"/>
    <w:uiPriority w:val="99"/>
    <w:semiHidden/>
    <w:unhideWhenUsed/>
    <w:rsid w:val="00564B95"/>
    <w:rPr>
      <w:i/>
      <w:iCs/>
    </w:rPr>
  </w:style>
  <w:style w:type="character" w:customStyle="1" w:styleId="d-none">
    <w:name w:val="d-none"/>
    <w:basedOn w:val="DefaultParagraphFont"/>
    <w:rsid w:val="005256B6"/>
  </w:style>
  <w:style w:type="paragraph" w:styleId="ListParagraph">
    <w:name w:val="List Paragraph"/>
    <w:basedOn w:val="Normal"/>
    <w:uiPriority w:val="34"/>
    <w:qFormat/>
    <w:rsid w:val="000D39D8"/>
    <w:pPr>
      <w:ind w:left="720"/>
      <w:contextualSpacing/>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090356">
      <w:bodyDiv w:val="1"/>
      <w:marLeft w:val="0"/>
      <w:marRight w:val="0"/>
      <w:marTop w:val="0"/>
      <w:marBottom w:val="0"/>
      <w:divBdr>
        <w:top w:val="none" w:sz="0" w:space="0" w:color="auto"/>
        <w:left w:val="none" w:sz="0" w:space="0" w:color="auto"/>
        <w:bottom w:val="none" w:sz="0" w:space="0" w:color="auto"/>
        <w:right w:val="none" w:sz="0" w:space="0" w:color="auto"/>
      </w:divBdr>
      <w:divsChild>
        <w:div w:id="1159999862">
          <w:marLeft w:val="0"/>
          <w:marRight w:val="0"/>
          <w:marTop w:val="0"/>
          <w:marBottom w:val="0"/>
          <w:divBdr>
            <w:top w:val="none" w:sz="0" w:space="0" w:color="auto"/>
            <w:left w:val="none" w:sz="0" w:space="0" w:color="auto"/>
            <w:bottom w:val="none" w:sz="0" w:space="0" w:color="auto"/>
            <w:right w:val="none" w:sz="0" w:space="0" w:color="auto"/>
          </w:divBdr>
        </w:div>
      </w:divsChild>
    </w:div>
    <w:div w:id="550306218">
      <w:bodyDiv w:val="1"/>
      <w:marLeft w:val="0"/>
      <w:marRight w:val="0"/>
      <w:marTop w:val="0"/>
      <w:marBottom w:val="0"/>
      <w:divBdr>
        <w:top w:val="none" w:sz="0" w:space="0" w:color="auto"/>
        <w:left w:val="none" w:sz="0" w:space="0" w:color="auto"/>
        <w:bottom w:val="none" w:sz="0" w:space="0" w:color="auto"/>
        <w:right w:val="none" w:sz="0" w:space="0" w:color="auto"/>
      </w:divBdr>
      <w:divsChild>
        <w:div w:id="1977418368">
          <w:marLeft w:val="0"/>
          <w:marRight w:val="0"/>
          <w:marTop w:val="0"/>
          <w:marBottom w:val="0"/>
          <w:divBdr>
            <w:top w:val="none" w:sz="0" w:space="0" w:color="auto"/>
            <w:left w:val="none" w:sz="0" w:space="0" w:color="auto"/>
            <w:bottom w:val="none" w:sz="0" w:space="0" w:color="auto"/>
            <w:right w:val="none" w:sz="0" w:space="0" w:color="auto"/>
          </w:divBdr>
          <w:divsChild>
            <w:div w:id="951673042">
              <w:marLeft w:val="0"/>
              <w:marRight w:val="0"/>
              <w:marTop w:val="0"/>
              <w:marBottom w:val="0"/>
              <w:divBdr>
                <w:top w:val="none" w:sz="0" w:space="0" w:color="auto"/>
                <w:left w:val="none" w:sz="0" w:space="0" w:color="auto"/>
                <w:bottom w:val="none" w:sz="0" w:space="0" w:color="auto"/>
                <w:right w:val="none" w:sz="0" w:space="0" w:color="auto"/>
              </w:divBdr>
              <w:divsChild>
                <w:div w:id="26758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185510">
          <w:marLeft w:val="0"/>
          <w:marRight w:val="0"/>
          <w:marTop w:val="0"/>
          <w:marBottom w:val="0"/>
          <w:divBdr>
            <w:top w:val="none" w:sz="0" w:space="0" w:color="auto"/>
            <w:left w:val="none" w:sz="0" w:space="0" w:color="auto"/>
            <w:bottom w:val="none" w:sz="0" w:space="0" w:color="auto"/>
            <w:right w:val="none" w:sz="0" w:space="0" w:color="auto"/>
          </w:divBdr>
          <w:divsChild>
            <w:div w:id="2125348330">
              <w:marLeft w:val="0"/>
              <w:marRight w:val="0"/>
              <w:marTop w:val="0"/>
              <w:marBottom w:val="0"/>
              <w:divBdr>
                <w:top w:val="none" w:sz="0" w:space="0" w:color="auto"/>
                <w:left w:val="none" w:sz="0" w:space="0" w:color="auto"/>
                <w:bottom w:val="none" w:sz="0" w:space="0" w:color="auto"/>
                <w:right w:val="none" w:sz="0" w:space="0" w:color="auto"/>
              </w:divBdr>
            </w:div>
            <w:div w:id="1470173132">
              <w:marLeft w:val="0"/>
              <w:marRight w:val="0"/>
              <w:marTop w:val="0"/>
              <w:marBottom w:val="0"/>
              <w:divBdr>
                <w:top w:val="none" w:sz="0" w:space="0" w:color="auto"/>
                <w:left w:val="none" w:sz="0" w:space="0" w:color="auto"/>
                <w:bottom w:val="none" w:sz="0" w:space="0" w:color="auto"/>
                <w:right w:val="none" w:sz="0" w:space="0" w:color="auto"/>
              </w:divBdr>
              <w:divsChild>
                <w:div w:id="1179469521">
                  <w:marLeft w:val="0"/>
                  <w:marRight w:val="0"/>
                  <w:marTop w:val="0"/>
                  <w:marBottom w:val="0"/>
                  <w:divBdr>
                    <w:top w:val="none" w:sz="0" w:space="0" w:color="auto"/>
                    <w:left w:val="none" w:sz="0" w:space="0" w:color="auto"/>
                    <w:bottom w:val="none" w:sz="0" w:space="0" w:color="auto"/>
                    <w:right w:val="none" w:sz="0" w:space="0" w:color="auto"/>
                  </w:divBdr>
                </w:div>
                <w:div w:id="86509984">
                  <w:marLeft w:val="0"/>
                  <w:marRight w:val="0"/>
                  <w:marTop w:val="0"/>
                  <w:marBottom w:val="0"/>
                  <w:divBdr>
                    <w:top w:val="none" w:sz="0" w:space="0" w:color="auto"/>
                    <w:left w:val="none" w:sz="0" w:space="0" w:color="auto"/>
                    <w:bottom w:val="none" w:sz="0" w:space="0" w:color="auto"/>
                    <w:right w:val="none" w:sz="0" w:space="0" w:color="auto"/>
                  </w:divBdr>
                  <w:divsChild>
                    <w:div w:id="174702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991529">
              <w:marLeft w:val="0"/>
              <w:marRight w:val="0"/>
              <w:marTop w:val="120"/>
              <w:marBottom w:val="0"/>
              <w:divBdr>
                <w:top w:val="none" w:sz="0" w:space="0" w:color="auto"/>
                <w:left w:val="none" w:sz="0" w:space="0" w:color="auto"/>
                <w:bottom w:val="none" w:sz="0" w:space="0" w:color="auto"/>
                <w:right w:val="none" w:sz="0" w:space="0" w:color="auto"/>
              </w:divBdr>
              <w:divsChild>
                <w:div w:id="6383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448836">
      <w:bodyDiv w:val="1"/>
      <w:marLeft w:val="0"/>
      <w:marRight w:val="0"/>
      <w:marTop w:val="0"/>
      <w:marBottom w:val="0"/>
      <w:divBdr>
        <w:top w:val="none" w:sz="0" w:space="0" w:color="auto"/>
        <w:left w:val="none" w:sz="0" w:space="0" w:color="auto"/>
        <w:bottom w:val="none" w:sz="0" w:space="0" w:color="auto"/>
        <w:right w:val="none" w:sz="0" w:space="0" w:color="auto"/>
      </w:divBdr>
    </w:div>
    <w:div w:id="737674371">
      <w:bodyDiv w:val="1"/>
      <w:marLeft w:val="0"/>
      <w:marRight w:val="0"/>
      <w:marTop w:val="0"/>
      <w:marBottom w:val="0"/>
      <w:divBdr>
        <w:top w:val="none" w:sz="0" w:space="0" w:color="auto"/>
        <w:left w:val="none" w:sz="0" w:space="0" w:color="auto"/>
        <w:bottom w:val="none" w:sz="0" w:space="0" w:color="auto"/>
        <w:right w:val="none" w:sz="0" w:space="0" w:color="auto"/>
      </w:divBdr>
      <w:divsChild>
        <w:div w:id="1698653923">
          <w:marLeft w:val="0"/>
          <w:marRight w:val="0"/>
          <w:marTop w:val="0"/>
          <w:marBottom w:val="0"/>
          <w:divBdr>
            <w:top w:val="none" w:sz="0" w:space="0" w:color="auto"/>
            <w:left w:val="none" w:sz="0" w:space="0" w:color="auto"/>
            <w:bottom w:val="none" w:sz="0" w:space="0" w:color="auto"/>
            <w:right w:val="none" w:sz="0" w:space="0" w:color="auto"/>
          </w:divBdr>
        </w:div>
      </w:divsChild>
    </w:div>
    <w:div w:id="1697731532">
      <w:bodyDiv w:val="1"/>
      <w:marLeft w:val="0"/>
      <w:marRight w:val="0"/>
      <w:marTop w:val="0"/>
      <w:marBottom w:val="0"/>
      <w:divBdr>
        <w:top w:val="none" w:sz="0" w:space="0" w:color="auto"/>
        <w:left w:val="none" w:sz="0" w:space="0" w:color="auto"/>
        <w:bottom w:val="none" w:sz="0" w:space="0" w:color="auto"/>
        <w:right w:val="none" w:sz="0" w:space="0" w:color="auto"/>
      </w:divBdr>
    </w:div>
    <w:div w:id="1752895033">
      <w:bodyDiv w:val="1"/>
      <w:marLeft w:val="0"/>
      <w:marRight w:val="0"/>
      <w:marTop w:val="0"/>
      <w:marBottom w:val="0"/>
      <w:divBdr>
        <w:top w:val="none" w:sz="0" w:space="0" w:color="auto"/>
        <w:left w:val="none" w:sz="0" w:space="0" w:color="auto"/>
        <w:bottom w:val="none" w:sz="0" w:space="0" w:color="auto"/>
        <w:right w:val="none" w:sz="0" w:space="0" w:color="auto"/>
      </w:divBdr>
      <w:divsChild>
        <w:div w:id="422578932">
          <w:marLeft w:val="0"/>
          <w:marRight w:val="0"/>
          <w:marTop w:val="0"/>
          <w:marBottom w:val="0"/>
          <w:divBdr>
            <w:top w:val="none" w:sz="0" w:space="0" w:color="auto"/>
            <w:left w:val="none" w:sz="0" w:space="0" w:color="auto"/>
            <w:bottom w:val="none" w:sz="0" w:space="0" w:color="auto"/>
            <w:right w:val="none" w:sz="0" w:space="0" w:color="auto"/>
          </w:divBdr>
        </w:div>
        <w:div w:id="282662573">
          <w:marLeft w:val="0"/>
          <w:marRight w:val="0"/>
          <w:marTop w:val="300"/>
          <w:marBottom w:val="300"/>
          <w:divBdr>
            <w:top w:val="single" w:sz="6" w:space="6" w:color="CCCCCC"/>
            <w:left w:val="single" w:sz="2" w:space="0" w:color="CCCCCC"/>
            <w:bottom w:val="single" w:sz="6" w:space="6" w:color="CCCCCC"/>
            <w:right w:val="single" w:sz="2" w:space="0" w:color="CCCCCC"/>
          </w:divBdr>
          <w:divsChild>
            <w:div w:id="139069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handbooksonline.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cient.eu/"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oxfordhandbooksonline.com/" TargetMode="External"/><Relationship Id="rId4" Type="http://schemas.openxmlformats.org/officeDocument/2006/relationships/settings" Target="settings.xml"/><Relationship Id="rId9" Type="http://schemas.openxmlformats.org/officeDocument/2006/relationships/hyperlink" Target="https://britannica.com/"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32D3E5-63D4-E949-8CE7-06D9593D8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5</Pages>
  <Words>1953</Words>
  <Characters>11138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13</cp:revision>
  <dcterms:created xsi:type="dcterms:W3CDTF">2020-04-19T21:27:00Z</dcterms:created>
  <dcterms:modified xsi:type="dcterms:W3CDTF">2020-04-22T12:09:00Z</dcterms:modified>
</cp:coreProperties>
</file>