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71087361"/>
        <w:docPartObj>
          <w:docPartGallery w:val="Cover Pages"/>
          <w:docPartUnique/>
        </w:docPartObj>
      </w:sdtPr>
      <w:sdtEndPr/>
      <w:sdtContent>
        <w:p w14:paraId="67740381" w14:textId="02CA24A2" w:rsidR="00E40DD0" w:rsidRDefault="00E40DD0">
          <w:r>
            <w:rPr>
              <w:noProof/>
            </w:rPr>
            <mc:AlternateContent>
              <mc:Choice Requires="wpg">
                <w:drawing>
                  <wp:anchor distT="0" distB="0" distL="114300" distR="114300" simplePos="0" relativeHeight="251659264" behindDoc="1" locked="0" layoutInCell="1" allowOverlap="1" wp14:anchorId="68B74733" wp14:editId="5A33597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2268E7C" w14:textId="77777777" w:rsidR="00E40DD0" w:rsidRDefault="00E40DD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AB2B6FE" w14:textId="388CCE14" w:rsidR="00E40DD0" w:rsidRDefault="00E40DD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Child rights: access to contraceptive advice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52331EC" w14:textId="787A702C" w:rsidR="00E40DD0" w:rsidRDefault="00E40DD0">
                                      <w:pPr>
                                        <w:pStyle w:val="NoSpacing"/>
                                        <w:spacing w:before="120"/>
                                        <w:rPr>
                                          <w:color w:val="4472C4" w:themeColor="accent1"/>
                                          <w:sz w:val="36"/>
                                          <w:szCs w:val="36"/>
                                        </w:rPr>
                                      </w:pPr>
                                      <w:r>
                                        <w:rPr>
                                          <w:color w:val="4472C4" w:themeColor="accent1"/>
                                          <w:sz w:val="36"/>
                                          <w:szCs w:val="36"/>
                                        </w:rPr>
                                        <w:t>Jade Brown / 2319007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B74733"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2268E7C" w14:textId="77777777" w:rsidR="00E40DD0" w:rsidRDefault="00E40DD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AB2B6FE" w14:textId="388CCE14" w:rsidR="00E40DD0" w:rsidRDefault="00E40DD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Child rights: access to contraceptive advice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52331EC" w14:textId="787A702C" w:rsidR="00E40DD0" w:rsidRDefault="00E40DD0">
                                <w:pPr>
                                  <w:pStyle w:val="NoSpacing"/>
                                  <w:spacing w:before="120"/>
                                  <w:rPr>
                                    <w:color w:val="4472C4" w:themeColor="accent1"/>
                                    <w:sz w:val="36"/>
                                    <w:szCs w:val="36"/>
                                  </w:rPr>
                                </w:pPr>
                                <w:r>
                                  <w:rPr>
                                    <w:color w:val="4472C4" w:themeColor="accent1"/>
                                    <w:sz w:val="36"/>
                                    <w:szCs w:val="36"/>
                                  </w:rPr>
                                  <w:t>Jade Brown / 2319007</w:t>
                                </w:r>
                              </w:p>
                            </w:sdtContent>
                          </w:sdt>
                        </w:txbxContent>
                      </v:textbox>
                    </v:shape>
                    <w10:wrap anchorx="page" anchory="page"/>
                  </v:group>
                </w:pict>
              </mc:Fallback>
            </mc:AlternateContent>
          </w:r>
        </w:p>
        <w:p w14:paraId="6ED6B95C" w14:textId="7EFC7103" w:rsidR="00E40DD0" w:rsidRDefault="00E40DD0">
          <w:r>
            <w:br w:type="page"/>
          </w:r>
        </w:p>
      </w:sdtContent>
    </w:sdt>
    <w:p w14:paraId="17CDBDC1" w14:textId="2F4C3289" w:rsidR="007B6A72" w:rsidRDefault="000161F5" w:rsidP="00203F0C">
      <w:r w:rsidRPr="007417EF">
        <w:lastRenderedPageBreak/>
        <w:t xml:space="preserve">B1) </w:t>
      </w:r>
      <w:r w:rsidR="00CD365A" w:rsidRPr="007417EF">
        <w:t xml:space="preserve">The </w:t>
      </w:r>
      <w:r w:rsidR="00BE2744">
        <w:t xml:space="preserve">chosen legal issue </w:t>
      </w:r>
      <w:r w:rsidR="002D3578" w:rsidRPr="007417EF">
        <w:t>is the a</w:t>
      </w:r>
      <w:r w:rsidR="00E40DD0" w:rsidRPr="007417EF">
        <w:t xml:space="preserve">ccess to contraceptive </w:t>
      </w:r>
      <w:r w:rsidR="00E40DD0" w:rsidRPr="00F60E04">
        <w:t>advice for individuals aged 14–16</w:t>
      </w:r>
      <w:r w:rsidR="00EC21A4" w:rsidRPr="00F60E04">
        <w:t xml:space="preserve">. </w:t>
      </w:r>
      <w:r w:rsidR="00E40DD0" w:rsidRPr="00F60E04">
        <w:t>The legal framework, established primarily through the</w:t>
      </w:r>
      <w:r w:rsidR="0048327F" w:rsidRPr="00F60E04">
        <w:t xml:space="preserve"> case of </w:t>
      </w:r>
      <w:r w:rsidR="0048327F" w:rsidRPr="00F60E04">
        <w:rPr>
          <w:i/>
          <w:iCs/>
        </w:rPr>
        <w:t xml:space="preserve">Gillick v West Norfolk and Wisbech Area Health </w:t>
      </w:r>
      <w:r w:rsidR="00BE2744" w:rsidRPr="00F60E04">
        <w:rPr>
          <w:i/>
          <w:iCs/>
        </w:rPr>
        <w:t>Authority</w:t>
      </w:r>
      <w:r w:rsidR="0048327F" w:rsidRPr="00F60E04">
        <w:rPr>
          <w:i/>
          <w:iCs/>
        </w:rPr>
        <w:t xml:space="preserve"> [1985]</w:t>
      </w:r>
      <w:r w:rsidR="007417EF" w:rsidRPr="00F60E04">
        <w:rPr>
          <w:i/>
          <w:iCs/>
        </w:rPr>
        <w:t xml:space="preserve"> 3 WLR 830</w:t>
      </w:r>
      <w:r w:rsidR="007C2598" w:rsidRPr="00F60E04">
        <w:t xml:space="preserve">, </w:t>
      </w:r>
      <w:r w:rsidR="005F4080" w:rsidRPr="00F60E04">
        <w:t>this</w:t>
      </w:r>
      <w:r w:rsidR="00E40DD0" w:rsidRPr="00F60E04">
        <w:t xml:space="preserve"> permits minors under 16 to independently consent to medical treatment if they are deemed mature enough to comprehend its implications.</w:t>
      </w:r>
      <w:r w:rsidR="005F4080" w:rsidRPr="00F60E04">
        <w:t xml:space="preserve"> It is feasible to suggest</w:t>
      </w:r>
      <w:r w:rsidR="005F4080" w:rsidRPr="007417EF">
        <w:t xml:space="preserve"> that</w:t>
      </w:r>
      <w:r w:rsidR="00E40DD0" w:rsidRPr="007417EF">
        <w:t xml:space="preserve"> while these principles empower minors, they also create complexities for both young people and healthcare providers navigating their respective rights and responsibilities.</w:t>
      </w:r>
      <w:r w:rsidR="00BE2744">
        <w:t xml:space="preserve"> </w:t>
      </w:r>
      <w:r w:rsidR="00752552" w:rsidRPr="007417EF">
        <w:t>Hodgson (2021</w:t>
      </w:r>
      <w:r w:rsidR="00997298">
        <w:t>),</w:t>
      </w:r>
      <w:r w:rsidR="00752552" w:rsidRPr="007417EF">
        <w:t xml:space="preserve"> notes that parental responsibility is a central concept </w:t>
      </w:r>
      <w:r w:rsidR="00B4493B">
        <w:t xml:space="preserve">which is outlined in section </w:t>
      </w:r>
      <w:r w:rsidR="006F6226">
        <w:t>(</w:t>
      </w:r>
      <w:r w:rsidR="00B4493B">
        <w:t>3</w:t>
      </w:r>
      <w:r w:rsidR="006F6226">
        <w:t>)</w:t>
      </w:r>
      <w:r w:rsidR="00B4493B">
        <w:t xml:space="preserve"> of the </w:t>
      </w:r>
      <w:r w:rsidR="00752552" w:rsidRPr="007417EF">
        <w:t xml:space="preserve">Children Act 1989. While parental responsibility naturally covers almost all decisions for a very young child, as a child matures and gains the ability to make personal decisions, </w:t>
      </w:r>
      <w:r w:rsidR="00AD6256" w:rsidRPr="007417EF">
        <w:t>p</w:t>
      </w:r>
      <w:r w:rsidR="00356BF9" w:rsidRPr="007417EF">
        <w:t xml:space="preserve">arental </w:t>
      </w:r>
      <w:r w:rsidR="00AD6256" w:rsidRPr="007417EF">
        <w:t>responsibility</w:t>
      </w:r>
      <w:r w:rsidR="00752552" w:rsidRPr="007417EF">
        <w:t xml:space="preserve"> tends to focus more on significant, overarching decisions in the child’s life</w:t>
      </w:r>
      <w:r w:rsidR="008233A1">
        <w:t xml:space="preserve"> which </w:t>
      </w:r>
      <w:r w:rsidR="000517F1">
        <w:t xml:space="preserve">was noted in the case of </w:t>
      </w:r>
      <w:r w:rsidR="000517F1" w:rsidRPr="00201A07">
        <w:rPr>
          <w:i/>
          <w:iCs/>
        </w:rPr>
        <w:t>Re R (A Minor) (Wardship: Consent to treatment</w:t>
      </w:r>
      <w:r w:rsidR="00201A07" w:rsidRPr="00201A07">
        <w:rPr>
          <w:i/>
          <w:iCs/>
        </w:rPr>
        <w:t>)</w:t>
      </w:r>
      <w:r w:rsidR="00201A07">
        <w:t xml:space="preserve"> </w:t>
      </w:r>
      <w:r w:rsidR="00201A07" w:rsidRPr="00201A07">
        <w:rPr>
          <w:i/>
          <w:iCs/>
        </w:rPr>
        <w:t>[1991] 3 WLR 592.</w:t>
      </w:r>
      <w:r w:rsidR="00201A07">
        <w:t xml:space="preserve"> </w:t>
      </w:r>
      <w:r w:rsidR="00752552" w:rsidRPr="007417EF">
        <w:t xml:space="preserve">This perspective aligns with the approach taken by the court in </w:t>
      </w:r>
      <w:r w:rsidR="00752552" w:rsidRPr="00201A07">
        <w:rPr>
          <w:i/>
          <w:iCs/>
        </w:rPr>
        <w:t xml:space="preserve">Gillick v West Norfolk and Wisbech Area Health Authority </w:t>
      </w:r>
      <w:r w:rsidR="00B220F5" w:rsidRPr="00201A07">
        <w:rPr>
          <w:i/>
          <w:iCs/>
        </w:rPr>
        <w:t>[</w:t>
      </w:r>
      <w:r w:rsidR="00752552" w:rsidRPr="00201A07">
        <w:rPr>
          <w:i/>
          <w:iCs/>
        </w:rPr>
        <w:t>198</w:t>
      </w:r>
      <w:r w:rsidR="00FF36C2" w:rsidRPr="00201A07">
        <w:rPr>
          <w:i/>
          <w:iCs/>
        </w:rPr>
        <w:t>5</w:t>
      </w:r>
      <w:r w:rsidR="00B220F5" w:rsidRPr="00201A07">
        <w:rPr>
          <w:i/>
          <w:iCs/>
        </w:rPr>
        <w:t>]</w:t>
      </w:r>
      <w:r w:rsidR="00416B8D" w:rsidRPr="00201A07">
        <w:rPr>
          <w:i/>
          <w:iCs/>
        </w:rPr>
        <w:t xml:space="preserve"> </w:t>
      </w:r>
      <w:r w:rsidR="007417EF" w:rsidRPr="00201A07">
        <w:rPr>
          <w:i/>
          <w:iCs/>
        </w:rPr>
        <w:t>3 WLR 830</w:t>
      </w:r>
      <w:r w:rsidR="00752552" w:rsidRPr="007417EF">
        <w:t xml:space="preserve">, </w:t>
      </w:r>
      <w:r w:rsidR="00D92723" w:rsidRPr="007417EF">
        <w:t>in</w:t>
      </w:r>
      <w:r w:rsidR="00B220F5" w:rsidRPr="007417EF">
        <w:t xml:space="preserve"> t</w:t>
      </w:r>
      <w:r w:rsidR="00AD6256" w:rsidRPr="007417EF">
        <w:t xml:space="preserve">his </w:t>
      </w:r>
      <w:r w:rsidR="00B220F5" w:rsidRPr="007417EF">
        <w:t xml:space="preserve">case, the House of Lords ultimately rejected Mrs. Gillick’s challenge, affirming that </w:t>
      </w:r>
      <w:r w:rsidR="00B220F5" w:rsidRPr="00DC7E68">
        <w:t>the clinical judgment of healthcare professionals should determine whether a minor can consent to medical treatment</w:t>
      </w:r>
      <w:r w:rsidR="00666206" w:rsidRPr="00DC7E68">
        <w:t xml:space="preserve"> or advice</w:t>
      </w:r>
      <w:r w:rsidR="00B220F5" w:rsidRPr="00DC7E68">
        <w:t xml:space="preserve"> independently. This decision upheld the principle that young people deemed competent by their doctors have the right to make their own healthcare decisions without requiring parental consent. By doing so, </w:t>
      </w:r>
      <w:r w:rsidR="00DC7E68" w:rsidRPr="00DC7E68">
        <w:t>the</w:t>
      </w:r>
      <w:r w:rsidR="00DC7E68" w:rsidRPr="00DC7E68">
        <w:t xml:space="preserve"> ruling reinforced minors' autonomy in medical settings, supporting guidance that allows healthcare providers to assess a young person's capacity to make informed health decisions, including encouraging them to inform parents about contraceptive advice (Harris-Short, Miles, and George, 2015). In </w:t>
      </w:r>
      <w:r w:rsidR="00DC7E68" w:rsidRPr="00DC7E68">
        <w:rPr>
          <w:i/>
          <w:iCs/>
        </w:rPr>
        <w:t>R (Axon) v Secretary of State for Health</w:t>
      </w:r>
      <w:r w:rsidR="00DC7E68" w:rsidRPr="00DC7E68">
        <w:t xml:space="preserve"> [2006] EWHC 37, the court upheld guidance allowing doctors to offer confidential sexual health advice and treatment to minors under 16, including contraception and abortion, without parental notification. The claimant’s challenge, arguing this violated parents' 'Article 8 rights' under the Human Rights Act (1998), was dismissed. The court cited Gillick, affirming the child's autonomy when deemed competent, in line with UNCRC principles (Department of Health, 2009).</w:t>
      </w:r>
    </w:p>
    <w:p w14:paraId="12CDE8A7" w14:textId="37422933" w:rsidR="00203F0C" w:rsidRDefault="00F13D0C" w:rsidP="00203F0C">
      <w:r w:rsidRPr="00F13D0C">
        <w:t xml:space="preserve">Following the </w:t>
      </w:r>
      <w:r w:rsidRPr="006F6226">
        <w:rPr>
          <w:i/>
          <w:iCs/>
        </w:rPr>
        <w:t>Gillick</w:t>
      </w:r>
      <w:r w:rsidRPr="00F13D0C">
        <w:t xml:space="preserve"> ruling </w:t>
      </w:r>
      <w:r w:rsidR="006F6226">
        <w:t>in 2006</w:t>
      </w:r>
      <w:r w:rsidRPr="00F13D0C">
        <w:t>, the Fraser guidelines apply to advice and treatment regarding sexually transmitted infections and pregnancy termination (NSPCC, 2022). Practitioners must ensure several conditions are met before providing advice or treatment to a young person. These include confirming the young person’s refusal to involve parents or carers, demonstrating an understanding of the advice, and ensuring the young person's physical or mental health could be at risk without it. It must also be in the young person’s best interests to receive treatment without parental consent, and they must be likely to continue sexual activity regardless of contraceptive access. Practitioners must prioritise the young person’s welfare and remain alert to potential child protection concerns, as early sexual activity may indicate exploitation. If a child under 13 is involved in sexual activity, a safeguarding referral is required, and frequent requests for sexual health services may signal abuse.</w:t>
      </w:r>
      <w:r>
        <w:t xml:space="preserve"> </w:t>
      </w:r>
      <w:r w:rsidR="00F40F02" w:rsidRPr="00F13D0C">
        <w:t>Practitioners should carefully review any prior concerns about the young person and assess any current factors that could impact their safety and wellbeing</w:t>
      </w:r>
      <w:r w:rsidR="0010256C" w:rsidRPr="00F13D0C">
        <w:t xml:space="preserve"> </w:t>
      </w:r>
      <w:r w:rsidR="00F40F02" w:rsidRPr="00F13D0C">
        <w:t>(NSPCC,2022).</w:t>
      </w:r>
      <w:r w:rsidR="00865689" w:rsidRPr="00F13D0C">
        <w:t xml:space="preserve"> </w:t>
      </w:r>
      <w:r w:rsidR="00203F0C" w:rsidRPr="00F13D0C">
        <w:t>According to the N</w:t>
      </w:r>
      <w:r w:rsidR="0065421D" w:rsidRPr="00F13D0C">
        <w:t xml:space="preserve">ational </w:t>
      </w:r>
      <w:r w:rsidR="00203F0C" w:rsidRPr="00F13D0C">
        <w:t>H</w:t>
      </w:r>
      <w:r w:rsidR="0065421D" w:rsidRPr="00F13D0C">
        <w:t xml:space="preserve">ealth </w:t>
      </w:r>
      <w:r w:rsidR="00203F0C" w:rsidRPr="00F13D0C">
        <w:t>S</w:t>
      </w:r>
      <w:r w:rsidR="0065421D" w:rsidRPr="00F13D0C">
        <w:t>ervice</w:t>
      </w:r>
      <w:r w:rsidR="00203F0C" w:rsidRPr="00F13D0C">
        <w:t xml:space="preserve"> (2024), </w:t>
      </w:r>
      <w:r w:rsidR="00865689" w:rsidRPr="00F13D0C">
        <w:t>c</w:t>
      </w:r>
      <w:r w:rsidR="00203F0C" w:rsidRPr="00F13D0C">
        <w:t>ontraception services in the UK are accessible, confidential, and free through the NHS, offering individuals various locations for obtaining contraceptives. These services include sexual health clinics, also known as family planning or contraception clinics, select GP surgeries, and certain youth services</w:t>
      </w:r>
      <w:r w:rsidR="00954EB6" w:rsidRPr="00F13D0C">
        <w:t xml:space="preserve">. </w:t>
      </w:r>
      <w:r w:rsidR="00203F0C" w:rsidRPr="00F13D0C">
        <w:t>Some pharmacies also provide contraceptive pills without requiring a prescription, allowing people to access these services without needing to see a doctor or nurse.</w:t>
      </w:r>
      <w:r w:rsidR="00203F0C">
        <w:t xml:space="preserve"> </w:t>
      </w:r>
    </w:p>
    <w:p w14:paraId="429B67B0" w14:textId="7D491C33" w:rsidR="001B65A4" w:rsidRPr="001B65A4" w:rsidRDefault="00880DFF" w:rsidP="001B65A4">
      <w:r>
        <w:t xml:space="preserve">B2) </w:t>
      </w:r>
      <w:r w:rsidR="00C74FE1">
        <w:t>It is feasible to suggest that a</w:t>
      </w:r>
      <w:r w:rsidR="00C74FE1" w:rsidRPr="00671ABF">
        <w:t xml:space="preserve">ccessing legal information around </w:t>
      </w:r>
      <w:r w:rsidR="00046AE9">
        <w:t>children’s</w:t>
      </w:r>
      <w:r w:rsidR="00C74FE1" w:rsidRPr="00671ABF">
        <w:t xml:space="preserve"> rights to contraceptive services without parental consent can be difficult for lay people. The complexity of </w:t>
      </w:r>
      <w:r w:rsidR="00C74FE1" w:rsidRPr="006F6226">
        <w:rPr>
          <w:i/>
          <w:iCs/>
        </w:rPr>
        <w:t xml:space="preserve">Gillick </w:t>
      </w:r>
      <w:r w:rsidR="00C74FE1" w:rsidRPr="00671ABF">
        <w:t>competence and Fraser Guidelines requires an understanding of nuanced legal standards, often outside the layperson’s familiarity. For young people, discerning their rights under these guidelines is challenging as terms like "maturity" and "understanding" are subjective and vary by practitioner.</w:t>
      </w:r>
      <w:r w:rsidR="00C74FE1">
        <w:t xml:space="preserve"> </w:t>
      </w:r>
      <w:r w:rsidR="00C74FE1" w:rsidRPr="00671ABF">
        <w:t xml:space="preserve">For </w:t>
      </w:r>
      <w:r w:rsidR="00C74FE1" w:rsidRPr="00671ABF">
        <w:lastRenderedPageBreak/>
        <w:t>parents, the guidelines may feel restrictive or exclusionary, challenging their understanding of parental rights as delineated in the Children Act 1989. Legal interpretations that prioriti</w:t>
      </w:r>
      <w:r w:rsidR="00046AE9" w:rsidRPr="007417EF">
        <w:t>se child</w:t>
      </w:r>
      <w:r w:rsidR="00FF57D0" w:rsidRPr="007417EF">
        <w:t>ren’s</w:t>
      </w:r>
      <w:r w:rsidR="00C74FE1" w:rsidRPr="00671ABF">
        <w:t xml:space="preserve"> confidentiality can make it unclear how parents can support their child’s well-being if unaware of their health choices (Hodgson, 2021). The system’s attempt to balance autonomy with protection also creates challenges for healthcare professionals, who must make judgment calls on consent, risk factors, and potential exploitation while maintaining patient confidentiality.</w:t>
      </w:r>
      <w:r w:rsidR="00C74FE1" w:rsidRPr="007417EF">
        <w:t xml:space="preserve"> </w:t>
      </w:r>
      <w:r w:rsidR="00C74FE1" w:rsidRPr="00671ABF">
        <w:t>Furthermore, the legal language and case-specific interpretations of “best interests” in sexual health can leave young people and their families uncertain about when and how confidentiality might be breached, causing hesitancy to seek support. This ambiguity means that both minors and parents may struggle to grasp the boundaries of confidentiality, parental rights, and autonomy as it applies to health care decisions (NSPCC, 2022).</w:t>
      </w:r>
      <w:r w:rsidR="004F6A0B">
        <w:t xml:space="preserve"> </w:t>
      </w:r>
      <w:r w:rsidR="001B65A4" w:rsidRPr="001B65A4">
        <w:t>Globally, approximately 50% of pregnancies are unplanned. In 2021, the number of women</w:t>
      </w:r>
      <w:r w:rsidR="00A548B6">
        <w:t xml:space="preserve"> and children</w:t>
      </w:r>
      <w:r w:rsidR="001B65A4" w:rsidRPr="001B65A4">
        <w:t xml:space="preserve"> in England and Wales who underwent abortions reached a record high of 214,256, reflecting a 16% increase since 2016. Around a quarter of all pregnancies in the UK result in termination. The factors contributing to this are complex and multifaceted. However, if we aim to provide women and girls with as much autonomy and choice as possible, it is essential that we move beyond reluctance and engage openly with discussions about sex, contraception, and sexual consent.</w:t>
      </w:r>
      <w:r w:rsidR="001B65A4">
        <w:t xml:space="preserve"> </w:t>
      </w:r>
      <w:r w:rsidR="001B65A4" w:rsidRPr="001B65A4">
        <w:t>Relationship, health, and sex education (RHSE) became a statutory requirement in schools in 2020. To fully realise its potential, it is crucial that these programmes equip young people with a comprehensive understanding of fertility and contraception, thereby empowering them to make informed decisions about their sexual health (</w:t>
      </w:r>
      <w:r w:rsidR="001B65A4" w:rsidRPr="00A548B6">
        <w:t>McNally, 2023</w:t>
      </w:r>
      <w:r w:rsidR="001B65A4" w:rsidRPr="001B65A4">
        <w:t>).</w:t>
      </w:r>
    </w:p>
    <w:p w14:paraId="7D9CF3AE" w14:textId="5EE5987D" w:rsidR="00C74FE1" w:rsidRDefault="00C74FE1" w:rsidP="00C74FE1"/>
    <w:p w14:paraId="0C993434" w14:textId="3FEAD85E" w:rsidR="009005BC" w:rsidRPr="009005BC" w:rsidRDefault="00991E13" w:rsidP="009005BC">
      <w:r>
        <w:t>B3</w:t>
      </w:r>
      <w:r w:rsidR="008F4EAF">
        <w:t xml:space="preserve">) </w:t>
      </w:r>
      <w:r w:rsidR="008F4EAF" w:rsidRPr="008F4EAF">
        <w:t>I designed my resource to present</w:t>
      </w:r>
      <w:r w:rsidR="000155BA">
        <w:t xml:space="preserve"> as a slideshow video</w:t>
      </w:r>
      <w:r w:rsidR="00532918">
        <w:t xml:space="preserve"> that could potentially be shown in schools</w:t>
      </w:r>
      <w:r w:rsidR="00E406C0">
        <w:t xml:space="preserve">, I </w:t>
      </w:r>
      <w:r w:rsidR="00CF6C79">
        <w:t>made these</w:t>
      </w:r>
      <w:r w:rsidR="008F4EAF" w:rsidRPr="008F4EAF">
        <w:t xml:space="preserve"> complex legal concepts in an accessible and engaging way for young people, using clear language and bright colours to improve clarity and appeal. The </w:t>
      </w:r>
      <w:r w:rsidR="009516EF" w:rsidRPr="008F4EAF">
        <w:t>straight</w:t>
      </w:r>
      <w:r w:rsidR="009516EF">
        <w:t>forward</w:t>
      </w:r>
      <w:r w:rsidR="008F4EAF" w:rsidRPr="008F4EAF">
        <w:t xml:space="preserve"> layout explains children’s rights with simplified language, avoiding legal jargon to make the information practical and easy to understand. Creating this resource required sensitivity, particularly around topics related to young people's sexual health, where I carefully balanced detail to ensure it was both informative and respectfu</w:t>
      </w:r>
      <w:r w:rsidR="00AF7807">
        <w:t>l</w:t>
      </w:r>
      <w:r w:rsidR="0067532D">
        <w:t>,</w:t>
      </w:r>
      <w:r w:rsidR="00642F23">
        <w:t xml:space="preserve"> I did this by using clear </w:t>
      </w:r>
      <w:r w:rsidR="008B25A9">
        <w:t>age-appropriate</w:t>
      </w:r>
      <w:r w:rsidR="00642F23">
        <w:t xml:space="preserve"> language </w:t>
      </w:r>
      <w:r w:rsidR="00703B20">
        <w:t xml:space="preserve">an </w:t>
      </w:r>
      <w:r w:rsidR="00642F23">
        <w:t xml:space="preserve">inclusive, </w:t>
      </w:r>
      <w:r w:rsidR="00703B20">
        <w:t>non-directive</w:t>
      </w:r>
      <w:r w:rsidR="00642F23">
        <w:t xml:space="preserve"> approach </w:t>
      </w:r>
      <w:r w:rsidR="00D7639E">
        <w:t xml:space="preserve">and sensitivity to emotional context by </w:t>
      </w:r>
      <w:r w:rsidR="00703B20">
        <w:t>acknowledging</w:t>
      </w:r>
      <w:r w:rsidR="00D7639E">
        <w:t xml:space="preserve"> young people may feel emotions like confusion</w:t>
      </w:r>
      <w:r w:rsidR="00703B20">
        <w:t>, fear or embarrassment.</w:t>
      </w:r>
      <w:r w:rsidR="008950C6">
        <w:t xml:space="preserve"> The</w:t>
      </w:r>
      <w:r w:rsidR="008F4EAF" w:rsidRPr="008F4EAF">
        <w:t xml:space="preserve"> feedback </w:t>
      </w:r>
      <w:r w:rsidR="008950C6">
        <w:t xml:space="preserve">I obtained </w:t>
      </w:r>
      <w:r w:rsidR="008F4EAF" w:rsidRPr="008F4EAF">
        <w:t xml:space="preserve">from my tutor and peers </w:t>
      </w:r>
      <w:r w:rsidR="008950C6">
        <w:t xml:space="preserve">was </w:t>
      </w:r>
      <w:r w:rsidR="008F4EAF" w:rsidRPr="008F4EAF">
        <w:t xml:space="preserve">to enhance clarity and accessibility, </w:t>
      </w:r>
      <w:r w:rsidR="008950C6">
        <w:t xml:space="preserve">I </w:t>
      </w:r>
      <w:r w:rsidR="008B25A9">
        <w:t xml:space="preserve">did this by </w:t>
      </w:r>
      <w:r w:rsidR="008F4EAF" w:rsidRPr="008F4EAF">
        <w:t>using vibrant colours to capture the audience's attention</w:t>
      </w:r>
      <w:r w:rsidR="008B25A9">
        <w:t xml:space="preserve"> and to make it more age appropriate.</w:t>
      </w:r>
      <w:r w:rsidR="00396A65">
        <w:t xml:space="preserve"> </w:t>
      </w:r>
      <w:r w:rsidR="009005BC" w:rsidRPr="009005BC">
        <w:t xml:space="preserve">A key challenge when designing </w:t>
      </w:r>
      <w:r w:rsidR="00E406C0">
        <w:t xml:space="preserve">a </w:t>
      </w:r>
      <w:r w:rsidR="009005BC" w:rsidRPr="009005BC">
        <w:t>resource</w:t>
      </w:r>
      <w:r w:rsidR="00E406C0">
        <w:t xml:space="preserve"> </w:t>
      </w:r>
      <w:r w:rsidR="009005BC" w:rsidRPr="009005BC">
        <w:t>for</w:t>
      </w:r>
      <w:r w:rsidR="00E406C0">
        <w:t xml:space="preserve"> this age group</w:t>
      </w:r>
      <w:r w:rsidR="009005BC" w:rsidRPr="009005BC">
        <w:t xml:space="preserve"> </w:t>
      </w:r>
      <w:r w:rsidR="00E406C0">
        <w:t xml:space="preserve">was </w:t>
      </w:r>
      <w:r w:rsidR="009005BC" w:rsidRPr="009005BC">
        <w:t xml:space="preserve">understanding the nuances of their developmental stage, including their cognitive and emotional needs, as well as their social influences. At this age, teenagers are often navigating a complex period of self-discovery, identity formation, and peer influence. They may have a desire for independence, but they also seek validation from their peers and are sometimes hesitant to engage with topics that are considered taboo, such as sexual health and contraception. This age group is also highly influenced by social media and digital culture, which means they are accustomed to receiving information quickly and in visually appealing </w:t>
      </w:r>
      <w:r w:rsidR="009005BC" w:rsidRPr="0031660C">
        <w:t>formats</w:t>
      </w:r>
      <w:r w:rsidR="005365D3" w:rsidRPr="0031660C">
        <w:t>.</w:t>
      </w:r>
      <w:r w:rsidR="009005BC" w:rsidRPr="0031660C">
        <w:t xml:space="preserve"> </w:t>
      </w:r>
      <w:r w:rsidR="00525224" w:rsidRPr="0031660C">
        <w:t>teenagers</w:t>
      </w:r>
      <w:r w:rsidR="00525224" w:rsidRPr="009005BC">
        <w:t xml:space="preserve"> are</w:t>
      </w:r>
      <w:r w:rsidR="009005BC" w:rsidRPr="009005BC">
        <w:t xml:space="preserve"> at a stage where they can understand complex concepts but may not always feel comfortable engaging with difficult or sensitive topics. Additionally, they may struggle to filter out misinformation, especially regarding topics like contraception, sexual health, and legal rights. As a result, any resource aimed at this age group needs to be not only educational but also engaging, relatable, and easy to understand, without making them feel embarrassed or overwhelmed. The risk of alienating them with overly complex language or a too formal tone is significant</w:t>
      </w:r>
      <w:r w:rsidR="0031660C" w:rsidRPr="0031660C">
        <w:t xml:space="preserve"> </w:t>
      </w:r>
      <w:r w:rsidR="0031660C" w:rsidRPr="0031660C">
        <w:t>(Sousa, M A. et al. 2020)</w:t>
      </w:r>
      <w:r w:rsidR="0031660C" w:rsidRPr="0031660C">
        <w:t>.</w:t>
      </w:r>
    </w:p>
    <w:p w14:paraId="4E7D8E8A" w14:textId="49B1CD84" w:rsidR="008809A0" w:rsidRPr="00E43881" w:rsidRDefault="008809A0" w:rsidP="008809A0">
      <w:pPr>
        <w:rPr>
          <w:u w:val="single"/>
        </w:rPr>
      </w:pPr>
    </w:p>
    <w:p w14:paraId="2887E7B6" w14:textId="0BA919CF" w:rsidR="00D82CB7" w:rsidRDefault="008809A0" w:rsidP="008809A0">
      <w:r w:rsidRPr="009E74C2">
        <w:lastRenderedPageBreak/>
        <w:t>Reflecting on the final product, I believe it successfully engages the target audience of 14–</w:t>
      </w:r>
      <w:r w:rsidR="008F4EAF" w:rsidRPr="009E74C2">
        <w:t>16</w:t>
      </w:r>
      <w:r w:rsidR="008F4EAF">
        <w:t>-year-olds</w:t>
      </w:r>
      <w:r w:rsidRPr="009E74C2">
        <w:t xml:space="preserve"> through a dynamic and approachable design that is both bold and visually appealing. By using vibrant colours and an engaging layout, the resource captures their attention, making the information more accessible and helping to address any potential discomfort or stigma around the topic of contraception and sexual health. This visual approach not only draws in younger readers but also normali</w:t>
      </w:r>
      <w:r>
        <w:t>s</w:t>
      </w:r>
      <w:r w:rsidRPr="009E74C2">
        <w:t>es open discussion, an important step in reducing any sense of taboo surrounding the topic.</w:t>
      </w:r>
      <w:r>
        <w:t xml:space="preserve"> </w:t>
      </w:r>
      <w:r w:rsidRPr="009E74C2">
        <w:t>In developing this resource, I made a conscious effort to avoid complex legal jargon and overly technical explanations that might alienate young readers. Instead, I focused on presenting clear, straightforward language that conveys essential information without overwhelming them with legal principles. This ensures that the resource is both educational and practical, allowing young people to comprehend their rights and responsibilities in an accessible way.</w:t>
      </w:r>
      <w:r>
        <w:t xml:space="preserve"> </w:t>
      </w:r>
      <w:r w:rsidRPr="009E74C2">
        <w:t>Looking ahead, one potential improvement would be the addition of an audio component featuring a younger person’s voice. This enhancement could help mitigate any embarrassment that teenagers might feel when engaging with the topic, as hearing someone of a similar age might foster a sense of relatability and comfort</w:t>
      </w:r>
      <w:r w:rsidR="00E81D78">
        <w:t xml:space="preserve">, </w:t>
      </w:r>
      <w:r w:rsidR="00443D43">
        <w:t xml:space="preserve">this could be achieved by incorporating interactive elements, such as allowing listeners </w:t>
      </w:r>
      <w:r w:rsidR="00D82CB7">
        <w:t xml:space="preserve">to submit questions or feedback which could also facilitate a </w:t>
      </w:r>
      <w:r w:rsidR="00EE262A">
        <w:t>two-way</w:t>
      </w:r>
      <w:r w:rsidR="00D82CB7">
        <w:t xml:space="preserve"> conversation making the resource feel more personal and approachable.</w:t>
      </w:r>
    </w:p>
    <w:p w14:paraId="4FE93981" w14:textId="66A58436" w:rsidR="008809A0" w:rsidRPr="009E74C2" w:rsidRDefault="008809A0" w:rsidP="008809A0">
      <w:r w:rsidRPr="009E74C2">
        <w:t>In summary, this resource was designed with the dual goals of accessibility and clarity, prioriti</w:t>
      </w:r>
      <w:r>
        <w:t>s</w:t>
      </w:r>
      <w:r w:rsidRPr="009E74C2">
        <w:t>ing ease of understanding for a younger audience. These design choices help ensure that young people not only learn about their legal rights regarding contraceptive advice but also feel empowered to seek out and utili</w:t>
      </w:r>
      <w:r>
        <w:t>s</w:t>
      </w:r>
      <w:r w:rsidRPr="009E74C2">
        <w:t>e such information confidently. With future adjustments</w:t>
      </w:r>
      <w:r w:rsidR="001B7840">
        <w:t xml:space="preserve"> to</w:t>
      </w:r>
      <w:r w:rsidR="001B7840" w:rsidRPr="001B7840">
        <w:t xml:space="preserve"> make the resource more relatable and to ensure that young people felt comfortable engaging with it, I could add an audio component featuring a young voice, perhaps someone closer to their own age. This would provide an extra layer of comfort, as hearing from someone they can relate to would normali</w:t>
      </w:r>
      <w:r w:rsidR="00613BC3">
        <w:t>s</w:t>
      </w:r>
      <w:r w:rsidR="001B7840" w:rsidRPr="001B7840">
        <w:t>e the conversation and reduce the potential for discomfort.</w:t>
      </w:r>
    </w:p>
    <w:p w14:paraId="34318891" w14:textId="77777777" w:rsidR="00A16D75" w:rsidRDefault="008809A0" w:rsidP="00A65FB2">
      <w:pPr>
        <w:rPr>
          <w:u w:val="single"/>
        </w:rPr>
      </w:pPr>
      <w:r w:rsidRPr="00F12510">
        <w:br/>
      </w:r>
    </w:p>
    <w:p w14:paraId="69677E60" w14:textId="77777777" w:rsidR="00A16D75" w:rsidRDefault="00A16D75" w:rsidP="00A65FB2">
      <w:pPr>
        <w:rPr>
          <w:u w:val="single"/>
        </w:rPr>
      </w:pPr>
    </w:p>
    <w:p w14:paraId="269BD63F" w14:textId="77777777" w:rsidR="00A16D75" w:rsidRDefault="00A16D75" w:rsidP="00A65FB2">
      <w:pPr>
        <w:rPr>
          <w:u w:val="single"/>
        </w:rPr>
      </w:pPr>
    </w:p>
    <w:p w14:paraId="557F5BFC" w14:textId="77777777" w:rsidR="00A16D75" w:rsidRDefault="00A16D75" w:rsidP="00A65FB2">
      <w:pPr>
        <w:rPr>
          <w:u w:val="single"/>
        </w:rPr>
      </w:pPr>
    </w:p>
    <w:p w14:paraId="3464BB23" w14:textId="77777777" w:rsidR="0009018B" w:rsidRDefault="0009018B" w:rsidP="00A65FB2">
      <w:pPr>
        <w:rPr>
          <w:u w:val="single"/>
        </w:rPr>
      </w:pPr>
    </w:p>
    <w:p w14:paraId="396D660B" w14:textId="77777777" w:rsidR="0009018B" w:rsidRDefault="0009018B" w:rsidP="00A65FB2">
      <w:pPr>
        <w:rPr>
          <w:u w:val="single"/>
        </w:rPr>
      </w:pPr>
    </w:p>
    <w:p w14:paraId="4C84BAE3" w14:textId="77777777" w:rsidR="0009018B" w:rsidRDefault="0009018B" w:rsidP="00A65FB2">
      <w:pPr>
        <w:rPr>
          <w:u w:val="single"/>
        </w:rPr>
      </w:pPr>
    </w:p>
    <w:p w14:paraId="3EDEB7F3" w14:textId="77777777" w:rsidR="0009018B" w:rsidRDefault="0009018B" w:rsidP="00A65FB2">
      <w:pPr>
        <w:rPr>
          <w:u w:val="single"/>
        </w:rPr>
      </w:pPr>
    </w:p>
    <w:p w14:paraId="0598EF0A" w14:textId="77777777" w:rsidR="0009018B" w:rsidRDefault="0009018B" w:rsidP="00A65FB2">
      <w:pPr>
        <w:rPr>
          <w:u w:val="single"/>
        </w:rPr>
      </w:pPr>
    </w:p>
    <w:p w14:paraId="64875080" w14:textId="77777777" w:rsidR="0009018B" w:rsidRDefault="0009018B" w:rsidP="00A65FB2">
      <w:pPr>
        <w:rPr>
          <w:u w:val="single"/>
        </w:rPr>
      </w:pPr>
    </w:p>
    <w:p w14:paraId="583DFD72" w14:textId="77777777" w:rsidR="0009018B" w:rsidRDefault="0009018B" w:rsidP="00A65FB2">
      <w:pPr>
        <w:rPr>
          <w:u w:val="single"/>
        </w:rPr>
      </w:pPr>
    </w:p>
    <w:p w14:paraId="1F86CDB3" w14:textId="77777777" w:rsidR="0009018B" w:rsidRDefault="0009018B" w:rsidP="00A65FB2">
      <w:pPr>
        <w:rPr>
          <w:u w:val="single"/>
        </w:rPr>
      </w:pPr>
    </w:p>
    <w:p w14:paraId="528800DE" w14:textId="77777777" w:rsidR="0009018B" w:rsidRDefault="0009018B" w:rsidP="00A65FB2">
      <w:pPr>
        <w:rPr>
          <w:u w:val="single"/>
        </w:rPr>
      </w:pPr>
    </w:p>
    <w:p w14:paraId="3506E9B7" w14:textId="10958124" w:rsidR="00A65FB2" w:rsidRDefault="002E51DF" w:rsidP="00A65FB2">
      <w:pPr>
        <w:rPr>
          <w:u w:val="single"/>
        </w:rPr>
      </w:pPr>
      <w:r w:rsidRPr="007417EF">
        <w:rPr>
          <w:u w:val="single"/>
        </w:rPr>
        <w:lastRenderedPageBreak/>
        <w:t>References</w:t>
      </w:r>
    </w:p>
    <w:p w14:paraId="4AB370AB" w14:textId="77777777" w:rsidR="00904FBB" w:rsidRDefault="00904FBB" w:rsidP="00904FBB">
      <w:r w:rsidRPr="007417EF">
        <w:rPr>
          <w:i/>
          <w:iCs/>
        </w:rPr>
        <w:t>Children Act 1989</w:t>
      </w:r>
      <w:r w:rsidRPr="007417EF">
        <w:t xml:space="preserve">, c.41. Available at: </w:t>
      </w:r>
      <w:hyperlink r:id="rId8" w:history="1">
        <w:r w:rsidRPr="007417EF">
          <w:rPr>
            <w:rStyle w:val="Hyperlink"/>
          </w:rPr>
          <w:t>https://www.legislation.gov.uk/ukpga/1989/41/contents</w:t>
        </w:r>
      </w:hyperlink>
      <w:r w:rsidRPr="007417EF">
        <w:t xml:space="preserve"> (Accessed: 26.10.2024).</w:t>
      </w:r>
    </w:p>
    <w:p w14:paraId="61A6A789" w14:textId="77777777" w:rsidR="00904FBB" w:rsidRPr="007417EF" w:rsidRDefault="00904FBB" w:rsidP="00904FBB">
      <w:r w:rsidRPr="007417EF">
        <w:t xml:space="preserve">Department of Health (2009) </w:t>
      </w:r>
      <w:r w:rsidRPr="007417EF">
        <w:rPr>
          <w:i/>
          <w:iCs/>
        </w:rPr>
        <w:t>Reference guide to consent for examination or treatment second edition.</w:t>
      </w:r>
      <w:r w:rsidRPr="007417EF">
        <w:t xml:space="preserve"> Available at: </w:t>
      </w:r>
      <w:hyperlink r:id="rId9" w:history="1">
        <w:r w:rsidRPr="007417EF">
          <w:rPr>
            <w:rStyle w:val="Hyperlink"/>
          </w:rPr>
          <w:t>https://assets.publishing.service.gov.uk/media/5a7abdcee5274a34770e6cdb/dh_103653__1_.pdf</w:t>
        </w:r>
      </w:hyperlink>
      <w:r w:rsidRPr="007417EF">
        <w:t xml:space="preserve"> (Accessed: 25.10.2024).</w:t>
      </w:r>
    </w:p>
    <w:p w14:paraId="58D67AC9" w14:textId="77777777" w:rsidR="00904FBB" w:rsidRDefault="00904FBB" w:rsidP="00904FBB">
      <w:r w:rsidRPr="007417EF">
        <w:t>Gillick v West Norfolk and Wisbech Area Health Authority [1985] 3 WLR 830</w:t>
      </w:r>
    </w:p>
    <w:p w14:paraId="06A51D1C" w14:textId="77777777" w:rsidR="00904FBB" w:rsidRPr="007417EF" w:rsidRDefault="00904FBB" w:rsidP="00904FBB">
      <w:r w:rsidRPr="007417EF">
        <w:t xml:space="preserve">Harris-Short, S., Miles, J. and George, R. (2015). </w:t>
      </w:r>
      <w:r w:rsidRPr="007417EF">
        <w:rPr>
          <w:i/>
          <w:iCs/>
        </w:rPr>
        <w:t>Family Law, text, cases, and materials.</w:t>
      </w:r>
      <w:r w:rsidRPr="007417EF">
        <w:t xml:space="preserve"> 3</w:t>
      </w:r>
      <w:r w:rsidRPr="007417EF">
        <w:rPr>
          <w:vertAlign w:val="superscript"/>
        </w:rPr>
        <w:t>rd</w:t>
      </w:r>
      <w:r w:rsidRPr="007417EF">
        <w:t xml:space="preserve"> </w:t>
      </w:r>
      <w:proofErr w:type="spellStart"/>
      <w:r w:rsidRPr="007417EF">
        <w:t>edn</w:t>
      </w:r>
      <w:proofErr w:type="spellEnd"/>
      <w:r w:rsidRPr="007417EF">
        <w:t>. Oxford: Oxford University Press.</w:t>
      </w:r>
    </w:p>
    <w:p w14:paraId="075A807C" w14:textId="77777777" w:rsidR="00904FBB" w:rsidRDefault="00904FBB" w:rsidP="00904FBB">
      <w:r w:rsidRPr="007417EF">
        <w:t xml:space="preserve">Hodgson, R. (2021). </w:t>
      </w:r>
      <w:r w:rsidRPr="007417EF">
        <w:rPr>
          <w:i/>
          <w:iCs/>
        </w:rPr>
        <w:t>Family Law</w:t>
      </w:r>
      <w:r w:rsidRPr="007417EF">
        <w:t xml:space="preserve"> 12</w:t>
      </w:r>
      <w:r w:rsidRPr="007417EF">
        <w:rPr>
          <w:vertAlign w:val="superscript"/>
        </w:rPr>
        <w:t>th</w:t>
      </w:r>
      <w:r w:rsidRPr="007417EF">
        <w:t xml:space="preserve"> </w:t>
      </w:r>
      <w:proofErr w:type="spellStart"/>
      <w:r w:rsidRPr="007417EF">
        <w:t>edn</w:t>
      </w:r>
      <w:proofErr w:type="spellEnd"/>
      <w:r w:rsidRPr="007417EF">
        <w:t>. Oxford: Oxford University Press.</w:t>
      </w:r>
    </w:p>
    <w:p w14:paraId="7EEAF22F" w14:textId="77777777" w:rsidR="00904FBB" w:rsidRPr="007417EF" w:rsidRDefault="00904FBB" w:rsidP="00904FBB">
      <w:r w:rsidRPr="007417EF">
        <w:rPr>
          <w:i/>
          <w:iCs/>
        </w:rPr>
        <w:t>Human Rights Act 1998</w:t>
      </w:r>
      <w:r w:rsidRPr="007417EF">
        <w:t xml:space="preserve">, c.42. Available at: </w:t>
      </w:r>
      <w:hyperlink r:id="rId10" w:history="1">
        <w:r w:rsidRPr="007417EF">
          <w:rPr>
            <w:rStyle w:val="Hyperlink"/>
          </w:rPr>
          <w:t>https://www.legislation.gov.uk/ukpga/1998/42/schedule/1/part/I/chapter/7</w:t>
        </w:r>
      </w:hyperlink>
      <w:r w:rsidRPr="007417EF">
        <w:t xml:space="preserve"> (Accessed: 28.10.2024).</w:t>
      </w:r>
    </w:p>
    <w:p w14:paraId="5BB04FD3" w14:textId="7C96C634" w:rsidR="00C1084E" w:rsidRPr="008C12DA" w:rsidRDefault="00C1084E" w:rsidP="00A65FB2">
      <w:r w:rsidRPr="008C12DA">
        <w:t xml:space="preserve">McNally (2023) BMJ: </w:t>
      </w:r>
      <w:r w:rsidR="008C12DA" w:rsidRPr="008C12DA">
        <w:rPr>
          <w:i/>
          <w:iCs/>
        </w:rPr>
        <w:t>Let’s</w:t>
      </w:r>
      <w:r w:rsidRPr="008C12DA">
        <w:rPr>
          <w:i/>
          <w:iCs/>
        </w:rPr>
        <w:t xml:space="preserve"> talk about </w:t>
      </w:r>
      <w:r w:rsidR="008C12DA" w:rsidRPr="008C12DA">
        <w:rPr>
          <w:i/>
          <w:iCs/>
        </w:rPr>
        <w:t>contraception</w:t>
      </w:r>
      <w:r w:rsidR="008C12DA">
        <w:rPr>
          <w:i/>
          <w:iCs/>
        </w:rPr>
        <w:t xml:space="preserve">. </w:t>
      </w:r>
      <w:r w:rsidR="008C12DA">
        <w:t xml:space="preserve">Available at: </w:t>
      </w:r>
      <w:proofErr w:type="spellStart"/>
      <w:r w:rsidR="008C12DA" w:rsidRPr="008C12DA">
        <w:t>doi</w:t>
      </w:r>
      <w:proofErr w:type="spellEnd"/>
      <w:r w:rsidR="008C12DA" w:rsidRPr="008C12DA">
        <w:t>: </w:t>
      </w:r>
      <w:hyperlink r:id="rId11" w:history="1">
        <w:r w:rsidR="008C12DA" w:rsidRPr="008C12DA">
          <w:rPr>
            <w:rStyle w:val="Hyperlink"/>
          </w:rPr>
          <w:t>https://doi.org/10.1136/bmj.p862</w:t>
        </w:r>
      </w:hyperlink>
      <w:r w:rsidR="008C12DA" w:rsidRPr="008C12DA">
        <w:t> </w:t>
      </w:r>
      <w:r w:rsidR="008C12DA">
        <w:t>(Accessed: 07</w:t>
      </w:r>
      <w:r w:rsidR="003C3FCF">
        <w:t>.11.2024).</w:t>
      </w:r>
    </w:p>
    <w:p w14:paraId="2BA96B00" w14:textId="4DE4BCA1" w:rsidR="002E51DF" w:rsidRPr="007417EF" w:rsidRDefault="00905C47" w:rsidP="00A65FB2">
      <w:r w:rsidRPr="007417EF">
        <w:t xml:space="preserve">National Health Service (2024) </w:t>
      </w:r>
      <w:r w:rsidRPr="007417EF">
        <w:rPr>
          <w:i/>
          <w:iCs/>
        </w:rPr>
        <w:t>Where to get contracep</w:t>
      </w:r>
      <w:r w:rsidR="004E0E14" w:rsidRPr="007417EF">
        <w:rPr>
          <w:i/>
          <w:iCs/>
        </w:rPr>
        <w:t>tion.</w:t>
      </w:r>
      <w:r w:rsidR="004E0E14" w:rsidRPr="007417EF">
        <w:t xml:space="preserve"> Available at: </w:t>
      </w:r>
      <w:hyperlink r:id="rId12" w:history="1">
        <w:r w:rsidR="004E0E14" w:rsidRPr="007417EF">
          <w:rPr>
            <w:rStyle w:val="Hyperlink"/>
          </w:rPr>
          <w:t>https://www.nhs.uk/contraception/where-to-get-contraception/</w:t>
        </w:r>
      </w:hyperlink>
      <w:r w:rsidR="004E0E14" w:rsidRPr="007417EF">
        <w:t xml:space="preserve"> </w:t>
      </w:r>
      <w:r w:rsidR="002436CF" w:rsidRPr="007417EF">
        <w:t>(Accessed: 01.11.2024).</w:t>
      </w:r>
    </w:p>
    <w:p w14:paraId="3FAAE715" w14:textId="34931963" w:rsidR="00F12230" w:rsidRPr="007417EF" w:rsidRDefault="00F12230" w:rsidP="00A65FB2">
      <w:r w:rsidRPr="007417EF">
        <w:t xml:space="preserve">NSPCC Learning (2022) </w:t>
      </w:r>
      <w:r w:rsidR="00303974" w:rsidRPr="007417EF">
        <w:rPr>
          <w:i/>
          <w:iCs/>
        </w:rPr>
        <w:t>Gillick competency and Frazer guidelines</w:t>
      </w:r>
      <w:r w:rsidR="00303974" w:rsidRPr="007417EF">
        <w:t xml:space="preserve">. Available at: </w:t>
      </w:r>
      <w:hyperlink r:id="rId13" w:anchor="skip-to-content" w:history="1">
        <w:r w:rsidR="00303974" w:rsidRPr="007417EF">
          <w:rPr>
            <w:rStyle w:val="Hyperlink"/>
          </w:rPr>
          <w:t>https://learning.nspcc.org.uk/child-protection-system/gillick-competence-fraser-guidelines#skip-to-content</w:t>
        </w:r>
      </w:hyperlink>
      <w:r w:rsidR="00303974" w:rsidRPr="007417EF">
        <w:t xml:space="preserve"> (Accessed: 01</w:t>
      </w:r>
      <w:r w:rsidR="006554C4" w:rsidRPr="007417EF">
        <w:t xml:space="preserve">.11.2024). </w:t>
      </w:r>
    </w:p>
    <w:p w14:paraId="1BE195C9" w14:textId="03CBD0D1" w:rsidR="005B5D8A" w:rsidRDefault="006D769F" w:rsidP="00A65FB2">
      <w:r w:rsidRPr="007417EF">
        <w:t>R (Axon) v Secretary of State for Health (Family Planning Association Intervening) [2006] EWHC 37</w:t>
      </w:r>
    </w:p>
    <w:p w14:paraId="69F1005F" w14:textId="53D74CCF" w:rsidR="00B00388" w:rsidRPr="007417EF" w:rsidRDefault="00B00388" w:rsidP="00A65FB2">
      <w:r>
        <w:t xml:space="preserve">Sousa, M A. et al. </w:t>
      </w:r>
      <w:r w:rsidR="009A278E">
        <w:t xml:space="preserve">(2020). </w:t>
      </w:r>
      <w:r w:rsidR="00350D7A">
        <w:t>‘</w:t>
      </w:r>
      <w:r w:rsidR="00350D7A" w:rsidRPr="0098087E">
        <w:rPr>
          <w:i/>
          <w:iCs/>
        </w:rPr>
        <w:t>Influence of social media for sexuality of adolescents’</w:t>
      </w:r>
      <w:r w:rsidR="0098087E">
        <w:t xml:space="preserve">, European Journal of public health, Volume 30. </w:t>
      </w:r>
      <w:r w:rsidR="007618AB">
        <w:t xml:space="preserve">Available at: </w:t>
      </w:r>
      <w:hyperlink r:id="rId14" w:history="1">
        <w:r w:rsidR="007618AB" w:rsidRPr="007618AB">
          <w:rPr>
            <w:rStyle w:val="Hyperlink"/>
          </w:rPr>
          <w:t>https://doi.org/10.1093/eurpub/ckaa166.050</w:t>
        </w:r>
      </w:hyperlink>
      <w:r w:rsidR="007618AB">
        <w:t xml:space="preserve"> (Accessed: 06.11.2024).</w:t>
      </w:r>
    </w:p>
    <w:p w14:paraId="6C985A59" w14:textId="77777777" w:rsidR="005246F3" w:rsidRDefault="005246F3" w:rsidP="00A65FB2"/>
    <w:p w14:paraId="3FC5B92A" w14:textId="77777777" w:rsidR="002436CF" w:rsidRPr="00A65FB2" w:rsidRDefault="002436CF" w:rsidP="00A65FB2"/>
    <w:p w14:paraId="69C6BB7F" w14:textId="77777777" w:rsidR="00A65FB2" w:rsidRPr="00203F0C" w:rsidRDefault="00A65FB2" w:rsidP="00203F0C"/>
    <w:p w14:paraId="1813763F" w14:textId="0062FF00" w:rsidR="00265B5A" w:rsidRPr="00526A6B" w:rsidRDefault="00265B5A" w:rsidP="00526A6B"/>
    <w:p w14:paraId="49BF4647" w14:textId="1044A887" w:rsidR="00752552" w:rsidRDefault="00752552" w:rsidP="00543B56">
      <w:pPr>
        <w:rPr>
          <w:rFonts w:ascii="Times New Roman" w:eastAsia="Times New Roman" w:hAnsi="Times New Roman" w:cs="Times New Roman"/>
          <w:kern w:val="0"/>
          <w:sz w:val="24"/>
          <w:szCs w:val="24"/>
          <w:lang w:eastAsia="en-GB"/>
          <w14:ligatures w14:val="none"/>
        </w:rPr>
      </w:pPr>
    </w:p>
    <w:p w14:paraId="34703724" w14:textId="77777777" w:rsidR="00EB5E47" w:rsidRPr="00E40DD0" w:rsidRDefault="00EB5E47" w:rsidP="00543B56"/>
    <w:p w14:paraId="17EB01AE" w14:textId="77777777" w:rsidR="006E47AB" w:rsidRDefault="006E47AB"/>
    <w:sectPr w:rsidR="006E47AB" w:rsidSect="00E40D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500967"/>
    <w:multiLevelType w:val="multilevel"/>
    <w:tmpl w:val="DD080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7008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EA1"/>
    <w:rsid w:val="00001F26"/>
    <w:rsid w:val="000155BA"/>
    <w:rsid w:val="000161F5"/>
    <w:rsid w:val="000279A4"/>
    <w:rsid w:val="00031F69"/>
    <w:rsid w:val="00034999"/>
    <w:rsid w:val="00046AE9"/>
    <w:rsid w:val="000517F1"/>
    <w:rsid w:val="0009018B"/>
    <w:rsid w:val="000A1E2B"/>
    <w:rsid w:val="000B13EF"/>
    <w:rsid w:val="000C1DDA"/>
    <w:rsid w:val="000E3444"/>
    <w:rsid w:val="0010256C"/>
    <w:rsid w:val="001025CB"/>
    <w:rsid w:val="00104840"/>
    <w:rsid w:val="001148DD"/>
    <w:rsid w:val="00160480"/>
    <w:rsid w:val="00165B82"/>
    <w:rsid w:val="00191683"/>
    <w:rsid w:val="001B65A4"/>
    <w:rsid w:val="001B7840"/>
    <w:rsid w:val="001C1D30"/>
    <w:rsid w:val="00201A07"/>
    <w:rsid w:val="00203F0C"/>
    <w:rsid w:val="00204202"/>
    <w:rsid w:val="00241F13"/>
    <w:rsid w:val="002436CF"/>
    <w:rsid w:val="00252A52"/>
    <w:rsid w:val="00265B5A"/>
    <w:rsid w:val="00267352"/>
    <w:rsid w:val="002876A4"/>
    <w:rsid w:val="00295820"/>
    <w:rsid w:val="002966FC"/>
    <w:rsid w:val="002C7355"/>
    <w:rsid w:val="002D3578"/>
    <w:rsid w:val="002E51DF"/>
    <w:rsid w:val="00303974"/>
    <w:rsid w:val="0031602B"/>
    <w:rsid w:val="0031660C"/>
    <w:rsid w:val="00317C50"/>
    <w:rsid w:val="00324499"/>
    <w:rsid w:val="0032467D"/>
    <w:rsid w:val="00337BEB"/>
    <w:rsid w:val="00350D7A"/>
    <w:rsid w:val="00356BF9"/>
    <w:rsid w:val="00360A0F"/>
    <w:rsid w:val="00370D43"/>
    <w:rsid w:val="00381957"/>
    <w:rsid w:val="00383EB3"/>
    <w:rsid w:val="003930E7"/>
    <w:rsid w:val="00395DA1"/>
    <w:rsid w:val="00396A65"/>
    <w:rsid w:val="003A11EC"/>
    <w:rsid w:val="003A49E8"/>
    <w:rsid w:val="003C3FCF"/>
    <w:rsid w:val="003D2304"/>
    <w:rsid w:val="003F34D7"/>
    <w:rsid w:val="00416B8D"/>
    <w:rsid w:val="00426042"/>
    <w:rsid w:val="004408DB"/>
    <w:rsid w:val="00443D43"/>
    <w:rsid w:val="00474D9C"/>
    <w:rsid w:val="0048327F"/>
    <w:rsid w:val="00495C12"/>
    <w:rsid w:val="004C2D13"/>
    <w:rsid w:val="004E0E14"/>
    <w:rsid w:val="004F6A0B"/>
    <w:rsid w:val="005246F3"/>
    <w:rsid w:val="00525224"/>
    <w:rsid w:val="00526A6B"/>
    <w:rsid w:val="00532918"/>
    <w:rsid w:val="005365D3"/>
    <w:rsid w:val="00543B56"/>
    <w:rsid w:val="00572BB0"/>
    <w:rsid w:val="0057698E"/>
    <w:rsid w:val="0059033D"/>
    <w:rsid w:val="005A591C"/>
    <w:rsid w:val="005A6ACB"/>
    <w:rsid w:val="005B5D8A"/>
    <w:rsid w:val="005B79F3"/>
    <w:rsid w:val="005E531F"/>
    <w:rsid w:val="005F4080"/>
    <w:rsid w:val="00601167"/>
    <w:rsid w:val="006057D0"/>
    <w:rsid w:val="006132BD"/>
    <w:rsid w:val="00613BC3"/>
    <w:rsid w:val="00620C64"/>
    <w:rsid w:val="00621A8C"/>
    <w:rsid w:val="00642F23"/>
    <w:rsid w:val="0065421D"/>
    <w:rsid w:val="006554C4"/>
    <w:rsid w:val="0065724E"/>
    <w:rsid w:val="00666206"/>
    <w:rsid w:val="0067532D"/>
    <w:rsid w:val="006B4DEC"/>
    <w:rsid w:val="006B4F3C"/>
    <w:rsid w:val="006C382A"/>
    <w:rsid w:val="006D769F"/>
    <w:rsid w:val="006E2C1E"/>
    <w:rsid w:val="006E47AB"/>
    <w:rsid w:val="006F2068"/>
    <w:rsid w:val="006F6226"/>
    <w:rsid w:val="00703B20"/>
    <w:rsid w:val="00712D18"/>
    <w:rsid w:val="0073152E"/>
    <w:rsid w:val="007417EF"/>
    <w:rsid w:val="00751AA4"/>
    <w:rsid w:val="00752552"/>
    <w:rsid w:val="007563F5"/>
    <w:rsid w:val="007618AB"/>
    <w:rsid w:val="00763E1F"/>
    <w:rsid w:val="00766AB9"/>
    <w:rsid w:val="007B6A72"/>
    <w:rsid w:val="007C1EFF"/>
    <w:rsid w:val="007C2598"/>
    <w:rsid w:val="008210A0"/>
    <w:rsid w:val="008233A1"/>
    <w:rsid w:val="00836D10"/>
    <w:rsid w:val="00864CE3"/>
    <w:rsid w:val="00865689"/>
    <w:rsid w:val="008660D8"/>
    <w:rsid w:val="008809A0"/>
    <w:rsid w:val="00880DFF"/>
    <w:rsid w:val="00892D99"/>
    <w:rsid w:val="008950C6"/>
    <w:rsid w:val="008A202B"/>
    <w:rsid w:val="008B15A9"/>
    <w:rsid w:val="008B1D03"/>
    <w:rsid w:val="008B25A9"/>
    <w:rsid w:val="008C12DA"/>
    <w:rsid w:val="008F4EAF"/>
    <w:rsid w:val="009005BC"/>
    <w:rsid w:val="00904FBB"/>
    <w:rsid w:val="00905C47"/>
    <w:rsid w:val="00914911"/>
    <w:rsid w:val="00932A1A"/>
    <w:rsid w:val="00944D8A"/>
    <w:rsid w:val="009504DA"/>
    <w:rsid w:val="00950E5C"/>
    <w:rsid w:val="009516EF"/>
    <w:rsid w:val="00954EB6"/>
    <w:rsid w:val="0098087E"/>
    <w:rsid w:val="00991E13"/>
    <w:rsid w:val="00997298"/>
    <w:rsid w:val="009A278E"/>
    <w:rsid w:val="009D3B94"/>
    <w:rsid w:val="00A021BE"/>
    <w:rsid w:val="00A16D75"/>
    <w:rsid w:val="00A548B6"/>
    <w:rsid w:val="00A55FAC"/>
    <w:rsid w:val="00A64405"/>
    <w:rsid w:val="00A65FB2"/>
    <w:rsid w:val="00A70421"/>
    <w:rsid w:val="00A930D6"/>
    <w:rsid w:val="00A96A2B"/>
    <w:rsid w:val="00AB7F55"/>
    <w:rsid w:val="00AD6256"/>
    <w:rsid w:val="00AF7807"/>
    <w:rsid w:val="00B00388"/>
    <w:rsid w:val="00B05BD6"/>
    <w:rsid w:val="00B06F99"/>
    <w:rsid w:val="00B209D3"/>
    <w:rsid w:val="00B220F5"/>
    <w:rsid w:val="00B228F1"/>
    <w:rsid w:val="00B22D1E"/>
    <w:rsid w:val="00B4493B"/>
    <w:rsid w:val="00BE2744"/>
    <w:rsid w:val="00C1084E"/>
    <w:rsid w:val="00C42AA1"/>
    <w:rsid w:val="00C5148D"/>
    <w:rsid w:val="00C74FE1"/>
    <w:rsid w:val="00CD34F5"/>
    <w:rsid w:val="00CD365A"/>
    <w:rsid w:val="00CE76C1"/>
    <w:rsid w:val="00CF0BD5"/>
    <w:rsid w:val="00CF6C79"/>
    <w:rsid w:val="00D36297"/>
    <w:rsid w:val="00D55ADB"/>
    <w:rsid w:val="00D66098"/>
    <w:rsid w:val="00D7639E"/>
    <w:rsid w:val="00D82CB7"/>
    <w:rsid w:val="00D92723"/>
    <w:rsid w:val="00DC7057"/>
    <w:rsid w:val="00DC7E68"/>
    <w:rsid w:val="00E11066"/>
    <w:rsid w:val="00E2394D"/>
    <w:rsid w:val="00E373DA"/>
    <w:rsid w:val="00E406C0"/>
    <w:rsid w:val="00E40DD0"/>
    <w:rsid w:val="00E60EA1"/>
    <w:rsid w:val="00E81D78"/>
    <w:rsid w:val="00EB5E47"/>
    <w:rsid w:val="00EC21A4"/>
    <w:rsid w:val="00ED3453"/>
    <w:rsid w:val="00EE20AC"/>
    <w:rsid w:val="00EE262A"/>
    <w:rsid w:val="00EF0B96"/>
    <w:rsid w:val="00EF3550"/>
    <w:rsid w:val="00F12230"/>
    <w:rsid w:val="00F13D0C"/>
    <w:rsid w:val="00F40F02"/>
    <w:rsid w:val="00F60E04"/>
    <w:rsid w:val="00F8778A"/>
    <w:rsid w:val="00F91AC9"/>
    <w:rsid w:val="00FF36C2"/>
    <w:rsid w:val="00FF57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1F922"/>
  <w15:chartTrackingRefBased/>
  <w15:docId w15:val="{C9438BBE-340D-48D5-9A51-7E76A2CD0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E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60E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60E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0E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0E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0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E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60E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60E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0E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60E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60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EA1"/>
    <w:rPr>
      <w:rFonts w:eastAsiaTheme="majorEastAsia" w:cstheme="majorBidi"/>
      <w:color w:val="272727" w:themeColor="text1" w:themeTint="D8"/>
    </w:rPr>
  </w:style>
  <w:style w:type="paragraph" w:styleId="Title">
    <w:name w:val="Title"/>
    <w:basedOn w:val="Normal"/>
    <w:next w:val="Normal"/>
    <w:link w:val="TitleChar"/>
    <w:uiPriority w:val="10"/>
    <w:qFormat/>
    <w:rsid w:val="00E60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EA1"/>
    <w:pPr>
      <w:spacing w:before="160"/>
      <w:jc w:val="center"/>
    </w:pPr>
    <w:rPr>
      <w:i/>
      <w:iCs/>
      <w:color w:val="404040" w:themeColor="text1" w:themeTint="BF"/>
    </w:rPr>
  </w:style>
  <w:style w:type="character" w:customStyle="1" w:styleId="QuoteChar">
    <w:name w:val="Quote Char"/>
    <w:basedOn w:val="DefaultParagraphFont"/>
    <w:link w:val="Quote"/>
    <w:uiPriority w:val="29"/>
    <w:rsid w:val="00E60EA1"/>
    <w:rPr>
      <w:i/>
      <w:iCs/>
      <w:color w:val="404040" w:themeColor="text1" w:themeTint="BF"/>
    </w:rPr>
  </w:style>
  <w:style w:type="paragraph" w:styleId="ListParagraph">
    <w:name w:val="List Paragraph"/>
    <w:basedOn w:val="Normal"/>
    <w:uiPriority w:val="34"/>
    <w:qFormat/>
    <w:rsid w:val="00E60EA1"/>
    <w:pPr>
      <w:ind w:left="720"/>
      <w:contextualSpacing/>
    </w:pPr>
  </w:style>
  <w:style w:type="character" w:styleId="IntenseEmphasis">
    <w:name w:val="Intense Emphasis"/>
    <w:basedOn w:val="DefaultParagraphFont"/>
    <w:uiPriority w:val="21"/>
    <w:qFormat/>
    <w:rsid w:val="00E60EA1"/>
    <w:rPr>
      <w:i/>
      <w:iCs/>
      <w:color w:val="2F5496" w:themeColor="accent1" w:themeShade="BF"/>
    </w:rPr>
  </w:style>
  <w:style w:type="paragraph" w:styleId="IntenseQuote">
    <w:name w:val="Intense Quote"/>
    <w:basedOn w:val="Normal"/>
    <w:next w:val="Normal"/>
    <w:link w:val="IntenseQuoteChar"/>
    <w:uiPriority w:val="30"/>
    <w:qFormat/>
    <w:rsid w:val="00E60E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0EA1"/>
    <w:rPr>
      <w:i/>
      <w:iCs/>
      <w:color w:val="2F5496" w:themeColor="accent1" w:themeShade="BF"/>
    </w:rPr>
  </w:style>
  <w:style w:type="character" w:styleId="IntenseReference">
    <w:name w:val="Intense Reference"/>
    <w:basedOn w:val="DefaultParagraphFont"/>
    <w:uiPriority w:val="32"/>
    <w:qFormat/>
    <w:rsid w:val="00E60EA1"/>
    <w:rPr>
      <w:b/>
      <w:bCs/>
      <w:smallCaps/>
      <w:color w:val="2F5496" w:themeColor="accent1" w:themeShade="BF"/>
      <w:spacing w:val="5"/>
    </w:rPr>
  </w:style>
  <w:style w:type="paragraph" w:styleId="NoSpacing">
    <w:name w:val="No Spacing"/>
    <w:link w:val="NoSpacingChar"/>
    <w:uiPriority w:val="1"/>
    <w:qFormat/>
    <w:rsid w:val="00E40D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40DD0"/>
    <w:rPr>
      <w:rFonts w:eastAsiaTheme="minorEastAsia"/>
      <w:kern w:val="0"/>
      <w:lang w:val="en-US"/>
      <w14:ligatures w14:val="none"/>
    </w:rPr>
  </w:style>
  <w:style w:type="paragraph" w:styleId="NormalWeb">
    <w:name w:val="Normal (Web)"/>
    <w:basedOn w:val="Normal"/>
    <w:uiPriority w:val="99"/>
    <w:semiHidden/>
    <w:unhideWhenUsed/>
    <w:rsid w:val="00A55FAC"/>
    <w:rPr>
      <w:rFonts w:ascii="Times New Roman" w:hAnsi="Times New Roman" w:cs="Times New Roman"/>
      <w:sz w:val="24"/>
      <w:szCs w:val="24"/>
    </w:rPr>
  </w:style>
  <w:style w:type="character" w:styleId="Hyperlink">
    <w:name w:val="Hyperlink"/>
    <w:basedOn w:val="DefaultParagraphFont"/>
    <w:uiPriority w:val="99"/>
    <w:unhideWhenUsed/>
    <w:rsid w:val="004E0E14"/>
    <w:rPr>
      <w:color w:val="0563C1" w:themeColor="hyperlink"/>
      <w:u w:val="single"/>
    </w:rPr>
  </w:style>
  <w:style w:type="character" w:styleId="UnresolvedMention">
    <w:name w:val="Unresolved Mention"/>
    <w:basedOn w:val="DefaultParagraphFont"/>
    <w:uiPriority w:val="99"/>
    <w:semiHidden/>
    <w:unhideWhenUsed/>
    <w:rsid w:val="004E0E14"/>
    <w:rPr>
      <w:color w:val="605E5C"/>
      <w:shd w:val="clear" w:color="auto" w:fill="E1DFDD"/>
    </w:rPr>
  </w:style>
  <w:style w:type="character" w:styleId="CommentReference">
    <w:name w:val="annotation reference"/>
    <w:basedOn w:val="DefaultParagraphFont"/>
    <w:uiPriority w:val="99"/>
    <w:semiHidden/>
    <w:unhideWhenUsed/>
    <w:rsid w:val="008A202B"/>
    <w:rPr>
      <w:sz w:val="16"/>
      <w:szCs w:val="16"/>
    </w:rPr>
  </w:style>
  <w:style w:type="paragraph" w:styleId="CommentText">
    <w:name w:val="annotation text"/>
    <w:basedOn w:val="Normal"/>
    <w:link w:val="CommentTextChar"/>
    <w:uiPriority w:val="99"/>
    <w:unhideWhenUsed/>
    <w:rsid w:val="008A202B"/>
    <w:pPr>
      <w:spacing w:line="240" w:lineRule="auto"/>
    </w:pPr>
    <w:rPr>
      <w:sz w:val="20"/>
      <w:szCs w:val="20"/>
    </w:rPr>
  </w:style>
  <w:style w:type="character" w:customStyle="1" w:styleId="CommentTextChar">
    <w:name w:val="Comment Text Char"/>
    <w:basedOn w:val="DefaultParagraphFont"/>
    <w:link w:val="CommentText"/>
    <w:uiPriority w:val="99"/>
    <w:rsid w:val="008A202B"/>
    <w:rPr>
      <w:sz w:val="20"/>
      <w:szCs w:val="20"/>
    </w:rPr>
  </w:style>
  <w:style w:type="paragraph" w:styleId="CommentSubject">
    <w:name w:val="annotation subject"/>
    <w:basedOn w:val="CommentText"/>
    <w:next w:val="CommentText"/>
    <w:link w:val="CommentSubjectChar"/>
    <w:uiPriority w:val="99"/>
    <w:semiHidden/>
    <w:unhideWhenUsed/>
    <w:rsid w:val="008A202B"/>
    <w:rPr>
      <w:b/>
      <w:bCs/>
    </w:rPr>
  </w:style>
  <w:style w:type="character" w:customStyle="1" w:styleId="CommentSubjectChar">
    <w:name w:val="Comment Subject Char"/>
    <w:basedOn w:val="CommentTextChar"/>
    <w:link w:val="CommentSubject"/>
    <w:uiPriority w:val="99"/>
    <w:semiHidden/>
    <w:rsid w:val="008A202B"/>
    <w:rPr>
      <w:b/>
      <w:bCs/>
      <w:sz w:val="20"/>
      <w:szCs w:val="20"/>
    </w:rPr>
  </w:style>
  <w:style w:type="paragraph" w:styleId="Revision">
    <w:name w:val="Revision"/>
    <w:hidden/>
    <w:uiPriority w:val="99"/>
    <w:semiHidden/>
    <w:rsid w:val="008A20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046588">
      <w:bodyDiv w:val="1"/>
      <w:marLeft w:val="0"/>
      <w:marRight w:val="0"/>
      <w:marTop w:val="0"/>
      <w:marBottom w:val="0"/>
      <w:divBdr>
        <w:top w:val="none" w:sz="0" w:space="0" w:color="auto"/>
        <w:left w:val="none" w:sz="0" w:space="0" w:color="auto"/>
        <w:bottom w:val="none" w:sz="0" w:space="0" w:color="auto"/>
        <w:right w:val="none" w:sz="0" w:space="0" w:color="auto"/>
      </w:divBdr>
    </w:div>
    <w:div w:id="194271311">
      <w:bodyDiv w:val="1"/>
      <w:marLeft w:val="0"/>
      <w:marRight w:val="0"/>
      <w:marTop w:val="0"/>
      <w:marBottom w:val="0"/>
      <w:divBdr>
        <w:top w:val="none" w:sz="0" w:space="0" w:color="auto"/>
        <w:left w:val="none" w:sz="0" w:space="0" w:color="auto"/>
        <w:bottom w:val="none" w:sz="0" w:space="0" w:color="auto"/>
        <w:right w:val="none" w:sz="0" w:space="0" w:color="auto"/>
      </w:divBdr>
    </w:div>
    <w:div w:id="218563576">
      <w:bodyDiv w:val="1"/>
      <w:marLeft w:val="0"/>
      <w:marRight w:val="0"/>
      <w:marTop w:val="0"/>
      <w:marBottom w:val="0"/>
      <w:divBdr>
        <w:top w:val="none" w:sz="0" w:space="0" w:color="auto"/>
        <w:left w:val="none" w:sz="0" w:space="0" w:color="auto"/>
        <w:bottom w:val="none" w:sz="0" w:space="0" w:color="auto"/>
        <w:right w:val="none" w:sz="0" w:space="0" w:color="auto"/>
      </w:divBdr>
      <w:divsChild>
        <w:div w:id="572276996">
          <w:marLeft w:val="0"/>
          <w:marRight w:val="0"/>
          <w:marTop w:val="0"/>
          <w:marBottom w:val="0"/>
          <w:divBdr>
            <w:top w:val="none" w:sz="0" w:space="0" w:color="auto"/>
            <w:left w:val="none" w:sz="0" w:space="0" w:color="auto"/>
            <w:bottom w:val="none" w:sz="0" w:space="0" w:color="auto"/>
            <w:right w:val="none" w:sz="0" w:space="0" w:color="auto"/>
          </w:divBdr>
          <w:divsChild>
            <w:div w:id="1459451766">
              <w:marLeft w:val="0"/>
              <w:marRight w:val="0"/>
              <w:marTop w:val="0"/>
              <w:marBottom w:val="0"/>
              <w:divBdr>
                <w:top w:val="none" w:sz="0" w:space="0" w:color="auto"/>
                <w:left w:val="none" w:sz="0" w:space="0" w:color="auto"/>
                <w:bottom w:val="none" w:sz="0" w:space="0" w:color="auto"/>
                <w:right w:val="none" w:sz="0" w:space="0" w:color="auto"/>
              </w:divBdr>
              <w:divsChild>
                <w:div w:id="1464737333">
                  <w:marLeft w:val="0"/>
                  <w:marRight w:val="0"/>
                  <w:marTop w:val="0"/>
                  <w:marBottom w:val="0"/>
                  <w:divBdr>
                    <w:top w:val="none" w:sz="0" w:space="0" w:color="auto"/>
                    <w:left w:val="none" w:sz="0" w:space="0" w:color="auto"/>
                    <w:bottom w:val="none" w:sz="0" w:space="0" w:color="auto"/>
                    <w:right w:val="none" w:sz="0" w:space="0" w:color="auto"/>
                  </w:divBdr>
                  <w:divsChild>
                    <w:div w:id="37612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87966">
          <w:marLeft w:val="0"/>
          <w:marRight w:val="0"/>
          <w:marTop w:val="0"/>
          <w:marBottom w:val="0"/>
          <w:divBdr>
            <w:top w:val="none" w:sz="0" w:space="0" w:color="auto"/>
            <w:left w:val="none" w:sz="0" w:space="0" w:color="auto"/>
            <w:bottom w:val="none" w:sz="0" w:space="0" w:color="auto"/>
            <w:right w:val="none" w:sz="0" w:space="0" w:color="auto"/>
          </w:divBdr>
          <w:divsChild>
            <w:div w:id="1946496934">
              <w:marLeft w:val="0"/>
              <w:marRight w:val="0"/>
              <w:marTop w:val="0"/>
              <w:marBottom w:val="0"/>
              <w:divBdr>
                <w:top w:val="none" w:sz="0" w:space="0" w:color="auto"/>
                <w:left w:val="none" w:sz="0" w:space="0" w:color="auto"/>
                <w:bottom w:val="none" w:sz="0" w:space="0" w:color="auto"/>
                <w:right w:val="none" w:sz="0" w:space="0" w:color="auto"/>
              </w:divBdr>
              <w:divsChild>
                <w:div w:id="777024713">
                  <w:marLeft w:val="0"/>
                  <w:marRight w:val="0"/>
                  <w:marTop w:val="0"/>
                  <w:marBottom w:val="0"/>
                  <w:divBdr>
                    <w:top w:val="none" w:sz="0" w:space="0" w:color="auto"/>
                    <w:left w:val="none" w:sz="0" w:space="0" w:color="auto"/>
                    <w:bottom w:val="none" w:sz="0" w:space="0" w:color="auto"/>
                    <w:right w:val="none" w:sz="0" w:space="0" w:color="auto"/>
                  </w:divBdr>
                  <w:divsChild>
                    <w:div w:id="166620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982942">
      <w:bodyDiv w:val="1"/>
      <w:marLeft w:val="0"/>
      <w:marRight w:val="0"/>
      <w:marTop w:val="0"/>
      <w:marBottom w:val="0"/>
      <w:divBdr>
        <w:top w:val="none" w:sz="0" w:space="0" w:color="auto"/>
        <w:left w:val="none" w:sz="0" w:space="0" w:color="auto"/>
        <w:bottom w:val="none" w:sz="0" w:space="0" w:color="auto"/>
        <w:right w:val="none" w:sz="0" w:space="0" w:color="auto"/>
      </w:divBdr>
    </w:div>
    <w:div w:id="277950308">
      <w:bodyDiv w:val="1"/>
      <w:marLeft w:val="0"/>
      <w:marRight w:val="0"/>
      <w:marTop w:val="0"/>
      <w:marBottom w:val="0"/>
      <w:divBdr>
        <w:top w:val="none" w:sz="0" w:space="0" w:color="auto"/>
        <w:left w:val="none" w:sz="0" w:space="0" w:color="auto"/>
        <w:bottom w:val="none" w:sz="0" w:space="0" w:color="auto"/>
        <w:right w:val="none" w:sz="0" w:space="0" w:color="auto"/>
      </w:divBdr>
    </w:div>
    <w:div w:id="379403525">
      <w:bodyDiv w:val="1"/>
      <w:marLeft w:val="0"/>
      <w:marRight w:val="0"/>
      <w:marTop w:val="0"/>
      <w:marBottom w:val="0"/>
      <w:divBdr>
        <w:top w:val="none" w:sz="0" w:space="0" w:color="auto"/>
        <w:left w:val="none" w:sz="0" w:space="0" w:color="auto"/>
        <w:bottom w:val="none" w:sz="0" w:space="0" w:color="auto"/>
        <w:right w:val="none" w:sz="0" w:space="0" w:color="auto"/>
      </w:divBdr>
    </w:div>
    <w:div w:id="383145828">
      <w:bodyDiv w:val="1"/>
      <w:marLeft w:val="0"/>
      <w:marRight w:val="0"/>
      <w:marTop w:val="0"/>
      <w:marBottom w:val="0"/>
      <w:divBdr>
        <w:top w:val="none" w:sz="0" w:space="0" w:color="auto"/>
        <w:left w:val="none" w:sz="0" w:space="0" w:color="auto"/>
        <w:bottom w:val="none" w:sz="0" w:space="0" w:color="auto"/>
        <w:right w:val="none" w:sz="0" w:space="0" w:color="auto"/>
      </w:divBdr>
      <w:divsChild>
        <w:div w:id="904409597">
          <w:marLeft w:val="0"/>
          <w:marRight w:val="0"/>
          <w:marTop w:val="0"/>
          <w:marBottom w:val="0"/>
          <w:divBdr>
            <w:top w:val="none" w:sz="0" w:space="0" w:color="auto"/>
            <w:left w:val="none" w:sz="0" w:space="0" w:color="auto"/>
            <w:bottom w:val="none" w:sz="0" w:space="0" w:color="auto"/>
            <w:right w:val="none" w:sz="0" w:space="0" w:color="auto"/>
          </w:divBdr>
          <w:divsChild>
            <w:div w:id="880089191">
              <w:marLeft w:val="0"/>
              <w:marRight w:val="0"/>
              <w:marTop w:val="0"/>
              <w:marBottom w:val="0"/>
              <w:divBdr>
                <w:top w:val="none" w:sz="0" w:space="0" w:color="auto"/>
                <w:left w:val="none" w:sz="0" w:space="0" w:color="auto"/>
                <w:bottom w:val="none" w:sz="0" w:space="0" w:color="auto"/>
                <w:right w:val="none" w:sz="0" w:space="0" w:color="auto"/>
              </w:divBdr>
              <w:divsChild>
                <w:div w:id="2125691023">
                  <w:marLeft w:val="0"/>
                  <w:marRight w:val="0"/>
                  <w:marTop w:val="0"/>
                  <w:marBottom w:val="0"/>
                  <w:divBdr>
                    <w:top w:val="none" w:sz="0" w:space="0" w:color="auto"/>
                    <w:left w:val="none" w:sz="0" w:space="0" w:color="auto"/>
                    <w:bottom w:val="none" w:sz="0" w:space="0" w:color="auto"/>
                    <w:right w:val="none" w:sz="0" w:space="0" w:color="auto"/>
                  </w:divBdr>
                  <w:divsChild>
                    <w:div w:id="179813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773179">
          <w:marLeft w:val="0"/>
          <w:marRight w:val="0"/>
          <w:marTop w:val="0"/>
          <w:marBottom w:val="0"/>
          <w:divBdr>
            <w:top w:val="none" w:sz="0" w:space="0" w:color="auto"/>
            <w:left w:val="none" w:sz="0" w:space="0" w:color="auto"/>
            <w:bottom w:val="none" w:sz="0" w:space="0" w:color="auto"/>
            <w:right w:val="none" w:sz="0" w:space="0" w:color="auto"/>
          </w:divBdr>
          <w:divsChild>
            <w:div w:id="863058174">
              <w:marLeft w:val="0"/>
              <w:marRight w:val="0"/>
              <w:marTop w:val="0"/>
              <w:marBottom w:val="0"/>
              <w:divBdr>
                <w:top w:val="none" w:sz="0" w:space="0" w:color="auto"/>
                <w:left w:val="none" w:sz="0" w:space="0" w:color="auto"/>
                <w:bottom w:val="none" w:sz="0" w:space="0" w:color="auto"/>
                <w:right w:val="none" w:sz="0" w:space="0" w:color="auto"/>
              </w:divBdr>
              <w:divsChild>
                <w:div w:id="1569922345">
                  <w:marLeft w:val="0"/>
                  <w:marRight w:val="0"/>
                  <w:marTop w:val="0"/>
                  <w:marBottom w:val="0"/>
                  <w:divBdr>
                    <w:top w:val="none" w:sz="0" w:space="0" w:color="auto"/>
                    <w:left w:val="none" w:sz="0" w:space="0" w:color="auto"/>
                    <w:bottom w:val="none" w:sz="0" w:space="0" w:color="auto"/>
                    <w:right w:val="none" w:sz="0" w:space="0" w:color="auto"/>
                  </w:divBdr>
                  <w:divsChild>
                    <w:div w:id="121060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7152111">
      <w:bodyDiv w:val="1"/>
      <w:marLeft w:val="0"/>
      <w:marRight w:val="0"/>
      <w:marTop w:val="0"/>
      <w:marBottom w:val="0"/>
      <w:divBdr>
        <w:top w:val="none" w:sz="0" w:space="0" w:color="auto"/>
        <w:left w:val="none" w:sz="0" w:space="0" w:color="auto"/>
        <w:bottom w:val="none" w:sz="0" w:space="0" w:color="auto"/>
        <w:right w:val="none" w:sz="0" w:space="0" w:color="auto"/>
      </w:divBdr>
      <w:divsChild>
        <w:div w:id="1644046884">
          <w:marLeft w:val="0"/>
          <w:marRight w:val="0"/>
          <w:marTop w:val="0"/>
          <w:marBottom w:val="0"/>
          <w:divBdr>
            <w:top w:val="none" w:sz="0" w:space="0" w:color="auto"/>
            <w:left w:val="none" w:sz="0" w:space="0" w:color="auto"/>
            <w:bottom w:val="none" w:sz="0" w:space="0" w:color="auto"/>
            <w:right w:val="none" w:sz="0" w:space="0" w:color="auto"/>
          </w:divBdr>
          <w:divsChild>
            <w:div w:id="1135610062">
              <w:marLeft w:val="0"/>
              <w:marRight w:val="0"/>
              <w:marTop w:val="0"/>
              <w:marBottom w:val="0"/>
              <w:divBdr>
                <w:top w:val="none" w:sz="0" w:space="0" w:color="auto"/>
                <w:left w:val="none" w:sz="0" w:space="0" w:color="auto"/>
                <w:bottom w:val="none" w:sz="0" w:space="0" w:color="auto"/>
                <w:right w:val="none" w:sz="0" w:space="0" w:color="auto"/>
              </w:divBdr>
              <w:divsChild>
                <w:div w:id="1194801728">
                  <w:marLeft w:val="0"/>
                  <w:marRight w:val="0"/>
                  <w:marTop w:val="0"/>
                  <w:marBottom w:val="0"/>
                  <w:divBdr>
                    <w:top w:val="none" w:sz="0" w:space="0" w:color="auto"/>
                    <w:left w:val="none" w:sz="0" w:space="0" w:color="auto"/>
                    <w:bottom w:val="none" w:sz="0" w:space="0" w:color="auto"/>
                    <w:right w:val="none" w:sz="0" w:space="0" w:color="auto"/>
                  </w:divBdr>
                  <w:divsChild>
                    <w:div w:id="117980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484003">
          <w:marLeft w:val="0"/>
          <w:marRight w:val="0"/>
          <w:marTop w:val="0"/>
          <w:marBottom w:val="0"/>
          <w:divBdr>
            <w:top w:val="none" w:sz="0" w:space="0" w:color="auto"/>
            <w:left w:val="none" w:sz="0" w:space="0" w:color="auto"/>
            <w:bottom w:val="none" w:sz="0" w:space="0" w:color="auto"/>
            <w:right w:val="none" w:sz="0" w:space="0" w:color="auto"/>
          </w:divBdr>
          <w:divsChild>
            <w:div w:id="527375602">
              <w:marLeft w:val="0"/>
              <w:marRight w:val="0"/>
              <w:marTop w:val="0"/>
              <w:marBottom w:val="0"/>
              <w:divBdr>
                <w:top w:val="none" w:sz="0" w:space="0" w:color="auto"/>
                <w:left w:val="none" w:sz="0" w:space="0" w:color="auto"/>
                <w:bottom w:val="none" w:sz="0" w:space="0" w:color="auto"/>
                <w:right w:val="none" w:sz="0" w:space="0" w:color="auto"/>
              </w:divBdr>
              <w:divsChild>
                <w:div w:id="159659436">
                  <w:marLeft w:val="0"/>
                  <w:marRight w:val="0"/>
                  <w:marTop w:val="0"/>
                  <w:marBottom w:val="0"/>
                  <w:divBdr>
                    <w:top w:val="none" w:sz="0" w:space="0" w:color="auto"/>
                    <w:left w:val="none" w:sz="0" w:space="0" w:color="auto"/>
                    <w:bottom w:val="none" w:sz="0" w:space="0" w:color="auto"/>
                    <w:right w:val="none" w:sz="0" w:space="0" w:color="auto"/>
                  </w:divBdr>
                  <w:divsChild>
                    <w:div w:id="90021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400891">
      <w:bodyDiv w:val="1"/>
      <w:marLeft w:val="0"/>
      <w:marRight w:val="0"/>
      <w:marTop w:val="0"/>
      <w:marBottom w:val="0"/>
      <w:divBdr>
        <w:top w:val="none" w:sz="0" w:space="0" w:color="auto"/>
        <w:left w:val="none" w:sz="0" w:space="0" w:color="auto"/>
        <w:bottom w:val="none" w:sz="0" w:space="0" w:color="auto"/>
        <w:right w:val="none" w:sz="0" w:space="0" w:color="auto"/>
      </w:divBdr>
      <w:divsChild>
        <w:div w:id="2075807419">
          <w:marLeft w:val="0"/>
          <w:marRight w:val="0"/>
          <w:marTop w:val="150"/>
          <w:marBottom w:val="150"/>
          <w:divBdr>
            <w:top w:val="none" w:sz="0" w:space="0" w:color="auto"/>
            <w:left w:val="none" w:sz="0" w:space="0" w:color="auto"/>
            <w:bottom w:val="none" w:sz="0" w:space="0" w:color="auto"/>
            <w:right w:val="none" w:sz="0" w:space="0" w:color="auto"/>
          </w:divBdr>
          <w:divsChild>
            <w:div w:id="1720058156">
              <w:marLeft w:val="0"/>
              <w:marRight w:val="0"/>
              <w:marTop w:val="0"/>
              <w:marBottom w:val="0"/>
              <w:divBdr>
                <w:top w:val="none" w:sz="0" w:space="0" w:color="auto"/>
                <w:left w:val="none" w:sz="0" w:space="0" w:color="auto"/>
                <w:bottom w:val="none" w:sz="0" w:space="0" w:color="auto"/>
                <w:right w:val="none" w:sz="0" w:space="0" w:color="auto"/>
              </w:divBdr>
            </w:div>
          </w:divsChild>
        </w:div>
        <w:div w:id="120193432">
          <w:marLeft w:val="0"/>
          <w:marRight w:val="0"/>
          <w:marTop w:val="150"/>
          <w:marBottom w:val="150"/>
          <w:divBdr>
            <w:top w:val="none" w:sz="0" w:space="0" w:color="auto"/>
            <w:left w:val="none" w:sz="0" w:space="0" w:color="auto"/>
            <w:bottom w:val="none" w:sz="0" w:space="0" w:color="auto"/>
            <w:right w:val="none" w:sz="0" w:space="0" w:color="auto"/>
          </w:divBdr>
          <w:divsChild>
            <w:div w:id="184682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369595">
      <w:bodyDiv w:val="1"/>
      <w:marLeft w:val="0"/>
      <w:marRight w:val="0"/>
      <w:marTop w:val="0"/>
      <w:marBottom w:val="0"/>
      <w:divBdr>
        <w:top w:val="none" w:sz="0" w:space="0" w:color="auto"/>
        <w:left w:val="none" w:sz="0" w:space="0" w:color="auto"/>
        <w:bottom w:val="none" w:sz="0" w:space="0" w:color="auto"/>
        <w:right w:val="none" w:sz="0" w:space="0" w:color="auto"/>
      </w:divBdr>
      <w:divsChild>
        <w:div w:id="456533452">
          <w:marLeft w:val="0"/>
          <w:marRight w:val="0"/>
          <w:marTop w:val="0"/>
          <w:marBottom w:val="0"/>
          <w:divBdr>
            <w:top w:val="none" w:sz="0" w:space="0" w:color="auto"/>
            <w:left w:val="none" w:sz="0" w:space="0" w:color="auto"/>
            <w:bottom w:val="none" w:sz="0" w:space="0" w:color="auto"/>
            <w:right w:val="none" w:sz="0" w:space="0" w:color="auto"/>
          </w:divBdr>
          <w:divsChild>
            <w:div w:id="1865287584">
              <w:marLeft w:val="0"/>
              <w:marRight w:val="0"/>
              <w:marTop w:val="0"/>
              <w:marBottom w:val="0"/>
              <w:divBdr>
                <w:top w:val="none" w:sz="0" w:space="0" w:color="auto"/>
                <w:left w:val="none" w:sz="0" w:space="0" w:color="auto"/>
                <w:bottom w:val="none" w:sz="0" w:space="0" w:color="auto"/>
                <w:right w:val="none" w:sz="0" w:space="0" w:color="auto"/>
              </w:divBdr>
              <w:divsChild>
                <w:div w:id="1882554210">
                  <w:marLeft w:val="0"/>
                  <w:marRight w:val="0"/>
                  <w:marTop w:val="0"/>
                  <w:marBottom w:val="0"/>
                  <w:divBdr>
                    <w:top w:val="none" w:sz="0" w:space="0" w:color="auto"/>
                    <w:left w:val="none" w:sz="0" w:space="0" w:color="auto"/>
                    <w:bottom w:val="none" w:sz="0" w:space="0" w:color="auto"/>
                    <w:right w:val="none" w:sz="0" w:space="0" w:color="auto"/>
                  </w:divBdr>
                  <w:divsChild>
                    <w:div w:id="125516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933971">
      <w:bodyDiv w:val="1"/>
      <w:marLeft w:val="0"/>
      <w:marRight w:val="0"/>
      <w:marTop w:val="0"/>
      <w:marBottom w:val="0"/>
      <w:divBdr>
        <w:top w:val="none" w:sz="0" w:space="0" w:color="auto"/>
        <w:left w:val="none" w:sz="0" w:space="0" w:color="auto"/>
        <w:bottom w:val="none" w:sz="0" w:space="0" w:color="auto"/>
        <w:right w:val="none" w:sz="0" w:space="0" w:color="auto"/>
      </w:divBdr>
      <w:divsChild>
        <w:div w:id="628390686">
          <w:marLeft w:val="0"/>
          <w:marRight w:val="0"/>
          <w:marTop w:val="150"/>
          <w:marBottom w:val="150"/>
          <w:divBdr>
            <w:top w:val="none" w:sz="0" w:space="0" w:color="auto"/>
            <w:left w:val="none" w:sz="0" w:space="0" w:color="auto"/>
            <w:bottom w:val="none" w:sz="0" w:space="0" w:color="auto"/>
            <w:right w:val="none" w:sz="0" w:space="0" w:color="auto"/>
          </w:divBdr>
          <w:divsChild>
            <w:div w:id="1464151384">
              <w:marLeft w:val="0"/>
              <w:marRight w:val="0"/>
              <w:marTop w:val="0"/>
              <w:marBottom w:val="0"/>
              <w:divBdr>
                <w:top w:val="none" w:sz="0" w:space="0" w:color="auto"/>
                <w:left w:val="none" w:sz="0" w:space="0" w:color="auto"/>
                <w:bottom w:val="none" w:sz="0" w:space="0" w:color="auto"/>
                <w:right w:val="none" w:sz="0" w:space="0" w:color="auto"/>
              </w:divBdr>
            </w:div>
          </w:divsChild>
        </w:div>
        <w:div w:id="1057633975">
          <w:marLeft w:val="0"/>
          <w:marRight w:val="0"/>
          <w:marTop w:val="150"/>
          <w:marBottom w:val="150"/>
          <w:divBdr>
            <w:top w:val="none" w:sz="0" w:space="0" w:color="auto"/>
            <w:left w:val="none" w:sz="0" w:space="0" w:color="auto"/>
            <w:bottom w:val="none" w:sz="0" w:space="0" w:color="auto"/>
            <w:right w:val="none" w:sz="0" w:space="0" w:color="auto"/>
          </w:divBdr>
          <w:divsChild>
            <w:div w:id="152374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727185">
      <w:bodyDiv w:val="1"/>
      <w:marLeft w:val="0"/>
      <w:marRight w:val="0"/>
      <w:marTop w:val="0"/>
      <w:marBottom w:val="0"/>
      <w:divBdr>
        <w:top w:val="none" w:sz="0" w:space="0" w:color="auto"/>
        <w:left w:val="none" w:sz="0" w:space="0" w:color="auto"/>
        <w:bottom w:val="none" w:sz="0" w:space="0" w:color="auto"/>
        <w:right w:val="none" w:sz="0" w:space="0" w:color="auto"/>
      </w:divBdr>
    </w:div>
    <w:div w:id="1155074526">
      <w:bodyDiv w:val="1"/>
      <w:marLeft w:val="0"/>
      <w:marRight w:val="0"/>
      <w:marTop w:val="0"/>
      <w:marBottom w:val="0"/>
      <w:divBdr>
        <w:top w:val="none" w:sz="0" w:space="0" w:color="auto"/>
        <w:left w:val="none" w:sz="0" w:space="0" w:color="auto"/>
        <w:bottom w:val="none" w:sz="0" w:space="0" w:color="auto"/>
        <w:right w:val="none" w:sz="0" w:space="0" w:color="auto"/>
      </w:divBdr>
      <w:divsChild>
        <w:div w:id="1638145346">
          <w:marLeft w:val="0"/>
          <w:marRight w:val="0"/>
          <w:marTop w:val="0"/>
          <w:marBottom w:val="0"/>
          <w:divBdr>
            <w:top w:val="none" w:sz="0" w:space="0" w:color="auto"/>
            <w:left w:val="none" w:sz="0" w:space="0" w:color="auto"/>
            <w:bottom w:val="none" w:sz="0" w:space="0" w:color="auto"/>
            <w:right w:val="none" w:sz="0" w:space="0" w:color="auto"/>
          </w:divBdr>
          <w:divsChild>
            <w:div w:id="1494492178">
              <w:marLeft w:val="0"/>
              <w:marRight w:val="0"/>
              <w:marTop w:val="0"/>
              <w:marBottom w:val="0"/>
              <w:divBdr>
                <w:top w:val="none" w:sz="0" w:space="0" w:color="auto"/>
                <w:left w:val="none" w:sz="0" w:space="0" w:color="auto"/>
                <w:bottom w:val="none" w:sz="0" w:space="0" w:color="auto"/>
                <w:right w:val="none" w:sz="0" w:space="0" w:color="auto"/>
              </w:divBdr>
              <w:divsChild>
                <w:div w:id="277152730">
                  <w:marLeft w:val="0"/>
                  <w:marRight w:val="0"/>
                  <w:marTop w:val="0"/>
                  <w:marBottom w:val="0"/>
                  <w:divBdr>
                    <w:top w:val="none" w:sz="0" w:space="0" w:color="auto"/>
                    <w:left w:val="none" w:sz="0" w:space="0" w:color="auto"/>
                    <w:bottom w:val="none" w:sz="0" w:space="0" w:color="auto"/>
                    <w:right w:val="none" w:sz="0" w:space="0" w:color="auto"/>
                  </w:divBdr>
                  <w:divsChild>
                    <w:div w:id="107442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011136">
          <w:marLeft w:val="0"/>
          <w:marRight w:val="0"/>
          <w:marTop w:val="0"/>
          <w:marBottom w:val="0"/>
          <w:divBdr>
            <w:top w:val="none" w:sz="0" w:space="0" w:color="auto"/>
            <w:left w:val="none" w:sz="0" w:space="0" w:color="auto"/>
            <w:bottom w:val="none" w:sz="0" w:space="0" w:color="auto"/>
            <w:right w:val="none" w:sz="0" w:space="0" w:color="auto"/>
          </w:divBdr>
          <w:divsChild>
            <w:div w:id="565998058">
              <w:marLeft w:val="0"/>
              <w:marRight w:val="0"/>
              <w:marTop w:val="0"/>
              <w:marBottom w:val="0"/>
              <w:divBdr>
                <w:top w:val="none" w:sz="0" w:space="0" w:color="auto"/>
                <w:left w:val="none" w:sz="0" w:space="0" w:color="auto"/>
                <w:bottom w:val="none" w:sz="0" w:space="0" w:color="auto"/>
                <w:right w:val="none" w:sz="0" w:space="0" w:color="auto"/>
              </w:divBdr>
              <w:divsChild>
                <w:div w:id="1833593958">
                  <w:marLeft w:val="0"/>
                  <w:marRight w:val="0"/>
                  <w:marTop w:val="0"/>
                  <w:marBottom w:val="0"/>
                  <w:divBdr>
                    <w:top w:val="none" w:sz="0" w:space="0" w:color="auto"/>
                    <w:left w:val="none" w:sz="0" w:space="0" w:color="auto"/>
                    <w:bottom w:val="none" w:sz="0" w:space="0" w:color="auto"/>
                    <w:right w:val="none" w:sz="0" w:space="0" w:color="auto"/>
                  </w:divBdr>
                  <w:divsChild>
                    <w:div w:id="1700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014262">
      <w:bodyDiv w:val="1"/>
      <w:marLeft w:val="0"/>
      <w:marRight w:val="0"/>
      <w:marTop w:val="0"/>
      <w:marBottom w:val="0"/>
      <w:divBdr>
        <w:top w:val="none" w:sz="0" w:space="0" w:color="auto"/>
        <w:left w:val="none" w:sz="0" w:space="0" w:color="auto"/>
        <w:bottom w:val="none" w:sz="0" w:space="0" w:color="auto"/>
        <w:right w:val="none" w:sz="0" w:space="0" w:color="auto"/>
      </w:divBdr>
      <w:divsChild>
        <w:div w:id="221790682">
          <w:marLeft w:val="0"/>
          <w:marRight w:val="0"/>
          <w:marTop w:val="0"/>
          <w:marBottom w:val="0"/>
          <w:divBdr>
            <w:top w:val="none" w:sz="0" w:space="0" w:color="auto"/>
            <w:left w:val="none" w:sz="0" w:space="0" w:color="auto"/>
            <w:bottom w:val="none" w:sz="0" w:space="0" w:color="auto"/>
            <w:right w:val="none" w:sz="0" w:space="0" w:color="auto"/>
          </w:divBdr>
          <w:divsChild>
            <w:div w:id="1787040189">
              <w:marLeft w:val="0"/>
              <w:marRight w:val="0"/>
              <w:marTop w:val="0"/>
              <w:marBottom w:val="0"/>
              <w:divBdr>
                <w:top w:val="none" w:sz="0" w:space="0" w:color="auto"/>
                <w:left w:val="none" w:sz="0" w:space="0" w:color="auto"/>
                <w:bottom w:val="none" w:sz="0" w:space="0" w:color="auto"/>
                <w:right w:val="none" w:sz="0" w:space="0" w:color="auto"/>
              </w:divBdr>
              <w:divsChild>
                <w:div w:id="1122505098">
                  <w:marLeft w:val="0"/>
                  <w:marRight w:val="0"/>
                  <w:marTop w:val="0"/>
                  <w:marBottom w:val="0"/>
                  <w:divBdr>
                    <w:top w:val="none" w:sz="0" w:space="0" w:color="auto"/>
                    <w:left w:val="none" w:sz="0" w:space="0" w:color="auto"/>
                    <w:bottom w:val="none" w:sz="0" w:space="0" w:color="auto"/>
                    <w:right w:val="none" w:sz="0" w:space="0" w:color="auto"/>
                  </w:divBdr>
                  <w:divsChild>
                    <w:div w:id="127644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813668">
          <w:marLeft w:val="0"/>
          <w:marRight w:val="0"/>
          <w:marTop w:val="0"/>
          <w:marBottom w:val="0"/>
          <w:divBdr>
            <w:top w:val="none" w:sz="0" w:space="0" w:color="auto"/>
            <w:left w:val="none" w:sz="0" w:space="0" w:color="auto"/>
            <w:bottom w:val="none" w:sz="0" w:space="0" w:color="auto"/>
            <w:right w:val="none" w:sz="0" w:space="0" w:color="auto"/>
          </w:divBdr>
          <w:divsChild>
            <w:div w:id="464927036">
              <w:marLeft w:val="0"/>
              <w:marRight w:val="0"/>
              <w:marTop w:val="0"/>
              <w:marBottom w:val="0"/>
              <w:divBdr>
                <w:top w:val="none" w:sz="0" w:space="0" w:color="auto"/>
                <w:left w:val="none" w:sz="0" w:space="0" w:color="auto"/>
                <w:bottom w:val="none" w:sz="0" w:space="0" w:color="auto"/>
                <w:right w:val="none" w:sz="0" w:space="0" w:color="auto"/>
              </w:divBdr>
              <w:divsChild>
                <w:div w:id="233854706">
                  <w:marLeft w:val="0"/>
                  <w:marRight w:val="0"/>
                  <w:marTop w:val="0"/>
                  <w:marBottom w:val="0"/>
                  <w:divBdr>
                    <w:top w:val="none" w:sz="0" w:space="0" w:color="auto"/>
                    <w:left w:val="none" w:sz="0" w:space="0" w:color="auto"/>
                    <w:bottom w:val="none" w:sz="0" w:space="0" w:color="auto"/>
                    <w:right w:val="none" w:sz="0" w:space="0" w:color="auto"/>
                  </w:divBdr>
                  <w:divsChild>
                    <w:div w:id="168127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047969">
      <w:bodyDiv w:val="1"/>
      <w:marLeft w:val="0"/>
      <w:marRight w:val="0"/>
      <w:marTop w:val="0"/>
      <w:marBottom w:val="0"/>
      <w:divBdr>
        <w:top w:val="none" w:sz="0" w:space="0" w:color="auto"/>
        <w:left w:val="none" w:sz="0" w:space="0" w:color="auto"/>
        <w:bottom w:val="none" w:sz="0" w:space="0" w:color="auto"/>
        <w:right w:val="none" w:sz="0" w:space="0" w:color="auto"/>
      </w:divBdr>
    </w:div>
    <w:div w:id="1508518452">
      <w:bodyDiv w:val="1"/>
      <w:marLeft w:val="0"/>
      <w:marRight w:val="0"/>
      <w:marTop w:val="0"/>
      <w:marBottom w:val="0"/>
      <w:divBdr>
        <w:top w:val="none" w:sz="0" w:space="0" w:color="auto"/>
        <w:left w:val="none" w:sz="0" w:space="0" w:color="auto"/>
        <w:bottom w:val="none" w:sz="0" w:space="0" w:color="auto"/>
        <w:right w:val="none" w:sz="0" w:space="0" w:color="auto"/>
      </w:divBdr>
      <w:divsChild>
        <w:div w:id="234365781">
          <w:marLeft w:val="0"/>
          <w:marRight w:val="0"/>
          <w:marTop w:val="0"/>
          <w:marBottom w:val="0"/>
          <w:divBdr>
            <w:top w:val="none" w:sz="0" w:space="0" w:color="auto"/>
            <w:left w:val="none" w:sz="0" w:space="0" w:color="auto"/>
            <w:bottom w:val="none" w:sz="0" w:space="0" w:color="auto"/>
            <w:right w:val="none" w:sz="0" w:space="0" w:color="auto"/>
          </w:divBdr>
          <w:divsChild>
            <w:div w:id="240220342">
              <w:marLeft w:val="0"/>
              <w:marRight w:val="0"/>
              <w:marTop w:val="0"/>
              <w:marBottom w:val="0"/>
              <w:divBdr>
                <w:top w:val="none" w:sz="0" w:space="0" w:color="auto"/>
                <w:left w:val="none" w:sz="0" w:space="0" w:color="auto"/>
                <w:bottom w:val="none" w:sz="0" w:space="0" w:color="auto"/>
                <w:right w:val="none" w:sz="0" w:space="0" w:color="auto"/>
              </w:divBdr>
              <w:divsChild>
                <w:div w:id="38744495">
                  <w:marLeft w:val="0"/>
                  <w:marRight w:val="0"/>
                  <w:marTop w:val="0"/>
                  <w:marBottom w:val="0"/>
                  <w:divBdr>
                    <w:top w:val="none" w:sz="0" w:space="0" w:color="auto"/>
                    <w:left w:val="none" w:sz="0" w:space="0" w:color="auto"/>
                    <w:bottom w:val="none" w:sz="0" w:space="0" w:color="auto"/>
                    <w:right w:val="none" w:sz="0" w:space="0" w:color="auto"/>
                  </w:divBdr>
                  <w:divsChild>
                    <w:div w:id="135141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357699">
          <w:marLeft w:val="0"/>
          <w:marRight w:val="0"/>
          <w:marTop w:val="0"/>
          <w:marBottom w:val="0"/>
          <w:divBdr>
            <w:top w:val="none" w:sz="0" w:space="0" w:color="auto"/>
            <w:left w:val="none" w:sz="0" w:space="0" w:color="auto"/>
            <w:bottom w:val="none" w:sz="0" w:space="0" w:color="auto"/>
            <w:right w:val="none" w:sz="0" w:space="0" w:color="auto"/>
          </w:divBdr>
          <w:divsChild>
            <w:div w:id="1976443297">
              <w:marLeft w:val="0"/>
              <w:marRight w:val="0"/>
              <w:marTop w:val="0"/>
              <w:marBottom w:val="0"/>
              <w:divBdr>
                <w:top w:val="none" w:sz="0" w:space="0" w:color="auto"/>
                <w:left w:val="none" w:sz="0" w:space="0" w:color="auto"/>
                <w:bottom w:val="none" w:sz="0" w:space="0" w:color="auto"/>
                <w:right w:val="none" w:sz="0" w:space="0" w:color="auto"/>
              </w:divBdr>
              <w:divsChild>
                <w:div w:id="1306158991">
                  <w:marLeft w:val="0"/>
                  <w:marRight w:val="0"/>
                  <w:marTop w:val="0"/>
                  <w:marBottom w:val="0"/>
                  <w:divBdr>
                    <w:top w:val="none" w:sz="0" w:space="0" w:color="auto"/>
                    <w:left w:val="none" w:sz="0" w:space="0" w:color="auto"/>
                    <w:bottom w:val="none" w:sz="0" w:space="0" w:color="auto"/>
                    <w:right w:val="none" w:sz="0" w:space="0" w:color="auto"/>
                  </w:divBdr>
                  <w:divsChild>
                    <w:div w:id="9922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378001">
      <w:bodyDiv w:val="1"/>
      <w:marLeft w:val="0"/>
      <w:marRight w:val="0"/>
      <w:marTop w:val="0"/>
      <w:marBottom w:val="0"/>
      <w:divBdr>
        <w:top w:val="none" w:sz="0" w:space="0" w:color="auto"/>
        <w:left w:val="none" w:sz="0" w:space="0" w:color="auto"/>
        <w:bottom w:val="none" w:sz="0" w:space="0" w:color="auto"/>
        <w:right w:val="none" w:sz="0" w:space="0" w:color="auto"/>
      </w:divBdr>
    </w:div>
    <w:div w:id="1621109764">
      <w:bodyDiv w:val="1"/>
      <w:marLeft w:val="0"/>
      <w:marRight w:val="0"/>
      <w:marTop w:val="0"/>
      <w:marBottom w:val="0"/>
      <w:divBdr>
        <w:top w:val="none" w:sz="0" w:space="0" w:color="auto"/>
        <w:left w:val="none" w:sz="0" w:space="0" w:color="auto"/>
        <w:bottom w:val="none" w:sz="0" w:space="0" w:color="auto"/>
        <w:right w:val="none" w:sz="0" w:space="0" w:color="auto"/>
      </w:divBdr>
    </w:div>
    <w:div w:id="1654873032">
      <w:bodyDiv w:val="1"/>
      <w:marLeft w:val="0"/>
      <w:marRight w:val="0"/>
      <w:marTop w:val="0"/>
      <w:marBottom w:val="0"/>
      <w:divBdr>
        <w:top w:val="none" w:sz="0" w:space="0" w:color="auto"/>
        <w:left w:val="none" w:sz="0" w:space="0" w:color="auto"/>
        <w:bottom w:val="none" w:sz="0" w:space="0" w:color="auto"/>
        <w:right w:val="none" w:sz="0" w:space="0" w:color="auto"/>
      </w:divBdr>
    </w:div>
    <w:div w:id="1721592898">
      <w:bodyDiv w:val="1"/>
      <w:marLeft w:val="0"/>
      <w:marRight w:val="0"/>
      <w:marTop w:val="0"/>
      <w:marBottom w:val="0"/>
      <w:divBdr>
        <w:top w:val="none" w:sz="0" w:space="0" w:color="auto"/>
        <w:left w:val="none" w:sz="0" w:space="0" w:color="auto"/>
        <w:bottom w:val="none" w:sz="0" w:space="0" w:color="auto"/>
        <w:right w:val="none" w:sz="0" w:space="0" w:color="auto"/>
      </w:divBdr>
      <w:divsChild>
        <w:div w:id="1595238146">
          <w:marLeft w:val="0"/>
          <w:marRight w:val="0"/>
          <w:marTop w:val="0"/>
          <w:marBottom w:val="0"/>
          <w:divBdr>
            <w:top w:val="none" w:sz="0" w:space="0" w:color="auto"/>
            <w:left w:val="none" w:sz="0" w:space="0" w:color="auto"/>
            <w:bottom w:val="none" w:sz="0" w:space="0" w:color="auto"/>
            <w:right w:val="none" w:sz="0" w:space="0" w:color="auto"/>
          </w:divBdr>
          <w:divsChild>
            <w:div w:id="1357579620">
              <w:marLeft w:val="0"/>
              <w:marRight w:val="0"/>
              <w:marTop w:val="0"/>
              <w:marBottom w:val="0"/>
              <w:divBdr>
                <w:top w:val="none" w:sz="0" w:space="0" w:color="auto"/>
                <w:left w:val="none" w:sz="0" w:space="0" w:color="auto"/>
                <w:bottom w:val="none" w:sz="0" w:space="0" w:color="auto"/>
                <w:right w:val="none" w:sz="0" w:space="0" w:color="auto"/>
              </w:divBdr>
              <w:divsChild>
                <w:div w:id="1518694069">
                  <w:marLeft w:val="0"/>
                  <w:marRight w:val="0"/>
                  <w:marTop w:val="0"/>
                  <w:marBottom w:val="0"/>
                  <w:divBdr>
                    <w:top w:val="none" w:sz="0" w:space="0" w:color="auto"/>
                    <w:left w:val="none" w:sz="0" w:space="0" w:color="auto"/>
                    <w:bottom w:val="none" w:sz="0" w:space="0" w:color="auto"/>
                    <w:right w:val="none" w:sz="0" w:space="0" w:color="auto"/>
                  </w:divBdr>
                  <w:divsChild>
                    <w:div w:id="83653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403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s://learning.nspcc.org.uk/child-protection-system/gillick-competence-fraser-guidelin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contraception/where-to-get-contracep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36/bmj.p862"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legislation.gov.uk/ukpga/1998/42/schedule/1/part/I/chapter/7" TargetMode="External"/><Relationship Id="rId4" Type="http://schemas.openxmlformats.org/officeDocument/2006/relationships/numbering" Target="numbering.xml"/><Relationship Id="rId9" Type="http://schemas.openxmlformats.org/officeDocument/2006/relationships/hyperlink" Target="https://assets.publishing.service.gov.uk/media/5a7abdcee5274a34770e6cdb/dh_103653__1_.pdf" TargetMode="External"/><Relationship Id="rId14" Type="http://schemas.openxmlformats.org/officeDocument/2006/relationships/hyperlink" Target="https://doi.org/10.1093/eurpub/ckaa166.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55e8ec80885699e4d742ed18328677e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45825a97448ff2d6ad301539a221dbc"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F4728F2A-AE24-4854-B1BC-9E6CD8623F3D}">
  <ds:schemaRefs>
    <ds:schemaRef ds:uri="http://schemas.microsoft.com/sharepoint/v3/contenttype/forms"/>
  </ds:schemaRefs>
</ds:datastoreItem>
</file>

<file path=customXml/itemProps2.xml><?xml version="1.0" encoding="utf-8"?>
<ds:datastoreItem xmlns:ds="http://schemas.openxmlformats.org/officeDocument/2006/customXml" ds:itemID="{040692B8-52C1-477C-8D0F-130AA90EDA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5C2250-E1F1-4C37-9655-C82B21D2D352}">
  <ds:schemaRefs>
    <ds:schemaRef ds:uri="http://purl.org/dc/elements/1.1/"/>
    <ds:schemaRef ds:uri="http://schemas.microsoft.com/office/2006/metadata/properties"/>
    <ds:schemaRef ds:uri="ad7316b1-23f1-480c-8fa6-cbf037f4db9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d2b2a82-bc2e-4fcc-b8ad-fd63686c78d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2003</Words>
  <Characters>11420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Child rights: access to contraceptive advice</vt:lpstr>
    </vt:vector>
  </TitlesOfParts>
  <Company/>
  <LinksUpToDate>false</LinksUpToDate>
  <CharactersWithSpaces>13397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 rights: access to contraceptive advice</dc:title>
  <dc:subject>Jade Brown / 2319007</dc:subject>
  <dc:creator>Jade Brown (2319007)</dc:creator>
  <cp:keywords/>
  <dc:description/>
  <cp:lastModifiedBy>Jade Brown (2319007)</cp:lastModifiedBy>
  <cp:revision>2</cp:revision>
  <dcterms:created xsi:type="dcterms:W3CDTF">2024-11-08T14:06:00Z</dcterms:created>
  <dcterms:modified xsi:type="dcterms:W3CDTF">2024-11-08T14:06:00Z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