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63C0D" w14:textId="60FDFF4A" w:rsidR="006F5F18" w:rsidRDefault="003C0C5E" w:rsidP="006F5F18">
      <w:r>
        <w:rPr>
          <w:noProof/>
        </w:rPr>
        <w:drawing>
          <wp:anchor distT="0" distB="0" distL="114300" distR="114300" simplePos="0" relativeHeight="251659264" behindDoc="0" locked="0" layoutInCell="1" allowOverlap="1" wp14:anchorId="207C697D" wp14:editId="55B52BF6">
            <wp:simplePos x="0" y="0"/>
            <wp:positionH relativeFrom="column">
              <wp:posOffset>355600</wp:posOffset>
            </wp:positionH>
            <wp:positionV relativeFrom="paragraph">
              <wp:posOffset>0</wp:posOffset>
            </wp:positionV>
            <wp:extent cx="5638800" cy="1790700"/>
            <wp:effectExtent l="0" t="0" r="0" b="0"/>
            <wp:wrapSquare wrapText="bothSides"/>
            <wp:docPr id="3487085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38800" cy="1790700"/>
                    </a:xfrm>
                    <a:prstGeom prst="rect">
                      <a:avLst/>
                    </a:prstGeom>
                    <a:noFill/>
                  </pic:spPr>
                </pic:pic>
              </a:graphicData>
            </a:graphic>
            <wp14:sizeRelH relativeFrom="margin">
              <wp14:pctWidth>0</wp14:pctWidth>
            </wp14:sizeRelH>
          </wp:anchor>
        </w:drawing>
      </w:r>
    </w:p>
    <w:p w14:paraId="081D5997" w14:textId="77777777" w:rsidR="006F5F18" w:rsidRDefault="006F5F18" w:rsidP="006F5F18"/>
    <w:p w14:paraId="3C8211A8" w14:textId="77777777" w:rsidR="00D0129B" w:rsidRDefault="00D0129B" w:rsidP="006F5F18"/>
    <w:p w14:paraId="54A8A285" w14:textId="77777777" w:rsidR="00D0129B" w:rsidRDefault="00D0129B" w:rsidP="006F5F18"/>
    <w:p w14:paraId="2E4A189D" w14:textId="77777777" w:rsidR="00D0129B" w:rsidRDefault="00D0129B" w:rsidP="006F5F18"/>
    <w:p w14:paraId="7BAD6984" w14:textId="77777777" w:rsidR="003C0C5E" w:rsidRDefault="003C0C5E" w:rsidP="006F5F18"/>
    <w:p w14:paraId="49C5A6F8" w14:textId="77777777" w:rsidR="003C0C5E" w:rsidRDefault="003C0C5E" w:rsidP="006F5F18"/>
    <w:p w14:paraId="1A4332BB" w14:textId="77777777" w:rsidR="003C0C5E" w:rsidRDefault="003C0C5E" w:rsidP="006F5F18"/>
    <w:p w14:paraId="182FCA9C" w14:textId="77777777" w:rsidR="003C0C5E" w:rsidRDefault="003C0C5E" w:rsidP="006F5F18"/>
    <w:tbl>
      <w:tblPr>
        <w:tblStyle w:val="TableGrid"/>
        <w:tblW w:w="9776" w:type="dxa"/>
        <w:tblLook w:val="04A0" w:firstRow="1" w:lastRow="0" w:firstColumn="1" w:lastColumn="0" w:noHBand="0" w:noVBand="1"/>
      </w:tblPr>
      <w:tblGrid>
        <w:gridCol w:w="1838"/>
        <w:gridCol w:w="2835"/>
        <w:gridCol w:w="2410"/>
        <w:gridCol w:w="2693"/>
      </w:tblGrid>
      <w:tr w:rsidR="007F72E9" w14:paraId="565991ED" w14:textId="77777777" w:rsidTr="00D0129B">
        <w:trPr>
          <w:trHeight w:val="656"/>
        </w:trPr>
        <w:tc>
          <w:tcPr>
            <w:tcW w:w="1838" w:type="dxa"/>
          </w:tcPr>
          <w:p w14:paraId="747DF7EA" w14:textId="64132F80" w:rsidR="007F72E9" w:rsidRDefault="000D70BC" w:rsidP="00697095">
            <w:pPr>
              <w:spacing w:line="360" w:lineRule="auto"/>
              <w:jc w:val="both"/>
              <w:rPr>
                <w:rFonts w:ascii="Arial" w:hAnsi="Arial" w:cs="Arial"/>
                <w:b/>
                <w:bCs/>
              </w:rPr>
            </w:pPr>
            <w:r>
              <w:rPr>
                <w:rFonts w:ascii="Arial" w:hAnsi="Arial" w:cs="Arial"/>
                <w:b/>
                <w:bCs/>
              </w:rPr>
              <w:t>Student name:</w:t>
            </w:r>
          </w:p>
        </w:tc>
        <w:tc>
          <w:tcPr>
            <w:tcW w:w="2835" w:type="dxa"/>
          </w:tcPr>
          <w:p w14:paraId="1F9CBDE7" w14:textId="0BA0B550" w:rsidR="007F72E9" w:rsidRDefault="00C30A4C" w:rsidP="00697095">
            <w:pPr>
              <w:spacing w:line="360" w:lineRule="auto"/>
              <w:jc w:val="both"/>
              <w:rPr>
                <w:rFonts w:ascii="Arial" w:hAnsi="Arial" w:cs="Arial"/>
                <w:b/>
                <w:bCs/>
              </w:rPr>
            </w:pPr>
            <w:r>
              <w:rPr>
                <w:rFonts w:ascii="Arial" w:hAnsi="Arial" w:cs="Arial"/>
                <w:b/>
                <w:bCs/>
              </w:rPr>
              <w:t>Evaristo</w:t>
            </w:r>
            <w:r w:rsidR="000D70BC">
              <w:rPr>
                <w:rFonts w:ascii="Arial" w:hAnsi="Arial" w:cs="Arial"/>
                <w:b/>
                <w:bCs/>
              </w:rPr>
              <w:t xml:space="preserve"> </w:t>
            </w:r>
            <w:r>
              <w:rPr>
                <w:rFonts w:ascii="Arial" w:hAnsi="Arial" w:cs="Arial"/>
                <w:b/>
                <w:bCs/>
              </w:rPr>
              <w:t>F</w:t>
            </w:r>
            <w:r w:rsidR="000D70BC">
              <w:rPr>
                <w:rFonts w:ascii="Arial" w:hAnsi="Arial" w:cs="Arial"/>
                <w:b/>
                <w:bCs/>
              </w:rPr>
              <w:t xml:space="preserve">reite </w:t>
            </w:r>
            <w:r>
              <w:rPr>
                <w:rFonts w:ascii="Arial" w:hAnsi="Arial" w:cs="Arial"/>
                <w:b/>
                <w:bCs/>
              </w:rPr>
              <w:t>De Melo</w:t>
            </w:r>
          </w:p>
        </w:tc>
        <w:tc>
          <w:tcPr>
            <w:tcW w:w="2410" w:type="dxa"/>
          </w:tcPr>
          <w:p w14:paraId="5B2DFDFD" w14:textId="67DFD645" w:rsidR="007F72E9" w:rsidRDefault="004A6CC0" w:rsidP="00697095">
            <w:pPr>
              <w:spacing w:line="360" w:lineRule="auto"/>
              <w:jc w:val="both"/>
              <w:rPr>
                <w:rFonts w:ascii="Arial" w:hAnsi="Arial" w:cs="Arial"/>
                <w:b/>
                <w:bCs/>
              </w:rPr>
            </w:pPr>
            <w:r>
              <w:rPr>
                <w:rFonts w:ascii="Arial" w:hAnsi="Arial" w:cs="Arial"/>
                <w:b/>
                <w:bCs/>
              </w:rPr>
              <w:t>Student</w:t>
            </w:r>
            <w:r w:rsidR="000406FC">
              <w:rPr>
                <w:rFonts w:ascii="Arial" w:hAnsi="Arial" w:cs="Arial"/>
                <w:b/>
                <w:bCs/>
              </w:rPr>
              <w:t xml:space="preserve"> ID number</w:t>
            </w:r>
          </w:p>
        </w:tc>
        <w:tc>
          <w:tcPr>
            <w:tcW w:w="2693" w:type="dxa"/>
          </w:tcPr>
          <w:p w14:paraId="0E75C029" w14:textId="4A06A6F1" w:rsidR="007F72E9" w:rsidRDefault="000406FC" w:rsidP="00697095">
            <w:pPr>
              <w:spacing w:line="360" w:lineRule="auto"/>
              <w:jc w:val="both"/>
              <w:rPr>
                <w:rFonts w:ascii="Arial" w:hAnsi="Arial" w:cs="Arial"/>
                <w:b/>
                <w:bCs/>
              </w:rPr>
            </w:pPr>
            <w:r>
              <w:rPr>
                <w:rFonts w:ascii="Arial" w:hAnsi="Arial" w:cs="Arial"/>
                <w:b/>
                <w:bCs/>
              </w:rPr>
              <w:t>2129710</w:t>
            </w:r>
          </w:p>
        </w:tc>
      </w:tr>
      <w:tr w:rsidR="00DF6059" w14:paraId="79894B9B" w14:textId="77777777" w:rsidTr="00D0129B">
        <w:tc>
          <w:tcPr>
            <w:tcW w:w="4673" w:type="dxa"/>
            <w:gridSpan w:val="2"/>
          </w:tcPr>
          <w:p w14:paraId="39DB9913" w14:textId="28BDE494" w:rsidR="00DF6059" w:rsidRDefault="00912817" w:rsidP="00697095">
            <w:pPr>
              <w:spacing w:line="360" w:lineRule="auto"/>
              <w:jc w:val="both"/>
              <w:rPr>
                <w:rFonts w:ascii="Arial" w:hAnsi="Arial" w:cs="Arial"/>
                <w:b/>
                <w:bCs/>
              </w:rPr>
            </w:pPr>
            <w:r>
              <w:rPr>
                <w:rFonts w:ascii="Arial" w:hAnsi="Arial" w:cs="Arial"/>
                <w:b/>
                <w:bCs/>
              </w:rPr>
              <w:t>Pro</w:t>
            </w:r>
            <w:r w:rsidR="00876476">
              <w:rPr>
                <w:rFonts w:ascii="Arial" w:hAnsi="Arial" w:cs="Arial"/>
                <w:b/>
                <w:bCs/>
              </w:rPr>
              <w:t>gramme:</w:t>
            </w:r>
          </w:p>
        </w:tc>
        <w:tc>
          <w:tcPr>
            <w:tcW w:w="5103" w:type="dxa"/>
            <w:gridSpan w:val="2"/>
          </w:tcPr>
          <w:p w14:paraId="388C4D96" w14:textId="2AB6AE0B" w:rsidR="00DF6059" w:rsidRDefault="00876476" w:rsidP="00697095">
            <w:pPr>
              <w:spacing w:line="360" w:lineRule="auto"/>
              <w:jc w:val="both"/>
              <w:rPr>
                <w:rFonts w:ascii="Arial" w:hAnsi="Arial" w:cs="Arial"/>
                <w:b/>
                <w:bCs/>
              </w:rPr>
            </w:pPr>
            <w:r>
              <w:rPr>
                <w:rFonts w:ascii="Arial" w:hAnsi="Arial" w:cs="Arial"/>
                <w:b/>
                <w:bCs/>
              </w:rPr>
              <w:t>BA Leadership and Management</w:t>
            </w:r>
          </w:p>
        </w:tc>
      </w:tr>
      <w:tr w:rsidR="00DF6059" w14:paraId="677CD177" w14:textId="77777777" w:rsidTr="00D0129B">
        <w:tc>
          <w:tcPr>
            <w:tcW w:w="4673" w:type="dxa"/>
            <w:gridSpan w:val="2"/>
          </w:tcPr>
          <w:p w14:paraId="23266A87" w14:textId="44EC871C" w:rsidR="00DF6059" w:rsidRDefault="00A25ED3" w:rsidP="00697095">
            <w:pPr>
              <w:spacing w:line="360" w:lineRule="auto"/>
              <w:jc w:val="both"/>
              <w:rPr>
                <w:rFonts w:ascii="Arial" w:hAnsi="Arial" w:cs="Arial"/>
                <w:b/>
                <w:bCs/>
              </w:rPr>
            </w:pPr>
            <w:r w:rsidRPr="00A25ED3">
              <w:rPr>
                <w:rFonts w:ascii="Arial" w:hAnsi="Arial" w:cs="Arial"/>
                <w:b/>
                <w:bCs/>
              </w:rPr>
              <w:t>Module:</w:t>
            </w:r>
          </w:p>
        </w:tc>
        <w:tc>
          <w:tcPr>
            <w:tcW w:w="5103" w:type="dxa"/>
            <w:gridSpan w:val="2"/>
          </w:tcPr>
          <w:p w14:paraId="13D18234" w14:textId="26B28A1D" w:rsidR="00DF6059" w:rsidRDefault="00F87454" w:rsidP="00697095">
            <w:pPr>
              <w:spacing w:line="360" w:lineRule="auto"/>
              <w:jc w:val="both"/>
              <w:rPr>
                <w:rFonts w:ascii="Arial" w:hAnsi="Arial" w:cs="Arial"/>
                <w:b/>
                <w:bCs/>
              </w:rPr>
            </w:pPr>
            <w:r w:rsidRPr="00F87454">
              <w:rPr>
                <w:rFonts w:ascii="Arial" w:hAnsi="Arial" w:cs="Arial"/>
                <w:b/>
                <w:bCs/>
              </w:rPr>
              <w:t>Coaching and Mentoring Skills for the Workplace</w:t>
            </w:r>
          </w:p>
        </w:tc>
      </w:tr>
      <w:tr w:rsidR="00DF6059" w14:paraId="79FD395C" w14:textId="77777777" w:rsidTr="00D0129B">
        <w:tc>
          <w:tcPr>
            <w:tcW w:w="4673" w:type="dxa"/>
            <w:gridSpan w:val="2"/>
          </w:tcPr>
          <w:p w14:paraId="3A7CB47F" w14:textId="5C3AB15E" w:rsidR="00DF6059" w:rsidRDefault="000C2605" w:rsidP="00697095">
            <w:pPr>
              <w:spacing w:line="360" w:lineRule="auto"/>
              <w:jc w:val="both"/>
              <w:rPr>
                <w:rFonts w:ascii="Arial" w:hAnsi="Arial" w:cs="Arial"/>
                <w:b/>
                <w:bCs/>
              </w:rPr>
            </w:pPr>
            <w:r w:rsidRPr="000C2605">
              <w:rPr>
                <w:rFonts w:ascii="Arial" w:hAnsi="Arial" w:cs="Arial"/>
                <w:b/>
                <w:bCs/>
              </w:rPr>
              <w:t>Module code:</w:t>
            </w:r>
          </w:p>
        </w:tc>
        <w:tc>
          <w:tcPr>
            <w:tcW w:w="5103" w:type="dxa"/>
            <w:gridSpan w:val="2"/>
          </w:tcPr>
          <w:p w14:paraId="5D25460D" w14:textId="17E4B795" w:rsidR="00DF6059" w:rsidRDefault="00B078A3" w:rsidP="00697095">
            <w:pPr>
              <w:spacing w:line="360" w:lineRule="auto"/>
              <w:jc w:val="both"/>
              <w:rPr>
                <w:rFonts w:ascii="Arial" w:hAnsi="Arial" w:cs="Arial"/>
                <w:b/>
                <w:bCs/>
              </w:rPr>
            </w:pPr>
            <w:r w:rsidRPr="00B078A3">
              <w:rPr>
                <w:rFonts w:ascii="Arial" w:hAnsi="Arial" w:cs="Arial"/>
                <w:b/>
                <w:bCs/>
              </w:rPr>
              <w:t>BMSW6105</w:t>
            </w:r>
          </w:p>
        </w:tc>
      </w:tr>
      <w:tr w:rsidR="00DF6059" w14:paraId="5DD09CE9" w14:textId="77777777" w:rsidTr="00D0129B">
        <w:tc>
          <w:tcPr>
            <w:tcW w:w="4673" w:type="dxa"/>
            <w:gridSpan w:val="2"/>
          </w:tcPr>
          <w:p w14:paraId="028E7A0F" w14:textId="6E37294E" w:rsidR="00DF6059" w:rsidRDefault="00DC2739" w:rsidP="00697095">
            <w:pPr>
              <w:spacing w:line="360" w:lineRule="auto"/>
              <w:jc w:val="both"/>
              <w:rPr>
                <w:rFonts w:ascii="Arial" w:hAnsi="Arial" w:cs="Arial"/>
                <w:b/>
                <w:bCs/>
              </w:rPr>
            </w:pPr>
            <w:r w:rsidRPr="00DC2739">
              <w:rPr>
                <w:rFonts w:ascii="Arial" w:hAnsi="Arial" w:cs="Arial"/>
                <w:b/>
                <w:bCs/>
              </w:rPr>
              <w:t>Lecturer:</w:t>
            </w:r>
          </w:p>
        </w:tc>
        <w:tc>
          <w:tcPr>
            <w:tcW w:w="5103" w:type="dxa"/>
            <w:gridSpan w:val="2"/>
          </w:tcPr>
          <w:p w14:paraId="551E8C46" w14:textId="77777777" w:rsidR="003A5AD0" w:rsidRPr="003A5AD0" w:rsidRDefault="003A5AD0" w:rsidP="003A5AD0">
            <w:pPr>
              <w:spacing w:line="360" w:lineRule="auto"/>
              <w:jc w:val="both"/>
              <w:rPr>
                <w:rFonts w:ascii="Arial" w:hAnsi="Arial" w:cs="Arial"/>
                <w:b/>
                <w:bCs/>
              </w:rPr>
            </w:pPr>
            <w:r w:rsidRPr="003A5AD0">
              <w:rPr>
                <w:rFonts w:ascii="Arial" w:hAnsi="Arial" w:cs="Arial"/>
                <w:b/>
                <w:bCs/>
              </w:rPr>
              <w:t>Dennis Pepple</w:t>
            </w:r>
          </w:p>
          <w:p w14:paraId="2EED39D6" w14:textId="0FF841CF" w:rsidR="00DF6059" w:rsidRDefault="003A5AD0" w:rsidP="003A5AD0">
            <w:pPr>
              <w:spacing w:line="360" w:lineRule="auto"/>
              <w:jc w:val="both"/>
              <w:rPr>
                <w:rFonts w:ascii="Arial" w:hAnsi="Arial" w:cs="Arial"/>
                <w:b/>
                <w:bCs/>
              </w:rPr>
            </w:pPr>
            <w:r w:rsidRPr="003A5AD0">
              <w:rPr>
                <w:rFonts w:ascii="Arial" w:hAnsi="Arial" w:cs="Arial"/>
                <w:b/>
                <w:bCs/>
              </w:rPr>
              <w:t>Faizu Edu</w:t>
            </w:r>
          </w:p>
        </w:tc>
      </w:tr>
      <w:tr w:rsidR="00DF6059" w14:paraId="1C596903" w14:textId="77777777" w:rsidTr="00D0129B">
        <w:tc>
          <w:tcPr>
            <w:tcW w:w="4673" w:type="dxa"/>
            <w:gridSpan w:val="2"/>
          </w:tcPr>
          <w:p w14:paraId="27208324" w14:textId="15562CC1" w:rsidR="00DF6059" w:rsidRDefault="00343BFD" w:rsidP="00697095">
            <w:pPr>
              <w:spacing w:line="360" w:lineRule="auto"/>
              <w:jc w:val="both"/>
              <w:rPr>
                <w:rFonts w:ascii="Arial" w:hAnsi="Arial" w:cs="Arial"/>
                <w:b/>
                <w:bCs/>
              </w:rPr>
            </w:pPr>
            <w:r w:rsidRPr="00343BFD">
              <w:rPr>
                <w:rFonts w:ascii="Arial" w:hAnsi="Arial" w:cs="Arial"/>
                <w:b/>
                <w:bCs/>
              </w:rPr>
              <w:t>Assignment Title:</w:t>
            </w:r>
          </w:p>
        </w:tc>
        <w:tc>
          <w:tcPr>
            <w:tcW w:w="5103" w:type="dxa"/>
            <w:gridSpan w:val="2"/>
          </w:tcPr>
          <w:p w14:paraId="2553D685" w14:textId="521235A7" w:rsidR="00DF6059" w:rsidRDefault="007F08C8" w:rsidP="00697095">
            <w:pPr>
              <w:spacing w:line="360" w:lineRule="auto"/>
              <w:jc w:val="both"/>
              <w:rPr>
                <w:rFonts w:ascii="Arial" w:hAnsi="Arial" w:cs="Arial"/>
                <w:b/>
                <w:bCs/>
              </w:rPr>
            </w:pPr>
            <w:r w:rsidRPr="007F08C8">
              <w:rPr>
                <w:rFonts w:ascii="Arial" w:hAnsi="Arial" w:cs="Arial"/>
                <w:b/>
                <w:bCs/>
              </w:rPr>
              <w:t>Written Reflection</w:t>
            </w:r>
          </w:p>
        </w:tc>
      </w:tr>
    </w:tbl>
    <w:p w14:paraId="7AA21722" w14:textId="29754F5E" w:rsidR="005C4FE7" w:rsidRDefault="005C4FE7" w:rsidP="00697095">
      <w:pPr>
        <w:spacing w:line="360" w:lineRule="auto"/>
        <w:jc w:val="both"/>
        <w:rPr>
          <w:rFonts w:ascii="Arial" w:hAnsi="Arial" w:cs="Arial"/>
          <w:b/>
          <w:bCs/>
        </w:rPr>
      </w:pPr>
    </w:p>
    <w:p w14:paraId="3AE61E8B" w14:textId="77777777" w:rsidR="005C4FE7" w:rsidRDefault="005C4FE7" w:rsidP="00697095">
      <w:pPr>
        <w:spacing w:line="360" w:lineRule="auto"/>
        <w:jc w:val="both"/>
        <w:rPr>
          <w:rFonts w:ascii="Arial" w:hAnsi="Arial" w:cs="Arial"/>
          <w:b/>
          <w:bCs/>
        </w:rPr>
      </w:pPr>
    </w:p>
    <w:p w14:paraId="776E41E8" w14:textId="77777777" w:rsidR="005C4FE7" w:rsidRDefault="005C4FE7" w:rsidP="00697095">
      <w:pPr>
        <w:spacing w:line="360" w:lineRule="auto"/>
        <w:jc w:val="both"/>
        <w:rPr>
          <w:rFonts w:ascii="Arial" w:hAnsi="Arial" w:cs="Arial"/>
          <w:b/>
          <w:bCs/>
        </w:rPr>
      </w:pPr>
    </w:p>
    <w:p w14:paraId="53B6F5BF" w14:textId="77777777" w:rsidR="005C4FE7" w:rsidRDefault="005C4FE7" w:rsidP="00697095">
      <w:pPr>
        <w:spacing w:line="360" w:lineRule="auto"/>
        <w:jc w:val="both"/>
        <w:rPr>
          <w:rFonts w:ascii="Arial" w:hAnsi="Arial" w:cs="Arial"/>
          <w:b/>
          <w:bCs/>
        </w:rPr>
      </w:pPr>
    </w:p>
    <w:p w14:paraId="13FF0663" w14:textId="77777777" w:rsidR="00B1551A" w:rsidRDefault="00B1551A" w:rsidP="00697095">
      <w:pPr>
        <w:spacing w:line="360" w:lineRule="auto"/>
        <w:jc w:val="both"/>
        <w:rPr>
          <w:rFonts w:ascii="Arial" w:hAnsi="Arial" w:cs="Arial"/>
          <w:b/>
          <w:bCs/>
        </w:rPr>
      </w:pPr>
    </w:p>
    <w:p w14:paraId="7F4C39A6" w14:textId="77777777" w:rsidR="00B1551A" w:rsidRDefault="00B1551A" w:rsidP="00697095">
      <w:pPr>
        <w:spacing w:line="360" w:lineRule="auto"/>
        <w:jc w:val="both"/>
        <w:rPr>
          <w:rFonts w:ascii="Arial" w:hAnsi="Arial" w:cs="Arial"/>
          <w:b/>
          <w:bCs/>
        </w:rPr>
      </w:pPr>
    </w:p>
    <w:p w14:paraId="589D1C20" w14:textId="77777777" w:rsidR="00B1551A" w:rsidRDefault="00B1551A" w:rsidP="00697095">
      <w:pPr>
        <w:spacing w:line="360" w:lineRule="auto"/>
        <w:jc w:val="both"/>
        <w:rPr>
          <w:rFonts w:ascii="Arial" w:hAnsi="Arial" w:cs="Arial"/>
          <w:b/>
          <w:bCs/>
        </w:rPr>
      </w:pPr>
    </w:p>
    <w:p w14:paraId="06095D04" w14:textId="77777777" w:rsidR="00B1551A" w:rsidRDefault="00B1551A" w:rsidP="00697095">
      <w:pPr>
        <w:spacing w:line="360" w:lineRule="auto"/>
        <w:jc w:val="both"/>
        <w:rPr>
          <w:rFonts w:ascii="Arial" w:hAnsi="Arial" w:cs="Arial"/>
          <w:b/>
          <w:bCs/>
        </w:rPr>
      </w:pPr>
    </w:p>
    <w:p w14:paraId="722ABED0" w14:textId="77777777" w:rsidR="00B1551A" w:rsidRDefault="00B1551A" w:rsidP="00697095">
      <w:pPr>
        <w:spacing w:line="360" w:lineRule="auto"/>
        <w:jc w:val="both"/>
        <w:rPr>
          <w:rFonts w:ascii="Arial" w:hAnsi="Arial" w:cs="Arial"/>
          <w:b/>
          <w:bCs/>
        </w:rPr>
      </w:pPr>
    </w:p>
    <w:p w14:paraId="78E3869C" w14:textId="77777777" w:rsidR="00B1551A" w:rsidRDefault="00B1551A" w:rsidP="00697095">
      <w:pPr>
        <w:spacing w:line="360" w:lineRule="auto"/>
        <w:jc w:val="both"/>
        <w:rPr>
          <w:rFonts w:ascii="Arial" w:hAnsi="Arial" w:cs="Arial"/>
          <w:b/>
          <w:bCs/>
        </w:rPr>
      </w:pPr>
    </w:p>
    <w:p w14:paraId="3B3A8481" w14:textId="77777777" w:rsidR="00B1551A" w:rsidRDefault="00B1551A" w:rsidP="00697095">
      <w:pPr>
        <w:spacing w:line="360" w:lineRule="auto"/>
        <w:jc w:val="both"/>
        <w:rPr>
          <w:rFonts w:ascii="Arial" w:hAnsi="Arial" w:cs="Arial"/>
          <w:b/>
          <w:bCs/>
        </w:rPr>
      </w:pPr>
    </w:p>
    <w:p w14:paraId="6AE75E05" w14:textId="77777777" w:rsidR="00B1551A" w:rsidRDefault="00B1551A" w:rsidP="00697095">
      <w:pPr>
        <w:spacing w:line="360" w:lineRule="auto"/>
        <w:jc w:val="both"/>
        <w:rPr>
          <w:rFonts w:ascii="Arial" w:hAnsi="Arial" w:cs="Arial"/>
          <w:b/>
          <w:bCs/>
        </w:rPr>
      </w:pPr>
    </w:p>
    <w:p w14:paraId="3B729FEC" w14:textId="303A76C2" w:rsidR="005C4FE7" w:rsidRDefault="00B1551A" w:rsidP="00697095">
      <w:pPr>
        <w:spacing w:line="360" w:lineRule="auto"/>
        <w:jc w:val="both"/>
        <w:rPr>
          <w:rFonts w:ascii="Arial" w:hAnsi="Arial" w:cs="Arial"/>
          <w:b/>
          <w:bCs/>
        </w:rPr>
      </w:pPr>
      <w:r>
        <w:rPr>
          <w:rFonts w:ascii="Arial" w:hAnsi="Arial" w:cs="Arial"/>
          <w:b/>
          <w:bCs/>
        </w:rPr>
        <w:lastRenderedPageBreak/>
        <w:t xml:space="preserve">                                            </w:t>
      </w:r>
      <w:r w:rsidR="00C30894">
        <w:rPr>
          <w:rFonts w:ascii="Arial" w:hAnsi="Arial" w:cs="Arial"/>
          <w:b/>
          <w:bCs/>
        </w:rPr>
        <w:t>Tab</w:t>
      </w:r>
      <w:r>
        <w:rPr>
          <w:rFonts w:ascii="Arial" w:hAnsi="Arial" w:cs="Arial"/>
          <w:b/>
          <w:bCs/>
        </w:rPr>
        <w:t>le of Contents</w:t>
      </w:r>
    </w:p>
    <w:p w14:paraId="3F91E2F0" w14:textId="77777777" w:rsidR="00B1551A" w:rsidRDefault="00B1551A" w:rsidP="00697095">
      <w:pPr>
        <w:spacing w:line="360" w:lineRule="auto"/>
        <w:jc w:val="both"/>
        <w:rPr>
          <w:rFonts w:ascii="Arial" w:hAnsi="Arial" w:cs="Arial"/>
          <w:b/>
          <w:bCs/>
        </w:rPr>
      </w:pPr>
    </w:p>
    <w:p w14:paraId="205AC158" w14:textId="60668974" w:rsidR="00BC6E61" w:rsidRDefault="00BC6E61" w:rsidP="00A36E1C">
      <w:pPr>
        <w:tabs>
          <w:tab w:val="left" w:pos="1970"/>
        </w:tabs>
        <w:spacing w:line="360" w:lineRule="auto"/>
        <w:jc w:val="both"/>
        <w:rPr>
          <w:rFonts w:ascii="Arial" w:hAnsi="Arial" w:cs="Arial"/>
          <w:b/>
          <w:bCs/>
        </w:rPr>
      </w:pPr>
      <w:r>
        <w:rPr>
          <w:rFonts w:ascii="Arial" w:hAnsi="Arial" w:cs="Arial"/>
          <w:b/>
          <w:bCs/>
        </w:rPr>
        <w:t>Introduction</w:t>
      </w:r>
      <w:r w:rsidR="00A36E1C">
        <w:rPr>
          <w:rFonts w:ascii="Arial" w:hAnsi="Arial" w:cs="Arial"/>
          <w:b/>
          <w:bCs/>
        </w:rPr>
        <w:t>…………………………………………………………………………</w:t>
      </w:r>
      <w:r w:rsidR="00727489">
        <w:rPr>
          <w:rFonts w:ascii="Arial" w:hAnsi="Arial" w:cs="Arial"/>
          <w:b/>
          <w:bCs/>
        </w:rPr>
        <w:t>…...</w:t>
      </w:r>
      <w:r w:rsidR="00C37F95">
        <w:rPr>
          <w:rFonts w:ascii="Arial" w:hAnsi="Arial" w:cs="Arial"/>
          <w:b/>
          <w:bCs/>
        </w:rPr>
        <w:t xml:space="preserve"> 1</w:t>
      </w:r>
    </w:p>
    <w:p w14:paraId="713272A3" w14:textId="0E8A732D" w:rsidR="00BC6E61" w:rsidRDefault="00BC6E61" w:rsidP="00697095">
      <w:pPr>
        <w:spacing w:line="360" w:lineRule="auto"/>
        <w:jc w:val="both"/>
        <w:rPr>
          <w:rFonts w:ascii="Arial" w:hAnsi="Arial" w:cs="Arial"/>
          <w:b/>
          <w:bCs/>
        </w:rPr>
      </w:pPr>
      <w:r w:rsidRPr="00BC6E61">
        <w:rPr>
          <w:rFonts w:ascii="Arial" w:hAnsi="Arial" w:cs="Arial"/>
          <w:b/>
          <w:bCs/>
        </w:rPr>
        <w:t>Critical evaluation</w:t>
      </w:r>
      <w:r w:rsidR="00A36E1C">
        <w:rPr>
          <w:rFonts w:ascii="Arial" w:hAnsi="Arial" w:cs="Arial"/>
          <w:b/>
          <w:bCs/>
        </w:rPr>
        <w:t>…………………………………………………………………….</w:t>
      </w:r>
      <w:r w:rsidR="008F73ED">
        <w:rPr>
          <w:rFonts w:ascii="Arial" w:hAnsi="Arial" w:cs="Arial"/>
          <w:b/>
          <w:bCs/>
        </w:rPr>
        <w:t>..</w:t>
      </w:r>
      <w:r w:rsidR="00C37F95">
        <w:rPr>
          <w:rFonts w:ascii="Arial" w:hAnsi="Arial" w:cs="Arial"/>
          <w:b/>
          <w:bCs/>
        </w:rPr>
        <w:t xml:space="preserve"> 2</w:t>
      </w:r>
    </w:p>
    <w:p w14:paraId="752C276A" w14:textId="41561711" w:rsidR="00BC6E61" w:rsidRDefault="00BC6E61" w:rsidP="00697095">
      <w:pPr>
        <w:spacing w:line="360" w:lineRule="auto"/>
        <w:jc w:val="both"/>
        <w:rPr>
          <w:rFonts w:ascii="Arial" w:hAnsi="Arial" w:cs="Arial"/>
          <w:b/>
          <w:bCs/>
        </w:rPr>
      </w:pPr>
      <w:r w:rsidRPr="00BC6E61">
        <w:rPr>
          <w:rFonts w:ascii="Arial" w:hAnsi="Arial" w:cs="Arial"/>
          <w:b/>
          <w:bCs/>
        </w:rPr>
        <w:t>Critical Analysis of the GROW Coaching Model</w:t>
      </w:r>
      <w:r w:rsidR="008F73ED">
        <w:rPr>
          <w:rFonts w:ascii="Arial" w:hAnsi="Arial" w:cs="Arial"/>
          <w:b/>
          <w:bCs/>
        </w:rPr>
        <w:t>………………………………….</w:t>
      </w:r>
      <w:r w:rsidR="00C37F95">
        <w:rPr>
          <w:rFonts w:ascii="Arial" w:hAnsi="Arial" w:cs="Arial"/>
          <w:b/>
          <w:bCs/>
        </w:rPr>
        <w:t xml:space="preserve"> 3</w:t>
      </w:r>
    </w:p>
    <w:p w14:paraId="107BC558" w14:textId="3EB5789B" w:rsidR="00BC6E61" w:rsidRDefault="00BC6E61" w:rsidP="00697095">
      <w:pPr>
        <w:spacing w:line="360" w:lineRule="auto"/>
        <w:jc w:val="both"/>
        <w:rPr>
          <w:rFonts w:ascii="Arial" w:hAnsi="Arial" w:cs="Arial"/>
          <w:b/>
          <w:bCs/>
        </w:rPr>
      </w:pPr>
      <w:r w:rsidRPr="00BC6E61">
        <w:rPr>
          <w:rFonts w:ascii="Arial" w:hAnsi="Arial" w:cs="Arial"/>
          <w:b/>
          <w:bCs/>
        </w:rPr>
        <w:t>Defining the GROW Model</w:t>
      </w:r>
      <w:r w:rsidR="008F73ED">
        <w:rPr>
          <w:rFonts w:ascii="Arial" w:hAnsi="Arial" w:cs="Arial"/>
          <w:b/>
          <w:bCs/>
        </w:rPr>
        <w:t>……………………………………………………………</w:t>
      </w:r>
      <w:r w:rsidR="00C37F95">
        <w:rPr>
          <w:rFonts w:ascii="Arial" w:hAnsi="Arial" w:cs="Arial"/>
          <w:b/>
          <w:bCs/>
        </w:rPr>
        <w:t xml:space="preserve"> 4</w:t>
      </w:r>
    </w:p>
    <w:p w14:paraId="04491042" w14:textId="0E472E46" w:rsidR="00BC6E61" w:rsidRDefault="00BC6E61" w:rsidP="00697095">
      <w:pPr>
        <w:spacing w:line="360" w:lineRule="auto"/>
        <w:jc w:val="both"/>
        <w:rPr>
          <w:rFonts w:ascii="Arial" w:hAnsi="Arial" w:cs="Arial"/>
          <w:b/>
          <w:bCs/>
        </w:rPr>
      </w:pPr>
      <w:r w:rsidRPr="00BC6E61">
        <w:rPr>
          <w:rFonts w:ascii="Arial" w:hAnsi="Arial" w:cs="Arial"/>
          <w:b/>
          <w:bCs/>
        </w:rPr>
        <w:t>Advantages of the GROW Model</w:t>
      </w:r>
      <w:r w:rsidR="008F73ED">
        <w:rPr>
          <w:rFonts w:ascii="Arial" w:hAnsi="Arial" w:cs="Arial"/>
          <w:b/>
          <w:bCs/>
        </w:rPr>
        <w:t>…………………………………………………</w:t>
      </w:r>
      <w:r w:rsidR="00165D31">
        <w:rPr>
          <w:rFonts w:ascii="Arial" w:hAnsi="Arial" w:cs="Arial"/>
          <w:b/>
          <w:bCs/>
        </w:rPr>
        <w:t>…</w:t>
      </w:r>
      <w:r w:rsidR="00C37F95">
        <w:rPr>
          <w:rFonts w:ascii="Arial" w:hAnsi="Arial" w:cs="Arial"/>
          <w:b/>
          <w:bCs/>
        </w:rPr>
        <w:t xml:space="preserve"> 5</w:t>
      </w:r>
    </w:p>
    <w:p w14:paraId="6BBE9410" w14:textId="5EC230E3" w:rsidR="00BC6E61" w:rsidRDefault="00BC6E61" w:rsidP="00697095">
      <w:pPr>
        <w:spacing w:line="360" w:lineRule="auto"/>
        <w:jc w:val="both"/>
        <w:rPr>
          <w:rFonts w:ascii="Arial" w:hAnsi="Arial" w:cs="Arial"/>
          <w:b/>
          <w:bCs/>
        </w:rPr>
      </w:pPr>
      <w:r w:rsidRPr="00BC6E61">
        <w:rPr>
          <w:rFonts w:ascii="Arial" w:hAnsi="Arial" w:cs="Arial"/>
          <w:b/>
          <w:bCs/>
        </w:rPr>
        <w:t>Disadvantages of the GROW Model</w:t>
      </w:r>
      <w:r w:rsidR="00165D31">
        <w:rPr>
          <w:rFonts w:ascii="Arial" w:hAnsi="Arial" w:cs="Arial"/>
          <w:b/>
          <w:bCs/>
        </w:rPr>
        <w:t>……………………………………………</w:t>
      </w:r>
      <w:r w:rsidR="00727489">
        <w:rPr>
          <w:rFonts w:ascii="Arial" w:hAnsi="Arial" w:cs="Arial"/>
          <w:b/>
          <w:bCs/>
        </w:rPr>
        <w:t>…...</w:t>
      </w:r>
      <w:r w:rsidR="00C37F95">
        <w:rPr>
          <w:rFonts w:ascii="Arial" w:hAnsi="Arial" w:cs="Arial"/>
          <w:b/>
          <w:bCs/>
        </w:rPr>
        <w:t xml:space="preserve"> 6</w:t>
      </w:r>
    </w:p>
    <w:p w14:paraId="5DBBB253" w14:textId="36C2C7AE" w:rsidR="00BE252D" w:rsidRDefault="00BE252D" w:rsidP="00697095">
      <w:pPr>
        <w:spacing w:line="360" w:lineRule="auto"/>
        <w:jc w:val="both"/>
        <w:rPr>
          <w:rFonts w:ascii="Arial" w:hAnsi="Arial" w:cs="Arial"/>
          <w:b/>
          <w:bCs/>
        </w:rPr>
      </w:pPr>
      <w:r w:rsidRPr="00BE252D">
        <w:rPr>
          <w:rFonts w:ascii="Arial" w:hAnsi="Arial" w:cs="Arial"/>
          <w:b/>
          <w:bCs/>
        </w:rPr>
        <w:t>Reflection on Practical 1</w:t>
      </w:r>
      <w:r w:rsidR="00843922">
        <w:rPr>
          <w:rFonts w:ascii="Arial" w:hAnsi="Arial" w:cs="Arial"/>
          <w:b/>
          <w:bCs/>
        </w:rPr>
        <w:t>……………………………………………………………..</w:t>
      </w:r>
      <w:r w:rsidR="007A4128">
        <w:rPr>
          <w:rFonts w:ascii="Arial" w:hAnsi="Arial" w:cs="Arial"/>
          <w:b/>
          <w:bCs/>
        </w:rPr>
        <w:t>.</w:t>
      </w:r>
      <w:r w:rsidR="0003668C">
        <w:rPr>
          <w:rFonts w:ascii="Arial" w:hAnsi="Arial" w:cs="Arial"/>
          <w:b/>
          <w:bCs/>
        </w:rPr>
        <w:t>.</w:t>
      </w:r>
      <w:r w:rsidR="00C37F95">
        <w:rPr>
          <w:rFonts w:ascii="Arial" w:hAnsi="Arial" w:cs="Arial"/>
          <w:b/>
          <w:bCs/>
        </w:rPr>
        <w:t>7</w:t>
      </w:r>
    </w:p>
    <w:p w14:paraId="1BE07B28" w14:textId="4DF7CEBB" w:rsidR="00BE252D" w:rsidRDefault="00BE252D" w:rsidP="00697095">
      <w:pPr>
        <w:spacing w:line="360" w:lineRule="auto"/>
        <w:jc w:val="both"/>
        <w:rPr>
          <w:rFonts w:ascii="Arial" w:hAnsi="Arial" w:cs="Arial"/>
          <w:b/>
          <w:bCs/>
        </w:rPr>
      </w:pPr>
      <w:r w:rsidRPr="00BE252D">
        <w:rPr>
          <w:rFonts w:ascii="Arial" w:hAnsi="Arial" w:cs="Arial"/>
          <w:b/>
          <w:bCs/>
        </w:rPr>
        <w:t>Reflection on Practical 2</w:t>
      </w:r>
      <w:r w:rsidR="00843922">
        <w:rPr>
          <w:rFonts w:ascii="Arial" w:hAnsi="Arial" w:cs="Arial"/>
          <w:b/>
          <w:bCs/>
        </w:rPr>
        <w:t>…………………………………………………………</w:t>
      </w:r>
      <w:r w:rsidR="0003668C">
        <w:rPr>
          <w:rFonts w:ascii="Arial" w:hAnsi="Arial" w:cs="Arial"/>
          <w:b/>
          <w:bCs/>
        </w:rPr>
        <w:t>……</w:t>
      </w:r>
      <w:r w:rsidR="00C37F95">
        <w:rPr>
          <w:rFonts w:ascii="Arial" w:hAnsi="Arial" w:cs="Arial"/>
          <w:b/>
          <w:bCs/>
        </w:rPr>
        <w:t>8</w:t>
      </w:r>
    </w:p>
    <w:p w14:paraId="669409C4" w14:textId="7A64D242" w:rsidR="00BE252D" w:rsidRDefault="00BE252D" w:rsidP="00697095">
      <w:pPr>
        <w:spacing w:line="360" w:lineRule="auto"/>
        <w:jc w:val="both"/>
        <w:rPr>
          <w:rFonts w:ascii="Arial" w:hAnsi="Arial" w:cs="Arial"/>
          <w:b/>
          <w:bCs/>
        </w:rPr>
      </w:pPr>
      <w:r w:rsidRPr="00BE252D">
        <w:rPr>
          <w:rFonts w:ascii="Arial" w:hAnsi="Arial" w:cs="Arial"/>
          <w:b/>
          <w:bCs/>
        </w:rPr>
        <w:t>Conclusion</w:t>
      </w:r>
      <w:r w:rsidR="00843922">
        <w:rPr>
          <w:rFonts w:ascii="Arial" w:hAnsi="Arial" w:cs="Arial"/>
          <w:b/>
          <w:bCs/>
        </w:rPr>
        <w:t>……………………………………………………………………………...</w:t>
      </w:r>
      <w:r w:rsidR="00C37F95">
        <w:rPr>
          <w:rFonts w:ascii="Arial" w:hAnsi="Arial" w:cs="Arial"/>
          <w:b/>
          <w:bCs/>
        </w:rPr>
        <w:t xml:space="preserve"> </w:t>
      </w:r>
      <w:r w:rsidR="007C74F7">
        <w:rPr>
          <w:rFonts w:ascii="Arial" w:hAnsi="Arial" w:cs="Arial"/>
          <w:b/>
          <w:bCs/>
        </w:rPr>
        <w:t>.</w:t>
      </w:r>
      <w:r w:rsidR="00C37F95">
        <w:rPr>
          <w:rFonts w:ascii="Arial" w:hAnsi="Arial" w:cs="Arial"/>
          <w:b/>
          <w:bCs/>
        </w:rPr>
        <w:t>9</w:t>
      </w:r>
    </w:p>
    <w:p w14:paraId="78E88835" w14:textId="44BBC1B5" w:rsidR="00BE252D" w:rsidRDefault="00BE252D" w:rsidP="00697095">
      <w:pPr>
        <w:spacing w:line="360" w:lineRule="auto"/>
        <w:jc w:val="both"/>
        <w:rPr>
          <w:rFonts w:ascii="Arial" w:hAnsi="Arial" w:cs="Arial"/>
          <w:b/>
          <w:bCs/>
        </w:rPr>
      </w:pPr>
      <w:r>
        <w:rPr>
          <w:rFonts w:ascii="Arial" w:hAnsi="Arial" w:cs="Arial"/>
          <w:b/>
          <w:bCs/>
        </w:rPr>
        <w:t>References</w:t>
      </w:r>
      <w:r w:rsidR="00C37F95">
        <w:rPr>
          <w:rFonts w:ascii="Arial" w:hAnsi="Arial" w:cs="Arial"/>
          <w:b/>
          <w:bCs/>
        </w:rPr>
        <w:t>………………………………………………………………………………10</w:t>
      </w:r>
    </w:p>
    <w:p w14:paraId="3C71C8A3" w14:textId="77777777" w:rsidR="005C4FE7" w:rsidRDefault="005C4FE7" w:rsidP="00697095">
      <w:pPr>
        <w:spacing w:line="360" w:lineRule="auto"/>
        <w:jc w:val="both"/>
        <w:rPr>
          <w:rFonts w:ascii="Arial" w:hAnsi="Arial" w:cs="Arial"/>
          <w:b/>
          <w:bCs/>
        </w:rPr>
      </w:pPr>
    </w:p>
    <w:p w14:paraId="2E63DAC9" w14:textId="77777777" w:rsidR="005C4FE7" w:rsidRDefault="005C4FE7" w:rsidP="00697095">
      <w:pPr>
        <w:spacing w:line="360" w:lineRule="auto"/>
        <w:jc w:val="both"/>
        <w:rPr>
          <w:rFonts w:ascii="Arial" w:hAnsi="Arial" w:cs="Arial"/>
          <w:b/>
          <w:bCs/>
        </w:rPr>
      </w:pPr>
    </w:p>
    <w:p w14:paraId="222EEB69" w14:textId="77777777" w:rsidR="005C4FE7" w:rsidRDefault="005C4FE7" w:rsidP="00697095">
      <w:pPr>
        <w:spacing w:line="360" w:lineRule="auto"/>
        <w:jc w:val="both"/>
        <w:rPr>
          <w:rFonts w:ascii="Arial" w:hAnsi="Arial" w:cs="Arial"/>
          <w:b/>
          <w:bCs/>
        </w:rPr>
      </w:pPr>
    </w:p>
    <w:p w14:paraId="7EA9E003" w14:textId="77777777" w:rsidR="005C4FE7" w:rsidRDefault="005C4FE7" w:rsidP="00697095">
      <w:pPr>
        <w:spacing w:line="360" w:lineRule="auto"/>
        <w:jc w:val="both"/>
        <w:rPr>
          <w:rFonts w:ascii="Arial" w:hAnsi="Arial" w:cs="Arial"/>
          <w:b/>
          <w:bCs/>
        </w:rPr>
      </w:pPr>
    </w:p>
    <w:p w14:paraId="6D0FA782" w14:textId="77777777" w:rsidR="005C4FE7" w:rsidRDefault="005C4FE7" w:rsidP="00697095">
      <w:pPr>
        <w:spacing w:line="360" w:lineRule="auto"/>
        <w:jc w:val="both"/>
        <w:rPr>
          <w:rFonts w:ascii="Arial" w:hAnsi="Arial" w:cs="Arial"/>
          <w:b/>
          <w:bCs/>
        </w:rPr>
      </w:pPr>
    </w:p>
    <w:p w14:paraId="0BCD74D2" w14:textId="77777777" w:rsidR="005C4FE7" w:rsidRDefault="005C4FE7" w:rsidP="00697095">
      <w:pPr>
        <w:spacing w:line="360" w:lineRule="auto"/>
        <w:jc w:val="both"/>
        <w:rPr>
          <w:rFonts w:ascii="Arial" w:hAnsi="Arial" w:cs="Arial"/>
          <w:b/>
          <w:bCs/>
        </w:rPr>
      </w:pPr>
    </w:p>
    <w:p w14:paraId="05F6961D" w14:textId="77777777" w:rsidR="005C4FE7" w:rsidRDefault="005C4FE7" w:rsidP="00697095">
      <w:pPr>
        <w:spacing w:line="360" w:lineRule="auto"/>
        <w:jc w:val="both"/>
        <w:rPr>
          <w:rFonts w:ascii="Arial" w:hAnsi="Arial" w:cs="Arial"/>
          <w:b/>
          <w:bCs/>
        </w:rPr>
      </w:pPr>
    </w:p>
    <w:p w14:paraId="1E26BDD7" w14:textId="77777777" w:rsidR="005C4FE7" w:rsidRDefault="005C4FE7" w:rsidP="00697095">
      <w:pPr>
        <w:spacing w:line="360" w:lineRule="auto"/>
        <w:jc w:val="both"/>
        <w:rPr>
          <w:rFonts w:ascii="Arial" w:hAnsi="Arial" w:cs="Arial"/>
          <w:b/>
          <w:bCs/>
        </w:rPr>
      </w:pPr>
    </w:p>
    <w:p w14:paraId="6BF49CF3" w14:textId="77777777" w:rsidR="00BE252D" w:rsidRDefault="005C4FE7" w:rsidP="00697095">
      <w:pPr>
        <w:spacing w:line="360" w:lineRule="auto"/>
        <w:jc w:val="both"/>
        <w:rPr>
          <w:rFonts w:ascii="Arial" w:hAnsi="Arial" w:cs="Arial"/>
          <w:b/>
          <w:bCs/>
        </w:rPr>
      </w:pPr>
      <w:r>
        <w:rPr>
          <w:rFonts w:ascii="Arial" w:hAnsi="Arial" w:cs="Arial"/>
          <w:b/>
          <w:bCs/>
        </w:rPr>
        <w:t xml:space="preserve">                                                 </w:t>
      </w:r>
    </w:p>
    <w:p w14:paraId="0DFB3607" w14:textId="77777777" w:rsidR="00BE252D" w:rsidRDefault="00BE252D" w:rsidP="00697095">
      <w:pPr>
        <w:spacing w:line="360" w:lineRule="auto"/>
        <w:jc w:val="both"/>
        <w:rPr>
          <w:rFonts w:ascii="Arial" w:hAnsi="Arial" w:cs="Arial"/>
          <w:b/>
          <w:bCs/>
        </w:rPr>
      </w:pPr>
    </w:p>
    <w:p w14:paraId="329F6EE6" w14:textId="77777777" w:rsidR="00BE252D" w:rsidRDefault="00BE252D" w:rsidP="00697095">
      <w:pPr>
        <w:spacing w:line="360" w:lineRule="auto"/>
        <w:jc w:val="both"/>
        <w:rPr>
          <w:rFonts w:ascii="Arial" w:hAnsi="Arial" w:cs="Arial"/>
          <w:b/>
          <w:bCs/>
        </w:rPr>
      </w:pPr>
    </w:p>
    <w:p w14:paraId="037424DF" w14:textId="77777777" w:rsidR="00BE252D" w:rsidRDefault="00BE252D" w:rsidP="00697095">
      <w:pPr>
        <w:spacing w:line="360" w:lineRule="auto"/>
        <w:jc w:val="both"/>
        <w:rPr>
          <w:rFonts w:ascii="Arial" w:hAnsi="Arial" w:cs="Arial"/>
          <w:b/>
          <w:bCs/>
        </w:rPr>
      </w:pPr>
    </w:p>
    <w:p w14:paraId="24E7ADC6" w14:textId="77777777" w:rsidR="00BE252D" w:rsidRDefault="00BE252D" w:rsidP="00697095">
      <w:pPr>
        <w:spacing w:line="360" w:lineRule="auto"/>
        <w:jc w:val="both"/>
        <w:rPr>
          <w:rFonts w:ascii="Arial" w:hAnsi="Arial" w:cs="Arial"/>
          <w:b/>
          <w:bCs/>
        </w:rPr>
      </w:pPr>
    </w:p>
    <w:p w14:paraId="5CB06EA4" w14:textId="77777777" w:rsidR="00BE252D" w:rsidRDefault="00BE252D" w:rsidP="00697095">
      <w:pPr>
        <w:spacing w:line="360" w:lineRule="auto"/>
        <w:jc w:val="both"/>
        <w:rPr>
          <w:rFonts w:ascii="Arial" w:hAnsi="Arial" w:cs="Arial"/>
          <w:b/>
          <w:bCs/>
        </w:rPr>
      </w:pPr>
    </w:p>
    <w:p w14:paraId="1FDC0508" w14:textId="77777777" w:rsidR="00AE279F" w:rsidRDefault="00BE252D" w:rsidP="00697095">
      <w:pPr>
        <w:spacing w:line="360" w:lineRule="auto"/>
        <w:jc w:val="both"/>
        <w:rPr>
          <w:rFonts w:ascii="Arial" w:hAnsi="Arial" w:cs="Arial"/>
          <w:b/>
          <w:bCs/>
        </w:rPr>
      </w:pPr>
      <w:r>
        <w:rPr>
          <w:rFonts w:ascii="Arial" w:hAnsi="Arial" w:cs="Arial"/>
          <w:b/>
          <w:bCs/>
        </w:rPr>
        <w:lastRenderedPageBreak/>
        <w:t xml:space="preserve">                                                    </w:t>
      </w:r>
    </w:p>
    <w:p w14:paraId="2DD6DB1C" w14:textId="77777777" w:rsidR="00AE279F" w:rsidRDefault="00AE279F" w:rsidP="00697095">
      <w:pPr>
        <w:spacing w:line="360" w:lineRule="auto"/>
        <w:jc w:val="both"/>
        <w:rPr>
          <w:rFonts w:ascii="Arial" w:hAnsi="Arial" w:cs="Arial"/>
          <w:b/>
          <w:bCs/>
        </w:rPr>
      </w:pPr>
    </w:p>
    <w:p w14:paraId="7A873256" w14:textId="77777777" w:rsidR="00AE279F" w:rsidRDefault="00AE279F" w:rsidP="00697095">
      <w:pPr>
        <w:spacing w:line="360" w:lineRule="auto"/>
        <w:jc w:val="both"/>
        <w:rPr>
          <w:rFonts w:ascii="Arial" w:hAnsi="Arial" w:cs="Arial"/>
          <w:b/>
          <w:bCs/>
        </w:rPr>
      </w:pPr>
    </w:p>
    <w:p w14:paraId="1C2B0CE4" w14:textId="77777777" w:rsidR="00AE279F" w:rsidRDefault="00AE279F" w:rsidP="00697095">
      <w:pPr>
        <w:spacing w:line="360" w:lineRule="auto"/>
        <w:jc w:val="both"/>
        <w:rPr>
          <w:rFonts w:ascii="Arial" w:hAnsi="Arial" w:cs="Arial"/>
          <w:b/>
          <w:bCs/>
        </w:rPr>
      </w:pPr>
    </w:p>
    <w:p w14:paraId="4D508AC1" w14:textId="77777777" w:rsidR="00AE279F" w:rsidRDefault="00AE279F" w:rsidP="00697095">
      <w:pPr>
        <w:spacing w:line="360" w:lineRule="auto"/>
        <w:jc w:val="both"/>
        <w:rPr>
          <w:rFonts w:ascii="Arial" w:hAnsi="Arial" w:cs="Arial"/>
          <w:b/>
          <w:bCs/>
        </w:rPr>
      </w:pPr>
    </w:p>
    <w:p w14:paraId="28155D4F" w14:textId="3A9A5235" w:rsidR="006F5F18" w:rsidRPr="00697095" w:rsidRDefault="00BE252D" w:rsidP="00697095">
      <w:pPr>
        <w:spacing w:line="360" w:lineRule="auto"/>
        <w:jc w:val="both"/>
        <w:rPr>
          <w:rFonts w:ascii="Arial" w:hAnsi="Arial" w:cs="Arial"/>
          <w:b/>
          <w:bCs/>
        </w:rPr>
      </w:pPr>
      <w:r>
        <w:rPr>
          <w:rFonts w:ascii="Arial" w:hAnsi="Arial" w:cs="Arial"/>
          <w:b/>
          <w:bCs/>
        </w:rPr>
        <w:t xml:space="preserve"> </w:t>
      </w:r>
      <w:r w:rsidR="005C4FE7">
        <w:rPr>
          <w:rFonts w:ascii="Arial" w:hAnsi="Arial" w:cs="Arial"/>
          <w:b/>
          <w:bCs/>
        </w:rPr>
        <w:t xml:space="preserve">      </w:t>
      </w:r>
      <w:r w:rsidR="005D3C86" w:rsidRPr="00697095">
        <w:rPr>
          <w:rFonts w:ascii="Arial" w:hAnsi="Arial" w:cs="Arial"/>
          <w:b/>
          <w:bCs/>
        </w:rPr>
        <w:t>Introduction</w:t>
      </w:r>
    </w:p>
    <w:p w14:paraId="3BD9D523" w14:textId="77777777" w:rsidR="006F5F18" w:rsidRPr="00697095" w:rsidRDefault="006F5F18" w:rsidP="00697095">
      <w:pPr>
        <w:spacing w:line="360" w:lineRule="auto"/>
        <w:jc w:val="both"/>
        <w:rPr>
          <w:rFonts w:ascii="Arial" w:hAnsi="Arial" w:cs="Arial"/>
        </w:rPr>
      </w:pPr>
    </w:p>
    <w:p w14:paraId="28177D74" w14:textId="6607379A" w:rsidR="006F5F18" w:rsidRPr="00697095" w:rsidRDefault="006F5F18" w:rsidP="00697095">
      <w:pPr>
        <w:spacing w:line="360" w:lineRule="auto"/>
        <w:jc w:val="both"/>
        <w:rPr>
          <w:rFonts w:ascii="Arial" w:hAnsi="Arial" w:cs="Arial"/>
        </w:rPr>
      </w:pPr>
      <w:r w:rsidRPr="00697095">
        <w:rPr>
          <w:rFonts w:ascii="Arial" w:hAnsi="Arial" w:cs="Arial"/>
        </w:rPr>
        <w:t xml:space="preserve">This report explores the concepts of coaching and mentoring, providing a critical comparison between the two and reflecting on their effectiveness in professional development. It adopts a reflective approach, using the Gibbs Reflective Cycle (1988) to systematically </w:t>
      </w:r>
      <w:r w:rsidR="0094100E" w:rsidRPr="00697095">
        <w:rPr>
          <w:rFonts w:ascii="Arial" w:hAnsi="Arial" w:cs="Arial"/>
        </w:rPr>
        <w:t>analyse</w:t>
      </w:r>
      <w:r w:rsidRPr="00697095">
        <w:rPr>
          <w:rFonts w:ascii="Arial" w:hAnsi="Arial" w:cs="Arial"/>
        </w:rPr>
        <w:t xml:space="preserve"> personal experiences and insights related to coaching and mentoring. Reflection is a crucial component of professional growth, enabling individuals to assess their experiences, identify learning outcomes, and improve their future practice (Kolb, 1984).</w:t>
      </w:r>
    </w:p>
    <w:p w14:paraId="05653179" w14:textId="0954DC23" w:rsidR="006F5F18" w:rsidRPr="00697095" w:rsidRDefault="006F5F18" w:rsidP="00697095">
      <w:pPr>
        <w:spacing w:line="360" w:lineRule="auto"/>
        <w:jc w:val="both"/>
        <w:rPr>
          <w:rFonts w:ascii="Arial" w:hAnsi="Arial" w:cs="Arial"/>
        </w:rPr>
      </w:pPr>
      <w:r w:rsidRPr="00697095">
        <w:rPr>
          <w:rFonts w:ascii="Arial" w:hAnsi="Arial" w:cs="Arial"/>
        </w:rPr>
        <w:t>Coaching and mentoring are often used interchangeably, yet they are distinct in their approach and objectives. Coaching is typically a structured, goal-oriented process aimed at enhancing specific skills and performance through questioning, feedback, and self-directed learning (Whitmore, 2009). In contrast, mentoring is a longer-term developmental relationship in which a more experienced individual offers guidance, support, and career advice to a less experienced mentee (Clutterbuck, 2004). While coaching focuses on performance improvement, mentoring emphasizes holistic personal and professional growth.</w:t>
      </w:r>
    </w:p>
    <w:p w14:paraId="1627A74E" w14:textId="77777777" w:rsidR="006F5F18" w:rsidRPr="00697095" w:rsidRDefault="006F5F18" w:rsidP="00697095">
      <w:pPr>
        <w:spacing w:line="360" w:lineRule="auto"/>
        <w:jc w:val="both"/>
        <w:rPr>
          <w:rFonts w:ascii="Arial" w:hAnsi="Arial" w:cs="Arial"/>
        </w:rPr>
      </w:pPr>
      <w:r w:rsidRPr="00697095">
        <w:rPr>
          <w:rFonts w:ascii="Arial" w:hAnsi="Arial" w:cs="Arial"/>
        </w:rPr>
        <w:t>An effective coach demonstrates key attributes such as active listening, emotional intelligence, questioning skills, and the ability to provide constructive feedback (Downey, 2003). Additionally, coaching and mentoring are underpinned by various theories, including GROW (Goal, Reality, Options, Will) Model (Whitmore, 2009) and Transformational Leadership Theory (Bass, 1985), which emphasize motivation and development.</w:t>
      </w:r>
    </w:p>
    <w:p w14:paraId="3301D184" w14:textId="77777777" w:rsidR="00AE279F" w:rsidRDefault="00AE279F" w:rsidP="00697095">
      <w:pPr>
        <w:spacing w:line="360" w:lineRule="auto"/>
        <w:jc w:val="both"/>
        <w:rPr>
          <w:rFonts w:ascii="Arial" w:hAnsi="Arial" w:cs="Arial"/>
          <w:b/>
          <w:bCs/>
        </w:rPr>
      </w:pPr>
    </w:p>
    <w:p w14:paraId="2080751A" w14:textId="77777777" w:rsidR="00AE279F" w:rsidRDefault="00AE279F" w:rsidP="00697095">
      <w:pPr>
        <w:spacing w:line="360" w:lineRule="auto"/>
        <w:jc w:val="both"/>
        <w:rPr>
          <w:rFonts w:ascii="Arial" w:hAnsi="Arial" w:cs="Arial"/>
          <w:b/>
          <w:bCs/>
        </w:rPr>
      </w:pPr>
    </w:p>
    <w:p w14:paraId="0F3A8AEF" w14:textId="77777777" w:rsidR="00AE279F" w:rsidRDefault="00AE279F" w:rsidP="00697095">
      <w:pPr>
        <w:spacing w:line="360" w:lineRule="auto"/>
        <w:jc w:val="both"/>
        <w:rPr>
          <w:rFonts w:ascii="Arial" w:hAnsi="Arial" w:cs="Arial"/>
          <w:b/>
          <w:bCs/>
        </w:rPr>
      </w:pPr>
    </w:p>
    <w:p w14:paraId="512BB506" w14:textId="77777777" w:rsidR="00AE279F" w:rsidRDefault="00AE279F" w:rsidP="00697095">
      <w:pPr>
        <w:spacing w:line="360" w:lineRule="auto"/>
        <w:jc w:val="both"/>
        <w:rPr>
          <w:rFonts w:ascii="Arial" w:hAnsi="Arial" w:cs="Arial"/>
          <w:b/>
          <w:bCs/>
        </w:rPr>
      </w:pPr>
    </w:p>
    <w:p w14:paraId="07081144" w14:textId="77777777" w:rsidR="00AE279F" w:rsidRDefault="00AE279F" w:rsidP="00697095">
      <w:pPr>
        <w:spacing w:line="360" w:lineRule="auto"/>
        <w:jc w:val="both"/>
        <w:rPr>
          <w:rFonts w:ascii="Arial" w:hAnsi="Arial" w:cs="Arial"/>
          <w:b/>
          <w:bCs/>
        </w:rPr>
      </w:pPr>
    </w:p>
    <w:p w14:paraId="7F757685" w14:textId="77777777" w:rsidR="00AE279F" w:rsidRDefault="00AE279F" w:rsidP="00697095">
      <w:pPr>
        <w:spacing w:line="360" w:lineRule="auto"/>
        <w:jc w:val="both"/>
        <w:rPr>
          <w:rFonts w:ascii="Arial" w:hAnsi="Arial" w:cs="Arial"/>
          <w:b/>
          <w:bCs/>
        </w:rPr>
      </w:pPr>
    </w:p>
    <w:p w14:paraId="2E1C2391" w14:textId="77777777" w:rsidR="00AE279F" w:rsidRDefault="00AE279F" w:rsidP="00697095">
      <w:pPr>
        <w:spacing w:line="360" w:lineRule="auto"/>
        <w:jc w:val="both"/>
        <w:rPr>
          <w:rFonts w:ascii="Arial" w:hAnsi="Arial" w:cs="Arial"/>
          <w:b/>
          <w:bCs/>
        </w:rPr>
      </w:pPr>
    </w:p>
    <w:p w14:paraId="2C246054" w14:textId="77777777" w:rsidR="00AE279F" w:rsidRDefault="00AE279F" w:rsidP="00697095">
      <w:pPr>
        <w:spacing w:line="360" w:lineRule="auto"/>
        <w:jc w:val="both"/>
        <w:rPr>
          <w:rFonts w:ascii="Arial" w:hAnsi="Arial" w:cs="Arial"/>
          <w:b/>
          <w:bCs/>
        </w:rPr>
      </w:pPr>
    </w:p>
    <w:p w14:paraId="5D36A6ED" w14:textId="77777777" w:rsidR="00AE279F" w:rsidRDefault="00AE279F" w:rsidP="00697095">
      <w:pPr>
        <w:spacing w:line="360" w:lineRule="auto"/>
        <w:jc w:val="both"/>
        <w:rPr>
          <w:rFonts w:ascii="Arial" w:hAnsi="Arial" w:cs="Arial"/>
          <w:b/>
          <w:bCs/>
        </w:rPr>
      </w:pPr>
    </w:p>
    <w:p w14:paraId="10B591EF" w14:textId="77777777" w:rsidR="00AE279F" w:rsidRDefault="00AE279F" w:rsidP="00697095">
      <w:pPr>
        <w:spacing w:line="360" w:lineRule="auto"/>
        <w:jc w:val="both"/>
        <w:rPr>
          <w:rFonts w:ascii="Arial" w:hAnsi="Arial" w:cs="Arial"/>
          <w:b/>
          <w:bCs/>
        </w:rPr>
      </w:pPr>
    </w:p>
    <w:p w14:paraId="18EC4E93" w14:textId="20AC38B8" w:rsidR="00632379" w:rsidRPr="00697095" w:rsidRDefault="0067326E" w:rsidP="00697095">
      <w:pPr>
        <w:spacing w:line="360" w:lineRule="auto"/>
        <w:jc w:val="both"/>
        <w:rPr>
          <w:rFonts w:ascii="Arial" w:hAnsi="Arial" w:cs="Arial"/>
          <w:b/>
          <w:bCs/>
        </w:rPr>
      </w:pPr>
      <w:r w:rsidRPr="00697095">
        <w:rPr>
          <w:rFonts w:ascii="Arial" w:hAnsi="Arial" w:cs="Arial"/>
          <w:b/>
          <w:bCs/>
        </w:rPr>
        <w:t>Critical evaluation of the purpose of coaching and mentoring within a workplace</w:t>
      </w:r>
    </w:p>
    <w:p w14:paraId="7C037655" w14:textId="345F2F86" w:rsidR="00A155B4" w:rsidRPr="00697095" w:rsidRDefault="00A155B4" w:rsidP="00697095">
      <w:pPr>
        <w:spacing w:line="360" w:lineRule="auto"/>
        <w:jc w:val="both"/>
        <w:rPr>
          <w:rFonts w:ascii="Arial" w:hAnsi="Arial" w:cs="Arial"/>
        </w:rPr>
      </w:pPr>
      <w:r w:rsidRPr="00697095">
        <w:rPr>
          <w:rFonts w:ascii="Arial" w:hAnsi="Arial" w:cs="Arial"/>
        </w:rPr>
        <w:t>Coaching and mentoring are two pivotal strategies employed in modern workplaces to enhance employee performance, facilitate career development, and foster a culture of continuous improvement. While both aim to support individual and organizational growth, they differ in approach, duration, and outcomes.</w:t>
      </w:r>
    </w:p>
    <w:p w14:paraId="39BDE3DD" w14:textId="32D253D0" w:rsidR="00A155B4" w:rsidRPr="00697095" w:rsidRDefault="00A155B4" w:rsidP="00697095">
      <w:pPr>
        <w:spacing w:line="360" w:lineRule="auto"/>
        <w:jc w:val="both"/>
        <w:rPr>
          <w:rFonts w:ascii="Arial" w:hAnsi="Arial" w:cs="Arial"/>
        </w:rPr>
      </w:pPr>
      <w:r w:rsidRPr="00697095">
        <w:rPr>
          <w:rFonts w:ascii="Arial" w:hAnsi="Arial" w:cs="Arial"/>
        </w:rPr>
        <w:t>Coaching is predominantly a performance-driven process. It focuses on identifying specific skills or competencies that require improvement, with an emphasis on achieving short-term, measurable goals. Grant (2017) notes that coaching is often structured, goal-oriented, and task-specific, making it particularly effective for addressing immediate performance issues. The coaching process is typically led by a trained coach</w:t>
      </w:r>
      <w:r w:rsidR="00B36F88" w:rsidRPr="00697095">
        <w:rPr>
          <w:rFonts w:ascii="Arial" w:hAnsi="Arial" w:cs="Arial"/>
        </w:rPr>
        <w:t xml:space="preserve"> </w:t>
      </w:r>
      <w:r w:rsidRPr="00697095">
        <w:rPr>
          <w:rFonts w:ascii="Arial" w:hAnsi="Arial" w:cs="Arial"/>
        </w:rPr>
        <w:t>either internal or external</w:t>
      </w:r>
      <w:r w:rsidR="00B36F88" w:rsidRPr="00697095">
        <w:rPr>
          <w:rFonts w:ascii="Arial" w:hAnsi="Arial" w:cs="Arial"/>
        </w:rPr>
        <w:t xml:space="preserve"> </w:t>
      </w:r>
      <w:r w:rsidRPr="00697095">
        <w:rPr>
          <w:rFonts w:ascii="Arial" w:hAnsi="Arial" w:cs="Arial"/>
        </w:rPr>
        <w:t>who works with the employee to set clear objectives, monitor progress, and adjust strategies as needed. This direct, feedback</w:t>
      </w:r>
      <w:r w:rsidR="005C4FE7">
        <w:rPr>
          <w:rFonts w:ascii="Arial" w:hAnsi="Arial" w:cs="Arial"/>
        </w:rPr>
        <w:t xml:space="preserve"> </w:t>
      </w:r>
      <w:r w:rsidRPr="00697095">
        <w:rPr>
          <w:rFonts w:ascii="Arial" w:hAnsi="Arial" w:cs="Arial"/>
        </w:rPr>
        <w:t>rich approach can lead to rapid improvements in job performance and is closely aligned with organizational objectives (CIPD, 2018). However, its narrow focus on immediate performance metrics may limit its broader developmental impact if not complemented by other support mechanisms.</w:t>
      </w:r>
    </w:p>
    <w:p w14:paraId="2F51A6AC" w14:textId="76AC49BA" w:rsidR="00A155B4" w:rsidRPr="00697095" w:rsidRDefault="00A155B4" w:rsidP="00697095">
      <w:pPr>
        <w:spacing w:line="360" w:lineRule="auto"/>
        <w:jc w:val="both"/>
        <w:rPr>
          <w:rFonts w:ascii="Arial" w:hAnsi="Arial" w:cs="Arial"/>
        </w:rPr>
      </w:pPr>
      <w:r w:rsidRPr="00697095">
        <w:rPr>
          <w:rFonts w:ascii="Arial" w:hAnsi="Arial" w:cs="Arial"/>
        </w:rPr>
        <w:t>In contrast, mentoring is a more holistic and relational process, emphasizing long-term personal and professional development. Clutterbuck (2014) describes mentoring as a dynamic and informal relationship where a more experienced individual (the mentor) provides guidance, shares insights, and helps shape the mentee’s career trajectory. Unlike coaching, mentoring does not necessarily target specific performance outcomes but rather fosters broader skills, such as strategic thinking, leadership, and organizational acumen. This long-term engagement supports mentees in navigating career challenges and integrating into the organizational culture. The success of mentoring often hinges on the quality of the interpersonal relationship and the mentor’s ability to offer relevant, nuanced advice (Feldman &amp; Lankau, 2005). Yet, its unstructured nature can lead to inconsistencies in outcomes, and measuring its direct impact on performance can be challenging.</w:t>
      </w:r>
    </w:p>
    <w:p w14:paraId="7A153425" w14:textId="0D64144F" w:rsidR="00A155B4" w:rsidRPr="00697095" w:rsidRDefault="00A155B4" w:rsidP="00697095">
      <w:pPr>
        <w:spacing w:line="360" w:lineRule="auto"/>
        <w:jc w:val="both"/>
        <w:rPr>
          <w:rFonts w:ascii="Arial" w:hAnsi="Arial" w:cs="Arial"/>
        </w:rPr>
      </w:pPr>
      <w:r w:rsidRPr="00697095">
        <w:rPr>
          <w:rFonts w:ascii="Arial" w:hAnsi="Arial" w:cs="Arial"/>
        </w:rPr>
        <w:t xml:space="preserve">When comparing the two, the primary distinction lies in their focus and structure. Coaching is typically short-term, structured, and </w:t>
      </w:r>
      <w:r w:rsidR="00A1723B" w:rsidRPr="00697095">
        <w:rPr>
          <w:rFonts w:ascii="Arial" w:hAnsi="Arial" w:cs="Arial"/>
        </w:rPr>
        <w:t>centred</w:t>
      </w:r>
      <w:r w:rsidRPr="00697095">
        <w:rPr>
          <w:rFonts w:ascii="Arial" w:hAnsi="Arial" w:cs="Arial"/>
        </w:rPr>
        <w:t xml:space="preserve"> on improving specific aspects of performance, </w:t>
      </w:r>
      <w:r w:rsidRPr="00697095">
        <w:rPr>
          <w:rFonts w:ascii="Arial" w:hAnsi="Arial" w:cs="Arial"/>
        </w:rPr>
        <w:lastRenderedPageBreak/>
        <w:t>whereas mentoring is long-term, informal, and geared toward overall career and personal growth. Passmore and Mortimer (2011) argue that coaching is particularly effective in driving immediate performance improvements and addressing specific skill gaps, whereas mentoring is more suited to cultivating future leaders and fostering organizational commitment through personal development.</w:t>
      </w:r>
    </w:p>
    <w:p w14:paraId="7CC21EF6" w14:textId="1F9AFD5C" w:rsidR="00A155B4" w:rsidRPr="00697095" w:rsidRDefault="00A155B4" w:rsidP="00697095">
      <w:pPr>
        <w:spacing w:line="360" w:lineRule="auto"/>
        <w:jc w:val="both"/>
        <w:rPr>
          <w:rFonts w:ascii="Arial" w:hAnsi="Arial" w:cs="Arial"/>
        </w:rPr>
      </w:pPr>
      <w:r w:rsidRPr="00697095">
        <w:rPr>
          <w:rFonts w:ascii="Arial" w:hAnsi="Arial" w:cs="Arial"/>
        </w:rPr>
        <w:t>Despite these differences, both coaching and mentoring share the common purpose of enhancing employee capabilities and contributing to a supportive work environment. Their complementary nature means that organizations can benefit from integrating both approaches. For instance, an employee might engage in coaching to improve a particular skill set while also participating in a mentoring program to receive broader career guidance and psychosocial support. This dual approach can lead to a more resilient workforce, capable of adapting to rapid changes in the business environment.</w:t>
      </w:r>
    </w:p>
    <w:p w14:paraId="0AB61F2C" w14:textId="35794106" w:rsidR="00E80C78" w:rsidRPr="00697095" w:rsidRDefault="00A155B4" w:rsidP="00697095">
      <w:pPr>
        <w:spacing w:line="360" w:lineRule="auto"/>
        <w:jc w:val="both"/>
        <w:rPr>
          <w:rFonts w:ascii="Arial" w:hAnsi="Arial" w:cs="Arial"/>
        </w:rPr>
      </w:pPr>
      <w:r w:rsidRPr="00697095">
        <w:rPr>
          <w:rFonts w:ascii="Arial" w:hAnsi="Arial" w:cs="Arial"/>
        </w:rPr>
        <w:t>In summary, coaching and mentoring serve distinct yet interrelated roles within the workplace. Coaching’s targeted, short-term interventions are ideal for immediate performance enhancements, while mentoring’s broad, long-term focus supports holistic personal and professional development. The successful implementation of both strategies can create a dynamic learning culture that not only meets current performance needs but also prepares employees for future challenges.</w:t>
      </w:r>
    </w:p>
    <w:p w14:paraId="572E686C" w14:textId="32EA6856" w:rsidR="00E80C78" w:rsidRPr="00697095" w:rsidRDefault="00E80C78" w:rsidP="00697095">
      <w:pPr>
        <w:spacing w:line="360" w:lineRule="auto"/>
        <w:jc w:val="both"/>
        <w:rPr>
          <w:rFonts w:ascii="Arial" w:hAnsi="Arial" w:cs="Arial"/>
          <w:b/>
          <w:bCs/>
        </w:rPr>
      </w:pPr>
      <w:r w:rsidRPr="00697095">
        <w:rPr>
          <w:rFonts w:ascii="Arial" w:hAnsi="Arial" w:cs="Arial"/>
          <w:b/>
          <w:bCs/>
        </w:rPr>
        <w:t>Critical Analysis of the GROW Coaching Model</w:t>
      </w:r>
    </w:p>
    <w:p w14:paraId="163A28C3" w14:textId="39CFAAC2" w:rsidR="00E80C78" w:rsidRPr="00697095" w:rsidRDefault="00E80C78" w:rsidP="00697095">
      <w:pPr>
        <w:spacing w:line="360" w:lineRule="auto"/>
        <w:jc w:val="both"/>
        <w:rPr>
          <w:rFonts w:ascii="Arial" w:hAnsi="Arial" w:cs="Arial"/>
        </w:rPr>
      </w:pPr>
      <w:r w:rsidRPr="00697095">
        <w:rPr>
          <w:rFonts w:ascii="Arial" w:hAnsi="Arial" w:cs="Arial"/>
        </w:rPr>
        <w:t>The GROW model is one of the most widely recognized coaching frameworks, offering a structured approach to facilitating personal and professional development. Developed and popularized by Whitmore (2009), the acronym GROW stands for Goal, Reality, Options, and Will. This model provides a step-by-step process that coaches use to help coachees clarify objectives, assess their current situation, explore alternatives, and commit to actionable steps.</w:t>
      </w:r>
    </w:p>
    <w:p w14:paraId="6E22925F" w14:textId="1874EF60" w:rsidR="00E80C78" w:rsidRPr="00697095" w:rsidRDefault="00E80C78" w:rsidP="00697095">
      <w:pPr>
        <w:spacing w:line="360" w:lineRule="auto"/>
        <w:jc w:val="both"/>
        <w:rPr>
          <w:rFonts w:ascii="Arial" w:hAnsi="Arial" w:cs="Arial"/>
          <w:b/>
          <w:bCs/>
        </w:rPr>
      </w:pPr>
      <w:r w:rsidRPr="00697095">
        <w:rPr>
          <w:rFonts w:ascii="Arial" w:hAnsi="Arial" w:cs="Arial"/>
          <w:b/>
          <w:bCs/>
        </w:rPr>
        <w:t>Defining the GROW Model</w:t>
      </w:r>
    </w:p>
    <w:p w14:paraId="687413CC" w14:textId="5D405E29" w:rsidR="00E80C78" w:rsidRPr="00697095" w:rsidRDefault="00E80C78" w:rsidP="00697095">
      <w:pPr>
        <w:spacing w:line="360" w:lineRule="auto"/>
        <w:jc w:val="both"/>
        <w:rPr>
          <w:rFonts w:ascii="Arial" w:hAnsi="Arial" w:cs="Arial"/>
        </w:rPr>
      </w:pPr>
      <w:r w:rsidRPr="00697095">
        <w:rPr>
          <w:rFonts w:ascii="Arial" w:hAnsi="Arial" w:cs="Arial"/>
        </w:rPr>
        <w:t>Goal: This initial phase focuses on establishing clear, specific, and attainable objectives. By defining what the coachee wants to achieve, the model creates a shared vision and sets the direction for the coaching conversation. Whitmore (2009) emphasizes that clear goals enhance motivation and provide measurable benchmarks for success.</w:t>
      </w:r>
    </w:p>
    <w:p w14:paraId="53FF2105" w14:textId="707EBE1F" w:rsidR="00E80C78" w:rsidRPr="00697095" w:rsidRDefault="00E80C78" w:rsidP="00697095">
      <w:pPr>
        <w:spacing w:line="360" w:lineRule="auto"/>
        <w:jc w:val="both"/>
        <w:rPr>
          <w:rFonts w:ascii="Arial" w:hAnsi="Arial" w:cs="Arial"/>
        </w:rPr>
      </w:pPr>
      <w:r w:rsidRPr="00697095">
        <w:rPr>
          <w:rFonts w:ascii="Arial" w:hAnsi="Arial" w:cs="Arial"/>
        </w:rPr>
        <w:t>Reality: In this stage, the coachee is encouraged to take a realistic look at their current situation. This involves assessing the present challenges and identifying any obstacles that may impede progress. Passmore and Mortimer (2011) note that understanding the reality of one’s circumstances is essential to bridging the gap between the current state and the desired outcome.</w:t>
      </w:r>
    </w:p>
    <w:p w14:paraId="5FF0AE6B" w14:textId="6BA01234" w:rsidR="00E80C78" w:rsidRPr="00697095" w:rsidRDefault="00E80C78" w:rsidP="00697095">
      <w:pPr>
        <w:spacing w:line="360" w:lineRule="auto"/>
        <w:jc w:val="both"/>
        <w:rPr>
          <w:rFonts w:ascii="Arial" w:hAnsi="Arial" w:cs="Arial"/>
        </w:rPr>
      </w:pPr>
      <w:r w:rsidRPr="00697095">
        <w:rPr>
          <w:rFonts w:ascii="Arial" w:hAnsi="Arial" w:cs="Arial"/>
        </w:rPr>
        <w:lastRenderedPageBreak/>
        <w:t>Options: Here, the focus shifts to exploring a range of potential strategies and solutions. The coach facilitates a brainstorming process that helps the coachee consider various pathways to overcome obstacles. This stage is crucial for fostering creative problem-solving and broadening the perspective of available choices (Grant, 2017).</w:t>
      </w:r>
    </w:p>
    <w:p w14:paraId="18B160FA" w14:textId="14075814" w:rsidR="00E80C78" w:rsidRPr="00697095" w:rsidRDefault="00E80C78" w:rsidP="00697095">
      <w:pPr>
        <w:spacing w:line="360" w:lineRule="auto"/>
        <w:jc w:val="both"/>
        <w:rPr>
          <w:rFonts w:ascii="Arial" w:hAnsi="Arial" w:cs="Arial"/>
        </w:rPr>
      </w:pPr>
      <w:r w:rsidRPr="00697095">
        <w:rPr>
          <w:rFonts w:ascii="Arial" w:hAnsi="Arial" w:cs="Arial"/>
        </w:rPr>
        <w:t>Will: The final stage involves converting ideas into action. The coachee commits to specific steps that will help achieve the defined goals, ensuring accountability and sustained progress. This phase transforms the insights from the earlier stages into concrete action plans, aligning with performance-driven objectives (Cox and Bachkirova, 2018).</w:t>
      </w:r>
    </w:p>
    <w:p w14:paraId="6647508E" w14:textId="1C2FDEAC" w:rsidR="00E80C78" w:rsidRPr="00697095" w:rsidRDefault="00E80C78" w:rsidP="00697095">
      <w:pPr>
        <w:spacing w:line="360" w:lineRule="auto"/>
        <w:jc w:val="both"/>
        <w:rPr>
          <w:rFonts w:ascii="Arial" w:hAnsi="Arial" w:cs="Arial"/>
          <w:b/>
          <w:bCs/>
        </w:rPr>
      </w:pPr>
      <w:bookmarkStart w:id="0" w:name="_Hlk190881103"/>
      <w:r w:rsidRPr="00697095">
        <w:rPr>
          <w:rFonts w:ascii="Arial" w:hAnsi="Arial" w:cs="Arial"/>
          <w:b/>
          <w:bCs/>
        </w:rPr>
        <w:t>Advantages of the GROW Model</w:t>
      </w:r>
    </w:p>
    <w:bookmarkEnd w:id="0"/>
    <w:p w14:paraId="2DC719A1" w14:textId="20E2A99D" w:rsidR="00E80C78" w:rsidRPr="00697095" w:rsidRDefault="00E80C78" w:rsidP="00697095">
      <w:pPr>
        <w:spacing w:line="360" w:lineRule="auto"/>
        <w:jc w:val="both"/>
        <w:rPr>
          <w:rFonts w:ascii="Arial" w:hAnsi="Arial" w:cs="Arial"/>
        </w:rPr>
      </w:pPr>
      <w:r w:rsidRPr="00697095">
        <w:rPr>
          <w:rFonts w:ascii="Arial" w:hAnsi="Arial" w:cs="Arial"/>
        </w:rPr>
        <w:t>One of the model’s primary strengths is its simplicity. The clear, sequential structure makes it accessible to both novice and experienced coaches, allowing for easy adoption across various settings. Its focus on goal-setting and actionable steps is particularly beneficial in organizational environments where measurable performance improvements are paramount. For example, in a sales team scenario, the GROW model can help individuals set realistic targets, evaluate current sales strategies, brainstorm innovative approaches, and commit to specific actions</w:t>
      </w:r>
      <w:r w:rsidR="005C4FE7">
        <w:rPr>
          <w:rFonts w:ascii="Arial" w:hAnsi="Arial" w:cs="Arial"/>
        </w:rPr>
        <w:t xml:space="preserve"> </w:t>
      </w:r>
      <w:r w:rsidRPr="00697095">
        <w:rPr>
          <w:rFonts w:ascii="Arial" w:hAnsi="Arial" w:cs="Arial"/>
        </w:rPr>
        <w:t>all within a focused framework.</w:t>
      </w:r>
    </w:p>
    <w:p w14:paraId="099CE481" w14:textId="19BC232A" w:rsidR="00E80C78" w:rsidRPr="00697095" w:rsidRDefault="00E80C78" w:rsidP="00697095">
      <w:pPr>
        <w:spacing w:line="360" w:lineRule="auto"/>
        <w:jc w:val="both"/>
        <w:rPr>
          <w:rFonts w:ascii="Arial" w:hAnsi="Arial" w:cs="Arial"/>
        </w:rPr>
      </w:pPr>
      <w:r w:rsidRPr="00697095">
        <w:rPr>
          <w:rFonts w:ascii="Arial" w:hAnsi="Arial" w:cs="Arial"/>
        </w:rPr>
        <w:t>Additionally, the GROW model promotes empowerment by encouraging coachees to take ownership of their development. By guiding individuals through a self-directed exploration of options and solutions, the model fosters a sense of autonomy and accountability, which can lead to increased motivation and improved performance outcomes.</w:t>
      </w:r>
    </w:p>
    <w:p w14:paraId="31D799A5" w14:textId="20B5C83F" w:rsidR="00E80C78" w:rsidRPr="00697095" w:rsidRDefault="00E80C78" w:rsidP="00697095">
      <w:pPr>
        <w:spacing w:line="360" w:lineRule="auto"/>
        <w:jc w:val="both"/>
        <w:rPr>
          <w:rFonts w:ascii="Arial" w:hAnsi="Arial" w:cs="Arial"/>
          <w:b/>
          <w:bCs/>
        </w:rPr>
      </w:pPr>
      <w:r w:rsidRPr="00697095">
        <w:rPr>
          <w:rFonts w:ascii="Arial" w:hAnsi="Arial" w:cs="Arial"/>
          <w:b/>
          <w:bCs/>
        </w:rPr>
        <w:t>Disadvantages of the GROW Model</w:t>
      </w:r>
    </w:p>
    <w:p w14:paraId="7C840481" w14:textId="022A7450" w:rsidR="00E80C78" w:rsidRPr="00697095" w:rsidRDefault="00E80C78" w:rsidP="00697095">
      <w:pPr>
        <w:spacing w:line="360" w:lineRule="auto"/>
        <w:jc w:val="both"/>
        <w:rPr>
          <w:rFonts w:ascii="Arial" w:hAnsi="Arial" w:cs="Arial"/>
        </w:rPr>
      </w:pPr>
      <w:r w:rsidRPr="00697095">
        <w:rPr>
          <w:rFonts w:ascii="Arial" w:hAnsi="Arial" w:cs="Arial"/>
        </w:rPr>
        <w:t>Despite its strengths, the GROW model has notable limitations. Critics argue that its linear, step-by-step approach can oversimplify complex issues, particularly in cases where challenges are deeply intertwined with emotional or psychological factors. Garfield (2019) contends that by emphasizing solution-focused thinking, the model may neglect the underlying causes of a problem that require more nuanced exploration.</w:t>
      </w:r>
    </w:p>
    <w:p w14:paraId="771EB8E8" w14:textId="1DB0E121" w:rsidR="00E80C78" w:rsidRPr="00697095" w:rsidRDefault="00E80C78" w:rsidP="00697095">
      <w:pPr>
        <w:spacing w:line="360" w:lineRule="auto"/>
        <w:jc w:val="both"/>
        <w:rPr>
          <w:rFonts w:ascii="Arial" w:hAnsi="Arial" w:cs="Arial"/>
        </w:rPr>
      </w:pPr>
      <w:r w:rsidRPr="00697095">
        <w:rPr>
          <w:rFonts w:ascii="Arial" w:hAnsi="Arial" w:cs="Arial"/>
        </w:rPr>
        <w:t>Furthermore, the rigid structure of the GROW model might restrict flexibility in dynamic situations. For example, in leadership development contexts that require a deeper exploration of personal values and emotional intelligence, a more holistic and adaptive coaching model may be more effective. The model’s focus on immediate, tangible outcomes might not fully capture the intricate process of long-term personal growth.</w:t>
      </w:r>
    </w:p>
    <w:p w14:paraId="0C46784D" w14:textId="2521F16A" w:rsidR="00E80C78" w:rsidRPr="00697095" w:rsidRDefault="00E80C78" w:rsidP="00697095">
      <w:pPr>
        <w:spacing w:line="360" w:lineRule="auto"/>
        <w:jc w:val="both"/>
        <w:rPr>
          <w:rFonts w:ascii="Arial" w:hAnsi="Arial" w:cs="Arial"/>
        </w:rPr>
      </w:pPr>
      <w:r w:rsidRPr="00697095">
        <w:rPr>
          <w:rFonts w:ascii="Arial" w:hAnsi="Arial" w:cs="Arial"/>
        </w:rPr>
        <w:t>Note</w:t>
      </w:r>
      <w:r w:rsidR="00F90907" w:rsidRPr="00697095">
        <w:rPr>
          <w:rFonts w:ascii="Arial" w:hAnsi="Arial" w:cs="Arial"/>
        </w:rPr>
        <w:t>:</w:t>
      </w:r>
    </w:p>
    <w:p w14:paraId="0681E1E4" w14:textId="77777777" w:rsidR="00E80C78" w:rsidRPr="00697095" w:rsidRDefault="00E80C78" w:rsidP="00697095">
      <w:pPr>
        <w:spacing w:line="360" w:lineRule="auto"/>
        <w:jc w:val="both"/>
        <w:rPr>
          <w:rFonts w:ascii="Arial" w:hAnsi="Arial" w:cs="Arial"/>
        </w:rPr>
      </w:pPr>
      <w:r w:rsidRPr="00697095">
        <w:rPr>
          <w:rFonts w:ascii="Arial" w:hAnsi="Arial" w:cs="Arial"/>
        </w:rPr>
        <w:lastRenderedPageBreak/>
        <w:t>In summary, the GROW coaching model offers a practical and straightforward framework that is highly effective in performance-oriented settings. Its systematic approach to goal setting, reality checking, exploring options, and committing to action provides a clear pathway for achieving measurable results. However, coaches must be mindful of its limitations, particularly when addressing complex or deeply personal issues, and consider integrating complementary coaching approaches where necessary.</w:t>
      </w:r>
    </w:p>
    <w:p w14:paraId="3FC398FB" w14:textId="77777777" w:rsidR="00E80C78" w:rsidRPr="00697095" w:rsidRDefault="00E80C78" w:rsidP="00697095">
      <w:pPr>
        <w:spacing w:line="360" w:lineRule="auto"/>
        <w:jc w:val="both"/>
        <w:rPr>
          <w:rFonts w:ascii="Arial" w:hAnsi="Arial" w:cs="Arial"/>
        </w:rPr>
      </w:pPr>
    </w:p>
    <w:p w14:paraId="49D666F4" w14:textId="77777777" w:rsidR="0092619C" w:rsidRPr="00697095" w:rsidRDefault="0092619C" w:rsidP="00697095">
      <w:pPr>
        <w:spacing w:line="360" w:lineRule="auto"/>
        <w:jc w:val="both"/>
        <w:rPr>
          <w:rFonts w:ascii="Arial" w:hAnsi="Arial" w:cs="Arial"/>
        </w:rPr>
      </w:pPr>
    </w:p>
    <w:p w14:paraId="2E41FA8E" w14:textId="5CE5D578" w:rsidR="0092619C" w:rsidRPr="00697095" w:rsidRDefault="0092619C" w:rsidP="00697095">
      <w:pPr>
        <w:spacing w:line="360" w:lineRule="auto"/>
        <w:jc w:val="both"/>
        <w:rPr>
          <w:rFonts w:ascii="Arial" w:hAnsi="Arial" w:cs="Arial"/>
        </w:rPr>
      </w:pPr>
      <w:r w:rsidRPr="00697095">
        <w:rPr>
          <w:rFonts w:ascii="Arial" w:hAnsi="Arial" w:cs="Arial"/>
          <w:noProof/>
        </w:rPr>
        <w:drawing>
          <wp:anchor distT="0" distB="0" distL="114300" distR="114300" simplePos="0" relativeHeight="251658240" behindDoc="0" locked="0" layoutInCell="1" allowOverlap="1" wp14:anchorId="31623DAA" wp14:editId="57CC3D6B">
            <wp:simplePos x="0" y="0"/>
            <wp:positionH relativeFrom="column">
              <wp:posOffset>1143000</wp:posOffset>
            </wp:positionH>
            <wp:positionV relativeFrom="paragraph">
              <wp:posOffset>0</wp:posOffset>
            </wp:positionV>
            <wp:extent cx="2705100" cy="1695450"/>
            <wp:effectExtent l="0" t="0" r="0" b="0"/>
            <wp:wrapSquare wrapText="bothSides"/>
            <wp:docPr id="209812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05100" cy="1695450"/>
                    </a:xfrm>
                    <a:prstGeom prst="rect">
                      <a:avLst/>
                    </a:prstGeom>
                    <a:noFill/>
                  </pic:spPr>
                </pic:pic>
              </a:graphicData>
            </a:graphic>
          </wp:anchor>
        </w:drawing>
      </w:r>
    </w:p>
    <w:p w14:paraId="13B75A8F" w14:textId="22F1ACF9" w:rsidR="0092619C" w:rsidRPr="00697095" w:rsidRDefault="0092619C" w:rsidP="00697095">
      <w:pPr>
        <w:spacing w:line="360" w:lineRule="auto"/>
        <w:jc w:val="both"/>
        <w:rPr>
          <w:rFonts w:ascii="Arial" w:hAnsi="Arial" w:cs="Arial"/>
        </w:rPr>
      </w:pPr>
    </w:p>
    <w:p w14:paraId="06ED6178" w14:textId="40CE8EDE" w:rsidR="0092619C" w:rsidRPr="00697095" w:rsidRDefault="0092619C" w:rsidP="00697095">
      <w:pPr>
        <w:spacing w:line="360" w:lineRule="auto"/>
        <w:jc w:val="both"/>
        <w:rPr>
          <w:rFonts w:ascii="Arial" w:hAnsi="Arial" w:cs="Arial"/>
        </w:rPr>
      </w:pPr>
    </w:p>
    <w:p w14:paraId="153868AD" w14:textId="442892B8" w:rsidR="0092619C" w:rsidRPr="00697095" w:rsidRDefault="0092619C" w:rsidP="00697095">
      <w:pPr>
        <w:spacing w:line="360" w:lineRule="auto"/>
        <w:jc w:val="both"/>
        <w:rPr>
          <w:rFonts w:ascii="Arial" w:hAnsi="Arial" w:cs="Arial"/>
        </w:rPr>
      </w:pPr>
    </w:p>
    <w:p w14:paraId="1C76ECDC" w14:textId="47145D72" w:rsidR="0092619C" w:rsidRPr="00697095" w:rsidRDefault="005C4FE7" w:rsidP="00697095">
      <w:pPr>
        <w:spacing w:line="360" w:lineRule="auto"/>
        <w:jc w:val="both"/>
        <w:rPr>
          <w:rFonts w:ascii="Arial" w:hAnsi="Arial" w:cs="Arial"/>
        </w:rPr>
      </w:pPr>
      <w:r>
        <w:rPr>
          <w:rFonts w:ascii="Arial" w:hAnsi="Arial" w:cs="Arial"/>
        </w:rPr>
        <w:t>FIG 1</w:t>
      </w:r>
    </w:p>
    <w:p w14:paraId="7B434AA3" w14:textId="0DD23315" w:rsidR="0092619C" w:rsidRPr="00697095" w:rsidRDefault="0092619C" w:rsidP="00697095">
      <w:pPr>
        <w:spacing w:line="360" w:lineRule="auto"/>
        <w:jc w:val="both"/>
        <w:rPr>
          <w:rFonts w:ascii="Arial" w:hAnsi="Arial" w:cs="Arial"/>
        </w:rPr>
      </w:pPr>
    </w:p>
    <w:p w14:paraId="0E30F08C" w14:textId="5B2B931E" w:rsidR="009C47DA" w:rsidRPr="00697095" w:rsidRDefault="009C47DA" w:rsidP="00697095">
      <w:pPr>
        <w:spacing w:line="360" w:lineRule="auto"/>
        <w:jc w:val="both"/>
        <w:rPr>
          <w:rFonts w:ascii="Arial" w:hAnsi="Arial" w:cs="Arial"/>
        </w:rPr>
      </w:pPr>
      <w:bookmarkStart w:id="1" w:name="_Hlk190881229"/>
      <w:r w:rsidRPr="00697095">
        <w:rPr>
          <w:rFonts w:ascii="Arial" w:hAnsi="Arial" w:cs="Arial"/>
          <w:b/>
          <w:bCs/>
        </w:rPr>
        <w:t>Reflection on Practical 1</w:t>
      </w:r>
      <w:bookmarkEnd w:id="1"/>
      <w:r w:rsidRPr="00697095">
        <w:rPr>
          <w:rFonts w:ascii="Arial" w:hAnsi="Arial" w:cs="Arial"/>
        </w:rPr>
        <w:t>: My First Assessed Coaching and Goal Setting Experience Using Gibbs’ Reflective Cycle</w:t>
      </w:r>
    </w:p>
    <w:p w14:paraId="4E6F9C43" w14:textId="22D5F3A9" w:rsidR="009C47DA" w:rsidRPr="00697095" w:rsidRDefault="009C47DA" w:rsidP="00697095">
      <w:pPr>
        <w:spacing w:line="360" w:lineRule="auto"/>
        <w:jc w:val="both"/>
        <w:rPr>
          <w:rFonts w:ascii="Arial" w:hAnsi="Arial" w:cs="Arial"/>
        </w:rPr>
      </w:pPr>
      <w:r w:rsidRPr="00697095">
        <w:rPr>
          <w:rFonts w:ascii="Arial" w:hAnsi="Arial" w:cs="Arial"/>
        </w:rPr>
        <w:t>In my first assessed coaching and goal setting session, I experienced a blend of anticipation, nervousness, and eventual empowerment. To critically reflect on this experience, I have employed Gibbs’ (1988) Reflective Cycle, which comprises the stages of Description, Feelings, Evaluation, Analysis, Conclusion, and Action Plan. This structured approach has allowed me to deconstruct the session and glean valuable insights for future professional development.</w:t>
      </w:r>
    </w:p>
    <w:p w14:paraId="2ACAA47C" w14:textId="77777777" w:rsidR="009C47DA" w:rsidRPr="00697095" w:rsidRDefault="009C47DA" w:rsidP="00697095">
      <w:pPr>
        <w:spacing w:line="360" w:lineRule="auto"/>
        <w:jc w:val="both"/>
        <w:rPr>
          <w:rFonts w:ascii="Arial" w:hAnsi="Arial" w:cs="Arial"/>
          <w:b/>
          <w:bCs/>
        </w:rPr>
      </w:pPr>
      <w:r w:rsidRPr="00697095">
        <w:rPr>
          <w:rFonts w:ascii="Arial" w:hAnsi="Arial" w:cs="Arial"/>
          <w:b/>
          <w:bCs/>
        </w:rPr>
        <w:t>Description</w:t>
      </w:r>
    </w:p>
    <w:p w14:paraId="302DCF5D" w14:textId="0F93C1BD" w:rsidR="009C47DA" w:rsidRPr="00697095" w:rsidRDefault="009C47DA" w:rsidP="00697095">
      <w:pPr>
        <w:spacing w:line="360" w:lineRule="auto"/>
        <w:jc w:val="both"/>
        <w:rPr>
          <w:rFonts w:ascii="Arial" w:hAnsi="Arial" w:cs="Arial"/>
        </w:rPr>
      </w:pPr>
      <w:r w:rsidRPr="00697095">
        <w:rPr>
          <w:rFonts w:ascii="Arial" w:hAnsi="Arial" w:cs="Arial"/>
        </w:rPr>
        <w:t>During the session, my coach and I engaged in a structured dialogue focused on setting a clear professional goal. The process was guided by a step-by-step framework that resembled the GROW model—starting with defining the goal, assessing the current situation, exploring options, and committing to action. The session was well-organized and interactive, providing an opportunity for me to articulate my aspirations and identify concrete steps to achieve them.</w:t>
      </w:r>
    </w:p>
    <w:p w14:paraId="6878E372" w14:textId="77777777" w:rsidR="009C47DA" w:rsidRPr="00697095" w:rsidRDefault="009C47DA" w:rsidP="00697095">
      <w:pPr>
        <w:spacing w:line="360" w:lineRule="auto"/>
        <w:jc w:val="both"/>
        <w:rPr>
          <w:rFonts w:ascii="Arial" w:hAnsi="Arial" w:cs="Arial"/>
          <w:b/>
          <w:bCs/>
        </w:rPr>
      </w:pPr>
      <w:r w:rsidRPr="00697095">
        <w:rPr>
          <w:rFonts w:ascii="Arial" w:hAnsi="Arial" w:cs="Arial"/>
          <w:b/>
          <w:bCs/>
        </w:rPr>
        <w:t>Feelings</w:t>
      </w:r>
    </w:p>
    <w:p w14:paraId="0E4A0B3D" w14:textId="17139077" w:rsidR="009C47DA" w:rsidRPr="00697095" w:rsidRDefault="009C47DA" w:rsidP="00697095">
      <w:pPr>
        <w:spacing w:line="360" w:lineRule="auto"/>
        <w:jc w:val="both"/>
        <w:rPr>
          <w:rFonts w:ascii="Arial" w:hAnsi="Arial" w:cs="Arial"/>
        </w:rPr>
      </w:pPr>
      <w:r w:rsidRPr="00697095">
        <w:rPr>
          <w:rFonts w:ascii="Arial" w:hAnsi="Arial" w:cs="Arial"/>
        </w:rPr>
        <w:t xml:space="preserve">At the outset, I felt a mix of excitement and apprehension. The formal nature of the assessment made me somewhat anxious about meeting expectations. However, as the conversation </w:t>
      </w:r>
      <w:r w:rsidRPr="00697095">
        <w:rPr>
          <w:rFonts w:ascii="Arial" w:hAnsi="Arial" w:cs="Arial"/>
        </w:rPr>
        <w:lastRenderedPageBreak/>
        <w:t>progressed, the supportive atmosphere created by my coach helped me feel more at ease. I began to appreciate the reflective process, finding that the probing questions not only clarified my professional objectives but also encouraged me to consider personal values and motivations. This dual focus on performance and personal growth was both reassuring and invigorating.</w:t>
      </w:r>
    </w:p>
    <w:p w14:paraId="499DE699" w14:textId="77777777" w:rsidR="009C47DA" w:rsidRPr="00697095" w:rsidRDefault="009C47DA" w:rsidP="00697095">
      <w:pPr>
        <w:spacing w:line="360" w:lineRule="auto"/>
        <w:jc w:val="both"/>
        <w:rPr>
          <w:rFonts w:ascii="Arial" w:hAnsi="Arial" w:cs="Arial"/>
          <w:b/>
          <w:bCs/>
        </w:rPr>
      </w:pPr>
      <w:r w:rsidRPr="00697095">
        <w:rPr>
          <w:rFonts w:ascii="Arial" w:hAnsi="Arial" w:cs="Arial"/>
          <w:b/>
          <w:bCs/>
        </w:rPr>
        <w:t>Evaluation</w:t>
      </w:r>
    </w:p>
    <w:p w14:paraId="3F24C0C0" w14:textId="77A52EC0" w:rsidR="009C47DA" w:rsidRPr="00697095" w:rsidRDefault="009C47DA" w:rsidP="00697095">
      <w:pPr>
        <w:spacing w:line="360" w:lineRule="auto"/>
        <w:jc w:val="both"/>
        <w:rPr>
          <w:rFonts w:ascii="Arial" w:hAnsi="Arial" w:cs="Arial"/>
        </w:rPr>
      </w:pPr>
      <w:r w:rsidRPr="00697095">
        <w:rPr>
          <w:rFonts w:ascii="Arial" w:hAnsi="Arial" w:cs="Arial"/>
        </w:rPr>
        <w:t>Reflecting on the session, several positive aspects stood out. The structured nature of the coaching conversation ensured that we covered all essential components of goal setting, resulting in a clear, actionable plan. I particularly valued the segment where my coach facilitated a realistic appraisal of my current situation, as this honesty enabled me to identify potential barriers and resources. On the downside, I observed that the session’s focus on immediate, measurable outcomes occasionally felt limiting. At times, I felt that the coach could have allowed more time to delve into the underlying emotional factors that influence goal attainment—a perspective supported by Grant (2017), who argues that integrating emotional intelligence into coaching can enhance long-term effectiveness.</w:t>
      </w:r>
    </w:p>
    <w:p w14:paraId="00036E21" w14:textId="77777777" w:rsidR="009C47DA" w:rsidRPr="00697095" w:rsidRDefault="009C47DA" w:rsidP="00697095">
      <w:pPr>
        <w:spacing w:line="360" w:lineRule="auto"/>
        <w:jc w:val="both"/>
        <w:rPr>
          <w:rFonts w:ascii="Arial" w:hAnsi="Arial" w:cs="Arial"/>
          <w:b/>
          <w:bCs/>
        </w:rPr>
      </w:pPr>
      <w:r w:rsidRPr="00697095">
        <w:rPr>
          <w:rFonts w:ascii="Arial" w:hAnsi="Arial" w:cs="Arial"/>
          <w:b/>
          <w:bCs/>
        </w:rPr>
        <w:t>Analysis</w:t>
      </w:r>
    </w:p>
    <w:p w14:paraId="2C125439" w14:textId="5FFAD3FF" w:rsidR="009C47DA" w:rsidRPr="00697095" w:rsidRDefault="009C47DA" w:rsidP="00697095">
      <w:pPr>
        <w:spacing w:line="360" w:lineRule="auto"/>
        <w:jc w:val="both"/>
        <w:rPr>
          <w:rFonts w:ascii="Arial" w:hAnsi="Arial" w:cs="Arial"/>
        </w:rPr>
      </w:pPr>
      <w:r w:rsidRPr="00697095">
        <w:rPr>
          <w:rFonts w:ascii="Arial" w:hAnsi="Arial" w:cs="Arial"/>
        </w:rPr>
        <w:t>The session reinforced the benefits of a structured approach to coaching, as emphasized by Gibbs (1988) and further supported by Passmore and Mortimer (2011). The clarity and direction provided by a systematic framework not only helped me articulate my goals but also instilled a sense of accountability. However, I also recognized a shortcoming: the potential oversimplification of complex personal issues. While the focus on tangible outcomes is beneficial for immediate performance improvement, it might overlook the nuanced emotional and psychological dimensions that are crucial for sustained personal development (Cottrell, 2013). This observation suggests a need for a more integrated approach that balances structure with depth.</w:t>
      </w:r>
    </w:p>
    <w:p w14:paraId="5635E6B6" w14:textId="77777777" w:rsidR="009C47DA" w:rsidRPr="00697095" w:rsidRDefault="009C47DA" w:rsidP="00697095">
      <w:pPr>
        <w:spacing w:line="360" w:lineRule="auto"/>
        <w:jc w:val="both"/>
        <w:rPr>
          <w:rFonts w:ascii="Arial" w:hAnsi="Arial" w:cs="Arial"/>
          <w:b/>
          <w:bCs/>
        </w:rPr>
      </w:pPr>
      <w:r w:rsidRPr="00697095">
        <w:rPr>
          <w:rFonts w:ascii="Arial" w:hAnsi="Arial" w:cs="Arial"/>
          <w:b/>
          <w:bCs/>
        </w:rPr>
        <w:t>Conclusion and Action Plan</w:t>
      </w:r>
    </w:p>
    <w:p w14:paraId="6CE0A7B3" w14:textId="77777777" w:rsidR="009C47DA" w:rsidRPr="00697095" w:rsidRDefault="009C47DA" w:rsidP="00697095">
      <w:pPr>
        <w:spacing w:line="360" w:lineRule="auto"/>
        <w:jc w:val="both"/>
        <w:rPr>
          <w:rFonts w:ascii="Arial" w:hAnsi="Arial" w:cs="Arial"/>
        </w:rPr>
      </w:pPr>
      <w:r w:rsidRPr="00697095">
        <w:rPr>
          <w:rFonts w:ascii="Arial" w:hAnsi="Arial" w:cs="Arial"/>
        </w:rPr>
        <w:t>In conclusion, my first assessed coaching session was a formative experience that highlighted both the strengths and limitations of structured coaching models. I learned the value of clear goal setting and actionable planning, as well as the importance of incorporating reflective pauses to address underlying personal challenges. Moving forward, I plan to advocate for and engage in sessions that allocate dedicated time for exploring emotional dimensions alongside performance metrics. This balanced approach will not only support my professional objectives but also foster a more holistic personal development.</w:t>
      </w:r>
    </w:p>
    <w:p w14:paraId="6E109CF0" w14:textId="77777777" w:rsidR="007E54A5" w:rsidRPr="00697095" w:rsidRDefault="007E54A5" w:rsidP="00697095">
      <w:pPr>
        <w:spacing w:line="360" w:lineRule="auto"/>
        <w:jc w:val="both"/>
        <w:rPr>
          <w:rFonts w:ascii="Arial" w:hAnsi="Arial" w:cs="Arial"/>
        </w:rPr>
      </w:pPr>
    </w:p>
    <w:p w14:paraId="0F7AEB82" w14:textId="32E820A3" w:rsidR="00E34BDE" w:rsidRPr="00697095" w:rsidRDefault="003B6C68" w:rsidP="00697095">
      <w:pPr>
        <w:spacing w:line="360" w:lineRule="auto"/>
        <w:jc w:val="both"/>
        <w:rPr>
          <w:rFonts w:ascii="Arial" w:hAnsi="Arial" w:cs="Arial"/>
        </w:rPr>
      </w:pPr>
      <w:r w:rsidRPr="00697095">
        <w:rPr>
          <w:rFonts w:ascii="Arial" w:hAnsi="Arial" w:cs="Arial"/>
        </w:rPr>
        <w:lastRenderedPageBreak/>
        <w:t xml:space="preserve">                                                                </w:t>
      </w:r>
      <w:r w:rsidR="00531C3A" w:rsidRPr="00697095">
        <w:rPr>
          <w:rFonts w:ascii="Arial" w:hAnsi="Arial" w:cs="Arial"/>
          <w:noProof/>
        </w:rPr>
        <w:drawing>
          <wp:inline distT="0" distB="0" distL="0" distR="0" wp14:anchorId="1327E1BC" wp14:editId="5917BD97">
            <wp:extent cx="2286000" cy="1714500"/>
            <wp:effectExtent l="0" t="0" r="0" b="0"/>
            <wp:docPr id="3611011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1714500"/>
                    </a:xfrm>
                    <a:prstGeom prst="rect">
                      <a:avLst/>
                    </a:prstGeom>
                    <a:noFill/>
                  </pic:spPr>
                </pic:pic>
              </a:graphicData>
            </a:graphic>
          </wp:inline>
        </w:drawing>
      </w:r>
    </w:p>
    <w:p w14:paraId="7891455A" w14:textId="7D3B8D92" w:rsidR="00E34BDE" w:rsidRPr="00697095" w:rsidRDefault="003B6C68" w:rsidP="00697095">
      <w:pPr>
        <w:spacing w:line="360" w:lineRule="auto"/>
        <w:jc w:val="both"/>
        <w:rPr>
          <w:rFonts w:ascii="Arial" w:hAnsi="Arial" w:cs="Arial"/>
        </w:rPr>
      </w:pPr>
      <w:r w:rsidRPr="00697095">
        <w:rPr>
          <w:rFonts w:ascii="Arial" w:hAnsi="Arial" w:cs="Arial"/>
        </w:rPr>
        <w:t>FIG2</w:t>
      </w:r>
    </w:p>
    <w:p w14:paraId="22070158" w14:textId="2E810A49" w:rsidR="00E34BDE" w:rsidRPr="00697095" w:rsidRDefault="00E34BDE" w:rsidP="00697095">
      <w:pPr>
        <w:tabs>
          <w:tab w:val="left" w:pos="3000"/>
        </w:tabs>
        <w:spacing w:line="360" w:lineRule="auto"/>
        <w:jc w:val="both"/>
        <w:rPr>
          <w:rFonts w:ascii="Arial" w:hAnsi="Arial" w:cs="Arial"/>
        </w:rPr>
      </w:pPr>
    </w:p>
    <w:p w14:paraId="09F280EB" w14:textId="1A5FA46B" w:rsidR="00664947" w:rsidRPr="00697095" w:rsidRDefault="00664947" w:rsidP="00697095">
      <w:pPr>
        <w:spacing w:line="360" w:lineRule="auto"/>
        <w:jc w:val="both"/>
        <w:rPr>
          <w:rFonts w:ascii="Arial" w:hAnsi="Arial" w:cs="Arial"/>
          <w:b/>
          <w:bCs/>
        </w:rPr>
      </w:pPr>
      <w:bookmarkStart w:id="2" w:name="_Hlk190881259"/>
      <w:r w:rsidRPr="00697095">
        <w:rPr>
          <w:rFonts w:ascii="Arial" w:hAnsi="Arial" w:cs="Arial"/>
          <w:b/>
          <w:bCs/>
        </w:rPr>
        <w:t>Reflection on Practical 2</w:t>
      </w:r>
      <w:bookmarkEnd w:id="2"/>
      <w:r w:rsidRPr="00697095">
        <w:rPr>
          <w:rFonts w:ascii="Arial" w:hAnsi="Arial" w:cs="Arial"/>
          <w:b/>
          <w:bCs/>
        </w:rPr>
        <w:t>: Mentoring and Providing Feedback Using Gibbs’ Reflective Cycle</w:t>
      </w:r>
    </w:p>
    <w:p w14:paraId="734E54F0" w14:textId="1CB8C593" w:rsidR="00664947" w:rsidRPr="00697095" w:rsidRDefault="00664947" w:rsidP="00697095">
      <w:pPr>
        <w:spacing w:line="360" w:lineRule="auto"/>
        <w:jc w:val="both"/>
        <w:rPr>
          <w:rFonts w:ascii="Arial" w:hAnsi="Arial" w:cs="Arial"/>
        </w:rPr>
      </w:pPr>
      <w:r w:rsidRPr="00697095">
        <w:rPr>
          <w:rFonts w:ascii="Arial" w:hAnsi="Arial" w:cs="Arial"/>
        </w:rPr>
        <w:t>In my recent assessed mentoring session, I had the opportunity to provide structured feedback to a mentee, focusing on both reinforcing strengths and addressing areas for improvement. I chose Gibbs’ (1988) Reflective Cycle as the framework for this reflection, as it enabled a systematic deconstruction of the experience into six key stages: Description, Feelings, Evaluation, Analysis, Conclusion, and Action Plan.</w:t>
      </w:r>
    </w:p>
    <w:p w14:paraId="1F1D6630" w14:textId="77777777" w:rsidR="00664947" w:rsidRPr="00697095" w:rsidRDefault="00664947" w:rsidP="00697095">
      <w:pPr>
        <w:spacing w:line="360" w:lineRule="auto"/>
        <w:jc w:val="both"/>
        <w:rPr>
          <w:rFonts w:ascii="Arial" w:hAnsi="Arial" w:cs="Arial"/>
          <w:b/>
          <w:bCs/>
        </w:rPr>
      </w:pPr>
      <w:r w:rsidRPr="00697095">
        <w:rPr>
          <w:rFonts w:ascii="Arial" w:hAnsi="Arial" w:cs="Arial"/>
          <w:b/>
          <w:bCs/>
        </w:rPr>
        <w:t>Description</w:t>
      </w:r>
    </w:p>
    <w:p w14:paraId="23D83355" w14:textId="023FD5F5" w:rsidR="00664947" w:rsidRPr="00697095" w:rsidRDefault="00664947" w:rsidP="00697095">
      <w:pPr>
        <w:spacing w:line="360" w:lineRule="auto"/>
        <w:jc w:val="both"/>
        <w:rPr>
          <w:rFonts w:ascii="Arial" w:hAnsi="Arial" w:cs="Arial"/>
        </w:rPr>
      </w:pPr>
      <w:r w:rsidRPr="00697095">
        <w:rPr>
          <w:rFonts w:ascii="Arial" w:hAnsi="Arial" w:cs="Arial"/>
        </w:rPr>
        <w:t>During the session, I assumed the role of a mentor with the responsibility of guiding my mentee through his current professional challenges. The session involved discussing his progress, identifying key performance areas, and collaboratively establishing actionable goals. I provided feedback that was both affirming and constructively critical. This dual approach was intended to foster his professional growth while also ensuring that he was aware of the areas that required further development.</w:t>
      </w:r>
    </w:p>
    <w:p w14:paraId="38361B2C" w14:textId="77777777" w:rsidR="00664947" w:rsidRPr="00697095" w:rsidRDefault="00664947" w:rsidP="00697095">
      <w:pPr>
        <w:spacing w:line="360" w:lineRule="auto"/>
        <w:jc w:val="both"/>
        <w:rPr>
          <w:rFonts w:ascii="Arial" w:hAnsi="Arial" w:cs="Arial"/>
          <w:b/>
          <w:bCs/>
        </w:rPr>
      </w:pPr>
      <w:r w:rsidRPr="00697095">
        <w:rPr>
          <w:rFonts w:ascii="Arial" w:hAnsi="Arial" w:cs="Arial"/>
          <w:b/>
          <w:bCs/>
        </w:rPr>
        <w:t>Feelings</w:t>
      </w:r>
    </w:p>
    <w:p w14:paraId="0B30AA10" w14:textId="2E476ADE" w:rsidR="00664947" w:rsidRPr="00697095" w:rsidRDefault="00664947" w:rsidP="00697095">
      <w:pPr>
        <w:spacing w:line="360" w:lineRule="auto"/>
        <w:jc w:val="both"/>
        <w:rPr>
          <w:rFonts w:ascii="Arial" w:hAnsi="Arial" w:cs="Arial"/>
        </w:rPr>
      </w:pPr>
      <w:r w:rsidRPr="00697095">
        <w:rPr>
          <w:rFonts w:ascii="Arial" w:hAnsi="Arial" w:cs="Arial"/>
        </w:rPr>
        <w:t>At the beginning of the session, I experienced a mixture of excitement and apprehension. I was eager to support my mentee’s development but also nervous about delivering feedback that might be perceived as overly critical. As the session progressed, however, I began to feel more confident. The open dialogue and the mentee’s receptive attitude helped ease my concerns. Despite the initial anxiety, I felt a growing sense of satisfaction as the conversation evolved into a constructive exchange that highlighted both his achievements and potential areas for growth.</w:t>
      </w:r>
    </w:p>
    <w:p w14:paraId="64F8E94C" w14:textId="77777777" w:rsidR="00664947" w:rsidRPr="00697095" w:rsidRDefault="00664947" w:rsidP="00697095">
      <w:pPr>
        <w:spacing w:line="360" w:lineRule="auto"/>
        <w:jc w:val="both"/>
        <w:rPr>
          <w:rFonts w:ascii="Arial" w:hAnsi="Arial" w:cs="Arial"/>
          <w:b/>
          <w:bCs/>
        </w:rPr>
      </w:pPr>
      <w:r w:rsidRPr="00697095">
        <w:rPr>
          <w:rFonts w:ascii="Arial" w:hAnsi="Arial" w:cs="Arial"/>
          <w:b/>
          <w:bCs/>
        </w:rPr>
        <w:t>Evaluation</w:t>
      </w:r>
    </w:p>
    <w:p w14:paraId="72C3B587" w14:textId="27D4444E" w:rsidR="00664947" w:rsidRPr="00697095" w:rsidRDefault="00664947" w:rsidP="00697095">
      <w:pPr>
        <w:spacing w:line="360" w:lineRule="auto"/>
        <w:jc w:val="both"/>
        <w:rPr>
          <w:rFonts w:ascii="Arial" w:hAnsi="Arial" w:cs="Arial"/>
        </w:rPr>
      </w:pPr>
      <w:r w:rsidRPr="00697095">
        <w:rPr>
          <w:rFonts w:ascii="Arial" w:hAnsi="Arial" w:cs="Arial"/>
        </w:rPr>
        <w:lastRenderedPageBreak/>
        <w:t>Reflecting on the session, several positive aspects emerged. The structured nature of our dialogue allowed for clear identification of the mentee’s strengths and weaknesses. I was able to provide specific, actionable suggestions that aligned with best practices in mentoring. The mentee responded well to the balanced feedback, indicating an improved understanding of his performance and future direction. However, I also noted a drawback: at times, the feedback may have been too direct, potentially limiting the depth of emotional support required to fully address underlying issues. This observation resonates with Grant’s (2017) assertion that while specificity is crucial, sensitivity in feedback delivery is equally important.</w:t>
      </w:r>
    </w:p>
    <w:p w14:paraId="5917E9F6" w14:textId="77777777" w:rsidR="00664947" w:rsidRPr="00697095" w:rsidRDefault="00664947" w:rsidP="00697095">
      <w:pPr>
        <w:spacing w:line="360" w:lineRule="auto"/>
        <w:jc w:val="both"/>
        <w:rPr>
          <w:rFonts w:ascii="Arial" w:hAnsi="Arial" w:cs="Arial"/>
          <w:b/>
          <w:bCs/>
        </w:rPr>
      </w:pPr>
      <w:r w:rsidRPr="00697095">
        <w:rPr>
          <w:rFonts w:ascii="Arial" w:hAnsi="Arial" w:cs="Arial"/>
          <w:b/>
          <w:bCs/>
        </w:rPr>
        <w:t>Analysis</w:t>
      </w:r>
    </w:p>
    <w:p w14:paraId="51CB0FE3" w14:textId="21DAEFA5" w:rsidR="00664947" w:rsidRPr="00697095" w:rsidRDefault="00664947" w:rsidP="00697095">
      <w:pPr>
        <w:spacing w:line="360" w:lineRule="auto"/>
        <w:jc w:val="both"/>
        <w:rPr>
          <w:rFonts w:ascii="Arial" w:hAnsi="Arial" w:cs="Arial"/>
        </w:rPr>
      </w:pPr>
      <w:r w:rsidRPr="00697095">
        <w:rPr>
          <w:rFonts w:ascii="Arial" w:hAnsi="Arial" w:cs="Arial"/>
        </w:rPr>
        <w:t>The mentoring session underscored the effectiveness of structured feedback as a tool for development. As noted by Passmore and Mortimer (2011), clear, honest, and actionable feedback can significantly impact professional growth when delivered within a supportive framework. The experience also highlighted the dynamic interplay between the mentor and mentee, emphasizing the need for adaptability. Schön (1983) reminds us that reflective practitioners continuously evolve, learning from each interaction. In this context, the session provided valuable insights into balancing direct feedback with empathy. Although the clarity of the feedback was beneficial, a more nuanced approach might have better addressed the mentee’s emotional and developmental needs.</w:t>
      </w:r>
    </w:p>
    <w:p w14:paraId="762D593E" w14:textId="77777777" w:rsidR="00664947" w:rsidRPr="00697095" w:rsidRDefault="00664947" w:rsidP="00697095">
      <w:pPr>
        <w:spacing w:line="360" w:lineRule="auto"/>
        <w:jc w:val="both"/>
        <w:rPr>
          <w:rFonts w:ascii="Arial" w:hAnsi="Arial" w:cs="Arial"/>
          <w:b/>
          <w:bCs/>
        </w:rPr>
      </w:pPr>
      <w:r w:rsidRPr="00697095">
        <w:rPr>
          <w:rFonts w:ascii="Arial" w:hAnsi="Arial" w:cs="Arial"/>
          <w:b/>
          <w:bCs/>
        </w:rPr>
        <w:t>Conclusion and Action Plan</w:t>
      </w:r>
    </w:p>
    <w:p w14:paraId="44C5A14D" w14:textId="77777777" w:rsidR="00664947" w:rsidRPr="00697095" w:rsidRDefault="00664947" w:rsidP="00697095">
      <w:pPr>
        <w:spacing w:line="360" w:lineRule="auto"/>
        <w:jc w:val="both"/>
        <w:rPr>
          <w:rFonts w:ascii="Arial" w:hAnsi="Arial" w:cs="Arial"/>
        </w:rPr>
      </w:pPr>
      <w:r w:rsidRPr="00697095">
        <w:rPr>
          <w:rFonts w:ascii="Arial" w:hAnsi="Arial" w:cs="Arial"/>
        </w:rPr>
        <w:t>In conclusion, my experience as a mentor during this session was both challenging and enriching. I recognized that while clear and direct feedback is vital for performance improvement, it must be delivered with sensitivity to foster a trusting mentor-mentee relationship. Moving forward, I plan to refine my approach by incorporating more open-ended questions and reflective listening techniques, as suggested by Cottrell (2013), to encourage deeper dialogue and self-reflection in mentees. Additionally, I aim to seek feedback on my mentoring style from colleagues, enabling me to continuously enhance my reflective practice and communication skills. This iterative process of learning and adaptation will, I believe, result in more impactful mentoring sessions in the future.</w:t>
      </w:r>
    </w:p>
    <w:p w14:paraId="2587800A" w14:textId="77777777" w:rsidR="005E519F" w:rsidRPr="00697095" w:rsidRDefault="005E519F" w:rsidP="00697095">
      <w:pPr>
        <w:spacing w:line="360" w:lineRule="auto"/>
        <w:jc w:val="both"/>
        <w:rPr>
          <w:rFonts w:ascii="Arial" w:hAnsi="Arial" w:cs="Arial"/>
          <w:b/>
          <w:bCs/>
        </w:rPr>
      </w:pPr>
    </w:p>
    <w:p w14:paraId="1015EF27" w14:textId="77777777" w:rsidR="005E519F" w:rsidRPr="00697095" w:rsidRDefault="005E519F" w:rsidP="00697095">
      <w:pPr>
        <w:spacing w:line="360" w:lineRule="auto"/>
        <w:jc w:val="both"/>
        <w:rPr>
          <w:rFonts w:ascii="Arial" w:hAnsi="Arial" w:cs="Arial"/>
          <w:b/>
          <w:bCs/>
        </w:rPr>
      </w:pPr>
    </w:p>
    <w:p w14:paraId="58E16710" w14:textId="77777777" w:rsidR="005E519F" w:rsidRPr="00697095" w:rsidRDefault="005E519F" w:rsidP="00697095">
      <w:pPr>
        <w:spacing w:line="360" w:lineRule="auto"/>
        <w:jc w:val="both"/>
        <w:rPr>
          <w:rFonts w:ascii="Arial" w:hAnsi="Arial" w:cs="Arial"/>
          <w:b/>
          <w:bCs/>
        </w:rPr>
      </w:pPr>
    </w:p>
    <w:p w14:paraId="41C60F88" w14:textId="77777777" w:rsidR="005E519F" w:rsidRPr="00697095" w:rsidRDefault="005E519F" w:rsidP="00697095">
      <w:pPr>
        <w:spacing w:line="360" w:lineRule="auto"/>
        <w:jc w:val="both"/>
        <w:rPr>
          <w:rFonts w:ascii="Arial" w:hAnsi="Arial" w:cs="Arial"/>
          <w:b/>
          <w:bCs/>
        </w:rPr>
      </w:pPr>
    </w:p>
    <w:p w14:paraId="75FABBF9" w14:textId="77777777" w:rsidR="005E519F" w:rsidRPr="00697095" w:rsidRDefault="005E519F" w:rsidP="00697095">
      <w:pPr>
        <w:spacing w:line="360" w:lineRule="auto"/>
        <w:jc w:val="both"/>
        <w:rPr>
          <w:rFonts w:ascii="Arial" w:hAnsi="Arial" w:cs="Arial"/>
          <w:b/>
          <w:bCs/>
        </w:rPr>
      </w:pPr>
    </w:p>
    <w:p w14:paraId="2AF3508C" w14:textId="77777777" w:rsidR="00BE252D" w:rsidRDefault="00BE252D" w:rsidP="00697095">
      <w:pPr>
        <w:spacing w:line="360" w:lineRule="auto"/>
        <w:jc w:val="both"/>
        <w:rPr>
          <w:rFonts w:ascii="Arial" w:hAnsi="Arial" w:cs="Arial"/>
          <w:b/>
          <w:bCs/>
        </w:rPr>
      </w:pPr>
    </w:p>
    <w:p w14:paraId="031565F8" w14:textId="77777777" w:rsidR="00BE252D" w:rsidRDefault="00BE252D" w:rsidP="00697095">
      <w:pPr>
        <w:spacing w:line="360" w:lineRule="auto"/>
        <w:jc w:val="both"/>
        <w:rPr>
          <w:rFonts w:ascii="Arial" w:hAnsi="Arial" w:cs="Arial"/>
          <w:b/>
          <w:bCs/>
        </w:rPr>
      </w:pPr>
    </w:p>
    <w:p w14:paraId="7309E421" w14:textId="77777777" w:rsidR="00BE252D" w:rsidRDefault="00BE252D" w:rsidP="00697095">
      <w:pPr>
        <w:spacing w:line="360" w:lineRule="auto"/>
        <w:jc w:val="both"/>
        <w:rPr>
          <w:rFonts w:ascii="Arial" w:hAnsi="Arial" w:cs="Arial"/>
          <w:b/>
          <w:bCs/>
        </w:rPr>
      </w:pPr>
    </w:p>
    <w:p w14:paraId="52F121C3" w14:textId="77777777" w:rsidR="00BE252D" w:rsidRDefault="00BE252D" w:rsidP="00697095">
      <w:pPr>
        <w:spacing w:line="360" w:lineRule="auto"/>
        <w:jc w:val="both"/>
        <w:rPr>
          <w:rFonts w:ascii="Arial" w:hAnsi="Arial" w:cs="Arial"/>
          <w:b/>
          <w:bCs/>
        </w:rPr>
      </w:pPr>
    </w:p>
    <w:p w14:paraId="7C74F040" w14:textId="77777777" w:rsidR="00BE252D" w:rsidRDefault="00BE252D" w:rsidP="00697095">
      <w:pPr>
        <w:spacing w:line="360" w:lineRule="auto"/>
        <w:jc w:val="both"/>
        <w:rPr>
          <w:rFonts w:ascii="Arial" w:hAnsi="Arial" w:cs="Arial"/>
          <w:b/>
          <w:bCs/>
        </w:rPr>
      </w:pPr>
    </w:p>
    <w:p w14:paraId="7FA31F13" w14:textId="1CFAD0B0" w:rsidR="00752C85" w:rsidRPr="00697095" w:rsidRDefault="003D5055" w:rsidP="00697095">
      <w:pPr>
        <w:spacing w:line="360" w:lineRule="auto"/>
        <w:jc w:val="both"/>
        <w:rPr>
          <w:rFonts w:ascii="Arial" w:hAnsi="Arial" w:cs="Arial"/>
          <w:b/>
          <w:bCs/>
        </w:rPr>
      </w:pPr>
      <w:r w:rsidRPr="00697095">
        <w:rPr>
          <w:rFonts w:ascii="Arial" w:hAnsi="Arial" w:cs="Arial"/>
          <w:b/>
          <w:bCs/>
        </w:rPr>
        <w:t>Conclusion</w:t>
      </w:r>
    </w:p>
    <w:p w14:paraId="043CC71C" w14:textId="0BFC8618" w:rsidR="00752C85" w:rsidRPr="00697095" w:rsidRDefault="00752C85" w:rsidP="00697095">
      <w:pPr>
        <w:spacing w:line="360" w:lineRule="auto"/>
        <w:jc w:val="both"/>
        <w:rPr>
          <w:rFonts w:ascii="Arial" w:hAnsi="Arial" w:cs="Arial"/>
        </w:rPr>
      </w:pPr>
      <w:r w:rsidRPr="00697095">
        <w:rPr>
          <w:rFonts w:ascii="Arial" w:hAnsi="Arial" w:cs="Arial"/>
        </w:rPr>
        <w:t xml:space="preserve">In conclusion, this report has explored the pivotal role of coaching and mentoring within the workplace, drawing upon structured frameworks such as the GROW model and reflective practice models like Gibbs’ (1988) Reflective Cycle. The analysis highlighted that coaching, with its clear </w:t>
      </w:r>
      <w:r w:rsidR="003D5055" w:rsidRPr="00697095">
        <w:rPr>
          <w:rFonts w:ascii="Arial" w:hAnsi="Arial" w:cs="Arial"/>
        </w:rPr>
        <w:t>goal setting</w:t>
      </w:r>
      <w:r w:rsidRPr="00697095">
        <w:rPr>
          <w:rFonts w:ascii="Arial" w:hAnsi="Arial" w:cs="Arial"/>
        </w:rPr>
        <w:t xml:space="preserve"> and action-oriented approach, can drive immediate performance improvements, as noted by Grant (2017). However, it also revealed limitations in addressing the complex, emotional dimensions that sometimes underpin professional challenges. Conversely, mentoring, with its long-term, holistic focus, facilitates deeper personal and career development, emphasizing the importance of empathy and nuanced feedback.</w:t>
      </w:r>
    </w:p>
    <w:p w14:paraId="1B971CC0" w14:textId="328208D9" w:rsidR="00752C85" w:rsidRPr="00697095" w:rsidRDefault="00752C85" w:rsidP="00697095">
      <w:pPr>
        <w:spacing w:line="360" w:lineRule="auto"/>
        <w:jc w:val="both"/>
        <w:rPr>
          <w:rFonts w:ascii="Arial" w:hAnsi="Arial" w:cs="Arial"/>
        </w:rPr>
      </w:pPr>
      <w:r w:rsidRPr="00697095">
        <w:rPr>
          <w:rFonts w:ascii="Arial" w:hAnsi="Arial" w:cs="Arial"/>
        </w:rPr>
        <w:t>The reflective accounts of both coaching and mentoring sessions have provided a comprehensive understanding of how structured methodologies can be effectively applied in real-life contexts. The experience underscored the importance of combining direct, goal-driven strategies with reflective and adaptive practices. This balanced approach not only enhances individual performance but also nurtures a culture of continuous professional growth and learning.</w:t>
      </w:r>
    </w:p>
    <w:p w14:paraId="0F36ADD9" w14:textId="77777777" w:rsidR="00752C85" w:rsidRPr="00697095" w:rsidRDefault="00752C85" w:rsidP="00697095">
      <w:pPr>
        <w:spacing w:line="360" w:lineRule="auto"/>
        <w:jc w:val="both"/>
        <w:rPr>
          <w:rFonts w:ascii="Arial" w:hAnsi="Arial" w:cs="Arial"/>
        </w:rPr>
      </w:pPr>
      <w:r w:rsidRPr="00697095">
        <w:rPr>
          <w:rFonts w:ascii="Arial" w:hAnsi="Arial" w:cs="Arial"/>
        </w:rPr>
        <w:t>Looking ahead, my experience will profoundly inform my future practice in the workplace. I now appreciate the necessity of tailoring coaching and mentoring interventions to address both tangible performance metrics and the subtler emotional and developmental needs of individuals. By integrating structured models with reflective practices, I can ensure a more adaptive and supportive approach to professional development. This integrative strategy, supported by established literature, will guide my efforts to foster resilient, well-rounded teams capable of navigating the complexities of modern organizational challenges.</w:t>
      </w:r>
    </w:p>
    <w:p w14:paraId="3FB804DF" w14:textId="77777777" w:rsidR="00752C85" w:rsidRPr="00697095" w:rsidRDefault="00752C85" w:rsidP="00697095">
      <w:pPr>
        <w:spacing w:line="360" w:lineRule="auto"/>
        <w:jc w:val="both"/>
        <w:rPr>
          <w:rFonts w:ascii="Arial" w:hAnsi="Arial" w:cs="Arial"/>
        </w:rPr>
      </w:pPr>
    </w:p>
    <w:p w14:paraId="4518413B" w14:textId="77777777" w:rsidR="004E6F56" w:rsidRPr="00697095" w:rsidRDefault="004E6F56" w:rsidP="00697095">
      <w:pPr>
        <w:spacing w:line="360" w:lineRule="auto"/>
        <w:jc w:val="both"/>
        <w:rPr>
          <w:rFonts w:ascii="Arial" w:hAnsi="Arial" w:cs="Arial"/>
        </w:rPr>
      </w:pPr>
    </w:p>
    <w:p w14:paraId="53CA8822" w14:textId="77777777" w:rsidR="004E6F56" w:rsidRPr="00697095" w:rsidRDefault="004E6F56" w:rsidP="00697095">
      <w:pPr>
        <w:spacing w:line="360" w:lineRule="auto"/>
        <w:jc w:val="both"/>
        <w:rPr>
          <w:rFonts w:ascii="Arial" w:hAnsi="Arial" w:cs="Arial"/>
        </w:rPr>
      </w:pPr>
    </w:p>
    <w:p w14:paraId="6284A063" w14:textId="77777777" w:rsidR="004E6F56" w:rsidRDefault="004E6F56" w:rsidP="00752C85"/>
    <w:p w14:paraId="34DD5EDA" w14:textId="77777777" w:rsidR="004E6F56" w:rsidRDefault="004E6F56" w:rsidP="00752C85"/>
    <w:p w14:paraId="2777B2A5" w14:textId="77777777" w:rsidR="00B36F88" w:rsidRPr="00AE279F" w:rsidRDefault="00B36F88" w:rsidP="00B36F88">
      <w:pPr>
        <w:rPr>
          <w:rFonts w:ascii="Arial" w:hAnsi="Arial" w:cs="Arial"/>
          <w:b/>
          <w:bCs/>
        </w:rPr>
      </w:pPr>
      <w:r w:rsidRPr="00AE279F">
        <w:rPr>
          <w:rFonts w:ascii="Arial" w:hAnsi="Arial" w:cs="Arial"/>
          <w:b/>
          <w:bCs/>
        </w:rPr>
        <w:t>References</w:t>
      </w:r>
    </w:p>
    <w:p w14:paraId="360D364A" w14:textId="77777777" w:rsidR="00B36F88" w:rsidRDefault="00B36F88" w:rsidP="00B36F88"/>
    <w:p w14:paraId="33E88043" w14:textId="77777777" w:rsidR="00B36F88" w:rsidRDefault="00B36F88" w:rsidP="00B36F88">
      <w:r>
        <w:t>Gibbs, G. (1988) Learning by Doing: A Guide to Teaching and Learning Methods. Oxford Polytechnic.</w:t>
      </w:r>
    </w:p>
    <w:p w14:paraId="798D59D6" w14:textId="77777777" w:rsidR="00B36F88" w:rsidRDefault="00B36F88" w:rsidP="00B36F88">
      <w:r>
        <w:t>Grant, A.M. (2017) ‘The third “generation” of workplace coaching: Creating a culture of quality conversations’, Coaching: An International Journal of Theory, Research and Practice, 10(1), pp. 37–53.</w:t>
      </w:r>
    </w:p>
    <w:p w14:paraId="3EBC5C3B" w14:textId="77777777" w:rsidR="00B36F88" w:rsidRDefault="00B36F88" w:rsidP="00B36F88">
      <w:r>
        <w:t>Cottrell, S. (2013) The Study Skills Handbook. Palgrave Macmillan.</w:t>
      </w:r>
    </w:p>
    <w:p w14:paraId="5B2B1614" w14:textId="77777777" w:rsidR="00B36F88" w:rsidRDefault="00B36F88" w:rsidP="00B36F88">
      <w:r>
        <w:t>Gibbs, G. (1988) Learning by Doing: A Guide to Teaching and Learning Methods. Oxford Polytechnic.</w:t>
      </w:r>
    </w:p>
    <w:p w14:paraId="1EFAE485" w14:textId="77777777" w:rsidR="00B36F88" w:rsidRDefault="00B36F88" w:rsidP="00B36F88">
      <w:r>
        <w:t>Grant, A.M. (2017) ‘The third “generation” of workplace coaching: Creating a culture of quality conversations’, Coaching: An International Journal of Theory, Research and Practice, 10(1), pp. 37–53.</w:t>
      </w:r>
    </w:p>
    <w:p w14:paraId="1A1D8155" w14:textId="77777777" w:rsidR="00B36F88" w:rsidRDefault="00B36F88" w:rsidP="00B36F88">
      <w:r>
        <w:t>Passmore, J. and Mortimer, C. (2011) Coaching in Organisations: Best Practice. Routledge.</w:t>
      </w:r>
    </w:p>
    <w:p w14:paraId="78F76A80" w14:textId="77777777" w:rsidR="00B36F88" w:rsidRDefault="00B36F88" w:rsidP="00B36F88">
      <w:r>
        <w:t>Schön, D.A. (1983) The Reflective Practitioner: How Professionals Think in Action. Basic Books.</w:t>
      </w:r>
    </w:p>
    <w:p w14:paraId="46BD9B6C" w14:textId="77777777" w:rsidR="00B36F88" w:rsidRDefault="00B36F88" w:rsidP="00B36F88">
      <w:r>
        <w:t>Cottrell, S. (2013) The Study Skills Handbook. Palgrave Macmillan.</w:t>
      </w:r>
    </w:p>
    <w:p w14:paraId="73005FDD" w14:textId="77777777" w:rsidR="00B36F88" w:rsidRDefault="00B36F88" w:rsidP="00B36F88">
      <w:r>
        <w:t>Gibbs, G. (1988) Learning by Doing: A Guide to Teaching and Learning Methods. Oxford Polytechnic.</w:t>
      </w:r>
    </w:p>
    <w:p w14:paraId="706A951F" w14:textId="77777777" w:rsidR="00B36F88" w:rsidRDefault="00B36F88" w:rsidP="00B36F88">
      <w:r>
        <w:t>Grant, A.M. (2017) ‘The third “generation” of workplace coaching: Creating a culture of quality conversations’, Coaching: An International Journal of Theory, Research and Practice, 10(1), pp. 37–53.</w:t>
      </w:r>
    </w:p>
    <w:p w14:paraId="43E7BF92" w14:textId="77777777" w:rsidR="00B36F88" w:rsidRDefault="00B36F88" w:rsidP="00B36F88">
      <w:r>
        <w:t>Passmore, J. and Mortimer, C. (2011) Coaching in Organisations: Best Practice. Routledge.</w:t>
      </w:r>
    </w:p>
    <w:p w14:paraId="2CAD20E0" w14:textId="77777777" w:rsidR="00B36F88" w:rsidRDefault="00B36F88" w:rsidP="00B36F88">
      <w:r>
        <w:t>Schön, D.A. (1983) The Reflective Practitioner: How Professionals Think in Action. Basic Books.</w:t>
      </w:r>
    </w:p>
    <w:p w14:paraId="08D30D3E" w14:textId="77777777" w:rsidR="00B36F88" w:rsidRDefault="00B36F88" w:rsidP="00B36F88">
      <w:r>
        <w:t>Cox, E. and Bachkirova, T. (2018) The Complete Handbook of Coaching. SAGE Publications.</w:t>
      </w:r>
    </w:p>
    <w:p w14:paraId="23AFAB2A" w14:textId="77777777" w:rsidR="00B36F88" w:rsidRDefault="00B36F88" w:rsidP="00B36F88">
      <w:r>
        <w:t>Garfield, C. (2019) ‘Critical Perspectives on Coaching Models’, Journal of Organizational Behavior, 40(2), pp. 155-170.</w:t>
      </w:r>
    </w:p>
    <w:p w14:paraId="2546211B" w14:textId="77777777" w:rsidR="00B36F88" w:rsidRDefault="00B36F88" w:rsidP="00B36F88">
      <w:r>
        <w:t>Grant, A.M. (2017) ‘The third “generation” of workplace coaching: Creating a culture of quality conversations’, Coaching: An International Journal of Theory, Research and Practice, 10(1), pp. 37-53.</w:t>
      </w:r>
    </w:p>
    <w:p w14:paraId="0E70E127" w14:textId="77777777" w:rsidR="00B36F88" w:rsidRDefault="00B36F88" w:rsidP="00B36F88">
      <w:r>
        <w:t>Passmore, J. and Mortimer, C. (2011) Coaching in Organisations: Best Practice. Routledge.</w:t>
      </w:r>
    </w:p>
    <w:p w14:paraId="1B7A4E91" w14:textId="77777777" w:rsidR="00B36F88" w:rsidRDefault="00B36F88" w:rsidP="00B36F88">
      <w:r>
        <w:t>Whitmore, J. (2009) Coaching for Performance: The Principles and Practice of Coaching and Leadership. Nicholas Brealey Publishing.</w:t>
      </w:r>
    </w:p>
    <w:p w14:paraId="3E24C966" w14:textId="77777777" w:rsidR="00B36F88" w:rsidRDefault="00B36F88" w:rsidP="00B36F88">
      <w:r>
        <w:t>CIPD (2018) Coaching and mentoring in the workplace. CIPD.</w:t>
      </w:r>
    </w:p>
    <w:p w14:paraId="244F14CA" w14:textId="77777777" w:rsidR="00B36F88" w:rsidRDefault="00B36F88" w:rsidP="00B36F88">
      <w:r>
        <w:t>Clutterbuck, D. (2014) Everyone Needs a Mentor: Fostering Talent in Your Organization. Chartered Institute of Personnel and Development.</w:t>
      </w:r>
    </w:p>
    <w:p w14:paraId="08DD4ED8" w14:textId="77777777" w:rsidR="00B36F88" w:rsidRDefault="00B36F88" w:rsidP="00B36F88">
      <w:r>
        <w:t>Feldman, D.C. and Lankau, M.J. (2005) ‘Executive coaching: A review and agenda for future research’, Journal of Management, 31(6), pp. 829-848.</w:t>
      </w:r>
    </w:p>
    <w:p w14:paraId="2D26768F" w14:textId="77777777" w:rsidR="00B36F88" w:rsidRDefault="00B36F88" w:rsidP="00B36F88">
      <w:r>
        <w:t>Grant, A.M. (2017) ‘The third “generation” of workplace coaching: Creating a culture of quality conversations’, Coaching: An International Journal of Theory, Research and Practice, 10(1), pp. 37-53.</w:t>
      </w:r>
    </w:p>
    <w:p w14:paraId="575D6E40" w14:textId="379F075E" w:rsidR="00EB29AD" w:rsidRDefault="00B36F88" w:rsidP="00B36F88">
      <w:r>
        <w:t>Passmore, J. and Mortimer, C. (2011) Coaching in Organisations: Best Practice. Routledge.</w:t>
      </w:r>
    </w:p>
    <w:sectPr w:rsidR="00EB2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F18"/>
    <w:rsid w:val="00023792"/>
    <w:rsid w:val="0002395F"/>
    <w:rsid w:val="0003668C"/>
    <w:rsid w:val="000406FC"/>
    <w:rsid w:val="000C2605"/>
    <w:rsid w:val="000D70BC"/>
    <w:rsid w:val="00165D31"/>
    <w:rsid w:val="0020435E"/>
    <w:rsid w:val="00320CA3"/>
    <w:rsid w:val="00325E73"/>
    <w:rsid w:val="00343BFD"/>
    <w:rsid w:val="00360C0F"/>
    <w:rsid w:val="003A5AD0"/>
    <w:rsid w:val="003B6C68"/>
    <w:rsid w:val="003C0C5E"/>
    <w:rsid w:val="003D1F0E"/>
    <w:rsid w:val="003D5055"/>
    <w:rsid w:val="003E619D"/>
    <w:rsid w:val="003F6163"/>
    <w:rsid w:val="004A6CC0"/>
    <w:rsid w:val="004E6F56"/>
    <w:rsid w:val="00505D63"/>
    <w:rsid w:val="00531C3A"/>
    <w:rsid w:val="005C4FE7"/>
    <w:rsid w:val="005D3C86"/>
    <w:rsid w:val="005E519F"/>
    <w:rsid w:val="00632379"/>
    <w:rsid w:val="0065729D"/>
    <w:rsid w:val="00664947"/>
    <w:rsid w:val="0067326E"/>
    <w:rsid w:val="00697095"/>
    <w:rsid w:val="006F5F18"/>
    <w:rsid w:val="00727489"/>
    <w:rsid w:val="00752C85"/>
    <w:rsid w:val="007A4128"/>
    <w:rsid w:val="007C74F7"/>
    <w:rsid w:val="007C7EB8"/>
    <w:rsid w:val="007E54A5"/>
    <w:rsid w:val="007F08C8"/>
    <w:rsid w:val="007F72E9"/>
    <w:rsid w:val="00812C90"/>
    <w:rsid w:val="00843922"/>
    <w:rsid w:val="00876476"/>
    <w:rsid w:val="008F73ED"/>
    <w:rsid w:val="00912817"/>
    <w:rsid w:val="0092619C"/>
    <w:rsid w:val="0094100E"/>
    <w:rsid w:val="009C47DA"/>
    <w:rsid w:val="009C717A"/>
    <w:rsid w:val="00A155B4"/>
    <w:rsid w:val="00A1723B"/>
    <w:rsid w:val="00A25ED3"/>
    <w:rsid w:val="00A36E1C"/>
    <w:rsid w:val="00A562BA"/>
    <w:rsid w:val="00A61604"/>
    <w:rsid w:val="00AE279F"/>
    <w:rsid w:val="00B078A3"/>
    <w:rsid w:val="00B1551A"/>
    <w:rsid w:val="00B36F88"/>
    <w:rsid w:val="00B72F45"/>
    <w:rsid w:val="00B97021"/>
    <w:rsid w:val="00BC6E61"/>
    <w:rsid w:val="00BD31CD"/>
    <w:rsid w:val="00BE252D"/>
    <w:rsid w:val="00C30894"/>
    <w:rsid w:val="00C30A4C"/>
    <w:rsid w:val="00C37F95"/>
    <w:rsid w:val="00CB7796"/>
    <w:rsid w:val="00D0129B"/>
    <w:rsid w:val="00DC2739"/>
    <w:rsid w:val="00DF6059"/>
    <w:rsid w:val="00E21570"/>
    <w:rsid w:val="00E34BDE"/>
    <w:rsid w:val="00E80C78"/>
    <w:rsid w:val="00EA5FFB"/>
    <w:rsid w:val="00EB29AD"/>
    <w:rsid w:val="00F87454"/>
    <w:rsid w:val="00F90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0F83"/>
  <w15:chartTrackingRefBased/>
  <w15:docId w15:val="{36A33281-E7E7-43E0-AF99-A3A42D79A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F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5F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5F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5F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5F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5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F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5F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5F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5F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5F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5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F18"/>
    <w:rPr>
      <w:rFonts w:eastAsiaTheme="majorEastAsia" w:cstheme="majorBidi"/>
      <w:color w:val="272727" w:themeColor="text1" w:themeTint="D8"/>
    </w:rPr>
  </w:style>
  <w:style w:type="paragraph" w:styleId="Title">
    <w:name w:val="Title"/>
    <w:basedOn w:val="Normal"/>
    <w:next w:val="Normal"/>
    <w:link w:val="TitleChar"/>
    <w:uiPriority w:val="10"/>
    <w:qFormat/>
    <w:rsid w:val="006F5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F18"/>
    <w:pPr>
      <w:spacing w:before="160"/>
      <w:jc w:val="center"/>
    </w:pPr>
    <w:rPr>
      <w:i/>
      <w:iCs/>
      <w:color w:val="404040" w:themeColor="text1" w:themeTint="BF"/>
    </w:rPr>
  </w:style>
  <w:style w:type="character" w:customStyle="1" w:styleId="QuoteChar">
    <w:name w:val="Quote Char"/>
    <w:basedOn w:val="DefaultParagraphFont"/>
    <w:link w:val="Quote"/>
    <w:uiPriority w:val="29"/>
    <w:rsid w:val="006F5F18"/>
    <w:rPr>
      <w:i/>
      <w:iCs/>
      <w:color w:val="404040" w:themeColor="text1" w:themeTint="BF"/>
    </w:rPr>
  </w:style>
  <w:style w:type="paragraph" w:styleId="ListParagraph">
    <w:name w:val="List Paragraph"/>
    <w:basedOn w:val="Normal"/>
    <w:uiPriority w:val="34"/>
    <w:qFormat/>
    <w:rsid w:val="006F5F18"/>
    <w:pPr>
      <w:ind w:left="720"/>
      <w:contextualSpacing/>
    </w:pPr>
  </w:style>
  <w:style w:type="character" w:styleId="IntenseEmphasis">
    <w:name w:val="Intense Emphasis"/>
    <w:basedOn w:val="DefaultParagraphFont"/>
    <w:uiPriority w:val="21"/>
    <w:qFormat/>
    <w:rsid w:val="006F5F18"/>
    <w:rPr>
      <w:i/>
      <w:iCs/>
      <w:color w:val="2F5496" w:themeColor="accent1" w:themeShade="BF"/>
    </w:rPr>
  </w:style>
  <w:style w:type="paragraph" w:styleId="IntenseQuote">
    <w:name w:val="Intense Quote"/>
    <w:basedOn w:val="Normal"/>
    <w:next w:val="Normal"/>
    <w:link w:val="IntenseQuoteChar"/>
    <w:uiPriority w:val="30"/>
    <w:qFormat/>
    <w:rsid w:val="006F5F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5F18"/>
    <w:rPr>
      <w:i/>
      <w:iCs/>
      <w:color w:val="2F5496" w:themeColor="accent1" w:themeShade="BF"/>
    </w:rPr>
  </w:style>
  <w:style w:type="character" w:styleId="IntenseReference">
    <w:name w:val="Intense Reference"/>
    <w:basedOn w:val="DefaultParagraphFont"/>
    <w:uiPriority w:val="32"/>
    <w:qFormat/>
    <w:rsid w:val="006F5F18"/>
    <w:rPr>
      <w:b/>
      <w:bCs/>
      <w:smallCaps/>
      <w:color w:val="2F5496" w:themeColor="accent1" w:themeShade="BF"/>
      <w:spacing w:val="5"/>
    </w:rPr>
  </w:style>
  <w:style w:type="table" w:styleId="TableGrid">
    <w:name w:val="Table Grid"/>
    <w:basedOn w:val="TableNormal"/>
    <w:uiPriority w:val="39"/>
    <w:rsid w:val="00BD3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12</Pages>
  <Words>3421</Words>
  <Characters>19500</Characters>
  <Application>Microsoft Office Word</Application>
  <DocSecurity>0</DocSecurity>
  <Lines>162</Lines>
  <Paragraphs>45</Paragraphs>
  <ScaleCrop>false</ScaleCrop>
  <Company/>
  <LinksUpToDate>false</LinksUpToDate>
  <CharactersWithSpaces>22876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74</cp:revision>
  <dcterms:created xsi:type="dcterms:W3CDTF">2025-02-19T10:26:00Z</dcterms:created>
  <dcterms:modified xsi:type="dcterms:W3CDTF">2025-02-19T18:24:00Z</dcterms:modified>
</cp:coreProperties>
</file>