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475D84"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bookmarkStart w:id="0" w:name="_GoBack"/>
    </w:p>
    <w:p w14:paraId="23DB5883"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r w:rsidRPr="00DB2387">
        <w:rPr>
          <w:rFonts w:ascii="Arial" w:hAnsi="Arial" w:cs="Arial"/>
          <w:noProof/>
          <w:color w:val="000000" w:themeColor="text1"/>
          <w:sz w:val="24"/>
          <w:szCs w:val="24"/>
        </w:rPr>
        <w:drawing>
          <wp:anchor distT="0" distB="0" distL="114300" distR="114300" simplePos="0" relativeHeight="251659264" behindDoc="0" locked="0" layoutInCell="1" allowOverlap="1" wp14:anchorId="02FAC2EE" wp14:editId="6914D038">
            <wp:simplePos x="0" y="0"/>
            <wp:positionH relativeFrom="column">
              <wp:posOffset>0</wp:posOffset>
            </wp:positionH>
            <wp:positionV relativeFrom="paragraph">
              <wp:posOffset>242570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DF5EFA"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044B57F1"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59797817"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2400E565"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516D21C4"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62B54061"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2DDDD363" w14:textId="4DAEE42D" w:rsidR="00D60172" w:rsidRDefault="00D60172" w:rsidP="00D60172">
      <w:pPr>
        <w:widowControl w:val="0"/>
        <w:tabs>
          <w:tab w:val="left" w:pos="941"/>
          <w:tab w:val="center" w:pos="4968"/>
          <w:tab w:val="left" w:pos="6810"/>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Programme Name: </w:t>
      </w:r>
      <w:r w:rsidR="0056327E">
        <w:rPr>
          <w:rFonts w:ascii="Arial" w:hAnsi="Arial" w:cs="Arial"/>
          <w:b/>
          <w:bCs/>
          <w:color w:val="000000" w:themeColor="text1"/>
          <w:sz w:val="24"/>
          <w:szCs w:val="24"/>
        </w:rPr>
        <w:t>MBA INTERNATIONAL BUSINESS</w:t>
      </w:r>
    </w:p>
    <w:p w14:paraId="32033C21" w14:textId="09B8E00B"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Module Name: </w:t>
      </w:r>
      <w:r w:rsidR="0056327E">
        <w:rPr>
          <w:rFonts w:ascii="Arial" w:hAnsi="Arial" w:cs="Arial"/>
          <w:b/>
          <w:bCs/>
          <w:color w:val="000000" w:themeColor="text1"/>
          <w:sz w:val="24"/>
          <w:szCs w:val="24"/>
        </w:rPr>
        <w:t xml:space="preserve">MARKETING MANAGEMENT </w:t>
      </w:r>
    </w:p>
    <w:p w14:paraId="41269C8C" w14:textId="40F62902"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Module Code: LCMB7024</w:t>
      </w:r>
    </w:p>
    <w:p w14:paraId="0150898B" w14:textId="1F311776"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Title: </w:t>
      </w:r>
      <w:r w:rsidR="0056327E">
        <w:rPr>
          <w:rFonts w:ascii="Arial" w:hAnsi="Arial" w:cs="Arial"/>
          <w:b/>
          <w:bCs/>
          <w:color w:val="000000" w:themeColor="text1"/>
          <w:sz w:val="24"/>
          <w:szCs w:val="24"/>
        </w:rPr>
        <w:t>ASSIGNMENT COMPONENT 1: INDIVIDUAL REPORT</w:t>
      </w:r>
    </w:p>
    <w:p w14:paraId="09B95571" w14:textId="72220920"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Lecturer's Name: </w:t>
      </w:r>
      <w:r w:rsidR="0056327E">
        <w:rPr>
          <w:rFonts w:ascii="Arial" w:hAnsi="Arial" w:cs="Arial"/>
          <w:b/>
          <w:bCs/>
          <w:color w:val="000000" w:themeColor="text1"/>
          <w:sz w:val="24"/>
          <w:szCs w:val="24"/>
        </w:rPr>
        <w:t>TAONGA KAONGA SOBERE SNITHERS</w:t>
      </w:r>
    </w:p>
    <w:p w14:paraId="260F8F85" w14:textId="2D450954"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Student’s Name: </w:t>
      </w:r>
      <w:r w:rsidR="0056327E">
        <w:rPr>
          <w:rFonts w:ascii="Arial" w:hAnsi="Arial" w:cs="Arial"/>
          <w:b/>
          <w:bCs/>
          <w:color w:val="000000" w:themeColor="text1"/>
          <w:sz w:val="24"/>
          <w:szCs w:val="24"/>
        </w:rPr>
        <w:t>URMILA CHANABHAI KADEGIYA</w:t>
      </w:r>
    </w:p>
    <w:p w14:paraId="3E019A86" w14:textId="77777777" w:rsidR="00D60172" w:rsidRDefault="00D60172" w:rsidP="00D60172">
      <w:pPr>
        <w:widowControl w:val="0"/>
        <w:tabs>
          <w:tab w:val="left" w:pos="941"/>
        </w:tabs>
        <w:spacing w:after="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Student ID: 2613423</w:t>
      </w:r>
    </w:p>
    <w:p w14:paraId="5E91E786" w14:textId="0524C5EA" w:rsidR="00D60172" w:rsidRDefault="00D60172" w:rsidP="00D60172">
      <w:pPr>
        <w:widowControl w:val="0"/>
        <w:tabs>
          <w:tab w:val="left" w:pos="941"/>
        </w:tabs>
        <w:spacing w:after="0" w:line="360" w:lineRule="auto"/>
        <w:jc w:val="center"/>
        <w:rPr>
          <w:rFonts w:ascii="Arial" w:hAnsi="Arial" w:cs="Arial"/>
          <w:color w:val="000000" w:themeColor="text1"/>
          <w:sz w:val="24"/>
          <w:szCs w:val="24"/>
        </w:rPr>
      </w:pPr>
      <w:r>
        <w:rPr>
          <w:rFonts w:ascii="Arial" w:hAnsi="Arial" w:cs="Arial"/>
          <w:b/>
          <w:bCs/>
          <w:color w:val="000000" w:themeColor="text1"/>
          <w:sz w:val="24"/>
          <w:szCs w:val="24"/>
        </w:rPr>
        <w:t>Final Word Count: 2553</w:t>
      </w:r>
    </w:p>
    <w:p w14:paraId="5E73C3D2" w14:textId="77777777" w:rsidR="00CC1F76" w:rsidRPr="00DB2387" w:rsidRDefault="00CC1F76" w:rsidP="00DB2387">
      <w:pPr>
        <w:widowControl w:val="0"/>
        <w:tabs>
          <w:tab w:val="left" w:pos="940"/>
          <w:tab w:val="left" w:pos="941"/>
        </w:tabs>
        <w:spacing w:after="0" w:line="360" w:lineRule="auto"/>
        <w:jc w:val="center"/>
        <w:rPr>
          <w:rFonts w:ascii="Arial" w:hAnsi="Arial" w:cs="Arial"/>
          <w:b/>
          <w:bCs/>
          <w:color w:val="000000" w:themeColor="text1"/>
          <w:sz w:val="24"/>
          <w:szCs w:val="24"/>
        </w:rPr>
      </w:pPr>
    </w:p>
    <w:p w14:paraId="0F4790B7" w14:textId="77777777" w:rsidR="00CC1F76" w:rsidRPr="00DB2387" w:rsidRDefault="00CC1F76" w:rsidP="00DB2387">
      <w:pPr>
        <w:spacing w:after="200" w:line="360" w:lineRule="auto"/>
        <w:jc w:val="center"/>
        <w:rPr>
          <w:rFonts w:ascii="Arial" w:hAnsi="Arial" w:cs="Arial"/>
          <w:b/>
          <w:bCs/>
          <w:color w:val="000000" w:themeColor="text1"/>
          <w:sz w:val="24"/>
          <w:szCs w:val="24"/>
        </w:rPr>
      </w:pPr>
      <w:r w:rsidRPr="00DB2387">
        <w:rPr>
          <w:rFonts w:ascii="Arial" w:hAnsi="Arial" w:cs="Arial"/>
          <w:b/>
          <w:bCs/>
          <w:color w:val="000000" w:themeColor="text1"/>
          <w:sz w:val="24"/>
          <w:szCs w:val="24"/>
        </w:rPr>
        <w:br w:type="page"/>
      </w:r>
    </w:p>
    <w:p w14:paraId="7CD99ED8" w14:textId="45ACBFD1" w:rsidR="00CC1F76" w:rsidRPr="00DB2387" w:rsidRDefault="00CC1F76" w:rsidP="00DB2387">
      <w:pPr>
        <w:spacing w:line="360" w:lineRule="auto"/>
        <w:jc w:val="both"/>
        <w:rPr>
          <w:rFonts w:ascii="Arial" w:hAnsi="Arial" w:cs="Arial"/>
          <w:b/>
          <w:bCs/>
          <w:color w:val="000000" w:themeColor="text1"/>
          <w:sz w:val="24"/>
          <w:szCs w:val="24"/>
        </w:rPr>
      </w:pPr>
      <w:r w:rsidRPr="00DB2387">
        <w:rPr>
          <w:rFonts w:ascii="Arial" w:hAnsi="Arial" w:cs="Arial"/>
          <w:b/>
          <w:bCs/>
          <w:color w:val="000000" w:themeColor="text1"/>
          <w:sz w:val="24"/>
          <w:szCs w:val="24"/>
        </w:rPr>
        <w:lastRenderedPageBreak/>
        <w:t xml:space="preserve">Table of Contents </w:t>
      </w:r>
    </w:p>
    <w:p w14:paraId="69FD71A7" w14:textId="6330496B" w:rsidR="00DB2387" w:rsidRPr="00DB2387" w:rsidRDefault="000F210B"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r w:rsidRPr="00DB2387">
        <w:rPr>
          <w:rFonts w:ascii="Arial" w:hAnsi="Arial" w:cs="Arial"/>
          <w:b/>
          <w:bCs/>
          <w:color w:val="000000" w:themeColor="text1"/>
          <w:sz w:val="24"/>
          <w:szCs w:val="24"/>
        </w:rPr>
        <w:fldChar w:fldCharType="begin"/>
      </w:r>
      <w:r w:rsidRPr="00DB2387">
        <w:rPr>
          <w:rFonts w:ascii="Arial" w:hAnsi="Arial" w:cs="Arial"/>
          <w:b/>
          <w:bCs/>
          <w:color w:val="000000" w:themeColor="text1"/>
          <w:sz w:val="24"/>
          <w:szCs w:val="24"/>
        </w:rPr>
        <w:instrText xml:space="preserve"> TOC \o "1-2" \h \z \u </w:instrText>
      </w:r>
      <w:r w:rsidRPr="00DB2387">
        <w:rPr>
          <w:rFonts w:ascii="Arial" w:hAnsi="Arial" w:cs="Arial"/>
          <w:b/>
          <w:bCs/>
          <w:color w:val="000000" w:themeColor="text1"/>
          <w:sz w:val="24"/>
          <w:szCs w:val="24"/>
        </w:rPr>
        <w:fldChar w:fldCharType="separate"/>
      </w:r>
      <w:hyperlink w:anchor="_Toc243428009" w:history="1">
        <w:r w:rsidR="00DB2387" w:rsidRPr="00DB2387">
          <w:rPr>
            <w:rStyle w:val="Hyperlink"/>
            <w:rFonts w:ascii="Arial" w:hAnsi="Arial" w:cs="Arial"/>
            <w:noProof/>
            <w:color w:val="000000" w:themeColor="text1"/>
            <w:sz w:val="24"/>
            <w:szCs w:val="24"/>
          </w:rPr>
          <w:t>Introduction</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_Toc243428009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3</w:t>
        </w:r>
        <w:r w:rsidR="00DB2387" w:rsidRPr="00DB2387">
          <w:rPr>
            <w:rFonts w:ascii="Arial" w:hAnsi="Arial" w:cs="Arial"/>
            <w:noProof/>
            <w:webHidden/>
            <w:color w:val="000000" w:themeColor="text1"/>
            <w:sz w:val="24"/>
            <w:szCs w:val="24"/>
          </w:rPr>
          <w:fldChar w:fldCharType="end"/>
        </w:r>
      </w:hyperlink>
    </w:p>
    <w:p w14:paraId="3AFDF47A" w14:textId="3D5C5324" w:rsidR="00DB2387" w:rsidRPr="00DB2387" w:rsidRDefault="00483A0D"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0" w:history="1">
        <w:r w:rsidR="00DB2387" w:rsidRPr="00DB2387">
          <w:rPr>
            <w:rStyle w:val="Hyperlink"/>
            <w:rFonts w:ascii="Arial" w:hAnsi="Arial" w:cs="Arial"/>
            <w:noProof/>
            <w:color w:val="000000" w:themeColor="text1"/>
            <w:sz w:val="24"/>
            <w:szCs w:val="24"/>
          </w:rPr>
          <w:t>Task 1: Marketing Environment Analysis</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_Toc243428010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3</w:t>
        </w:r>
        <w:r w:rsidR="00DB2387" w:rsidRPr="00DB2387">
          <w:rPr>
            <w:rFonts w:ascii="Arial" w:hAnsi="Arial" w:cs="Arial"/>
            <w:noProof/>
            <w:webHidden/>
            <w:color w:val="000000" w:themeColor="text1"/>
            <w:sz w:val="24"/>
            <w:szCs w:val="24"/>
          </w:rPr>
          <w:fldChar w:fldCharType="end"/>
        </w:r>
      </w:hyperlink>
    </w:p>
    <w:p w14:paraId="3B98B9DF" w14:textId="69BA5AB0"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1" w:history="1">
        <w:r w:rsidR="00DB2387" w:rsidRPr="00DB2387">
          <w:rPr>
            <w:rStyle w:val="Hyperlink"/>
            <w:rFonts w:ascii="Arial" w:hAnsi="Arial" w:cs="Arial"/>
            <w:noProof/>
            <w:color w:val="000000" w:themeColor="text1"/>
            <w:sz w:val="24"/>
            <w:szCs w:val="24"/>
          </w:rPr>
          <w:t>1.1 Rio Tinto’s Strategic Position</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_Toc243428011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3</w:t>
        </w:r>
        <w:r w:rsidR="00DB2387" w:rsidRPr="00DB2387">
          <w:rPr>
            <w:rFonts w:ascii="Arial" w:hAnsi="Arial" w:cs="Arial"/>
            <w:noProof/>
            <w:webHidden/>
            <w:color w:val="000000" w:themeColor="text1"/>
            <w:sz w:val="24"/>
            <w:szCs w:val="24"/>
          </w:rPr>
          <w:fldChar w:fldCharType="end"/>
        </w:r>
      </w:hyperlink>
    </w:p>
    <w:p w14:paraId="6D1F79C6" w14:textId="0BA8402E"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2" w:history="1">
        <w:r w:rsidR="00DB2387" w:rsidRPr="00DB2387">
          <w:rPr>
            <w:rStyle w:val="Hyperlink"/>
            <w:rFonts w:ascii="Arial" w:hAnsi="Arial" w:cs="Arial"/>
            <w:noProof/>
            <w:color w:val="000000" w:themeColor="text1"/>
            <w:sz w:val="24"/>
            <w:szCs w:val="24"/>
          </w:rPr>
          <w:t>1.2 External Actor 1: Natural Environment</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_Toc243428012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3</w:t>
        </w:r>
        <w:r w:rsidR="00DB2387" w:rsidRPr="00DB2387">
          <w:rPr>
            <w:rFonts w:ascii="Arial" w:hAnsi="Arial" w:cs="Arial"/>
            <w:noProof/>
            <w:webHidden/>
            <w:color w:val="000000" w:themeColor="text1"/>
            <w:sz w:val="24"/>
            <w:szCs w:val="24"/>
          </w:rPr>
          <w:fldChar w:fldCharType="end"/>
        </w:r>
      </w:hyperlink>
    </w:p>
    <w:p w14:paraId="6B8F91FF" w14:textId="78A39507"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3" w:history="1">
        <w:r w:rsidR="00DB2387" w:rsidRPr="00DB2387">
          <w:rPr>
            <w:rStyle w:val="Hyperlink"/>
            <w:rFonts w:ascii="Arial" w:hAnsi="Arial" w:cs="Arial"/>
            <w:noProof/>
            <w:color w:val="000000" w:themeColor="text1"/>
            <w:sz w:val="24"/>
            <w:szCs w:val="24"/>
          </w:rPr>
          <w:t>1.3 External Actor 2: Political Environment</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_Toc243428013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5</w:t>
        </w:r>
        <w:r w:rsidR="00DB2387" w:rsidRPr="00DB2387">
          <w:rPr>
            <w:rFonts w:ascii="Arial" w:hAnsi="Arial" w:cs="Arial"/>
            <w:noProof/>
            <w:webHidden/>
            <w:color w:val="000000" w:themeColor="text1"/>
            <w:sz w:val="24"/>
            <w:szCs w:val="24"/>
          </w:rPr>
          <w:fldChar w:fldCharType="end"/>
        </w:r>
      </w:hyperlink>
    </w:p>
    <w:p w14:paraId="7DE0C138" w14:textId="2D23AE12"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4" w:history="1">
        <w:r w:rsidR="00DB2387" w:rsidRPr="00DB2387">
          <w:rPr>
            <w:rStyle w:val="Hyperlink"/>
            <w:rFonts w:ascii="Arial" w:hAnsi="Arial" w:cs="Arial"/>
            <w:noProof/>
            <w:color w:val="000000" w:themeColor="text1"/>
            <w:sz w:val="24"/>
            <w:szCs w:val="24"/>
          </w:rPr>
          <w:t>1.4 External Actor 3: Technological Environment</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_Toc243428014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5</w:t>
        </w:r>
        <w:r w:rsidR="00DB2387" w:rsidRPr="00DB2387">
          <w:rPr>
            <w:rFonts w:ascii="Arial" w:hAnsi="Arial" w:cs="Arial"/>
            <w:noProof/>
            <w:webHidden/>
            <w:color w:val="000000" w:themeColor="text1"/>
            <w:sz w:val="24"/>
            <w:szCs w:val="24"/>
          </w:rPr>
          <w:fldChar w:fldCharType="end"/>
        </w:r>
      </w:hyperlink>
    </w:p>
    <w:p w14:paraId="32617C9A" w14:textId="5517A20B"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5" w:history="1">
        <w:r w:rsidR="00DB2387" w:rsidRPr="00DB2387">
          <w:rPr>
            <w:rStyle w:val="Hyperlink"/>
            <w:rFonts w:ascii="Arial" w:hAnsi="Arial" w:cs="Arial"/>
            <w:noProof/>
            <w:color w:val="000000" w:themeColor="text1"/>
            <w:sz w:val="24"/>
            <w:szCs w:val="24"/>
          </w:rPr>
          <w:t>1.5 Integrated Environmental Assessment</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_Toc243428015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6</w:t>
        </w:r>
        <w:r w:rsidR="00DB2387" w:rsidRPr="00DB2387">
          <w:rPr>
            <w:rFonts w:ascii="Arial" w:hAnsi="Arial" w:cs="Arial"/>
            <w:noProof/>
            <w:webHidden/>
            <w:color w:val="000000" w:themeColor="text1"/>
            <w:sz w:val="24"/>
            <w:szCs w:val="24"/>
          </w:rPr>
          <w:fldChar w:fldCharType="end"/>
        </w:r>
      </w:hyperlink>
    </w:p>
    <w:p w14:paraId="60F5F224" w14:textId="393378BB" w:rsidR="00DB2387" w:rsidRPr="00DB2387" w:rsidRDefault="00483A0D"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6" w:history="1">
        <w:r w:rsidR="00DB2387" w:rsidRPr="00DB2387">
          <w:rPr>
            <w:rStyle w:val="Hyperlink"/>
            <w:rFonts w:ascii="Arial" w:hAnsi="Arial" w:cs="Arial"/>
            <w:noProof/>
            <w:color w:val="000000" w:themeColor="text1"/>
            <w:sz w:val="24"/>
            <w:szCs w:val="24"/>
          </w:rPr>
          <w:t>Task 2: Strategic Growth and Competitive Positioning</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_Toc243428016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6</w:t>
        </w:r>
        <w:r w:rsidR="00DB2387" w:rsidRPr="00DB2387">
          <w:rPr>
            <w:rFonts w:ascii="Arial" w:hAnsi="Arial" w:cs="Arial"/>
            <w:noProof/>
            <w:webHidden/>
            <w:color w:val="000000" w:themeColor="text1"/>
            <w:sz w:val="24"/>
            <w:szCs w:val="24"/>
          </w:rPr>
          <w:fldChar w:fldCharType="end"/>
        </w:r>
      </w:hyperlink>
    </w:p>
    <w:p w14:paraId="565732E2" w14:textId="7938EE74"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7" w:history="1">
        <w:r w:rsidR="00DB2387" w:rsidRPr="00DB2387">
          <w:rPr>
            <w:rStyle w:val="Hyperlink"/>
            <w:rFonts w:ascii="Arial" w:hAnsi="Arial" w:cs="Arial"/>
            <w:noProof/>
            <w:color w:val="000000" w:themeColor="text1"/>
            <w:sz w:val="24"/>
            <w:szCs w:val="24"/>
          </w:rPr>
          <w:t>2.1 Ansoff Matrix</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_Toc243428017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6</w:t>
        </w:r>
        <w:r w:rsidR="00DB2387" w:rsidRPr="00DB2387">
          <w:rPr>
            <w:rFonts w:ascii="Arial" w:hAnsi="Arial" w:cs="Arial"/>
            <w:noProof/>
            <w:webHidden/>
            <w:color w:val="000000" w:themeColor="text1"/>
            <w:sz w:val="24"/>
            <w:szCs w:val="24"/>
          </w:rPr>
          <w:fldChar w:fldCharType="end"/>
        </w:r>
      </w:hyperlink>
    </w:p>
    <w:p w14:paraId="6A47DFD7" w14:textId="3FEA5033"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8" w:history="1">
        <w:r w:rsidR="00DB2387" w:rsidRPr="00DB2387">
          <w:rPr>
            <w:rStyle w:val="Hyperlink"/>
            <w:rFonts w:ascii="Arial" w:hAnsi="Arial" w:cs="Arial"/>
            <w:noProof/>
            <w:color w:val="000000" w:themeColor="text1"/>
            <w:sz w:val="24"/>
            <w:szCs w:val="24"/>
          </w:rPr>
          <w:t>2.2 Recommended Growth Strategy: Verified Low-Carbon Product Development</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_Toc243428018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7</w:t>
        </w:r>
        <w:r w:rsidR="00DB2387" w:rsidRPr="00DB2387">
          <w:rPr>
            <w:rFonts w:ascii="Arial" w:hAnsi="Arial" w:cs="Arial"/>
            <w:noProof/>
            <w:webHidden/>
            <w:color w:val="000000" w:themeColor="text1"/>
            <w:sz w:val="24"/>
            <w:szCs w:val="24"/>
          </w:rPr>
          <w:fldChar w:fldCharType="end"/>
        </w:r>
      </w:hyperlink>
    </w:p>
    <w:p w14:paraId="62632FD8" w14:textId="5921141F"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19" w:history="1">
        <w:r w:rsidR="00DB2387" w:rsidRPr="00DB2387">
          <w:rPr>
            <w:rStyle w:val="Hyperlink"/>
            <w:rFonts w:ascii="Arial" w:hAnsi="Arial" w:cs="Arial"/>
            <w:noProof/>
            <w:color w:val="000000" w:themeColor="text1"/>
            <w:sz w:val="24"/>
            <w:szCs w:val="24"/>
          </w:rPr>
          <w:t>2.3 Market Development and Competitive Positioning</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_Toc243428019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8</w:t>
        </w:r>
        <w:r w:rsidR="00DB2387" w:rsidRPr="00DB2387">
          <w:rPr>
            <w:rFonts w:ascii="Arial" w:hAnsi="Arial" w:cs="Arial"/>
            <w:noProof/>
            <w:webHidden/>
            <w:color w:val="000000" w:themeColor="text1"/>
            <w:sz w:val="24"/>
            <w:szCs w:val="24"/>
          </w:rPr>
          <w:fldChar w:fldCharType="end"/>
        </w:r>
      </w:hyperlink>
    </w:p>
    <w:p w14:paraId="122F4B29" w14:textId="5B9DF2A4" w:rsidR="00DB2387" w:rsidRPr="00DB2387" w:rsidRDefault="00483A0D"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0" w:history="1">
        <w:r w:rsidR="00DB2387" w:rsidRPr="00DB2387">
          <w:rPr>
            <w:rStyle w:val="Hyperlink"/>
            <w:rFonts w:ascii="Arial" w:hAnsi="Arial" w:cs="Arial"/>
            <w:noProof/>
            <w:color w:val="000000" w:themeColor="text1"/>
            <w:sz w:val="24"/>
            <w:szCs w:val="24"/>
          </w:rPr>
          <w:t>Task 3: Managerial and Professional Reflection</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_Toc243428020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9</w:t>
        </w:r>
        <w:r w:rsidR="00DB2387" w:rsidRPr="00DB2387">
          <w:rPr>
            <w:rFonts w:ascii="Arial" w:hAnsi="Arial" w:cs="Arial"/>
            <w:noProof/>
            <w:webHidden/>
            <w:color w:val="000000" w:themeColor="text1"/>
            <w:sz w:val="24"/>
            <w:szCs w:val="24"/>
          </w:rPr>
          <w:fldChar w:fldCharType="end"/>
        </w:r>
      </w:hyperlink>
    </w:p>
    <w:p w14:paraId="3B6327A1" w14:textId="22DD6403"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1" w:history="1">
        <w:r w:rsidR="00DB2387" w:rsidRPr="00DB2387">
          <w:rPr>
            <w:rStyle w:val="Hyperlink"/>
            <w:rFonts w:ascii="Arial" w:hAnsi="Arial" w:cs="Arial"/>
            <w:noProof/>
            <w:color w:val="000000" w:themeColor="text1"/>
            <w:sz w:val="24"/>
            <w:szCs w:val="24"/>
          </w:rPr>
          <w:t>3.1 Rationale for Selecting Rio Tinto</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_Toc243428021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9</w:t>
        </w:r>
        <w:r w:rsidR="00DB2387" w:rsidRPr="00DB2387">
          <w:rPr>
            <w:rFonts w:ascii="Arial" w:hAnsi="Arial" w:cs="Arial"/>
            <w:noProof/>
            <w:webHidden/>
            <w:color w:val="000000" w:themeColor="text1"/>
            <w:sz w:val="24"/>
            <w:szCs w:val="24"/>
          </w:rPr>
          <w:fldChar w:fldCharType="end"/>
        </w:r>
      </w:hyperlink>
    </w:p>
    <w:p w14:paraId="65F42D1E" w14:textId="56118659"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2" w:history="1">
        <w:r w:rsidR="00DB2387" w:rsidRPr="00DB2387">
          <w:rPr>
            <w:rStyle w:val="Hyperlink"/>
            <w:rFonts w:ascii="Arial" w:hAnsi="Arial" w:cs="Arial"/>
            <w:noProof/>
            <w:color w:val="000000" w:themeColor="text1"/>
            <w:sz w:val="24"/>
            <w:szCs w:val="24"/>
          </w:rPr>
          <w:t>3.2 Rationale for Selecting the External Actors</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_Toc243428022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9</w:t>
        </w:r>
        <w:r w:rsidR="00DB2387" w:rsidRPr="00DB2387">
          <w:rPr>
            <w:rFonts w:ascii="Arial" w:hAnsi="Arial" w:cs="Arial"/>
            <w:noProof/>
            <w:webHidden/>
            <w:color w:val="000000" w:themeColor="text1"/>
            <w:sz w:val="24"/>
            <w:szCs w:val="24"/>
          </w:rPr>
          <w:fldChar w:fldCharType="end"/>
        </w:r>
      </w:hyperlink>
    </w:p>
    <w:p w14:paraId="6373CBBC" w14:textId="5721903B"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3" w:history="1">
        <w:r w:rsidR="00DB2387" w:rsidRPr="00DB2387">
          <w:rPr>
            <w:rStyle w:val="Hyperlink"/>
            <w:rFonts w:ascii="Arial" w:hAnsi="Arial" w:cs="Arial"/>
            <w:noProof/>
            <w:color w:val="000000" w:themeColor="text1"/>
            <w:sz w:val="24"/>
            <w:szCs w:val="24"/>
          </w:rPr>
          <w:t>3.3 Reflection on the Strategic Recommendation</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_Toc243428023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9</w:t>
        </w:r>
        <w:r w:rsidR="00DB2387" w:rsidRPr="00DB2387">
          <w:rPr>
            <w:rFonts w:ascii="Arial" w:hAnsi="Arial" w:cs="Arial"/>
            <w:noProof/>
            <w:webHidden/>
            <w:color w:val="000000" w:themeColor="text1"/>
            <w:sz w:val="24"/>
            <w:szCs w:val="24"/>
          </w:rPr>
          <w:fldChar w:fldCharType="end"/>
        </w:r>
      </w:hyperlink>
    </w:p>
    <w:p w14:paraId="6C5BE474" w14:textId="4A41F39A" w:rsidR="00DB2387" w:rsidRPr="00DB2387" w:rsidRDefault="00483A0D" w:rsidP="00DB2387">
      <w:pPr>
        <w:pStyle w:val="TOC2"/>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4" w:history="1">
        <w:r w:rsidR="00DB2387" w:rsidRPr="00DB2387">
          <w:rPr>
            <w:rStyle w:val="Hyperlink"/>
            <w:rFonts w:ascii="Arial" w:hAnsi="Arial" w:cs="Arial"/>
            <w:noProof/>
            <w:color w:val="000000" w:themeColor="text1"/>
            <w:sz w:val="24"/>
            <w:szCs w:val="24"/>
          </w:rPr>
          <w:t>3.4 Limitations and Additional Information Required</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_Toc243428024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10</w:t>
        </w:r>
        <w:r w:rsidR="00DB2387" w:rsidRPr="00DB2387">
          <w:rPr>
            <w:rFonts w:ascii="Arial" w:hAnsi="Arial" w:cs="Arial"/>
            <w:noProof/>
            <w:webHidden/>
            <w:color w:val="000000" w:themeColor="text1"/>
            <w:sz w:val="24"/>
            <w:szCs w:val="24"/>
          </w:rPr>
          <w:fldChar w:fldCharType="end"/>
        </w:r>
      </w:hyperlink>
    </w:p>
    <w:p w14:paraId="1C582B55" w14:textId="18D6C636" w:rsidR="00DB2387" w:rsidRPr="00DB2387" w:rsidRDefault="00483A0D"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5" w:history="1">
        <w:r w:rsidR="00DB2387" w:rsidRPr="00DB2387">
          <w:rPr>
            <w:rStyle w:val="Hyperlink"/>
            <w:rFonts w:ascii="Arial" w:hAnsi="Arial" w:cs="Arial"/>
            <w:noProof/>
            <w:color w:val="000000" w:themeColor="text1"/>
            <w:sz w:val="24"/>
            <w:szCs w:val="24"/>
          </w:rPr>
          <w:t>Conclusion</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_Toc243428025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10</w:t>
        </w:r>
        <w:r w:rsidR="00DB2387" w:rsidRPr="00DB2387">
          <w:rPr>
            <w:rFonts w:ascii="Arial" w:hAnsi="Arial" w:cs="Arial"/>
            <w:noProof/>
            <w:webHidden/>
            <w:color w:val="000000" w:themeColor="text1"/>
            <w:sz w:val="24"/>
            <w:szCs w:val="24"/>
          </w:rPr>
          <w:fldChar w:fldCharType="end"/>
        </w:r>
      </w:hyperlink>
    </w:p>
    <w:p w14:paraId="7D8312A6" w14:textId="5250623C" w:rsidR="00DB2387" w:rsidRPr="00DB2387" w:rsidRDefault="00483A0D" w:rsidP="00DB2387">
      <w:pPr>
        <w:pStyle w:val="TOC1"/>
        <w:tabs>
          <w:tab w:val="right" w:leader="dot" w:pos="9782"/>
        </w:tabs>
        <w:spacing w:line="360" w:lineRule="auto"/>
        <w:jc w:val="both"/>
        <w:rPr>
          <w:rFonts w:ascii="Arial" w:hAnsi="Arial" w:cs="Arial"/>
          <w:noProof/>
          <w:color w:val="000000" w:themeColor="text1"/>
          <w:kern w:val="2"/>
          <w:sz w:val="24"/>
          <w:szCs w:val="24"/>
          <w:lang w:val="en-IN" w:eastAsia="en-GB"/>
          <w14:ligatures w14:val="standardContextual"/>
        </w:rPr>
      </w:pPr>
      <w:hyperlink w:anchor="_Toc243428026" w:history="1">
        <w:r w:rsidR="00DB2387" w:rsidRPr="00DB2387">
          <w:rPr>
            <w:rStyle w:val="Hyperlink"/>
            <w:rFonts w:ascii="Arial" w:hAnsi="Arial" w:cs="Arial"/>
            <w:noProof/>
            <w:color w:val="000000" w:themeColor="text1"/>
            <w:sz w:val="24"/>
            <w:szCs w:val="24"/>
          </w:rPr>
          <w:t>References</w:t>
        </w:r>
        <w:r w:rsidR="00DB2387" w:rsidRPr="00DB2387">
          <w:rPr>
            <w:rFonts w:ascii="Arial" w:hAnsi="Arial" w:cs="Arial"/>
            <w:noProof/>
            <w:webHidden/>
            <w:color w:val="000000" w:themeColor="text1"/>
            <w:sz w:val="24"/>
            <w:szCs w:val="24"/>
          </w:rPr>
          <w:tab/>
        </w:r>
        <w:r w:rsidR="00DB2387" w:rsidRPr="00DB2387">
          <w:rPr>
            <w:rFonts w:ascii="Arial" w:hAnsi="Arial" w:cs="Arial"/>
            <w:noProof/>
            <w:webHidden/>
            <w:color w:val="000000" w:themeColor="text1"/>
            <w:sz w:val="24"/>
            <w:szCs w:val="24"/>
          </w:rPr>
          <w:fldChar w:fldCharType="begin"/>
        </w:r>
        <w:r w:rsidR="00DB2387" w:rsidRPr="00DB2387">
          <w:rPr>
            <w:rFonts w:ascii="Arial" w:hAnsi="Arial" w:cs="Arial"/>
            <w:noProof/>
            <w:webHidden/>
            <w:color w:val="000000" w:themeColor="text1"/>
            <w:sz w:val="24"/>
            <w:szCs w:val="24"/>
          </w:rPr>
          <w:instrText xml:space="preserve"> PAGEREF _Toc243428026 \h </w:instrText>
        </w:r>
        <w:r w:rsidR="00DB2387" w:rsidRPr="00DB2387">
          <w:rPr>
            <w:rFonts w:ascii="Arial" w:hAnsi="Arial" w:cs="Arial"/>
            <w:noProof/>
            <w:webHidden/>
            <w:color w:val="000000" w:themeColor="text1"/>
            <w:sz w:val="24"/>
            <w:szCs w:val="24"/>
          </w:rPr>
        </w:r>
        <w:r w:rsidR="00DB2387" w:rsidRPr="00DB2387">
          <w:rPr>
            <w:rFonts w:ascii="Arial" w:hAnsi="Arial" w:cs="Arial"/>
            <w:noProof/>
            <w:webHidden/>
            <w:color w:val="000000" w:themeColor="text1"/>
            <w:sz w:val="24"/>
            <w:szCs w:val="24"/>
          </w:rPr>
          <w:fldChar w:fldCharType="separate"/>
        </w:r>
        <w:r w:rsidR="00DB2387" w:rsidRPr="00DB2387">
          <w:rPr>
            <w:rFonts w:ascii="Arial" w:hAnsi="Arial" w:cs="Arial"/>
            <w:noProof/>
            <w:webHidden/>
            <w:color w:val="000000" w:themeColor="text1"/>
            <w:sz w:val="24"/>
            <w:szCs w:val="24"/>
          </w:rPr>
          <w:t>11</w:t>
        </w:r>
        <w:r w:rsidR="00DB2387" w:rsidRPr="00DB2387">
          <w:rPr>
            <w:rFonts w:ascii="Arial" w:hAnsi="Arial" w:cs="Arial"/>
            <w:noProof/>
            <w:webHidden/>
            <w:color w:val="000000" w:themeColor="text1"/>
            <w:sz w:val="24"/>
            <w:szCs w:val="24"/>
          </w:rPr>
          <w:fldChar w:fldCharType="end"/>
        </w:r>
      </w:hyperlink>
    </w:p>
    <w:p w14:paraId="35F585CD" w14:textId="286F620B" w:rsidR="000F210B" w:rsidRPr="00DB2387" w:rsidRDefault="000F210B" w:rsidP="00DB2387">
      <w:pPr>
        <w:spacing w:line="360" w:lineRule="auto"/>
        <w:jc w:val="both"/>
        <w:rPr>
          <w:rFonts w:ascii="Arial" w:hAnsi="Arial" w:cs="Arial"/>
          <w:b/>
          <w:bCs/>
          <w:color w:val="000000" w:themeColor="text1"/>
          <w:sz w:val="24"/>
          <w:szCs w:val="24"/>
        </w:rPr>
      </w:pPr>
      <w:r w:rsidRPr="00DB2387">
        <w:rPr>
          <w:rFonts w:ascii="Arial" w:hAnsi="Arial" w:cs="Arial"/>
          <w:b/>
          <w:bCs/>
          <w:color w:val="000000" w:themeColor="text1"/>
          <w:sz w:val="24"/>
          <w:szCs w:val="24"/>
        </w:rPr>
        <w:fldChar w:fldCharType="end"/>
      </w:r>
    </w:p>
    <w:p w14:paraId="45C8D24F" w14:textId="77777777" w:rsidR="00CC1F76" w:rsidRPr="00DB2387" w:rsidRDefault="00CC1F76" w:rsidP="00DB2387">
      <w:pPr>
        <w:spacing w:after="200" w:line="360" w:lineRule="auto"/>
        <w:jc w:val="both"/>
        <w:rPr>
          <w:rFonts w:ascii="Arial" w:eastAsiaTheme="majorEastAsia" w:hAnsi="Arial" w:cs="Arial"/>
          <w:b/>
          <w:bCs/>
          <w:color w:val="000000" w:themeColor="text1"/>
          <w:sz w:val="24"/>
          <w:szCs w:val="24"/>
        </w:rPr>
      </w:pPr>
      <w:r w:rsidRPr="00DB2387">
        <w:rPr>
          <w:rFonts w:ascii="Arial" w:hAnsi="Arial" w:cs="Arial"/>
          <w:color w:val="000000" w:themeColor="text1"/>
          <w:sz w:val="24"/>
          <w:szCs w:val="24"/>
        </w:rPr>
        <w:br w:type="page"/>
      </w:r>
    </w:p>
    <w:p w14:paraId="7EF31BB3" w14:textId="43AFAE91" w:rsidR="003F7F2F" w:rsidRPr="00DB2387" w:rsidRDefault="0052393A" w:rsidP="00DB2387">
      <w:pPr>
        <w:pStyle w:val="Heading1"/>
        <w:spacing w:line="360" w:lineRule="auto"/>
        <w:jc w:val="both"/>
        <w:rPr>
          <w:rFonts w:ascii="Arial" w:hAnsi="Arial" w:cs="Arial"/>
          <w:color w:val="000000" w:themeColor="text1"/>
          <w:sz w:val="24"/>
          <w:szCs w:val="24"/>
        </w:rPr>
      </w:pPr>
      <w:bookmarkStart w:id="1" w:name="_Toc243428009"/>
      <w:r w:rsidRPr="00DB2387">
        <w:rPr>
          <w:rFonts w:ascii="Arial" w:hAnsi="Arial" w:cs="Arial"/>
          <w:color w:val="000000" w:themeColor="text1"/>
          <w:sz w:val="24"/>
          <w:szCs w:val="24"/>
        </w:rPr>
        <w:lastRenderedPageBreak/>
        <w:t>Introduction</w:t>
      </w:r>
      <w:bookmarkEnd w:id="1"/>
    </w:p>
    <w:p w14:paraId="4F7AA287" w14:textId="4B83D7C9" w:rsidR="003F7F2F" w:rsidRPr="00DB2387" w:rsidRDefault="00CC7EE3"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This report conducts a critical analysis of Rio Tinto as one of the prominent global mining and metals companies and analyzes the three marketing-environment players which will affect the lower carbon development of the firm: the natural environment, political/regulatory environment, and customers/market players.</w:t>
      </w:r>
      <w:r w:rsidR="00662308" w:rsidRPr="00DB2387">
        <w:rPr>
          <w:rFonts w:ascii="Arial" w:hAnsi="Arial" w:cs="Arial"/>
          <w:color w:val="000000" w:themeColor="text1"/>
          <w:sz w:val="24"/>
          <w:szCs w:val="24"/>
        </w:rPr>
        <w:t xml:space="preserve"> In addition, the Ansoff Matrix will be used to indicate a strategy for growth and the way Rio Tinto can create its competitive advantage using lower carbon products. Conclusion and recommendations of the strategic decisions will be included in the last section of the report</w:t>
      </w:r>
      <w:r w:rsidRPr="00DB2387">
        <w:rPr>
          <w:rFonts w:ascii="Arial" w:hAnsi="Arial" w:cs="Arial"/>
          <w:color w:val="000000" w:themeColor="text1"/>
          <w:sz w:val="24"/>
          <w:szCs w:val="24"/>
        </w:rPr>
        <w:t>.</w:t>
      </w:r>
    </w:p>
    <w:p w14:paraId="2EBA02AA" w14:textId="77777777" w:rsidR="003F7F2F" w:rsidRPr="00DB2387" w:rsidRDefault="0052393A" w:rsidP="00DB2387">
      <w:pPr>
        <w:pStyle w:val="Heading1"/>
        <w:spacing w:line="360" w:lineRule="auto"/>
        <w:jc w:val="both"/>
        <w:rPr>
          <w:rFonts w:ascii="Arial" w:hAnsi="Arial" w:cs="Arial"/>
          <w:color w:val="000000" w:themeColor="text1"/>
          <w:sz w:val="24"/>
          <w:szCs w:val="24"/>
        </w:rPr>
      </w:pPr>
      <w:bookmarkStart w:id="2" w:name="_Toc243428010"/>
      <w:r w:rsidRPr="00DB2387">
        <w:rPr>
          <w:rFonts w:ascii="Arial" w:hAnsi="Arial" w:cs="Arial"/>
          <w:color w:val="000000" w:themeColor="text1"/>
          <w:sz w:val="24"/>
          <w:szCs w:val="24"/>
        </w:rPr>
        <w:t>Task 1: Marketing Environment Analysis</w:t>
      </w:r>
      <w:bookmarkEnd w:id="2"/>
    </w:p>
    <w:p w14:paraId="310503A2"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3" w:name="_Toc243428011"/>
      <w:r w:rsidRPr="00DB2387">
        <w:rPr>
          <w:rFonts w:ascii="Arial" w:hAnsi="Arial" w:cs="Arial"/>
          <w:color w:val="000000" w:themeColor="text1"/>
          <w:szCs w:val="24"/>
        </w:rPr>
        <w:t>1.1 Rio Tinto’s Strategic Position</w:t>
      </w:r>
      <w:bookmarkEnd w:id="3"/>
    </w:p>
    <w:p w14:paraId="6D6806EF" w14:textId="58793310" w:rsidR="00933521"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Rio Tinto provides a strong case for examining the marketing implications of decarbonisation because its portfolio combines iron ore, aluminium, copper and lithium. In 2025 Rio Tinto completed the US$6.7 billion acquisition of Arcadium Lithium, strengthening its position in a critical battery material (Rio Tinto, 2025a).</w:t>
      </w:r>
      <w:r w:rsidR="00662308" w:rsidRPr="00DB2387">
        <w:rPr>
          <w:rFonts w:ascii="Arial" w:hAnsi="Arial" w:cs="Arial"/>
          <w:color w:val="000000" w:themeColor="text1"/>
          <w:sz w:val="24"/>
          <w:szCs w:val="24"/>
        </w:rPr>
        <w:t xml:space="preserve"> The year also saw first shiploadings from Simandou in Guinea and completion of the underground development of Oyu Tolgoi in Mongolia, creating a solid base for future growth in iron ore and copper (Rio Tinto, 2026a). Good financial results make the above-mentioned possible. In 2025, Rio Tinto reported a consolidated sales revenue of US$57.6 billion, an underlying EBITDA</w:t>
      </w:r>
      <w:r w:rsidR="00933521" w:rsidRPr="00DB2387">
        <w:rPr>
          <w:rFonts w:ascii="Arial" w:hAnsi="Arial" w:cs="Arial"/>
          <w:color w:val="000000" w:themeColor="text1"/>
          <w:sz w:val="24"/>
          <w:szCs w:val="24"/>
        </w:rPr>
        <w:t xml:space="preserve"> (Earnings Before Interest, Taxes, Depreciation and Amortization)</w:t>
      </w:r>
      <w:r w:rsidR="00662308" w:rsidRPr="00DB2387">
        <w:rPr>
          <w:rFonts w:ascii="Arial" w:hAnsi="Arial" w:cs="Arial"/>
          <w:color w:val="000000" w:themeColor="text1"/>
          <w:sz w:val="24"/>
          <w:szCs w:val="24"/>
        </w:rPr>
        <w:t xml:space="preserve"> of US$25.4 billion, and a net cash generated from operations of US$16.8 billion. </w:t>
      </w:r>
    </w:p>
    <w:p w14:paraId="685B5C9E" w14:textId="2F7434F0" w:rsidR="003F7F2F"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underlying EBITDA increased by 9% relative to the previous year, and the copper equivalent production increased by 8%, mainly due to Oyu Tolgoi and enhanced operational efficiency (Rio Tinto, 2026a). At the same time, Rio Tinto reported a total of 31.5 CO2e of gross Scope 1 and 2 emissions in 2025, which is 14% less than the 2018 baseline (Rio Tinto, 2026b). By 2030, Rio Tinto plans to reduce its Scope 1 and 2 emissions by 50% compared to the 2018 baseline and reach operational net zero by 2050. Rio Tinto estimates that US$5</w:t>
      </w:r>
      <w:r w:rsidR="000F210B" w:rsidRPr="00DB2387">
        <w:rPr>
          <w:rFonts w:ascii="Arial" w:hAnsi="Arial" w:cs="Arial"/>
          <w:color w:val="000000" w:themeColor="text1"/>
          <w:sz w:val="24"/>
          <w:szCs w:val="24"/>
        </w:rPr>
        <w:t xml:space="preserve"> - </w:t>
      </w:r>
      <w:r w:rsidRPr="00DB2387">
        <w:rPr>
          <w:rFonts w:ascii="Arial" w:hAnsi="Arial" w:cs="Arial"/>
          <w:color w:val="000000" w:themeColor="text1"/>
          <w:sz w:val="24"/>
          <w:szCs w:val="24"/>
        </w:rPr>
        <w:t xml:space="preserve">6 billion will be invested in decarbonisation projects, predominantly during the second half of the decade (Rio Tinto, 2026b). </w:t>
      </w:r>
    </w:p>
    <w:p w14:paraId="006A8211" w14:textId="7C1DE728" w:rsidR="003F7F2F" w:rsidRPr="00DB2387" w:rsidRDefault="0052393A" w:rsidP="00DB2387">
      <w:pPr>
        <w:pStyle w:val="Heading2"/>
        <w:spacing w:line="360" w:lineRule="auto"/>
        <w:jc w:val="both"/>
        <w:rPr>
          <w:rFonts w:ascii="Arial" w:hAnsi="Arial" w:cs="Arial"/>
          <w:color w:val="000000" w:themeColor="text1"/>
          <w:szCs w:val="24"/>
        </w:rPr>
      </w:pPr>
      <w:bookmarkStart w:id="4" w:name="_Toc243428012"/>
      <w:r w:rsidRPr="00DB2387">
        <w:rPr>
          <w:rFonts w:ascii="Arial" w:hAnsi="Arial" w:cs="Arial"/>
          <w:color w:val="000000" w:themeColor="text1"/>
          <w:szCs w:val="24"/>
        </w:rPr>
        <w:t>1.2 External Actor 1: Natural Environment</w:t>
      </w:r>
      <w:bookmarkEnd w:id="4"/>
    </w:p>
    <w:p w14:paraId="68852087" w14:textId="00A95B3D" w:rsidR="00662308"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natural environment is the dominant external actor because Rio Tinto’s products are extracted from, and its operations directly alter, natural systems.</w:t>
      </w:r>
      <w:r w:rsidR="00662308" w:rsidRPr="00DB2387">
        <w:rPr>
          <w:rFonts w:ascii="Arial" w:hAnsi="Arial" w:cs="Arial"/>
          <w:color w:val="000000" w:themeColor="text1"/>
          <w:sz w:val="24"/>
          <w:szCs w:val="24"/>
        </w:rPr>
        <w:t xml:space="preserve"> According to Kotler et al. </w:t>
      </w:r>
      <w:r w:rsidR="00662308" w:rsidRPr="00DB2387">
        <w:rPr>
          <w:rFonts w:ascii="Arial" w:hAnsi="Arial" w:cs="Arial"/>
          <w:color w:val="000000" w:themeColor="text1"/>
          <w:sz w:val="24"/>
          <w:szCs w:val="24"/>
        </w:rPr>
        <w:lastRenderedPageBreak/>
        <w:t>(2024), there is an influence of the environment on marketing since companies rely on scarce resources amid rising ecological demands.</w:t>
      </w:r>
    </w:p>
    <w:p w14:paraId="7419126A" w14:textId="77777777" w:rsidR="00933521"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Firstly, there is a threat posed by climate change. High temperatures, excessive rainfall, cyclones, drought, and lack of water might affect mining, transportation, and processing. Although the geographical diversification of Rio Tinto provides the company with protection from the climate risk, the risk remains due to the operations of Rio Tinto in the Pilbara region exposed to tropical cyclones</w:t>
      </w:r>
      <w:r w:rsidR="00CC7EE3" w:rsidRPr="00DB2387">
        <w:rPr>
          <w:rFonts w:ascii="Arial" w:hAnsi="Arial" w:cs="Arial"/>
          <w:color w:val="000000" w:themeColor="text1"/>
          <w:sz w:val="24"/>
          <w:szCs w:val="24"/>
        </w:rPr>
        <w:t>. Second, the environmental transition presents the paradoxical growth opportunity. The technologies that help achieve the clean-energy goals are resource-intensive when it comes to metals required.</w:t>
      </w:r>
    </w:p>
    <w:p w14:paraId="1788FA14" w14:textId="231EEA8E" w:rsidR="003F7F2F" w:rsidRPr="00DB2387" w:rsidRDefault="00CC7EE3"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According to the IEA (2025a), the Stated Policies Scenario implies that overall copper consumption would increase from 26.7 Mt in 2024 to 31.3 Mt in 2030. Clean technologies account for 7.7 Mt increase from the same baseline to 10.9 Mt. There is also a predicted 30% supply deficit of copper by 2035 in the context of decreasing ore grades, expensive and lengthy investments, and other IEA projections for 2025. In more recent analysis of IEA (2026), the projected deficit for 2035 decreased to about 25%. Thus, Rio Tinto would be able to position itself as a provider of copper required for electrification (Rio Tinto, 2026c). </w:t>
      </w:r>
    </w:p>
    <w:p w14:paraId="0DAA488F" w14:textId="1678D07B" w:rsidR="003F7F2F" w:rsidRPr="00DB2387" w:rsidRDefault="00CC7EE3"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Thirdly, environmental performance impacts aluminium. Being energy-intensive, smelting emissions have previously been associated with carbon anodes.</w:t>
      </w:r>
      <w:r w:rsidR="00662308" w:rsidRPr="00DB2387">
        <w:rPr>
          <w:rFonts w:ascii="Arial" w:hAnsi="Arial" w:cs="Arial"/>
          <w:color w:val="000000" w:themeColor="text1"/>
          <w:sz w:val="24"/>
          <w:szCs w:val="24"/>
        </w:rPr>
        <w:t xml:space="preserve"> The ELYSIS technology, which Rio Tinto and Alcoa jointly developed, was the first full-scale test of a 450 kA inert anode cell in the Alma smelter, Quebec, in 2025. This technology makes it possible to produce aluminium without emitting any carbon during the smelting process (Rio Tinto, 2025b). Fourth, the environmental dimension goes beyond carbon. Biodiversity, water, and community effects influence social license to operate. </w:t>
      </w:r>
    </w:p>
    <w:p w14:paraId="58AE49CC" w14:textId="4C6D739C"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 xml:space="preserve">Table </w:t>
      </w:r>
      <w:r w:rsidR="000F210B" w:rsidRPr="00DB2387">
        <w:rPr>
          <w:rFonts w:ascii="Arial" w:hAnsi="Arial" w:cs="Arial"/>
          <w:b/>
          <w:color w:val="000000" w:themeColor="text1"/>
          <w:sz w:val="24"/>
          <w:szCs w:val="24"/>
        </w:rPr>
        <w:t>1</w:t>
      </w:r>
      <w:r w:rsidRPr="00DB2387">
        <w:rPr>
          <w:rFonts w:ascii="Arial" w:hAnsi="Arial" w:cs="Arial"/>
          <w:b/>
          <w:color w:val="000000" w:themeColor="text1"/>
          <w:sz w:val="24"/>
          <w:szCs w:val="24"/>
        </w:rPr>
        <w:t>: Environmental opportunities and constraints for Rio Tinto</w:t>
      </w:r>
      <w:r w:rsidR="00933521" w:rsidRPr="00DB2387">
        <w:rPr>
          <w:rFonts w:ascii="Arial" w:hAnsi="Arial" w:cs="Arial"/>
          <w:b/>
          <w:color w:val="000000" w:themeColor="text1"/>
          <w:sz w:val="24"/>
          <w:szCs w:val="24"/>
        </w:rPr>
        <w:t xml:space="preserve"> (Source: Rio Tinto, 2026c)</w:t>
      </w:r>
    </w:p>
    <w:tbl>
      <w:tblPr>
        <w:tblStyle w:val="TableGrid"/>
        <w:tblW w:w="0" w:type="auto"/>
        <w:jc w:val="center"/>
        <w:tblLook w:val="04A0" w:firstRow="1" w:lastRow="0" w:firstColumn="1" w:lastColumn="0" w:noHBand="0" w:noVBand="1"/>
      </w:tblPr>
      <w:tblGrid>
        <w:gridCol w:w="2448"/>
        <w:gridCol w:w="2448"/>
        <w:gridCol w:w="2448"/>
        <w:gridCol w:w="2448"/>
      </w:tblGrid>
      <w:tr w:rsidR="00DB2387" w:rsidRPr="00DB2387" w14:paraId="73B74972" w14:textId="77777777">
        <w:trPr>
          <w:jc w:val="center"/>
        </w:trPr>
        <w:tc>
          <w:tcPr>
            <w:tcW w:w="2448" w:type="dxa"/>
            <w:vAlign w:val="center"/>
          </w:tcPr>
          <w:p w14:paraId="31520BA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Environmental factor</w:t>
            </w:r>
          </w:p>
        </w:tc>
        <w:tc>
          <w:tcPr>
            <w:tcW w:w="2448" w:type="dxa"/>
            <w:vAlign w:val="center"/>
          </w:tcPr>
          <w:p w14:paraId="3394BDE9"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Opportunity</w:t>
            </w:r>
          </w:p>
        </w:tc>
        <w:tc>
          <w:tcPr>
            <w:tcW w:w="2448" w:type="dxa"/>
            <w:vAlign w:val="center"/>
          </w:tcPr>
          <w:p w14:paraId="6C4663BE"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Challenge</w:t>
            </w:r>
          </w:p>
        </w:tc>
        <w:tc>
          <w:tcPr>
            <w:tcW w:w="2448" w:type="dxa"/>
            <w:vAlign w:val="center"/>
          </w:tcPr>
          <w:p w14:paraId="636D508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Strategic response</w:t>
            </w:r>
          </w:p>
        </w:tc>
      </w:tr>
      <w:tr w:rsidR="00DB2387" w:rsidRPr="00DB2387" w14:paraId="738A9CA5" w14:textId="77777777">
        <w:trPr>
          <w:jc w:val="center"/>
        </w:trPr>
        <w:tc>
          <w:tcPr>
            <w:tcW w:w="2448" w:type="dxa"/>
            <w:vAlign w:val="center"/>
          </w:tcPr>
          <w:p w14:paraId="598984A9"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Climate and extreme weather</w:t>
            </w:r>
          </w:p>
        </w:tc>
        <w:tc>
          <w:tcPr>
            <w:tcW w:w="2448" w:type="dxa"/>
            <w:vAlign w:val="center"/>
          </w:tcPr>
          <w:p w14:paraId="0BB336F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Demand for resilient supply</w:t>
            </w:r>
          </w:p>
        </w:tc>
        <w:tc>
          <w:tcPr>
            <w:tcW w:w="2448" w:type="dxa"/>
            <w:vAlign w:val="center"/>
          </w:tcPr>
          <w:p w14:paraId="755066F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Cyclones, heat, water stress</w:t>
            </w:r>
          </w:p>
        </w:tc>
        <w:tc>
          <w:tcPr>
            <w:tcW w:w="2448" w:type="dxa"/>
            <w:vAlign w:val="center"/>
          </w:tcPr>
          <w:p w14:paraId="288AE54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Operational resilience and diversified supply</w:t>
            </w:r>
          </w:p>
        </w:tc>
      </w:tr>
      <w:tr w:rsidR="00DB2387" w:rsidRPr="00DB2387" w14:paraId="213BDF70" w14:textId="77777777">
        <w:trPr>
          <w:jc w:val="center"/>
        </w:trPr>
        <w:tc>
          <w:tcPr>
            <w:tcW w:w="2448" w:type="dxa"/>
            <w:vAlign w:val="center"/>
          </w:tcPr>
          <w:p w14:paraId="27A86D9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Critical-mineral </w:t>
            </w:r>
            <w:r w:rsidRPr="00DB2387">
              <w:rPr>
                <w:rFonts w:ascii="Arial" w:hAnsi="Arial" w:cs="Arial"/>
                <w:color w:val="000000" w:themeColor="text1"/>
                <w:sz w:val="24"/>
                <w:szCs w:val="24"/>
              </w:rPr>
              <w:lastRenderedPageBreak/>
              <w:t>demand</w:t>
            </w:r>
          </w:p>
        </w:tc>
        <w:tc>
          <w:tcPr>
            <w:tcW w:w="2448" w:type="dxa"/>
            <w:vAlign w:val="center"/>
          </w:tcPr>
          <w:p w14:paraId="037FFE5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 xml:space="preserve">Growth in </w:t>
            </w:r>
            <w:r w:rsidRPr="00DB2387">
              <w:rPr>
                <w:rFonts w:ascii="Arial" w:hAnsi="Arial" w:cs="Arial"/>
                <w:color w:val="000000" w:themeColor="text1"/>
                <w:sz w:val="24"/>
                <w:szCs w:val="24"/>
              </w:rPr>
              <w:lastRenderedPageBreak/>
              <w:t>copper/lithium demand</w:t>
            </w:r>
          </w:p>
        </w:tc>
        <w:tc>
          <w:tcPr>
            <w:tcW w:w="2448" w:type="dxa"/>
            <w:vAlign w:val="center"/>
          </w:tcPr>
          <w:p w14:paraId="604C0419"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 xml:space="preserve">Supply constraints </w:t>
            </w:r>
            <w:r w:rsidRPr="00DB2387">
              <w:rPr>
                <w:rFonts w:ascii="Arial" w:hAnsi="Arial" w:cs="Arial"/>
                <w:color w:val="000000" w:themeColor="text1"/>
                <w:sz w:val="24"/>
                <w:szCs w:val="24"/>
              </w:rPr>
              <w:lastRenderedPageBreak/>
              <w:t>and project lead times</w:t>
            </w:r>
          </w:p>
        </w:tc>
        <w:tc>
          <w:tcPr>
            <w:tcW w:w="2448" w:type="dxa"/>
            <w:vAlign w:val="center"/>
          </w:tcPr>
          <w:p w14:paraId="5F462665"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 xml:space="preserve">Accelerate selected </w:t>
            </w:r>
            <w:r w:rsidRPr="00DB2387">
              <w:rPr>
                <w:rFonts w:ascii="Arial" w:hAnsi="Arial" w:cs="Arial"/>
                <w:color w:val="000000" w:themeColor="text1"/>
                <w:sz w:val="24"/>
                <w:szCs w:val="24"/>
              </w:rPr>
              <w:lastRenderedPageBreak/>
              <w:t>growth projects</w:t>
            </w:r>
          </w:p>
        </w:tc>
      </w:tr>
      <w:tr w:rsidR="00DB2387" w:rsidRPr="00DB2387" w14:paraId="22553FCF" w14:textId="77777777">
        <w:trPr>
          <w:jc w:val="center"/>
        </w:trPr>
        <w:tc>
          <w:tcPr>
            <w:tcW w:w="2448" w:type="dxa"/>
            <w:vAlign w:val="center"/>
          </w:tcPr>
          <w:p w14:paraId="10F7910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Low-carbon aluminium</w:t>
            </w:r>
          </w:p>
        </w:tc>
        <w:tc>
          <w:tcPr>
            <w:tcW w:w="2448" w:type="dxa"/>
            <w:vAlign w:val="center"/>
          </w:tcPr>
          <w:p w14:paraId="0482612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Differentiated product opportunity</w:t>
            </w:r>
          </w:p>
        </w:tc>
        <w:tc>
          <w:tcPr>
            <w:tcW w:w="2448" w:type="dxa"/>
            <w:vAlign w:val="center"/>
          </w:tcPr>
          <w:p w14:paraId="18D5D8D5"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Technology scale-up risk</w:t>
            </w:r>
          </w:p>
        </w:tc>
        <w:tc>
          <w:tcPr>
            <w:tcW w:w="2448" w:type="dxa"/>
            <w:vAlign w:val="center"/>
          </w:tcPr>
          <w:p w14:paraId="5EEC17AD"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Commercialise ELYSIS progressively</w:t>
            </w:r>
          </w:p>
        </w:tc>
      </w:tr>
      <w:tr w:rsidR="00DB2387" w:rsidRPr="00DB2387" w14:paraId="711E7554" w14:textId="77777777">
        <w:trPr>
          <w:jc w:val="center"/>
        </w:trPr>
        <w:tc>
          <w:tcPr>
            <w:tcW w:w="2448" w:type="dxa"/>
            <w:vAlign w:val="center"/>
          </w:tcPr>
          <w:p w14:paraId="3B7DBA9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Water and biodiversity</w:t>
            </w:r>
          </w:p>
        </w:tc>
        <w:tc>
          <w:tcPr>
            <w:tcW w:w="2448" w:type="dxa"/>
            <w:vAlign w:val="center"/>
          </w:tcPr>
          <w:p w14:paraId="616D381B"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Stronger stakeholder trust</w:t>
            </w:r>
          </w:p>
        </w:tc>
        <w:tc>
          <w:tcPr>
            <w:tcW w:w="2448" w:type="dxa"/>
            <w:vAlign w:val="center"/>
          </w:tcPr>
          <w:p w14:paraId="360E558D"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Local ecological impacts</w:t>
            </w:r>
          </w:p>
        </w:tc>
        <w:tc>
          <w:tcPr>
            <w:tcW w:w="2448" w:type="dxa"/>
            <w:vAlign w:val="center"/>
          </w:tcPr>
          <w:p w14:paraId="5EF4D1B8"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Asset-level stewardship and disclosure</w:t>
            </w:r>
          </w:p>
        </w:tc>
      </w:tr>
    </w:tbl>
    <w:p w14:paraId="56EECC01" w14:textId="3915D76D" w:rsidR="003F7F2F" w:rsidRPr="00DB2387" w:rsidRDefault="0052393A" w:rsidP="00DB2387">
      <w:pPr>
        <w:pStyle w:val="Heading2"/>
        <w:spacing w:line="360" w:lineRule="auto"/>
        <w:jc w:val="both"/>
        <w:rPr>
          <w:rFonts w:ascii="Arial" w:hAnsi="Arial" w:cs="Arial"/>
          <w:color w:val="000000" w:themeColor="text1"/>
          <w:szCs w:val="24"/>
        </w:rPr>
      </w:pPr>
      <w:bookmarkStart w:id="5" w:name="_Toc243428013"/>
      <w:r w:rsidRPr="00DB2387">
        <w:rPr>
          <w:rFonts w:ascii="Arial" w:hAnsi="Arial" w:cs="Arial"/>
          <w:color w:val="000000" w:themeColor="text1"/>
          <w:szCs w:val="24"/>
        </w:rPr>
        <w:t>1.3 External Actor 2: Political Environment</w:t>
      </w:r>
      <w:bookmarkEnd w:id="5"/>
    </w:p>
    <w:p w14:paraId="3626B4CF" w14:textId="15F63F93" w:rsidR="00933521"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Political institutions form the second major external actor. </w:t>
      </w:r>
      <w:r w:rsidR="00CC7EE3" w:rsidRPr="00DB2387">
        <w:rPr>
          <w:rFonts w:ascii="Arial" w:hAnsi="Arial" w:cs="Arial"/>
          <w:color w:val="000000" w:themeColor="text1"/>
          <w:sz w:val="24"/>
          <w:szCs w:val="24"/>
        </w:rPr>
        <w:t xml:space="preserve">Governments are also creating demand for critical minerals while enforcing conditions that enhance the role of carbon, transparency, and responsible production. The Carbon Border Adjustment Mechanism (CBAM) of the European Union is pertinent to this discussion. </w:t>
      </w:r>
      <w:r w:rsidRPr="00DB2387">
        <w:rPr>
          <w:rFonts w:ascii="Arial" w:hAnsi="Arial" w:cs="Arial"/>
          <w:color w:val="000000" w:themeColor="text1"/>
          <w:sz w:val="24"/>
          <w:szCs w:val="24"/>
        </w:rPr>
        <w:t>Its definitive regime applies from 1 January 2026 to selected imports including iron and steel and aluminium. Importers above the applicable threshold must account for embedded emissions and purchase CBAM certificates (European Commission, 2026).</w:t>
      </w:r>
      <w:r w:rsidR="00662308" w:rsidRPr="00DB2387">
        <w:rPr>
          <w:rFonts w:ascii="Arial" w:hAnsi="Arial" w:cs="Arial"/>
          <w:color w:val="000000" w:themeColor="text1"/>
          <w:sz w:val="24"/>
          <w:szCs w:val="24"/>
        </w:rPr>
        <w:t xml:space="preserve"> </w:t>
      </w:r>
    </w:p>
    <w:p w14:paraId="57990D4B" w14:textId="3CA8E359" w:rsidR="003F7F2F"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Given that Rio Tinto produces aluminium and iron ore, it is susceptible to the downstream customers' requirements for emission information. </w:t>
      </w:r>
      <w:r w:rsidR="00933521" w:rsidRPr="00DB2387">
        <w:rPr>
          <w:rFonts w:ascii="Arial" w:hAnsi="Arial" w:cs="Arial"/>
          <w:color w:val="000000" w:themeColor="text1"/>
          <w:sz w:val="24"/>
          <w:szCs w:val="24"/>
        </w:rPr>
        <w:t xml:space="preserve">First, </w:t>
      </w:r>
      <w:r w:rsidRPr="00DB2387">
        <w:rPr>
          <w:rFonts w:ascii="Arial" w:hAnsi="Arial" w:cs="Arial"/>
          <w:color w:val="000000" w:themeColor="text1"/>
          <w:sz w:val="24"/>
          <w:szCs w:val="24"/>
        </w:rPr>
        <w:t>Another political factor is the government policy on critical minerals. The governments want to have a reliable source of minerals for energy, defense, and technology sectors</w:t>
      </w:r>
      <w:r w:rsidR="00CC7EE3" w:rsidRPr="00DB2387">
        <w:rPr>
          <w:rFonts w:ascii="Arial" w:hAnsi="Arial" w:cs="Arial"/>
          <w:color w:val="000000" w:themeColor="text1"/>
          <w:sz w:val="24"/>
          <w:szCs w:val="24"/>
        </w:rPr>
        <w:t xml:space="preserve">. As per IEA (2025b), an investment of US$ 500 billion would be necessary between 2025 and 2040 in the Stated Policies Scenario. </w:t>
      </w:r>
      <w:r w:rsidR="000F210B" w:rsidRPr="00DB2387">
        <w:rPr>
          <w:rFonts w:ascii="Arial" w:hAnsi="Arial" w:cs="Arial"/>
          <w:color w:val="000000" w:themeColor="text1"/>
          <w:sz w:val="24"/>
          <w:szCs w:val="24"/>
        </w:rPr>
        <w:t xml:space="preserve">Next, </w:t>
      </w:r>
      <w:r w:rsidR="00CC7EE3" w:rsidRPr="00DB2387">
        <w:rPr>
          <w:rFonts w:ascii="Arial" w:hAnsi="Arial" w:cs="Arial"/>
          <w:color w:val="000000" w:themeColor="text1"/>
          <w:sz w:val="24"/>
          <w:szCs w:val="24"/>
        </w:rPr>
        <w:t>government support would facilitate investments in decarbonisation. Projects of Rio Tinto in Canada for low-carbon aluminium benefit from cooperation with the Canadian and Quebec governments, whereas the renewable energy projects in Australia have been undertaken with government involvement. Nevertheless, government dependence carries risks for the business.</w:t>
      </w:r>
      <w:r w:rsidR="000F210B" w:rsidRPr="00DB2387">
        <w:rPr>
          <w:rFonts w:ascii="Arial" w:hAnsi="Arial" w:cs="Arial"/>
          <w:color w:val="000000" w:themeColor="text1"/>
          <w:sz w:val="24"/>
          <w:szCs w:val="24"/>
        </w:rPr>
        <w:t xml:space="preserve"> </w:t>
      </w:r>
      <w:r w:rsidRPr="00DB2387">
        <w:rPr>
          <w:rFonts w:ascii="Arial" w:hAnsi="Arial" w:cs="Arial"/>
          <w:color w:val="000000" w:themeColor="text1"/>
          <w:sz w:val="24"/>
          <w:szCs w:val="24"/>
        </w:rPr>
        <w:t xml:space="preserve">The political environment consequently has a dual effect. It expands demand for strategically important minerals while increasing compliance, disclosure and capital requirements. </w:t>
      </w:r>
    </w:p>
    <w:p w14:paraId="3153E479" w14:textId="18623835" w:rsidR="00DB2387" w:rsidRPr="00DB2387" w:rsidRDefault="0052393A" w:rsidP="00DB2387">
      <w:pPr>
        <w:pStyle w:val="Heading2"/>
        <w:spacing w:line="360" w:lineRule="auto"/>
        <w:jc w:val="both"/>
        <w:rPr>
          <w:rFonts w:ascii="Arial" w:hAnsi="Arial" w:cs="Arial"/>
          <w:color w:val="000000" w:themeColor="text1"/>
          <w:szCs w:val="24"/>
        </w:rPr>
      </w:pPr>
      <w:bookmarkStart w:id="6" w:name="_Toc243428014"/>
      <w:r w:rsidRPr="00DB2387">
        <w:rPr>
          <w:rFonts w:ascii="Arial" w:hAnsi="Arial" w:cs="Arial"/>
          <w:color w:val="000000" w:themeColor="text1"/>
          <w:szCs w:val="24"/>
        </w:rPr>
        <w:t xml:space="preserve">1.4 External Actor 3: </w:t>
      </w:r>
      <w:r w:rsidR="00DB2387" w:rsidRPr="00DB2387">
        <w:rPr>
          <w:rFonts w:ascii="Arial" w:hAnsi="Arial" w:cs="Arial"/>
          <w:color w:val="000000" w:themeColor="text1"/>
          <w:szCs w:val="24"/>
        </w:rPr>
        <w:t>Technological Environment</w:t>
      </w:r>
      <w:bookmarkEnd w:id="6"/>
      <w:r w:rsidR="00DB2387" w:rsidRPr="00DB2387">
        <w:rPr>
          <w:rFonts w:ascii="Arial" w:hAnsi="Arial" w:cs="Arial"/>
          <w:color w:val="000000" w:themeColor="text1"/>
          <w:szCs w:val="24"/>
        </w:rPr>
        <w:t xml:space="preserve"> </w:t>
      </w:r>
    </w:p>
    <w:p w14:paraId="7A70CAC6" w14:textId="77777777" w:rsidR="00DB2387" w:rsidRPr="00DB2387" w:rsidRDefault="00DB2387"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The technological environment is the third external actor since innovations have become an increasingly important factor in the efficient operations, environmental impact and competitiveness of Rio Tinto. Innovations in mining, mineral processing and low-carbon </w:t>
      </w:r>
      <w:r w:rsidRPr="00DB2387">
        <w:rPr>
          <w:rFonts w:ascii="Arial" w:hAnsi="Arial" w:cs="Arial"/>
          <w:color w:val="000000" w:themeColor="text1"/>
          <w:sz w:val="24"/>
          <w:szCs w:val="24"/>
        </w:rPr>
        <w:lastRenderedPageBreak/>
        <w:t>production allow reducing emissions and building up product differentiation. As noted by Kotler et al. (2024), technological change can open up new market opportunities and challenge current business models.</w:t>
      </w:r>
    </w:p>
    <w:p w14:paraId="0CC28293" w14:textId="757B5B15" w:rsidR="003F7F2F" w:rsidRPr="00DB2387" w:rsidRDefault="00DB2387"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A good illustration of such technological change is ELYSIS which was developed by Rio Tinto and Alcoa together. In 2025, this innovation reached a new milestone when the technology was tested in a full-scale 450 kA inert-anode cell at the Alma smelter in Quebec. As opposed to carbon-anode smelting, this technology makes it possible to remove direct carbon emissions during aluminium smelting (Rio Tinto, 2025b). In addition, Rio Tinto and Hydro have announced a five-year cooperation for US$45 million to explore carbon capture technologies for aluminium smelters (Rio Tinto, 2025d). However, the commercialization of such technologies depends on technological maturity, investment expenses, scalability and operational efficiency. Therefore, Rio Tinto needs to make a careful analysis of emerging technologies before further expansion of their implementation (Rio Tinto, 2026d). </w:t>
      </w:r>
    </w:p>
    <w:p w14:paraId="1D180870"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7" w:name="_Toc243428015"/>
      <w:r w:rsidRPr="00DB2387">
        <w:rPr>
          <w:rFonts w:ascii="Arial" w:hAnsi="Arial" w:cs="Arial"/>
          <w:color w:val="000000" w:themeColor="text1"/>
          <w:szCs w:val="24"/>
        </w:rPr>
        <w:t>1.5 Integrated Environmental Assessment</w:t>
      </w:r>
      <w:bookmarkEnd w:id="7"/>
    </w:p>
    <w:p w14:paraId="3E086BA8" w14:textId="3BEF9C1F"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three actors are interdependent.</w:t>
      </w:r>
      <w:r w:rsidR="00662308" w:rsidRPr="00DB2387">
        <w:rPr>
          <w:rFonts w:ascii="Arial" w:hAnsi="Arial" w:cs="Arial"/>
          <w:color w:val="000000" w:themeColor="text1"/>
          <w:sz w:val="24"/>
          <w:szCs w:val="24"/>
        </w:rPr>
        <w:t xml:space="preserve"> The environment gives rise to greater regulation, regulation affects consumer needs and the demands made by consumers create commercial pressure for cleaner production. In this context, the marketing environment should be considered as a system for Rio Tinto rather than a collection of external forces acting separately from each other. This makes possible a situation where there is convergence of three forces, i.e., increase in the demand for the mineral, differentiation environmentally and the willingness of the consumer to reward good performance</w:t>
      </w:r>
      <w:r w:rsidR="00CC7EE3" w:rsidRPr="00DB2387">
        <w:rPr>
          <w:rFonts w:ascii="Arial" w:hAnsi="Arial" w:cs="Arial"/>
          <w:color w:val="000000" w:themeColor="text1"/>
          <w:sz w:val="24"/>
          <w:szCs w:val="24"/>
        </w:rPr>
        <w:t xml:space="preserve">. </w:t>
      </w:r>
    </w:p>
    <w:p w14:paraId="6416E3FF" w14:textId="77777777" w:rsidR="003F7F2F" w:rsidRPr="00DB2387" w:rsidRDefault="0052393A" w:rsidP="00DB2387">
      <w:pPr>
        <w:pStyle w:val="Heading1"/>
        <w:spacing w:line="360" w:lineRule="auto"/>
        <w:jc w:val="both"/>
        <w:rPr>
          <w:rFonts w:ascii="Arial" w:hAnsi="Arial" w:cs="Arial"/>
          <w:color w:val="000000" w:themeColor="text1"/>
          <w:sz w:val="24"/>
          <w:szCs w:val="24"/>
        </w:rPr>
      </w:pPr>
      <w:bookmarkStart w:id="8" w:name="_Toc243428016"/>
      <w:r w:rsidRPr="00DB2387">
        <w:rPr>
          <w:rFonts w:ascii="Arial" w:hAnsi="Arial" w:cs="Arial"/>
          <w:color w:val="000000" w:themeColor="text1"/>
          <w:sz w:val="24"/>
          <w:szCs w:val="24"/>
        </w:rPr>
        <w:t>Task 2: Strategic Growth and Competitive Positioning</w:t>
      </w:r>
      <w:bookmarkEnd w:id="8"/>
    </w:p>
    <w:p w14:paraId="5D3590EA"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9" w:name="_Toc243428017"/>
      <w:r w:rsidRPr="00DB2387">
        <w:rPr>
          <w:rFonts w:ascii="Arial" w:hAnsi="Arial" w:cs="Arial"/>
          <w:color w:val="000000" w:themeColor="text1"/>
          <w:szCs w:val="24"/>
        </w:rPr>
        <w:t>2.1 Ansoff Matrix</w:t>
      </w:r>
      <w:bookmarkEnd w:id="9"/>
    </w:p>
    <w:p w14:paraId="56C7632E" w14:textId="17616324" w:rsidR="00662308"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Ansoff Matrix identifies four growth options: market penetration, product development, market development and diversification</w:t>
      </w:r>
      <w:r w:rsidR="00CC1F76" w:rsidRPr="00DB2387">
        <w:rPr>
          <w:rFonts w:ascii="Arial" w:hAnsi="Arial" w:cs="Arial"/>
          <w:color w:val="000000" w:themeColor="text1"/>
          <w:sz w:val="24"/>
          <w:szCs w:val="24"/>
        </w:rPr>
        <w:t xml:space="preserve"> (Anoff, 1957)</w:t>
      </w:r>
      <w:r w:rsidRPr="00DB2387">
        <w:rPr>
          <w:rFonts w:ascii="Arial" w:hAnsi="Arial" w:cs="Arial"/>
          <w:color w:val="000000" w:themeColor="text1"/>
          <w:sz w:val="24"/>
          <w:szCs w:val="24"/>
        </w:rPr>
        <w:t>.</w:t>
      </w:r>
      <w:r w:rsidR="00CC7EE3" w:rsidRPr="00DB2387">
        <w:rPr>
          <w:rFonts w:ascii="Arial" w:hAnsi="Arial" w:cs="Arial"/>
          <w:color w:val="000000" w:themeColor="text1"/>
          <w:sz w:val="24"/>
          <w:szCs w:val="24"/>
        </w:rPr>
        <w:t xml:space="preserve"> Market penetration strategy will be the best for Rio Tinto.</w:t>
      </w:r>
      <w:r w:rsidR="00662308" w:rsidRPr="00DB2387">
        <w:rPr>
          <w:rFonts w:ascii="Arial" w:hAnsi="Arial" w:cs="Arial"/>
          <w:color w:val="000000" w:themeColor="text1"/>
          <w:sz w:val="24"/>
          <w:szCs w:val="24"/>
        </w:rPr>
        <w:t xml:space="preserve"> These strategies include product development, market development, and some diversification in terms of processing and the circular economy approach.</w:t>
      </w:r>
    </w:p>
    <w:p w14:paraId="468F1BE3" w14:textId="41A40BCC" w:rsidR="003F7F2F"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b/>
          <w:bCs/>
          <w:color w:val="000000" w:themeColor="text1"/>
          <w:sz w:val="24"/>
          <w:szCs w:val="24"/>
        </w:rPr>
        <w:t>Market penetration:</w:t>
      </w:r>
      <w:r w:rsidRPr="00DB2387">
        <w:rPr>
          <w:rFonts w:ascii="Arial" w:hAnsi="Arial" w:cs="Arial"/>
          <w:color w:val="000000" w:themeColor="text1"/>
          <w:sz w:val="24"/>
          <w:szCs w:val="24"/>
        </w:rPr>
        <w:t xml:space="preserve"> The strategic approach to Rio Tinto is to enhance customer relations by offering them traceability, emissions information, and reliability services</w:t>
      </w:r>
      <w:r w:rsidR="00CC7EE3" w:rsidRPr="00DB2387">
        <w:rPr>
          <w:rFonts w:ascii="Arial" w:hAnsi="Arial" w:cs="Arial"/>
          <w:color w:val="000000" w:themeColor="text1"/>
          <w:sz w:val="24"/>
          <w:szCs w:val="24"/>
        </w:rPr>
        <w:t xml:space="preserve">. This is the </w:t>
      </w:r>
      <w:r w:rsidR="00CC7EE3" w:rsidRPr="00DB2387">
        <w:rPr>
          <w:rFonts w:ascii="Arial" w:hAnsi="Arial" w:cs="Arial"/>
          <w:color w:val="000000" w:themeColor="text1"/>
          <w:sz w:val="24"/>
          <w:szCs w:val="24"/>
        </w:rPr>
        <w:lastRenderedPageBreak/>
        <w:t>lowest-risk option because it uses existing products and relationships, but its growth potential is limited because major commodities remain price-sensitive</w:t>
      </w:r>
      <w:r w:rsidR="00CC1F76" w:rsidRPr="00DB2387">
        <w:rPr>
          <w:rFonts w:ascii="Arial" w:hAnsi="Arial" w:cs="Arial"/>
          <w:color w:val="000000" w:themeColor="text1"/>
          <w:sz w:val="24"/>
          <w:szCs w:val="24"/>
        </w:rPr>
        <w:t xml:space="preserve"> (Shi et al., 2025).</w:t>
      </w:r>
    </w:p>
    <w:p w14:paraId="2428C85B" w14:textId="235363CC" w:rsidR="00CC7EE3"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b/>
          <w:bCs/>
          <w:color w:val="000000" w:themeColor="text1"/>
          <w:sz w:val="24"/>
          <w:szCs w:val="24"/>
        </w:rPr>
        <w:t>Product development:</w:t>
      </w:r>
      <w:r w:rsidRPr="00DB2387">
        <w:rPr>
          <w:rFonts w:ascii="Arial" w:hAnsi="Arial" w:cs="Arial"/>
          <w:color w:val="000000" w:themeColor="text1"/>
          <w:sz w:val="24"/>
          <w:szCs w:val="24"/>
        </w:rPr>
        <w:t xml:space="preserve"> Rio Tinto should develop verified lower-carbon aluminium, copper and iron-ore propositions. ELYSIS provides the strongest technological platform because inert-anode aluminium directly addresses process emissions.</w:t>
      </w:r>
      <w:r w:rsidR="00CC7EE3" w:rsidRPr="00DB2387">
        <w:rPr>
          <w:rFonts w:ascii="Arial" w:hAnsi="Arial" w:cs="Arial"/>
          <w:color w:val="000000" w:themeColor="text1"/>
          <w:sz w:val="24"/>
          <w:szCs w:val="24"/>
        </w:rPr>
        <w:t xml:space="preserve"> The low-carbon aluminium can be offered to auto manufacturers, packagers, construction firms and electrical infrastructure developers looking for low embedded emissions.</w:t>
      </w:r>
    </w:p>
    <w:p w14:paraId="12A45696" w14:textId="5390F3B5" w:rsidR="00662308" w:rsidRPr="00DB2387" w:rsidRDefault="00CC7EE3" w:rsidP="00DB2387">
      <w:pPr>
        <w:spacing w:line="360" w:lineRule="auto"/>
        <w:jc w:val="both"/>
        <w:rPr>
          <w:rFonts w:ascii="Arial" w:hAnsi="Arial" w:cs="Arial"/>
          <w:color w:val="000000" w:themeColor="text1"/>
          <w:sz w:val="24"/>
          <w:szCs w:val="24"/>
        </w:rPr>
      </w:pPr>
      <w:r w:rsidRPr="00DB2387">
        <w:rPr>
          <w:rFonts w:ascii="Arial" w:hAnsi="Arial" w:cs="Arial"/>
          <w:b/>
          <w:bCs/>
          <w:color w:val="000000" w:themeColor="text1"/>
          <w:sz w:val="24"/>
          <w:szCs w:val="24"/>
        </w:rPr>
        <w:t>Market development:</w:t>
      </w:r>
      <w:r w:rsidRPr="00DB2387">
        <w:rPr>
          <w:rFonts w:ascii="Arial" w:hAnsi="Arial" w:cs="Arial"/>
          <w:color w:val="000000" w:themeColor="text1"/>
          <w:sz w:val="24"/>
          <w:szCs w:val="24"/>
        </w:rPr>
        <w:t xml:space="preserve"> Rio Tinto needs to focus on developing market segments related to electrification, renewables, grid build-out and battery supply chains (Antonini et al., 2025). Copper and lithium can be particularly targeted.</w:t>
      </w:r>
      <w:r w:rsidR="00662308" w:rsidRPr="00DB2387">
        <w:rPr>
          <w:rFonts w:ascii="Arial" w:hAnsi="Arial" w:cs="Arial"/>
          <w:color w:val="000000" w:themeColor="text1"/>
          <w:sz w:val="24"/>
          <w:szCs w:val="24"/>
        </w:rPr>
        <w:t xml:space="preserve"> The Arcadium acquisition has seen Rio Tinto diversify its lithium portfolio while Oyu Tolgoi has turned out to be a key supplier of copper output. The long-term deals ensure that sources are safe, traceable, and sustainable.</w:t>
      </w:r>
    </w:p>
    <w:p w14:paraId="760546D2" w14:textId="57F9B4AE" w:rsidR="003F7F2F"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b/>
          <w:bCs/>
          <w:color w:val="000000" w:themeColor="text1"/>
          <w:sz w:val="24"/>
          <w:szCs w:val="24"/>
        </w:rPr>
        <w:t>Diversification:</w:t>
      </w:r>
      <w:r w:rsidRPr="00DB2387">
        <w:rPr>
          <w:rFonts w:ascii="Arial" w:hAnsi="Arial" w:cs="Arial"/>
          <w:color w:val="000000" w:themeColor="text1"/>
          <w:sz w:val="24"/>
          <w:szCs w:val="24"/>
        </w:rPr>
        <w:t xml:space="preserve"> In order for Rio Tinto to diversify, it requires to build selectivity around recycling, secondary materials handling, and technological innovation. This is a longer-term strategy since it will require more skills other than mining expertise.</w:t>
      </w:r>
    </w:p>
    <w:p w14:paraId="437AE418" w14:textId="6B86F5B2"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 xml:space="preserve">Table </w:t>
      </w:r>
      <w:r w:rsidR="000F210B" w:rsidRPr="00DB2387">
        <w:rPr>
          <w:rFonts w:ascii="Arial" w:hAnsi="Arial" w:cs="Arial"/>
          <w:b/>
          <w:color w:val="000000" w:themeColor="text1"/>
          <w:sz w:val="24"/>
          <w:szCs w:val="24"/>
        </w:rPr>
        <w:t>2</w:t>
      </w:r>
      <w:r w:rsidRPr="00DB2387">
        <w:rPr>
          <w:rFonts w:ascii="Arial" w:hAnsi="Arial" w:cs="Arial"/>
          <w:b/>
          <w:color w:val="000000" w:themeColor="text1"/>
          <w:sz w:val="24"/>
          <w:szCs w:val="24"/>
        </w:rPr>
        <w:t>: Ansoff Matrix applied to Rio Tinto</w:t>
      </w:r>
    </w:p>
    <w:tbl>
      <w:tblPr>
        <w:tblStyle w:val="TableGrid"/>
        <w:tblW w:w="0" w:type="auto"/>
        <w:jc w:val="center"/>
        <w:tblLook w:val="04A0" w:firstRow="1" w:lastRow="0" w:firstColumn="1" w:lastColumn="0" w:noHBand="0" w:noVBand="1"/>
      </w:tblPr>
      <w:tblGrid>
        <w:gridCol w:w="2448"/>
        <w:gridCol w:w="2448"/>
        <w:gridCol w:w="2448"/>
        <w:gridCol w:w="2448"/>
      </w:tblGrid>
      <w:tr w:rsidR="00DB2387" w:rsidRPr="00DB2387" w14:paraId="38E45A04" w14:textId="77777777">
        <w:trPr>
          <w:jc w:val="center"/>
        </w:trPr>
        <w:tc>
          <w:tcPr>
            <w:tcW w:w="2448" w:type="dxa"/>
            <w:vAlign w:val="center"/>
          </w:tcPr>
          <w:p w14:paraId="5C8D45A8"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Ansoff option</w:t>
            </w:r>
          </w:p>
        </w:tc>
        <w:tc>
          <w:tcPr>
            <w:tcW w:w="2448" w:type="dxa"/>
            <w:vAlign w:val="center"/>
          </w:tcPr>
          <w:p w14:paraId="32B62F2D"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Rio Tinto application</w:t>
            </w:r>
          </w:p>
        </w:tc>
        <w:tc>
          <w:tcPr>
            <w:tcW w:w="2448" w:type="dxa"/>
            <w:vAlign w:val="center"/>
          </w:tcPr>
          <w:p w14:paraId="123C8F7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Priority</w:t>
            </w:r>
          </w:p>
        </w:tc>
        <w:tc>
          <w:tcPr>
            <w:tcW w:w="2448" w:type="dxa"/>
            <w:vAlign w:val="center"/>
          </w:tcPr>
          <w:p w14:paraId="385891F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Risk</w:t>
            </w:r>
          </w:p>
        </w:tc>
      </w:tr>
      <w:tr w:rsidR="00DB2387" w:rsidRPr="00DB2387" w14:paraId="5D161ACB" w14:textId="77777777">
        <w:trPr>
          <w:jc w:val="center"/>
        </w:trPr>
        <w:tc>
          <w:tcPr>
            <w:tcW w:w="2448" w:type="dxa"/>
            <w:vAlign w:val="center"/>
          </w:tcPr>
          <w:p w14:paraId="2B5E2884"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1. Market penetration</w:t>
            </w:r>
          </w:p>
        </w:tc>
        <w:tc>
          <w:tcPr>
            <w:tcW w:w="2448" w:type="dxa"/>
            <w:vAlign w:val="center"/>
          </w:tcPr>
          <w:p w14:paraId="56451A5B"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Deepen existing customer relationships through traceability and technical services</w:t>
            </w:r>
          </w:p>
        </w:tc>
        <w:tc>
          <w:tcPr>
            <w:tcW w:w="2448" w:type="dxa"/>
            <w:vAlign w:val="center"/>
          </w:tcPr>
          <w:p w14:paraId="3410FD0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Medium</w:t>
            </w:r>
          </w:p>
        </w:tc>
        <w:tc>
          <w:tcPr>
            <w:tcW w:w="2448" w:type="dxa"/>
            <w:vAlign w:val="center"/>
          </w:tcPr>
          <w:p w14:paraId="0AC906CA"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Low</w:t>
            </w:r>
          </w:p>
        </w:tc>
      </w:tr>
      <w:tr w:rsidR="00DB2387" w:rsidRPr="00DB2387" w14:paraId="0C9F6ABE" w14:textId="77777777">
        <w:trPr>
          <w:jc w:val="center"/>
        </w:trPr>
        <w:tc>
          <w:tcPr>
            <w:tcW w:w="2448" w:type="dxa"/>
            <w:vAlign w:val="center"/>
          </w:tcPr>
          <w:p w14:paraId="340ECC6B"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2. Product development</w:t>
            </w:r>
          </w:p>
        </w:tc>
        <w:tc>
          <w:tcPr>
            <w:tcW w:w="2448" w:type="dxa"/>
            <w:vAlign w:val="center"/>
          </w:tcPr>
          <w:p w14:paraId="36C4E33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Verified low-carbon aluminium, copper and high-grade iron ore propositions</w:t>
            </w:r>
          </w:p>
        </w:tc>
        <w:tc>
          <w:tcPr>
            <w:tcW w:w="2448" w:type="dxa"/>
            <w:vAlign w:val="center"/>
          </w:tcPr>
          <w:p w14:paraId="3A4D6D41"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Highest</w:t>
            </w:r>
          </w:p>
        </w:tc>
        <w:tc>
          <w:tcPr>
            <w:tcW w:w="2448" w:type="dxa"/>
            <w:vAlign w:val="center"/>
          </w:tcPr>
          <w:p w14:paraId="476519E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Medium</w:t>
            </w:r>
          </w:p>
        </w:tc>
      </w:tr>
      <w:tr w:rsidR="00DB2387" w:rsidRPr="00DB2387" w14:paraId="40F11528" w14:textId="77777777">
        <w:trPr>
          <w:jc w:val="center"/>
        </w:trPr>
        <w:tc>
          <w:tcPr>
            <w:tcW w:w="2448" w:type="dxa"/>
            <w:vAlign w:val="center"/>
          </w:tcPr>
          <w:p w14:paraId="5ACEBADC"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3. Market development</w:t>
            </w:r>
          </w:p>
        </w:tc>
        <w:tc>
          <w:tcPr>
            <w:tcW w:w="2448" w:type="dxa"/>
            <w:vAlign w:val="center"/>
          </w:tcPr>
          <w:p w14:paraId="47E380D5"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Target EV, grid, renewable, automotive and low-</w:t>
            </w:r>
            <w:r w:rsidRPr="00DB2387">
              <w:rPr>
                <w:rFonts w:ascii="Arial" w:hAnsi="Arial" w:cs="Arial"/>
                <w:color w:val="000000" w:themeColor="text1"/>
                <w:sz w:val="24"/>
                <w:szCs w:val="24"/>
              </w:rPr>
              <w:lastRenderedPageBreak/>
              <w:t>carbon steel customers</w:t>
            </w:r>
          </w:p>
        </w:tc>
        <w:tc>
          <w:tcPr>
            <w:tcW w:w="2448" w:type="dxa"/>
            <w:vAlign w:val="center"/>
          </w:tcPr>
          <w:p w14:paraId="7DD24F54"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High</w:t>
            </w:r>
          </w:p>
        </w:tc>
        <w:tc>
          <w:tcPr>
            <w:tcW w:w="2448" w:type="dxa"/>
            <w:vAlign w:val="center"/>
          </w:tcPr>
          <w:p w14:paraId="083A558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Medium</w:t>
            </w:r>
          </w:p>
        </w:tc>
      </w:tr>
      <w:tr w:rsidR="00DB2387" w:rsidRPr="00DB2387" w14:paraId="6F7D006A" w14:textId="77777777">
        <w:trPr>
          <w:jc w:val="center"/>
        </w:trPr>
        <w:tc>
          <w:tcPr>
            <w:tcW w:w="2448" w:type="dxa"/>
            <w:vAlign w:val="center"/>
          </w:tcPr>
          <w:p w14:paraId="7BC580E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4. Diversification</w:t>
            </w:r>
          </w:p>
        </w:tc>
        <w:tc>
          <w:tcPr>
            <w:tcW w:w="2448" w:type="dxa"/>
            <w:vAlign w:val="center"/>
          </w:tcPr>
          <w:p w14:paraId="62F0561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Recycling, circular materials and selected processing activities</w:t>
            </w:r>
          </w:p>
        </w:tc>
        <w:tc>
          <w:tcPr>
            <w:tcW w:w="2448" w:type="dxa"/>
            <w:vAlign w:val="center"/>
          </w:tcPr>
          <w:p w14:paraId="3924C27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Selective</w:t>
            </w:r>
          </w:p>
        </w:tc>
        <w:tc>
          <w:tcPr>
            <w:tcW w:w="2448" w:type="dxa"/>
            <w:vAlign w:val="center"/>
          </w:tcPr>
          <w:p w14:paraId="524656CE"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High</w:t>
            </w:r>
          </w:p>
        </w:tc>
      </w:tr>
    </w:tbl>
    <w:p w14:paraId="0CE4B97F"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0" w:name="_Toc243428018"/>
      <w:r w:rsidRPr="00DB2387">
        <w:rPr>
          <w:rFonts w:ascii="Arial" w:hAnsi="Arial" w:cs="Arial"/>
          <w:color w:val="000000" w:themeColor="text1"/>
          <w:szCs w:val="24"/>
        </w:rPr>
        <w:t>2.2 Recommended Growth Strategy: Verified Low-Carbon Product Development</w:t>
      </w:r>
      <w:bookmarkEnd w:id="10"/>
    </w:p>
    <w:p w14:paraId="268499B7" w14:textId="77777777" w:rsidR="00933521"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Product development should be the central growth strategy.</w:t>
      </w:r>
      <w:r w:rsidR="00662308" w:rsidRPr="00DB2387">
        <w:rPr>
          <w:rFonts w:ascii="Arial" w:hAnsi="Arial" w:cs="Arial"/>
          <w:color w:val="000000" w:themeColor="text1"/>
          <w:sz w:val="24"/>
          <w:szCs w:val="24"/>
        </w:rPr>
        <w:t xml:space="preserve"> It is important that Rio Tinto develop a range of “verified low-carbon materials” in which customers will receive data specific to each material in terms of emission intensity, energy use, water efficiency, and responsible sourcing. This will enable the company to move from just a sustainability message to a real product attribute (IEA, 2026). Aluminum should be the first area of concern. There is an existing and commercially proven ELYSIS cell that allows aluminum production without carbon emissions from the smelting process.</w:t>
      </w:r>
    </w:p>
    <w:p w14:paraId="38C59C9A" w14:textId="34FE9AC7" w:rsidR="003F7F2F"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second one is copper</w:t>
      </w:r>
      <w:r w:rsidR="00CC7EE3" w:rsidRPr="00DB2387">
        <w:rPr>
          <w:rFonts w:ascii="Arial" w:hAnsi="Arial" w:cs="Arial"/>
          <w:color w:val="000000" w:themeColor="text1"/>
          <w:sz w:val="24"/>
          <w:szCs w:val="24"/>
        </w:rPr>
        <w:t xml:space="preserve">. The expected shortage of copper supply according to IEA forecasts gives this material strategic value of its own. Rio Tinto needs to integrate copper growth strategy with emissions visibility and long-term contracting with customers in grids, renewables and electrified transport (Rio Tinto, 2026b). The third priority should be premium iron ore. Simandou can be marketed as premium product suitable for low-carbon steel production. </w:t>
      </w:r>
      <w:r w:rsidRPr="00DB2387">
        <w:rPr>
          <w:rFonts w:ascii="Arial" w:hAnsi="Arial" w:cs="Arial"/>
          <w:color w:val="000000" w:themeColor="text1"/>
          <w:sz w:val="24"/>
          <w:szCs w:val="24"/>
        </w:rPr>
        <w:t>Competitive advantage therefore comes from combining environmental credibility with quality, scale, reliability and cost discipline.</w:t>
      </w:r>
    </w:p>
    <w:p w14:paraId="101590F2"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1" w:name="_Toc243428019"/>
      <w:r w:rsidRPr="00DB2387">
        <w:rPr>
          <w:rFonts w:ascii="Arial" w:hAnsi="Arial" w:cs="Arial"/>
          <w:color w:val="000000" w:themeColor="text1"/>
          <w:szCs w:val="24"/>
        </w:rPr>
        <w:t>2.3 Market Development and Competitive Positioning</w:t>
      </w:r>
      <w:bookmarkEnd w:id="11"/>
    </w:p>
    <w:p w14:paraId="3BA3C265" w14:textId="3789622D" w:rsidR="00662308"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Market development should focus on customers for whom mineral security and decarbonisation are both strategically important.</w:t>
      </w:r>
      <w:r w:rsidR="00662308" w:rsidRPr="00DB2387">
        <w:rPr>
          <w:rFonts w:ascii="Arial" w:hAnsi="Arial" w:cs="Arial"/>
          <w:color w:val="000000" w:themeColor="text1"/>
          <w:sz w:val="24"/>
          <w:szCs w:val="24"/>
        </w:rPr>
        <w:t xml:space="preserve"> The firm should focus on the following five market segments:</w:t>
      </w:r>
    </w:p>
    <w:p w14:paraId="14657BEE" w14:textId="77777777" w:rsidR="00662308"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1. Value chains for electric vehicles and batteries: There is a connection between the use of lithium and copper and electrification. The company should create alliances with battery manufacturers and electric vehicle value chains.</w:t>
      </w:r>
    </w:p>
    <w:p w14:paraId="145007C5" w14:textId="77777777" w:rsidR="00662308"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2. Grid developers: Grid development would need a lot of copper and aluminum (Rio Tinto, 2026C).</w:t>
      </w:r>
    </w:p>
    <w:p w14:paraId="5D46CDC8" w14:textId="77777777" w:rsidR="00662308"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3. Manufacturers of renewable energy: Energy from wind and solar is mineral-intensive. The focus of the marketing initiative would be on traceability and supply reliability rather than just being environmentally friendly.</w:t>
      </w:r>
    </w:p>
    <w:p w14:paraId="00515ADC" w14:textId="77777777" w:rsidR="00662308"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4. Car manufacturers: Low carbon aluminum would help in reducing the carbon footprints of the automobiles. ELYSIS provides an advantage in terms of product development.</w:t>
      </w:r>
    </w:p>
    <w:p w14:paraId="517C7EE3" w14:textId="1A151C69" w:rsidR="00CC7EE3" w:rsidRPr="00DB2387" w:rsidRDefault="00662308"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5. Low carbon steel manufacturers: The high-grade ore available at Simandou mine can enable direct reduction process.</w:t>
      </w:r>
    </w:p>
    <w:p w14:paraId="52711CF8" w14:textId="5760E728" w:rsidR="003F7F2F" w:rsidRPr="00DB2387" w:rsidRDefault="00CC7EE3"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Porter’s Generic Strategy gives an additional point of view (Porter, 1985). Rio Tinto should pursue focused differentiation supported by cost efficiency. Differentiation is required because sustainability, traceability and technical innovation can distinguish its products</w:t>
      </w:r>
      <w:r w:rsidR="000F210B" w:rsidRPr="00DB2387">
        <w:rPr>
          <w:rFonts w:ascii="Arial" w:hAnsi="Arial" w:cs="Arial"/>
          <w:color w:val="000000" w:themeColor="text1"/>
          <w:sz w:val="24"/>
          <w:szCs w:val="24"/>
        </w:rPr>
        <w:t xml:space="preserve"> </w:t>
      </w:r>
      <w:r w:rsidR="00CC1F76" w:rsidRPr="00DB2387">
        <w:rPr>
          <w:rFonts w:ascii="Arial" w:hAnsi="Arial" w:cs="Arial"/>
          <w:color w:val="000000" w:themeColor="text1"/>
          <w:sz w:val="24"/>
          <w:szCs w:val="24"/>
        </w:rPr>
        <w:t>(Nature Geoscience, 2024).</w:t>
      </w:r>
    </w:p>
    <w:p w14:paraId="587127B1" w14:textId="15AE1916"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The competitive advantage can therefore be expressed as five numbered capabilities: 1) verified environmental performance; 2) high-quality mineral products; 3) secure and diversified supply; 4) customer co-innovation; and 5) disciplined capital allocation. </w:t>
      </w:r>
    </w:p>
    <w:p w14:paraId="080C83BA" w14:textId="357B8078"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 xml:space="preserve">Table </w:t>
      </w:r>
      <w:r w:rsidR="000F210B" w:rsidRPr="00DB2387">
        <w:rPr>
          <w:rFonts w:ascii="Arial" w:hAnsi="Arial" w:cs="Arial"/>
          <w:b/>
          <w:color w:val="000000" w:themeColor="text1"/>
          <w:sz w:val="24"/>
          <w:szCs w:val="24"/>
        </w:rPr>
        <w:t>3</w:t>
      </w:r>
      <w:r w:rsidRPr="00DB2387">
        <w:rPr>
          <w:rFonts w:ascii="Arial" w:hAnsi="Arial" w:cs="Arial"/>
          <w:b/>
          <w:color w:val="000000" w:themeColor="text1"/>
          <w:sz w:val="24"/>
          <w:szCs w:val="24"/>
        </w:rPr>
        <w:t>: Recommended strategic priorities and KPIs</w:t>
      </w:r>
    </w:p>
    <w:tbl>
      <w:tblPr>
        <w:tblStyle w:val="TableGrid"/>
        <w:tblW w:w="0" w:type="auto"/>
        <w:jc w:val="center"/>
        <w:tblLook w:val="04A0" w:firstRow="1" w:lastRow="0" w:firstColumn="1" w:lastColumn="0" w:noHBand="0" w:noVBand="1"/>
      </w:tblPr>
      <w:tblGrid>
        <w:gridCol w:w="2448"/>
        <w:gridCol w:w="2448"/>
        <w:gridCol w:w="2448"/>
        <w:gridCol w:w="2448"/>
      </w:tblGrid>
      <w:tr w:rsidR="00DB2387" w:rsidRPr="00DB2387" w14:paraId="3E135598" w14:textId="77777777">
        <w:trPr>
          <w:jc w:val="center"/>
        </w:trPr>
        <w:tc>
          <w:tcPr>
            <w:tcW w:w="2448" w:type="dxa"/>
            <w:vAlign w:val="center"/>
          </w:tcPr>
          <w:p w14:paraId="6326228D"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Priority</w:t>
            </w:r>
          </w:p>
        </w:tc>
        <w:tc>
          <w:tcPr>
            <w:tcW w:w="2448" w:type="dxa"/>
            <w:vAlign w:val="center"/>
          </w:tcPr>
          <w:p w14:paraId="49086CF7"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Action</w:t>
            </w:r>
          </w:p>
        </w:tc>
        <w:tc>
          <w:tcPr>
            <w:tcW w:w="2448" w:type="dxa"/>
            <w:vAlign w:val="center"/>
          </w:tcPr>
          <w:p w14:paraId="63490F3A"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KPI</w:t>
            </w:r>
          </w:p>
        </w:tc>
        <w:tc>
          <w:tcPr>
            <w:tcW w:w="2448" w:type="dxa"/>
            <w:vAlign w:val="center"/>
          </w:tcPr>
          <w:p w14:paraId="04DA199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b/>
                <w:color w:val="000000" w:themeColor="text1"/>
                <w:sz w:val="24"/>
                <w:szCs w:val="24"/>
              </w:rPr>
              <w:t>Strategic rationale</w:t>
            </w:r>
          </w:p>
        </w:tc>
      </w:tr>
      <w:tr w:rsidR="00DB2387" w:rsidRPr="00DB2387" w14:paraId="42601CFF" w14:textId="77777777">
        <w:trPr>
          <w:jc w:val="center"/>
        </w:trPr>
        <w:tc>
          <w:tcPr>
            <w:tcW w:w="2448" w:type="dxa"/>
            <w:vAlign w:val="center"/>
          </w:tcPr>
          <w:p w14:paraId="06C78F79"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1</w:t>
            </w:r>
          </w:p>
        </w:tc>
        <w:tc>
          <w:tcPr>
            <w:tcW w:w="2448" w:type="dxa"/>
            <w:vAlign w:val="center"/>
          </w:tcPr>
          <w:p w14:paraId="30D7D3F9"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Scale verified low-carbon aluminium</w:t>
            </w:r>
          </w:p>
        </w:tc>
        <w:tc>
          <w:tcPr>
            <w:tcW w:w="2448" w:type="dxa"/>
            <w:vAlign w:val="center"/>
          </w:tcPr>
          <w:p w14:paraId="62EBC814"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Tonnes sold with verified product carbon data</w:t>
            </w:r>
          </w:p>
        </w:tc>
        <w:tc>
          <w:tcPr>
            <w:tcW w:w="2448" w:type="dxa"/>
            <w:vAlign w:val="center"/>
          </w:tcPr>
          <w:p w14:paraId="0A679231"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Converts technology into customer value</w:t>
            </w:r>
          </w:p>
        </w:tc>
      </w:tr>
      <w:tr w:rsidR="00DB2387" w:rsidRPr="00DB2387" w14:paraId="7E56B718" w14:textId="77777777">
        <w:trPr>
          <w:jc w:val="center"/>
        </w:trPr>
        <w:tc>
          <w:tcPr>
            <w:tcW w:w="2448" w:type="dxa"/>
            <w:vAlign w:val="center"/>
          </w:tcPr>
          <w:p w14:paraId="7C452924"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2</w:t>
            </w:r>
          </w:p>
        </w:tc>
        <w:tc>
          <w:tcPr>
            <w:tcW w:w="2448" w:type="dxa"/>
            <w:vAlign w:val="center"/>
          </w:tcPr>
          <w:p w14:paraId="0448475D"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Grow copper and lithium strategically</w:t>
            </w:r>
          </w:p>
        </w:tc>
        <w:tc>
          <w:tcPr>
            <w:tcW w:w="2448" w:type="dxa"/>
            <w:vAlign w:val="center"/>
          </w:tcPr>
          <w:p w14:paraId="63E662DF"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Production growth and long-term contracts</w:t>
            </w:r>
          </w:p>
        </w:tc>
        <w:tc>
          <w:tcPr>
            <w:tcW w:w="2448" w:type="dxa"/>
            <w:vAlign w:val="center"/>
          </w:tcPr>
          <w:p w14:paraId="186BE5AC"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Captures energy-transition demand</w:t>
            </w:r>
          </w:p>
        </w:tc>
      </w:tr>
      <w:tr w:rsidR="00DB2387" w:rsidRPr="00DB2387" w14:paraId="730F3996" w14:textId="77777777">
        <w:trPr>
          <w:jc w:val="center"/>
        </w:trPr>
        <w:tc>
          <w:tcPr>
            <w:tcW w:w="2448" w:type="dxa"/>
            <w:vAlign w:val="center"/>
          </w:tcPr>
          <w:p w14:paraId="5FBB1C1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3</w:t>
            </w:r>
          </w:p>
        </w:tc>
        <w:tc>
          <w:tcPr>
            <w:tcW w:w="2448" w:type="dxa"/>
            <w:vAlign w:val="center"/>
          </w:tcPr>
          <w:p w14:paraId="2831685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Expand customer co-innovation</w:t>
            </w:r>
          </w:p>
        </w:tc>
        <w:tc>
          <w:tcPr>
            <w:tcW w:w="2448" w:type="dxa"/>
            <w:vAlign w:val="center"/>
          </w:tcPr>
          <w:p w14:paraId="0A7B8342"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Number/value of strategic partnerships</w:t>
            </w:r>
          </w:p>
        </w:tc>
        <w:tc>
          <w:tcPr>
            <w:tcW w:w="2448" w:type="dxa"/>
            <w:vAlign w:val="center"/>
          </w:tcPr>
          <w:p w14:paraId="3F672550"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Strengthens differentiation</w:t>
            </w:r>
          </w:p>
        </w:tc>
      </w:tr>
      <w:tr w:rsidR="00DB2387" w:rsidRPr="00DB2387" w14:paraId="20518EEF" w14:textId="77777777">
        <w:trPr>
          <w:jc w:val="center"/>
        </w:trPr>
        <w:tc>
          <w:tcPr>
            <w:tcW w:w="2448" w:type="dxa"/>
            <w:vAlign w:val="center"/>
          </w:tcPr>
          <w:p w14:paraId="2A21334B"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4</w:t>
            </w:r>
          </w:p>
        </w:tc>
        <w:tc>
          <w:tcPr>
            <w:tcW w:w="2448" w:type="dxa"/>
            <w:vAlign w:val="center"/>
          </w:tcPr>
          <w:p w14:paraId="56B98B34"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Reduce operational emissions</w:t>
            </w:r>
          </w:p>
        </w:tc>
        <w:tc>
          <w:tcPr>
            <w:tcW w:w="2448" w:type="dxa"/>
            <w:vAlign w:val="center"/>
          </w:tcPr>
          <w:p w14:paraId="271E2442"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Scope 1 &amp; 2 reduction vs 2018</w:t>
            </w:r>
          </w:p>
        </w:tc>
        <w:tc>
          <w:tcPr>
            <w:tcW w:w="2448" w:type="dxa"/>
            <w:vAlign w:val="center"/>
          </w:tcPr>
          <w:p w14:paraId="4A61ADB3"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Supports credibility and compliance</w:t>
            </w:r>
          </w:p>
        </w:tc>
      </w:tr>
      <w:tr w:rsidR="00DB2387" w:rsidRPr="00DB2387" w14:paraId="3A5D8B35" w14:textId="77777777">
        <w:trPr>
          <w:jc w:val="center"/>
        </w:trPr>
        <w:tc>
          <w:tcPr>
            <w:tcW w:w="2448" w:type="dxa"/>
            <w:vAlign w:val="center"/>
          </w:tcPr>
          <w:p w14:paraId="73E537AB"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5</w:t>
            </w:r>
          </w:p>
        </w:tc>
        <w:tc>
          <w:tcPr>
            <w:tcW w:w="2448" w:type="dxa"/>
            <w:vAlign w:val="center"/>
          </w:tcPr>
          <w:p w14:paraId="3B959AF3"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Protect returns</w:t>
            </w:r>
          </w:p>
        </w:tc>
        <w:tc>
          <w:tcPr>
            <w:tcW w:w="2448" w:type="dxa"/>
            <w:vAlign w:val="center"/>
          </w:tcPr>
          <w:p w14:paraId="75663178"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ROCE, EBITDA margin, project NPV</w:t>
            </w:r>
          </w:p>
        </w:tc>
        <w:tc>
          <w:tcPr>
            <w:tcW w:w="2448" w:type="dxa"/>
            <w:vAlign w:val="center"/>
          </w:tcPr>
          <w:p w14:paraId="6C84B696" w14:textId="77777777" w:rsidR="003F7F2F" w:rsidRPr="00DB2387" w:rsidRDefault="0052393A" w:rsidP="00DB2387">
            <w:pPr>
              <w:spacing w:after="0"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Prevents sustainability-led value destruction</w:t>
            </w:r>
          </w:p>
        </w:tc>
      </w:tr>
    </w:tbl>
    <w:p w14:paraId="205B462F" w14:textId="77777777" w:rsidR="003F7F2F" w:rsidRPr="00DB2387" w:rsidRDefault="0052393A" w:rsidP="00DB2387">
      <w:pPr>
        <w:pStyle w:val="Heading1"/>
        <w:spacing w:line="360" w:lineRule="auto"/>
        <w:jc w:val="both"/>
        <w:rPr>
          <w:rFonts w:ascii="Arial" w:hAnsi="Arial" w:cs="Arial"/>
          <w:color w:val="000000" w:themeColor="text1"/>
          <w:sz w:val="24"/>
          <w:szCs w:val="24"/>
        </w:rPr>
      </w:pPr>
      <w:bookmarkStart w:id="12" w:name="_Toc243428020"/>
      <w:r w:rsidRPr="00DB2387">
        <w:rPr>
          <w:rFonts w:ascii="Arial" w:hAnsi="Arial" w:cs="Arial"/>
          <w:color w:val="000000" w:themeColor="text1"/>
          <w:sz w:val="24"/>
          <w:szCs w:val="24"/>
        </w:rPr>
        <w:lastRenderedPageBreak/>
        <w:t>Task 3: Managerial and Professional Reflection</w:t>
      </w:r>
      <w:bookmarkEnd w:id="12"/>
    </w:p>
    <w:p w14:paraId="68A04C78"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3" w:name="_Toc243428021"/>
      <w:r w:rsidRPr="00DB2387">
        <w:rPr>
          <w:rFonts w:ascii="Arial" w:hAnsi="Arial" w:cs="Arial"/>
          <w:color w:val="000000" w:themeColor="text1"/>
          <w:szCs w:val="24"/>
        </w:rPr>
        <w:t>3.1 Rationale for Selecting Rio Tinto</w:t>
      </w:r>
      <w:bookmarkEnd w:id="13"/>
    </w:p>
    <w:p w14:paraId="3BDAD601" w14:textId="03FD25DF"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was selected because its current portfolio transformation provides a materially different case from a company centred primarily on copper and iron ore. The acquisition of Arcadium Lithium, expansion of Oyu Tolgoi, development of Simandou and investment in low-carbon aluminium technology demonstrate simultaneous portfolio diversification and </w:t>
      </w:r>
      <w:r w:rsidR="00CC1F76" w:rsidRPr="00DB2387">
        <w:rPr>
          <w:rFonts w:ascii="Arial" w:hAnsi="Arial" w:cs="Arial"/>
          <w:color w:val="000000" w:themeColor="text1"/>
          <w:sz w:val="24"/>
          <w:szCs w:val="24"/>
        </w:rPr>
        <w:t>decarbonization (IEA, 2026)</w:t>
      </w:r>
      <w:r w:rsidRPr="00DB2387">
        <w:rPr>
          <w:rFonts w:ascii="Arial" w:hAnsi="Arial" w:cs="Arial"/>
          <w:color w:val="000000" w:themeColor="text1"/>
          <w:sz w:val="24"/>
          <w:szCs w:val="24"/>
        </w:rPr>
        <w:t xml:space="preserve">. This makes the company appropriate for assessing how environmental pressures can influence both product strategy and growth. Its annual reporting discloses financial performance, emissions, projects and sustainability indicators, allowing environmental and strategic claims to be compared with measurable outcomes. </w:t>
      </w:r>
    </w:p>
    <w:p w14:paraId="5550B8BB"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4" w:name="_Toc243428022"/>
      <w:r w:rsidRPr="00DB2387">
        <w:rPr>
          <w:rFonts w:ascii="Arial" w:hAnsi="Arial" w:cs="Arial"/>
          <w:color w:val="000000" w:themeColor="text1"/>
          <w:szCs w:val="24"/>
        </w:rPr>
        <w:t>3.2 Rationale for Selecting the External Actors</w:t>
      </w:r>
      <w:bookmarkEnd w:id="14"/>
    </w:p>
    <w:p w14:paraId="695E15AE" w14:textId="75C697A8"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natural environment was prioritised because mining is fundamentally dependent on environmental resources and exposed to climate-related disruption. Political and regulatory forces were selected because critical-mineral policy and carbon regulation increasingly influence demand, project economics and customer requirements. Customers and stakeholders were selected because decarbonisation ultimately occurs across value chains rather than inside Rio Tinto’s operational boundaries</w:t>
      </w:r>
      <w:r w:rsidR="00CC1F76" w:rsidRPr="00DB2387">
        <w:rPr>
          <w:rFonts w:ascii="Arial" w:hAnsi="Arial" w:cs="Arial"/>
          <w:color w:val="000000" w:themeColor="text1"/>
          <w:sz w:val="24"/>
          <w:szCs w:val="24"/>
        </w:rPr>
        <w:t xml:space="preserve"> (IEA, 2025b)</w:t>
      </w:r>
      <w:r w:rsidRPr="00DB2387">
        <w:rPr>
          <w:rFonts w:ascii="Arial" w:hAnsi="Arial" w:cs="Arial"/>
          <w:color w:val="000000" w:themeColor="text1"/>
          <w:sz w:val="24"/>
          <w:szCs w:val="24"/>
        </w:rPr>
        <w:t>.</w:t>
      </w:r>
      <w:r w:rsidR="00CC1F76" w:rsidRPr="00DB2387">
        <w:rPr>
          <w:rFonts w:ascii="Arial" w:hAnsi="Arial" w:cs="Arial"/>
          <w:color w:val="000000" w:themeColor="text1"/>
          <w:sz w:val="24"/>
          <w:szCs w:val="24"/>
        </w:rPr>
        <w:t xml:space="preserve"> </w:t>
      </w:r>
      <w:r w:rsidR="00CC7EE3" w:rsidRPr="00DB2387">
        <w:rPr>
          <w:rFonts w:ascii="Arial" w:hAnsi="Arial" w:cs="Arial"/>
          <w:color w:val="000000" w:themeColor="text1"/>
          <w:sz w:val="24"/>
          <w:szCs w:val="24"/>
        </w:rPr>
        <w:t>By c</w:t>
      </w:r>
      <w:r w:rsidRPr="00DB2387">
        <w:rPr>
          <w:rFonts w:ascii="Arial" w:hAnsi="Arial" w:cs="Arial"/>
          <w:color w:val="000000" w:themeColor="text1"/>
          <w:sz w:val="24"/>
          <w:szCs w:val="24"/>
        </w:rPr>
        <w:t>ombining the three produces a more balanced assessment for senior leadership.</w:t>
      </w:r>
    </w:p>
    <w:p w14:paraId="5972B3D0"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5" w:name="_Toc243428023"/>
      <w:r w:rsidRPr="00DB2387">
        <w:rPr>
          <w:rFonts w:ascii="Arial" w:hAnsi="Arial" w:cs="Arial"/>
          <w:color w:val="000000" w:themeColor="text1"/>
          <w:szCs w:val="24"/>
        </w:rPr>
        <w:t>3.3 Reflection on the Strategic Recommendation</w:t>
      </w:r>
      <w:bookmarkEnd w:id="15"/>
    </w:p>
    <w:p w14:paraId="7AF926F9" w14:textId="36EF9E3F"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recommendation to prioritise product development reflects the strongest intersection between Rio Tinto’s capabilities and external demand.</w:t>
      </w:r>
      <w:r w:rsidR="00CC7EE3" w:rsidRPr="00DB2387">
        <w:rPr>
          <w:rFonts w:ascii="Arial" w:hAnsi="Arial" w:cs="Arial"/>
          <w:color w:val="000000" w:themeColor="text1"/>
          <w:sz w:val="24"/>
          <w:szCs w:val="24"/>
        </w:rPr>
        <w:t xml:space="preserve"> Market development was chosen as the supporting strategy as consumers of electric vehicles, grids, renewables, automotive production, and low-carbon steel might attach more importance to secure sourcing and carbon footprint data (Muslemani et al., 2021). Nonetheless, the strategy needs to be pursued through incremental investment as management cannot take for granted that all technologies would reach commercial viability or that all customers would pay a premium</w:t>
      </w:r>
      <w:r w:rsidRPr="00DB2387">
        <w:rPr>
          <w:rFonts w:ascii="Arial" w:hAnsi="Arial" w:cs="Arial"/>
          <w:color w:val="000000" w:themeColor="text1"/>
          <w:sz w:val="24"/>
          <w:szCs w:val="24"/>
        </w:rPr>
        <w:t xml:space="preserve">. </w:t>
      </w:r>
    </w:p>
    <w:p w14:paraId="4359100C" w14:textId="77777777" w:rsidR="003F7F2F" w:rsidRPr="00DB2387" w:rsidRDefault="0052393A" w:rsidP="00DB2387">
      <w:pPr>
        <w:pStyle w:val="Heading2"/>
        <w:spacing w:line="360" w:lineRule="auto"/>
        <w:jc w:val="both"/>
        <w:rPr>
          <w:rFonts w:ascii="Arial" w:hAnsi="Arial" w:cs="Arial"/>
          <w:color w:val="000000" w:themeColor="text1"/>
          <w:szCs w:val="24"/>
        </w:rPr>
      </w:pPr>
      <w:bookmarkStart w:id="16" w:name="_Toc243428024"/>
      <w:r w:rsidRPr="00DB2387">
        <w:rPr>
          <w:rFonts w:ascii="Arial" w:hAnsi="Arial" w:cs="Arial"/>
          <w:color w:val="000000" w:themeColor="text1"/>
          <w:szCs w:val="24"/>
        </w:rPr>
        <w:t>3.4 Limitations and Additional Information Required</w:t>
      </w:r>
      <w:bookmarkEnd w:id="16"/>
    </w:p>
    <w:p w14:paraId="7508C55C" w14:textId="3A582E57" w:rsidR="003F7F2F" w:rsidRPr="00DB2387" w:rsidRDefault="0052393A"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The analysis has several limitations.</w:t>
      </w:r>
      <w:r w:rsidR="00CC7EE3" w:rsidRPr="00DB2387">
        <w:rPr>
          <w:rFonts w:ascii="Arial" w:hAnsi="Arial" w:cs="Arial"/>
          <w:color w:val="000000" w:themeColor="text1"/>
          <w:sz w:val="24"/>
          <w:szCs w:val="24"/>
        </w:rPr>
        <w:t xml:space="preserve"> First, the recommendation relies on secondary data alone and </w:t>
      </w:r>
      <w:r w:rsidR="000F210B" w:rsidRPr="00DB2387">
        <w:rPr>
          <w:rFonts w:ascii="Arial" w:hAnsi="Arial" w:cs="Arial"/>
          <w:color w:val="000000" w:themeColor="text1"/>
          <w:sz w:val="24"/>
          <w:szCs w:val="24"/>
        </w:rPr>
        <w:t>cannot</w:t>
      </w:r>
      <w:r w:rsidR="00CC7EE3" w:rsidRPr="00DB2387">
        <w:rPr>
          <w:rFonts w:ascii="Arial" w:hAnsi="Arial" w:cs="Arial"/>
          <w:color w:val="000000" w:themeColor="text1"/>
          <w:sz w:val="24"/>
          <w:szCs w:val="24"/>
        </w:rPr>
        <w:t xml:space="preserve"> ascertain willingness to pay from customers.</w:t>
      </w:r>
      <w:r w:rsidR="00662308" w:rsidRPr="00DB2387">
        <w:rPr>
          <w:rFonts w:ascii="Arial" w:hAnsi="Arial" w:cs="Arial"/>
          <w:color w:val="000000" w:themeColor="text1"/>
          <w:sz w:val="24"/>
          <w:szCs w:val="24"/>
        </w:rPr>
        <w:t xml:space="preserve"> Secon</w:t>
      </w:r>
      <w:r w:rsidR="00CC7EE3" w:rsidRPr="00DB2387">
        <w:rPr>
          <w:rFonts w:ascii="Arial" w:hAnsi="Arial" w:cs="Arial"/>
          <w:color w:val="000000" w:themeColor="text1"/>
          <w:sz w:val="24"/>
          <w:szCs w:val="24"/>
        </w:rPr>
        <w:t xml:space="preserve">d, the lifecycle emissions of the projects were not determined separately, implying that carbon claims need to be verified for products. In a real consultancy engagement, customer interviews, </w:t>
      </w:r>
      <w:r w:rsidR="00CC7EE3" w:rsidRPr="00DB2387">
        <w:rPr>
          <w:rFonts w:ascii="Arial" w:hAnsi="Arial" w:cs="Arial"/>
          <w:color w:val="000000" w:themeColor="text1"/>
          <w:sz w:val="24"/>
          <w:szCs w:val="24"/>
        </w:rPr>
        <w:lastRenderedPageBreak/>
        <w:t>competitor comparison, lifecycle assessment, technology-readiness review, project-level NPV and sensitivity analysis, scenario modeling for regulations and Scope 3 analysis are required (IEA, 2025). Moreover, biodiversity impacts, water impacts and community impacts of each asset should be determined, rather than treating the environmental issue at a group level. The recommended course of action is therefore conditional; that is, Rio Tinto should speed up low-carbon products development, when customer demand and economic gains are evident</w:t>
      </w:r>
      <w:r w:rsidRPr="00DB2387">
        <w:rPr>
          <w:rFonts w:ascii="Arial" w:hAnsi="Arial" w:cs="Arial"/>
          <w:color w:val="000000" w:themeColor="text1"/>
          <w:sz w:val="24"/>
          <w:szCs w:val="24"/>
        </w:rPr>
        <w:t>.</w:t>
      </w:r>
    </w:p>
    <w:p w14:paraId="6C8848B7" w14:textId="77777777" w:rsidR="003F7F2F" w:rsidRPr="00DB2387" w:rsidRDefault="0052393A" w:rsidP="00DB2387">
      <w:pPr>
        <w:pStyle w:val="Heading1"/>
        <w:spacing w:line="360" w:lineRule="auto"/>
        <w:jc w:val="both"/>
        <w:rPr>
          <w:rFonts w:ascii="Arial" w:hAnsi="Arial" w:cs="Arial"/>
          <w:color w:val="000000" w:themeColor="text1"/>
          <w:sz w:val="24"/>
          <w:szCs w:val="24"/>
        </w:rPr>
      </w:pPr>
      <w:bookmarkStart w:id="17" w:name="_Toc243428025"/>
      <w:r w:rsidRPr="00DB2387">
        <w:rPr>
          <w:rFonts w:ascii="Arial" w:hAnsi="Arial" w:cs="Arial"/>
          <w:color w:val="000000" w:themeColor="text1"/>
          <w:sz w:val="24"/>
          <w:szCs w:val="24"/>
        </w:rPr>
        <w:t>Conclusion</w:t>
      </w:r>
      <w:bookmarkEnd w:id="17"/>
    </w:p>
    <w:p w14:paraId="435A7CB5" w14:textId="2CE2DE59" w:rsidR="003F7F2F" w:rsidRPr="00DB2387" w:rsidRDefault="00662308" w:rsidP="00DB2387">
      <w:pPr>
        <w:pStyle w:val="NormalWeb"/>
        <w:spacing w:line="360" w:lineRule="auto"/>
        <w:jc w:val="both"/>
        <w:rPr>
          <w:rFonts w:ascii="Arial" w:hAnsi="Arial" w:cs="Arial"/>
          <w:color w:val="000000" w:themeColor="text1"/>
        </w:rPr>
      </w:pPr>
      <w:r w:rsidRPr="00DB2387">
        <w:rPr>
          <w:rFonts w:ascii="Arial" w:hAnsi="Arial" w:cs="Arial"/>
          <w:color w:val="000000" w:themeColor="text1"/>
        </w:rPr>
        <w:t>A shift to the low-carbon model is one of the significant challenges facing Rio Tinto with lots of opportunities as well. Increasing demand for copper, lithium, and aluminum gives opportunities to increase the product range, while regulations and stakeholders’ demands increase the need for environmental performance. Product development based on market development is the optimal strategic direction. By means of low carbon products, innovations, security of supply, and economy, Rio Tinto will be able to achieve competitive advantages and promote global energy transition.</w:t>
      </w:r>
    </w:p>
    <w:p w14:paraId="30A92010" w14:textId="77777777" w:rsidR="000F210B" w:rsidRPr="00DB2387" w:rsidRDefault="000F210B" w:rsidP="00DB2387">
      <w:pPr>
        <w:spacing w:after="200" w:line="360" w:lineRule="auto"/>
        <w:jc w:val="both"/>
        <w:rPr>
          <w:rFonts w:ascii="Arial" w:eastAsiaTheme="majorEastAsia" w:hAnsi="Arial" w:cs="Arial"/>
          <w:b/>
          <w:bCs/>
          <w:color w:val="000000" w:themeColor="text1"/>
          <w:sz w:val="24"/>
          <w:szCs w:val="24"/>
        </w:rPr>
      </w:pPr>
      <w:r w:rsidRPr="00DB2387">
        <w:rPr>
          <w:rFonts w:ascii="Arial" w:hAnsi="Arial" w:cs="Arial"/>
          <w:color w:val="000000" w:themeColor="text1"/>
          <w:sz w:val="24"/>
          <w:szCs w:val="24"/>
        </w:rPr>
        <w:br w:type="page"/>
      </w:r>
    </w:p>
    <w:p w14:paraId="016EF8B6" w14:textId="5DFC3C7B" w:rsidR="003F7F2F" w:rsidRPr="00DB2387" w:rsidRDefault="0052393A" w:rsidP="00DB2387">
      <w:pPr>
        <w:pStyle w:val="Heading1"/>
        <w:spacing w:line="360" w:lineRule="auto"/>
        <w:jc w:val="both"/>
        <w:rPr>
          <w:rFonts w:ascii="Arial" w:hAnsi="Arial" w:cs="Arial"/>
          <w:color w:val="000000" w:themeColor="text1"/>
          <w:sz w:val="24"/>
          <w:szCs w:val="24"/>
        </w:rPr>
      </w:pPr>
      <w:bookmarkStart w:id="18" w:name="_Toc243428026"/>
      <w:r w:rsidRPr="00DB2387">
        <w:rPr>
          <w:rFonts w:ascii="Arial" w:hAnsi="Arial" w:cs="Arial"/>
          <w:color w:val="000000" w:themeColor="text1"/>
          <w:sz w:val="24"/>
          <w:szCs w:val="24"/>
        </w:rPr>
        <w:lastRenderedPageBreak/>
        <w:t>References</w:t>
      </w:r>
      <w:bookmarkEnd w:id="18"/>
    </w:p>
    <w:p w14:paraId="517BEFB6"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Ansoff, H.I., 1957. ‘Strategies for diversification’, Harvard Business Review, 35(5), pp. 113–124. </w:t>
      </w:r>
      <w:r w:rsidRPr="00DB2387">
        <w:rPr>
          <w:rFonts w:ascii="Arial" w:hAnsi="Arial" w:cs="Arial"/>
          <w:color w:val="000000" w:themeColor="text1"/>
          <w:sz w:val="24"/>
          <w:szCs w:val="24"/>
          <w:u w:val="single"/>
        </w:rPr>
        <w:t>https://hbr.org/1957/09/strategies-for-diversification</w:t>
      </w:r>
    </w:p>
    <w:p w14:paraId="1AA7FD60"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Antonini, S., Grisolia, G. and Blengini, G.A., 2025. ‘Three open questions on Net Zero in the mining and metals industries’, Mineral Economics. </w:t>
      </w:r>
      <w:r w:rsidRPr="00DB2387">
        <w:rPr>
          <w:rFonts w:ascii="Arial" w:hAnsi="Arial" w:cs="Arial"/>
          <w:color w:val="000000" w:themeColor="text1"/>
          <w:sz w:val="24"/>
          <w:szCs w:val="24"/>
          <w:u w:val="single"/>
        </w:rPr>
        <w:t>https://link.springer.com/article/10.1007/s13563-025-00554-2</w:t>
      </w:r>
    </w:p>
    <w:p w14:paraId="39B000B3"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Bieuville, P., Majeau-Bettez, G. and de Bortoli, A., 2026. ‘Technology flexibility and sobriety to address shortage of energy-transition metals’, Nature Sustainability, 9, pp. 419–430. </w:t>
      </w:r>
      <w:r w:rsidRPr="00DB2387">
        <w:rPr>
          <w:rFonts w:ascii="Arial" w:hAnsi="Arial" w:cs="Arial"/>
          <w:color w:val="000000" w:themeColor="text1"/>
          <w:sz w:val="24"/>
          <w:szCs w:val="24"/>
          <w:u w:val="single"/>
        </w:rPr>
        <w:t>https://www.nature.com/articles/s41893-025-01762-y</w:t>
      </w:r>
    </w:p>
    <w:p w14:paraId="3017AF0A"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European Commission, 2026. ‘CBAM definitive regime’. Brussels: European Commission. </w:t>
      </w:r>
      <w:r w:rsidRPr="00DB2387">
        <w:rPr>
          <w:rFonts w:ascii="Arial" w:hAnsi="Arial" w:cs="Arial"/>
          <w:color w:val="000000" w:themeColor="text1"/>
          <w:sz w:val="24"/>
          <w:szCs w:val="24"/>
          <w:u w:val="single"/>
        </w:rPr>
        <w:t>https://taxation-customs.ec.europa.eu/carbon-border-adjustment-mechanism/cbam-definitive-regime_en</w:t>
      </w:r>
    </w:p>
    <w:p w14:paraId="17A2EE93"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IEA, 2025a. Global Critical Minerals Outlook 2025: Copper. Paris: International Energy Agency. </w:t>
      </w:r>
      <w:r w:rsidRPr="00DB2387">
        <w:rPr>
          <w:rFonts w:ascii="Arial" w:hAnsi="Arial" w:cs="Arial"/>
          <w:color w:val="000000" w:themeColor="text1"/>
          <w:sz w:val="24"/>
          <w:szCs w:val="24"/>
          <w:u w:val="single"/>
        </w:rPr>
        <w:t>https://www.iea.org/reports/copper-2</w:t>
      </w:r>
    </w:p>
    <w:p w14:paraId="60A72C02"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IEA, 2025b. Global Critical Minerals Outlook 2025. Paris: International Energy Agency. </w:t>
      </w:r>
      <w:r w:rsidRPr="00DB2387">
        <w:rPr>
          <w:rFonts w:ascii="Arial" w:hAnsi="Arial" w:cs="Arial"/>
          <w:color w:val="000000" w:themeColor="text1"/>
          <w:sz w:val="24"/>
          <w:szCs w:val="24"/>
          <w:u w:val="single"/>
        </w:rPr>
        <w:t>https://www.iea.org/reports/global-critical-minerals-outlook-2025</w:t>
      </w:r>
    </w:p>
    <w:p w14:paraId="085021D2"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IEA, 2026. Global Critical Minerals Outlook 2026. Paris: International Energy Agency. </w:t>
      </w:r>
      <w:r w:rsidRPr="00DB2387">
        <w:rPr>
          <w:rFonts w:ascii="Arial" w:hAnsi="Arial" w:cs="Arial"/>
          <w:color w:val="000000" w:themeColor="text1"/>
          <w:sz w:val="24"/>
          <w:szCs w:val="24"/>
          <w:u w:val="single"/>
        </w:rPr>
        <w:t>https://www.iea.org/reports/global-critical-minerals-outlook-2026</w:t>
      </w:r>
    </w:p>
    <w:p w14:paraId="052E27A5"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Johansson, P.-O. and Kriström, B., 2022. ‘Paying a premium for “green steel”: Paying for an illusion?’, Journal of Benefit-Cost Analysis, 13(3), pp. 312–335. </w:t>
      </w:r>
      <w:r w:rsidRPr="00DB2387">
        <w:rPr>
          <w:rFonts w:ascii="Arial" w:hAnsi="Arial" w:cs="Arial"/>
          <w:color w:val="000000" w:themeColor="text1"/>
          <w:sz w:val="24"/>
          <w:szCs w:val="24"/>
          <w:u w:val="single"/>
        </w:rPr>
        <w:t>https://www.cambridge.org/core/journals/journal-of-benefit-cost-analysis/article/paying-a-premium-for-green-steel-paying-for-an-illusion/3477D51F1707C072B4FA4B839A814ED6</w:t>
      </w:r>
    </w:p>
    <w:p w14:paraId="56B39AD0"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Kotler, P., Armstrong, G., Harris, L.C. and He, H., 2024. Principles of Marketing. 19th edn. Harlow: Pearson. </w:t>
      </w:r>
      <w:hyperlink r:id="rId10" w:history="1">
        <w:r w:rsidRPr="00DB2387">
          <w:rPr>
            <w:rStyle w:val="Hyperlink"/>
            <w:rFonts w:ascii="Arial" w:hAnsi="Arial" w:cs="Arial"/>
            <w:color w:val="000000" w:themeColor="text1"/>
            <w:sz w:val="24"/>
            <w:szCs w:val="24"/>
          </w:rPr>
          <w:t>https://www.pearson.com/en-gb/subject-catalog/p/principles-of-marketing/P200000009944</w:t>
        </w:r>
      </w:hyperlink>
    </w:p>
    <w:p w14:paraId="43470E68"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Muslemani, H., Liang, X., Kaesehage, K., Ascui, F. and Wilson, J., 2021. ‘Opportunities and challenges for decarbonizing steel production by creating markets for “green steel” products’, Journal of Cleaner Production, 315, 128127. </w:t>
      </w:r>
      <w:r w:rsidRPr="00DB2387">
        <w:rPr>
          <w:rFonts w:ascii="Arial" w:hAnsi="Arial" w:cs="Arial"/>
          <w:color w:val="000000" w:themeColor="text1"/>
          <w:sz w:val="24"/>
          <w:szCs w:val="24"/>
          <w:u w:val="single"/>
        </w:rPr>
        <w:t>https://www.sciencedirect.com/science/article/pii/S0959652621023453</w:t>
      </w:r>
    </w:p>
    <w:p w14:paraId="18007464"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lastRenderedPageBreak/>
        <w:t xml:space="preserve">Nature Geoscience, 2024. ‘Minerals power the green transition’, Nature Geoscience, 17, p. 1067. </w:t>
      </w:r>
      <w:r w:rsidRPr="00DB2387">
        <w:rPr>
          <w:rFonts w:ascii="Arial" w:hAnsi="Arial" w:cs="Arial"/>
          <w:color w:val="000000" w:themeColor="text1"/>
          <w:sz w:val="24"/>
          <w:szCs w:val="24"/>
          <w:u w:val="single"/>
        </w:rPr>
        <w:t>https://www.nature.com/articles/s41561-024-01591-2</w:t>
      </w:r>
    </w:p>
    <w:p w14:paraId="647DD42D"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Porter, M.E., 1985. Competitive Advantage: Creating and Sustaining Superior Performance. New York: Free Press. </w:t>
      </w:r>
      <w:r w:rsidRPr="00DB2387">
        <w:rPr>
          <w:rFonts w:ascii="Arial" w:hAnsi="Arial" w:cs="Arial"/>
          <w:color w:val="000000" w:themeColor="text1"/>
          <w:sz w:val="24"/>
          <w:szCs w:val="24"/>
          <w:u w:val="single"/>
        </w:rPr>
        <w:t>https://www.hbs.edu/faculty/Pages/item.aspx?num=193</w:t>
      </w:r>
    </w:p>
    <w:p w14:paraId="4A41B6DC"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2025a. ‘History: Acquiring Arcadium Lithium’. Melbourne: Rio Tinto. </w:t>
      </w:r>
      <w:hyperlink r:id="rId11" w:history="1">
        <w:r w:rsidRPr="00DB2387">
          <w:rPr>
            <w:rStyle w:val="Hyperlink"/>
            <w:rFonts w:ascii="Arial" w:hAnsi="Arial" w:cs="Arial"/>
            <w:color w:val="000000" w:themeColor="text1"/>
            <w:sz w:val="24"/>
            <w:szCs w:val="24"/>
          </w:rPr>
          <w:t>https://www.riotinto.com/about/history</w:t>
        </w:r>
      </w:hyperlink>
    </w:p>
    <w:p w14:paraId="56110111"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2025b. ‘ELYSIS achieves breakthrough with commercial-size cell’. Rio Tinto, 13 November. </w:t>
      </w:r>
      <w:r w:rsidRPr="00DB2387">
        <w:rPr>
          <w:rFonts w:ascii="Arial" w:hAnsi="Arial" w:cs="Arial"/>
          <w:color w:val="000000" w:themeColor="text1"/>
          <w:sz w:val="24"/>
          <w:szCs w:val="24"/>
          <w:u w:val="single"/>
        </w:rPr>
        <w:t>https://www.riotinto.com/en/news/releases/2025/elysis-achieves-breakthrough-with-commercial-size-cell</w:t>
      </w:r>
    </w:p>
    <w:p w14:paraId="6562DFA3"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2025c. ‘Simandou partners celebrate start of operations’. Rio Tinto, 11 November. </w:t>
      </w:r>
      <w:r w:rsidRPr="00DB2387">
        <w:rPr>
          <w:rFonts w:ascii="Arial" w:hAnsi="Arial" w:cs="Arial"/>
          <w:color w:val="000000" w:themeColor="text1"/>
          <w:sz w:val="24"/>
          <w:szCs w:val="24"/>
          <w:u w:val="single"/>
        </w:rPr>
        <w:t>https://www.riotinto.com/news/releases/2025/simandou-partners-celebrate-start-of-operations</w:t>
      </w:r>
    </w:p>
    <w:p w14:paraId="1D2A50BA"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2025d. ‘Rio Tinto and Hydro partner on carbon capture technologies for aluminium smelters’. Rio Tinto, 30 January. </w:t>
      </w:r>
      <w:r w:rsidRPr="00DB2387">
        <w:rPr>
          <w:rFonts w:ascii="Arial" w:hAnsi="Arial" w:cs="Arial"/>
          <w:color w:val="000000" w:themeColor="text1"/>
          <w:sz w:val="24"/>
          <w:szCs w:val="24"/>
          <w:u w:val="single"/>
        </w:rPr>
        <w:t>https://www.riotinto.com/en/news/releases/2025/rio-tinto-and-hydro-partner-on-carbon-capture-technologies-for-aluminium-smelters</w:t>
      </w:r>
    </w:p>
    <w:p w14:paraId="7B67A13F"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2026a. ‘Annual Results 2025’. Rio Tinto, 19 February. </w:t>
      </w:r>
      <w:r w:rsidRPr="00DB2387">
        <w:rPr>
          <w:rFonts w:ascii="Arial" w:hAnsi="Arial" w:cs="Arial"/>
          <w:color w:val="000000" w:themeColor="text1"/>
          <w:sz w:val="24"/>
          <w:szCs w:val="24"/>
          <w:u w:val="single"/>
        </w:rPr>
        <w:t>https://www.riotinto.com/news/releases/2026/rio-tinto-solid-results-underpinned-by-8-cueq-production-and-sharper-cost-discipline</w:t>
      </w:r>
    </w:p>
    <w:p w14:paraId="51A1D822"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2026b. ‘Climate change’. Rio Tinto. </w:t>
      </w:r>
      <w:r w:rsidRPr="00DB2387">
        <w:rPr>
          <w:rFonts w:ascii="Arial" w:hAnsi="Arial" w:cs="Arial"/>
          <w:color w:val="000000" w:themeColor="text1"/>
          <w:sz w:val="24"/>
          <w:szCs w:val="24"/>
          <w:u w:val="single"/>
        </w:rPr>
        <w:t>https://www.riotinto.com/sustainability/climate-change</w:t>
      </w:r>
    </w:p>
    <w:p w14:paraId="48ED7FEB"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2026c. ‘Second quarter 2026 production results’. Rio Tinto, 15 July. </w:t>
      </w:r>
      <w:r w:rsidRPr="00DB2387">
        <w:rPr>
          <w:rFonts w:ascii="Arial" w:hAnsi="Arial" w:cs="Arial"/>
          <w:color w:val="000000" w:themeColor="text1"/>
          <w:sz w:val="24"/>
          <w:szCs w:val="24"/>
          <w:u w:val="single"/>
        </w:rPr>
        <w:t>https://www.riotinto.com/en/news/releases/2026/rio-tinto-releases-second-quarter-2026-production-results</w:t>
      </w:r>
    </w:p>
    <w:p w14:paraId="5A5145F8"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rPr>
        <w:t xml:space="preserve">Rio Tinto, 2026d. ‘Sustainability reporting’. Rio Tinto. </w:t>
      </w:r>
      <w:r w:rsidRPr="00DB2387">
        <w:rPr>
          <w:rFonts w:ascii="Arial" w:hAnsi="Arial" w:cs="Arial"/>
          <w:color w:val="000000" w:themeColor="text1"/>
          <w:sz w:val="24"/>
          <w:szCs w:val="24"/>
          <w:u w:val="single"/>
        </w:rPr>
        <w:t>https://www.riotinto.com/en/invest/reports/sustainability-report</w:t>
      </w:r>
    </w:p>
    <w:p w14:paraId="7AF60EA3" w14:textId="77777777" w:rsidR="00CC1F76" w:rsidRPr="00DB2387" w:rsidRDefault="00CC1F76" w:rsidP="00DB2387">
      <w:pPr>
        <w:spacing w:line="360" w:lineRule="auto"/>
        <w:jc w:val="both"/>
        <w:rPr>
          <w:rFonts w:ascii="Arial" w:hAnsi="Arial" w:cs="Arial"/>
          <w:color w:val="000000" w:themeColor="text1"/>
          <w:sz w:val="24"/>
          <w:szCs w:val="24"/>
        </w:rPr>
      </w:pPr>
      <w:r w:rsidRPr="00DB2387">
        <w:rPr>
          <w:rFonts w:ascii="Arial" w:hAnsi="Arial" w:cs="Arial"/>
          <w:color w:val="000000" w:themeColor="text1"/>
          <w:sz w:val="24"/>
          <w:szCs w:val="24"/>
          <w:shd w:val="clear" w:color="auto" w:fill="FFFFFF"/>
        </w:rPr>
        <w:t xml:space="preserve">Shi, H., Heng, J., Duan, H., Li, H., Chen, W., Wang, P., Cui, L. and Wang, S., 2025. Critical mineral constraints pressure energy transition and trade toward the Paris Agreement climate goals. </w:t>
      </w:r>
      <w:r w:rsidRPr="00DB2387">
        <w:rPr>
          <w:rFonts w:ascii="Arial" w:hAnsi="Arial" w:cs="Arial"/>
          <w:i/>
          <w:iCs/>
          <w:color w:val="000000" w:themeColor="text1"/>
          <w:sz w:val="24"/>
          <w:szCs w:val="24"/>
          <w:shd w:val="clear" w:color="auto" w:fill="FFFFFF"/>
        </w:rPr>
        <w:t>Nature Communications</w:t>
      </w:r>
      <w:r w:rsidRPr="00DB2387">
        <w:rPr>
          <w:rFonts w:ascii="Arial" w:hAnsi="Arial" w:cs="Arial"/>
          <w:color w:val="000000" w:themeColor="text1"/>
          <w:sz w:val="24"/>
          <w:szCs w:val="24"/>
          <w:shd w:val="clear" w:color="auto" w:fill="FFFFFF"/>
        </w:rPr>
        <w:t xml:space="preserve">, </w:t>
      </w:r>
      <w:r w:rsidRPr="00DB2387">
        <w:rPr>
          <w:rFonts w:ascii="Arial" w:hAnsi="Arial" w:cs="Arial"/>
          <w:i/>
          <w:iCs/>
          <w:color w:val="000000" w:themeColor="text1"/>
          <w:sz w:val="24"/>
          <w:szCs w:val="24"/>
          <w:shd w:val="clear" w:color="auto" w:fill="FFFFFF"/>
        </w:rPr>
        <w:t>16</w:t>
      </w:r>
      <w:r w:rsidRPr="00DB2387">
        <w:rPr>
          <w:rFonts w:ascii="Arial" w:hAnsi="Arial" w:cs="Arial"/>
          <w:color w:val="000000" w:themeColor="text1"/>
          <w:sz w:val="24"/>
          <w:szCs w:val="24"/>
          <w:shd w:val="clear" w:color="auto" w:fill="FFFFFF"/>
        </w:rPr>
        <w:t>(1), p.4496</w:t>
      </w:r>
      <w:r w:rsidRPr="00DB2387">
        <w:rPr>
          <w:rFonts w:ascii="Arial" w:hAnsi="Arial" w:cs="Arial"/>
          <w:color w:val="000000" w:themeColor="text1"/>
          <w:sz w:val="24"/>
          <w:szCs w:val="24"/>
        </w:rPr>
        <w:t xml:space="preserve">. </w:t>
      </w:r>
      <w:r w:rsidRPr="00DB2387">
        <w:rPr>
          <w:rFonts w:ascii="Arial" w:hAnsi="Arial" w:cs="Arial"/>
          <w:color w:val="000000" w:themeColor="text1"/>
          <w:sz w:val="24"/>
          <w:szCs w:val="24"/>
          <w:u w:val="single"/>
        </w:rPr>
        <w:t>https://www.nature.com/articles/s41467-025-59741-y</w:t>
      </w:r>
      <w:bookmarkEnd w:id="0"/>
    </w:p>
    <w:sectPr w:rsidR="00CC1F76" w:rsidRPr="00DB2387" w:rsidSect="00034616">
      <w:headerReference w:type="even" r:id="rId12"/>
      <w:headerReference w:type="default" r:id="rId13"/>
      <w:footerReference w:type="default" r:id="rId14"/>
      <w:pgSz w:w="12240" w:h="15840"/>
      <w:pgMar w:top="1080"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277B64" w14:textId="77777777" w:rsidR="00483A0D" w:rsidRDefault="00483A0D">
      <w:pPr>
        <w:spacing w:after="0" w:line="240" w:lineRule="auto"/>
      </w:pPr>
      <w:r>
        <w:separator/>
      </w:r>
    </w:p>
  </w:endnote>
  <w:endnote w:type="continuationSeparator" w:id="0">
    <w:p w14:paraId="3A275B47" w14:textId="77777777" w:rsidR="00483A0D" w:rsidRDefault="00483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AE9C8" w14:textId="4715A6D4" w:rsidR="003F7F2F" w:rsidRDefault="003F7F2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64E827" w14:textId="77777777" w:rsidR="00483A0D" w:rsidRDefault="00483A0D">
      <w:pPr>
        <w:spacing w:after="0" w:line="240" w:lineRule="auto"/>
      </w:pPr>
      <w:r>
        <w:separator/>
      </w:r>
    </w:p>
  </w:footnote>
  <w:footnote w:type="continuationSeparator" w:id="0">
    <w:p w14:paraId="14C33C0A" w14:textId="77777777" w:rsidR="00483A0D" w:rsidRDefault="00483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39527846"/>
      <w:docPartObj>
        <w:docPartGallery w:val="Page Numbers (Top of Page)"/>
        <w:docPartUnique/>
      </w:docPartObj>
    </w:sdtPr>
    <w:sdtEndPr>
      <w:rPr>
        <w:rStyle w:val="PageNumber"/>
      </w:rPr>
    </w:sdtEndPr>
    <w:sdtContent>
      <w:p w14:paraId="39DCF56A" w14:textId="1137BA60" w:rsidR="00CC1F76" w:rsidRDefault="00CC1F76" w:rsidP="00B12CE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33BE2" w14:textId="77777777" w:rsidR="00CC1F76" w:rsidRDefault="00CC1F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93648075"/>
      <w:docPartObj>
        <w:docPartGallery w:val="Page Numbers (Top of Page)"/>
        <w:docPartUnique/>
      </w:docPartObj>
    </w:sdtPr>
    <w:sdtEndPr>
      <w:rPr>
        <w:rStyle w:val="PageNumber"/>
      </w:rPr>
    </w:sdtEndPr>
    <w:sdtContent>
      <w:p w14:paraId="736253A6" w14:textId="112C3750" w:rsidR="00CC1F76" w:rsidRDefault="00CC1F76" w:rsidP="00B12CEC">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6327E">
          <w:rPr>
            <w:rStyle w:val="PageNumber"/>
            <w:noProof/>
          </w:rPr>
          <w:t>1</w:t>
        </w:r>
        <w:r>
          <w:rPr>
            <w:rStyle w:val="PageNumber"/>
          </w:rPr>
          <w:fldChar w:fldCharType="end"/>
        </w:r>
      </w:p>
    </w:sdtContent>
  </w:sdt>
  <w:p w14:paraId="72DF162B" w14:textId="77777777" w:rsidR="00CC1F76" w:rsidRDefault="00CC1F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36C4410"/>
    <w:multiLevelType w:val="hybridMultilevel"/>
    <w:tmpl w:val="C3DEB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F210B"/>
    <w:rsid w:val="00142CB1"/>
    <w:rsid w:val="0015074B"/>
    <w:rsid w:val="0029639D"/>
    <w:rsid w:val="00326F90"/>
    <w:rsid w:val="003415D7"/>
    <w:rsid w:val="003F7F2F"/>
    <w:rsid w:val="00483A0D"/>
    <w:rsid w:val="004C3285"/>
    <w:rsid w:val="0052393A"/>
    <w:rsid w:val="0056327E"/>
    <w:rsid w:val="00662308"/>
    <w:rsid w:val="007C6F31"/>
    <w:rsid w:val="00933521"/>
    <w:rsid w:val="00AA1D8D"/>
    <w:rsid w:val="00B47730"/>
    <w:rsid w:val="00CB0664"/>
    <w:rsid w:val="00CC1F76"/>
    <w:rsid w:val="00CC7EE3"/>
    <w:rsid w:val="00D60172"/>
    <w:rsid w:val="00DB2387"/>
    <w:rsid w:val="00E356EA"/>
    <w:rsid w:val="00EC378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511BC6"/>
  <w14:defaultImageDpi w14:val="300"/>
  <w15:docId w15:val="{B7475A81-74D8-8F43-AEEC-DF9D8E43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00"/>
    </w:pPr>
    <w:rPr>
      <w:rFonts w:ascii="Times New Roman" w:hAnsi="Times New Roman"/>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C1F76"/>
    <w:pPr>
      <w:spacing w:before="100" w:beforeAutospacing="1" w:afterAutospacing="1" w:line="240" w:lineRule="auto"/>
    </w:pPr>
    <w:rPr>
      <w:rFonts w:eastAsia="Times New Roman" w:cs="Times New Roman"/>
      <w:sz w:val="24"/>
      <w:szCs w:val="24"/>
      <w:lang w:val="en-IN" w:eastAsia="en-GB"/>
    </w:rPr>
  </w:style>
  <w:style w:type="character" w:styleId="Hyperlink">
    <w:name w:val="Hyperlink"/>
    <w:basedOn w:val="DefaultParagraphFont"/>
    <w:uiPriority w:val="99"/>
    <w:unhideWhenUsed/>
    <w:rsid w:val="00CC1F76"/>
    <w:rPr>
      <w:color w:val="0000FF" w:themeColor="hyperlink"/>
      <w:u w:val="single"/>
    </w:rPr>
  </w:style>
  <w:style w:type="character" w:customStyle="1" w:styleId="UnresolvedMention">
    <w:name w:val="Unresolved Mention"/>
    <w:basedOn w:val="DefaultParagraphFont"/>
    <w:uiPriority w:val="99"/>
    <w:semiHidden/>
    <w:unhideWhenUsed/>
    <w:rsid w:val="00CC1F76"/>
    <w:rPr>
      <w:color w:val="605E5C"/>
      <w:shd w:val="clear" w:color="auto" w:fill="E1DFDD"/>
    </w:rPr>
  </w:style>
  <w:style w:type="character" w:styleId="PageNumber">
    <w:name w:val="page number"/>
    <w:basedOn w:val="DefaultParagraphFont"/>
    <w:uiPriority w:val="99"/>
    <w:semiHidden/>
    <w:unhideWhenUsed/>
    <w:rsid w:val="00CC1F76"/>
  </w:style>
  <w:style w:type="paragraph" w:styleId="TOC1">
    <w:name w:val="toc 1"/>
    <w:basedOn w:val="Normal"/>
    <w:next w:val="Normal"/>
    <w:autoRedefine/>
    <w:uiPriority w:val="39"/>
    <w:unhideWhenUsed/>
    <w:rsid w:val="000F210B"/>
  </w:style>
  <w:style w:type="paragraph" w:styleId="TOC2">
    <w:name w:val="toc 2"/>
    <w:basedOn w:val="Normal"/>
    <w:next w:val="Normal"/>
    <w:autoRedefine/>
    <w:uiPriority w:val="39"/>
    <w:unhideWhenUsed/>
    <w:rsid w:val="000F210B"/>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8110989">
      <w:bodyDiv w:val="1"/>
      <w:marLeft w:val="0"/>
      <w:marRight w:val="0"/>
      <w:marTop w:val="0"/>
      <w:marBottom w:val="0"/>
      <w:divBdr>
        <w:top w:val="none" w:sz="0" w:space="0" w:color="auto"/>
        <w:left w:val="none" w:sz="0" w:space="0" w:color="auto"/>
        <w:bottom w:val="none" w:sz="0" w:space="0" w:color="auto"/>
        <w:right w:val="none" w:sz="0" w:space="0" w:color="auto"/>
      </w:divBdr>
    </w:div>
    <w:div w:id="20978250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otinto.com/about/histor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earson.com/en-gb/subject-catalog/p/principles-of-marketing/P20000000994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59D50E-C701-4154-9710-7736FA05E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3671</Words>
  <Characters>20930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24552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4</cp:revision>
  <dcterms:created xsi:type="dcterms:W3CDTF">2026-10-20T17:03:00Z</dcterms:created>
  <dcterms:modified xsi:type="dcterms:W3CDTF">2026-10-21T15:26:00Z</dcterms:modified>
  <cp:category/>
</cp:coreProperties>
</file>