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BB7FB6" w14:textId="0012B823" w:rsidR="00B807A9" w:rsidRDefault="00D507FF" w:rsidP="00D507FF">
      <w:pPr>
        <w:rPr>
          <w:lang w:val="en-IN"/>
        </w:rPr>
      </w:pPr>
      <w:r w:rsidRPr="00A406E5">
        <w:rPr>
          <w:rFonts w:ascii="Arial" w:hAnsi="Arial" w:cs="Arial"/>
          <w:noProof/>
        </w:rPr>
        <w:drawing>
          <wp:anchor distT="0" distB="0" distL="114300" distR="114300" simplePos="0" relativeHeight="251659264" behindDoc="0" locked="0" layoutInCell="1" allowOverlap="1" wp14:anchorId="692EB775" wp14:editId="20571A3C">
            <wp:simplePos x="0" y="0"/>
            <wp:positionH relativeFrom="margin">
              <wp:posOffset>1961515</wp:posOffset>
            </wp:positionH>
            <wp:positionV relativeFrom="paragraph">
              <wp:posOffset>0</wp:posOffset>
            </wp:positionV>
            <wp:extent cx="2290445" cy="96647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290445" cy="9664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0AC131" w14:textId="77777777" w:rsidR="00D507FF" w:rsidRDefault="00D507FF" w:rsidP="00D507FF">
      <w:pPr>
        <w:jc w:val="center"/>
        <w:rPr>
          <w:b/>
          <w:bCs/>
          <w:sz w:val="20"/>
          <w:szCs w:val="18"/>
          <w:lang w:val="en-IN"/>
        </w:rPr>
      </w:pPr>
    </w:p>
    <w:p w14:paraId="6F2BD837" w14:textId="77777777" w:rsidR="00D507FF" w:rsidRDefault="00D507FF" w:rsidP="00D507FF">
      <w:pPr>
        <w:jc w:val="center"/>
        <w:rPr>
          <w:b/>
          <w:bCs/>
          <w:sz w:val="20"/>
          <w:szCs w:val="18"/>
          <w:lang w:val="en-IN"/>
        </w:rPr>
      </w:pPr>
    </w:p>
    <w:p w14:paraId="47CA8CF0" w14:textId="77777777" w:rsidR="006F1417" w:rsidRDefault="006F1417" w:rsidP="00D507FF">
      <w:pPr>
        <w:jc w:val="center"/>
        <w:rPr>
          <w:b/>
          <w:bCs/>
          <w:lang w:val="en-IN"/>
        </w:rPr>
      </w:pPr>
    </w:p>
    <w:p w14:paraId="5D1F4A39" w14:textId="48964464" w:rsidR="00B807A9" w:rsidRPr="001274D6" w:rsidRDefault="00B807A9" w:rsidP="00D507FF">
      <w:pPr>
        <w:jc w:val="center"/>
        <w:rPr>
          <w:b/>
          <w:bCs/>
          <w:lang w:val="en-IN"/>
        </w:rPr>
      </w:pPr>
      <w:r w:rsidRPr="001274D6">
        <w:rPr>
          <w:b/>
          <w:bCs/>
          <w:lang w:val="en-IN"/>
        </w:rPr>
        <w:t>MSc Public Health and Social Care in Practice</w:t>
      </w:r>
    </w:p>
    <w:p w14:paraId="146F5622" w14:textId="77777777" w:rsidR="00B807A9" w:rsidRPr="001274D6" w:rsidRDefault="00B807A9" w:rsidP="00FB01B2">
      <w:pPr>
        <w:jc w:val="center"/>
        <w:rPr>
          <w:lang w:val="en-IN"/>
        </w:rPr>
      </w:pPr>
      <w:r w:rsidRPr="001274D6">
        <w:rPr>
          <w:lang w:val="en-IN"/>
        </w:rPr>
        <w:t>Module Code: LCHS7009</w:t>
      </w:r>
    </w:p>
    <w:p w14:paraId="0E481FA3" w14:textId="77777777" w:rsidR="00B807A9" w:rsidRPr="001274D6" w:rsidRDefault="00B807A9" w:rsidP="00FB01B2">
      <w:pPr>
        <w:jc w:val="center"/>
        <w:rPr>
          <w:lang w:val="en-IN"/>
        </w:rPr>
      </w:pPr>
      <w:r w:rsidRPr="001274D6">
        <w:rPr>
          <w:lang w:val="en-IN"/>
        </w:rPr>
        <w:t>Module Title: Population Health and Digital Health Promotion</w:t>
      </w:r>
    </w:p>
    <w:p w14:paraId="7FF2560D" w14:textId="77777777" w:rsidR="00B807A9" w:rsidRPr="001274D6" w:rsidRDefault="00B807A9" w:rsidP="00FB01B2">
      <w:pPr>
        <w:jc w:val="center"/>
        <w:rPr>
          <w:b/>
          <w:bCs/>
          <w:lang w:val="en-IN"/>
        </w:rPr>
      </w:pPr>
      <w:r w:rsidRPr="001274D6">
        <w:rPr>
          <w:b/>
          <w:bCs/>
          <w:lang w:val="en-IN"/>
        </w:rPr>
        <w:t>Assessment Title</w:t>
      </w:r>
    </w:p>
    <w:p w14:paraId="609A220F" w14:textId="14197E9B" w:rsidR="004C7085" w:rsidRDefault="00B807A9" w:rsidP="004C7085">
      <w:pPr>
        <w:jc w:val="center"/>
        <w:rPr>
          <w:lang w:val="en-IN"/>
        </w:rPr>
      </w:pPr>
      <w:r w:rsidRPr="001274D6">
        <w:rPr>
          <w:lang w:val="en-IN"/>
        </w:rPr>
        <w:t>Component 1: Two Blogs on Digital Health Promotion</w:t>
      </w:r>
    </w:p>
    <w:p w14:paraId="4EFA36E5" w14:textId="3C92EBC7" w:rsidR="00CB41A7" w:rsidRPr="001274D6" w:rsidRDefault="004E25D8" w:rsidP="00FB01B2">
      <w:pPr>
        <w:jc w:val="center"/>
        <w:rPr>
          <w:lang w:val="en-IN"/>
        </w:rPr>
      </w:pPr>
      <w:r>
        <w:rPr>
          <w:lang w:val="en-IN"/>
        </w:rPr>
        <w:t>Name : Ashok</w:t>
      </w:r>
      <w:r w:rsidR="00CB41A7">
        <w:rPr>
          <w:lang w:val="en-IN"/>
        </w:rPr>
        <w:t xml:space="preserve"> patel</w:t>
      </w:r>
    </w:p>
    <w:p w14:paraId="4B9ACC0B" w14:textId="138EDEE2" w:rsidR="00B807A9" w:rsidRPr="001274D6" w:rsidRDefault="00B807A9" w:rsidP="00FB01B2">
      <w:pPr>
        <w:jc w:val="center"/>
        <w:rPr>
          <w:b/>
          <w:bCs/>
          <w:lang w:val="en-IN"/>
        </w:rPr>
      </w:pPr>
      <w:r w:rsidRPr="001274D6">
        <w:rPr>
          <w:b/>
          <w:bCs/>
          <w:lang w:val="en-IN"/>
        </w:rPr>
        <w:t>Student ID number:</w:t>
      </w:r>
      <w:r w:rsidR="00D71384">
        <w:rPr>
          <w:b/>
          <w:bCs/>
          <w:lang w:val="en-IN"/>
        </w:rPr>
        <w:t xml:space="preserve"> </w:t>
      </w:r>
      <w:r w:rsidR="009C5A34" w:rsidRPr="009C5A34">
        <w:rPr>
          <w:b/>
          <w:bCs/>
          <w:lang w:val="en-IN"/>
        </w:rPr>
        <w:t>2532746</w:t>
      </w:r>
    </w:p>
    <w:p w14:paraId="79F109EB" w14:textId="2A49F49C" w:rsidR="00B807A9" w:rsidRPr="009A064F" w:rsidRDefault="00B807A9" w:rsidP="009A064F">
      <w:pPr>
        <w:jc w:val="center"/>
        <w:rPr>
          <w:b/>
          <w:bCs/>
          <w:lang w:val="en-IN"/>
        </w:rPr>
      </w:pPr>
      <w:r w:rsidRPr="001274D6">
        <w:rPr>
          <w:b/>
          <w:bCs/>
          <w:lang w:val="en-IN"/>
        </w:rPr>
        <w:t>Lecturer:</w:t>
      </w:r>
      <w:r w:rsidRPr="001274D6">
        <w:rPr>
          <w:lang w:val="en-IN"/>
        </w:rPr>
        <w:t>Dr Raheela Shaikh</w:t>
      </w:r>
    </w:p>
    <w:p w14:paraId="2F166FB0" w14:textId="77777777" w:rsidR="00B807A9" w:rsidRPr="001274D6" w:rsidRDefault="00B807A9" w:rsidP="00FB01B2">
      <w:pPr>
        <w:jc w:val="center"/>
        <w:rPr>
          <w:b/>
          <w:bCs/>
          <w:lang w:val="en-IN"/>
        </w:rPr>
      </w:pPr>
      <w:r w:rsidRPr="001274D6">
        <w:rPr>
          <w:b/>
          <w:bCs/>
          <w:lang w:val="en-IN"/>
        </w:rPr>
        <w:t>Assessment component:</w:t>
      </w:r>
    </w:p>
    <w:p w14:paraId="0AC77B66" w14:textId="77777777" w:rsidR="00B807A9" w:rsidRPr="001274D6" w:rsidRDefault="00B807A9" w:rsidP="00FB01B2">
      <w:pPr>
        <w:jc w:val="center"/>
        <w:rPr>
          <w:lang w:val="en-IN"/>
        </w:rPr>
      </w:pPr>
      <w:r w:rsidRPr="001274D6">
        <w:rPr>
          <w:lang w:val="en-IN"/>
        </w:rPr>
        <w:t>Component 1 – Two Blogs</w:t>
      </w:r>
    </w:p>
    <w:p w14:paraId="0D0B6CA6" w14:textId="77777777" w:rsidR="00B807A9" w:rsidRPr="001274D6" w:rsidRDefault="00B807A9" w:rsidP="00FB01B2">
      <w:pPr>
        <w:jc w:val="center"/>
        <w:rPr>
          <w:b/>
          <w:bCs/>
          <w:lang w:val="en-IN"/>
        </w:rPr>
      </w:pPr>
      <w:r w:rsidRPr="001274D6">
        <w:rPr>
          <w:b/>
          <w:bCs/>
          <w:lang w:val="en-IN"/>
        </w:rPr>
        <w:t>Blog Topics</w:t>
      </w:r>
    </w:p>
    <w:p w14:paraId="0A53D45B" w14:textId="77777777" w:rsidR="00B807A9" w:rsidRPr="001274D6" w:rsidRDefault="00B807A9" w:rsidP="00FB01B2">
      <w:pPr>
        <w:jc w:val="center"/>
        <w:rPr>
          <w:lang w:val="en-IN"/>
        </w:rPr>
      </w:pPr>
      <w:r w:rsidRPr="006F1417">
        <w:rPr>
          <w:b/>
          <w:bCs/>
          <w:lang w:val="en-IN"/>
        </w:rPr>
        <w:t>Blog 1:</w:t>
      </w:r>
      <w:r w:rsidRPr="001274D6">
        <w:rPr>
          <w:lang w:val="en-IN"/>
        </w:rPr>
        <w:t xml:space="preserve"> The Role of NHS Online Health Information in Promoting Anaemia Awareness and Prevention</w:t>
      </w:r>
    </w:p>
    <w:p w14:paraId="4D065570" w14:textId="1ECCF9F8" w:rsidR="001274D6" w:rsidRPr="001274D6" w:rsidRDefault="00B807A9" w:rsidP="00FB01B2">
      <w:pPr>
        <w:jc w:val="center"/>
        <w:rPr>
          <w:lang w:val="en-IN"/>
        </w:rPr>
      </w:pPr>
      <w:r w:rsidRPr="006F1417">
        <w:rPr>
          <w:b/>
          <w:bCs/>
          <w:lang w:val="en-IN"/>
        </w:rPr>
        <w:t>Blog 2:</w:t>
      </w:r>
      <w:r w:rsidRPr="001274D6">
        <w:rPr>
          <w:lang w:val="en-IN"/>
        </w:rPr>
        <w:t xml:space="preserve"> Designing a Multilingual Anaemia Awareness App to Support Prevention and Early Detection</w:t>
      </w:r>
    </w:p>
    <w:p w14:paraId="389E7184" w14:textId="77777777" w:rsidR="001274D6" w:rsidRDefault="001274D6">
      <w:pPr>
        <w:spacing w:after="160" w:line="278" w:lineRule="auto"/>
        <w:jc w:val="left"/>
        <w:rPr>
          <w:sz w:val="20"/>
          <w:szCs w:val="18"/>
          <w:lang w:val="en-IN"/>
        </w:rPr>
      </w:pPr>
      <w:r>
        <w:rPr>
          <w:sz w:val="20"/>
          <w:szCs w:val="18"/>
          <w:lang w:val="en-IN"/>
        </w:rPr>
        <w:br w:type="page"/>
      </w:r>
    </w:p>
    <w:p w14:paraId="3E2EA717" w14:textId="77777777" w:rsidR="00B807A9" w:rsidRPr="00FB01B2" w:rsidRDefault="00B807A9" w:rsidP="00FB01B2">
      <w:pPr>
        <w:jc w:val="center"/>
        <w:rPr>
          <w:sz w:val="20"/>
          <w:szCs w:val="18"/>
          <w:lang w:val="en-IN"/>
        </w:rPr>
      </w:pPr>
    </w:p>
    <w:sdt>
      <w:sdtPr>
        <w:rPr>
          <w:rFonts w:ascii="Calibri" w:eastAsia="Calibri" w:hAnsi="Calibri" w:cs="Times New Roman"/>
          <w:color w:val="auto"/>
          <w:sz w:val="24"/>
          <w:szCs w:val="22"/>
          <w:lang w:val="en-GB"/>
        </w:rPr>
        <w:id w:val="263506473"/>
        <w:docPartObj>
          <w:docPartGallery w:val="Table of Contents"/>
          <w:docPartUnique/>
        </w:docPartObj>
      </w:sdtPr>
      <w:sdtEndPr>
        <w:rPr>
          <w:b/>
          <w:bCs/>
          <w:noProof/>
        </w:rPr>
      </w:sdtEndPr>
      <w:sdtContent>
        <w:p w14:paraId="7FB4A2D3" w14:textId="76353370" w:rsidR="00D507FF" w:rsidRPr="00D507FF" w:rsidRDefault="00D507FF" w:rsidP="00D507FF">
          <w:pPr>
            <w:pStyle w:val="TOCHeading"/>
            <w:jc w:val="center"/>
            <w:rPr>
              <w:rFonts w:ascii="Calibri" w:hAnsi="Calibri" w:cs="Calibri"/>
              <w:sz w:val="24"/>
              <w:szCs w:val="24"/>
            </w:rPr>
          </w:pPr>
          <w:r w:rsidRPr="00D507FF">
            <w:rPr>
              <w:rFonts w:ascii="Calibri" w:hAnsi="Calibri" w:cs="Calibri"/>
              <w:sz w:val="24"/>
              <w:szCs w:val="24"/>
            </w:rPr>
            <w:t>Table of Contents</w:t>
          </w:r>
        </w:p>
        <w:p w14:paraId="40A61F23" w14:textId="1508E23F" w:rsidR="00905E87" w:rsidRDefault="00D507FF">
          <w:pPr>
            <w:pStyle w:val="TOC1"/>
            <w:rPr>
              <w:rFonts w:asciiTheme="minorHAnsi" w:eastAsiaTheme="minorEastAsia" w:hAnsiTheme="minorHAnsi" w:cstheme="minorBidi"/>
              <w:b w:val="0"/>
              <w:bCs w:val="0"/>
              <w:kern w:val="2"/>
              <w:szCs w:val="24"/>
              <w:lang w:val="en-IN" w:eastAsia="zh-CN"/>
              <w14:ligatures w14:val="standardContextual"/>
            </w:rPr>
          </w:pPr>
          <w:r>
            <w:fldChar w:fldCharType="begin"/>
          </w:r>
          <w:r>
            <w:instrText xml:space="preserve"> TOC \o "1-3" \h \z \u </w:instrText>
          </w:r>
          <w:r>
            <w:fldChar w:fldCharType="separate"/>
          </w:r>
          <w:hyperlink w:anchor="_Toc243234682" w:history="1">
            <w:r w:rsidR="00905E87" w:rsidRPr="00C165A5">
              <w:rPr>
                <w:rStyle w:val="Hyperlink"/>
              </w:rPr>
              <w:t>Blog 1: The Role of NHS Online Health Information in Promoting Anaemia Awareness and Prevention</w:t>
            </w:r>
            <w:r w:rsidR="00905E87">
              <w:rPr>
                <w:webHidden/>
              </w:rPr>
              <w:tab/>
            </w:r>
            <w:r w:rsidR="00905E87">
              <w:rPr>
                <w:webHidden/>
              </w:rPr>
              <w:fldChar w:fldCharType="begin"/>
            </w:r>
            <w:r w:rsidR="00905E87">
              <w:rPr>
                <w:webHidden/>
              </w:rPr>
              <w:instrText xml:space="preserve"> PAGEREF _Toc243234682 \h </w:instrText>
            </w:r>
            <w:r w:rsidR="00905E87">
              <w:rPr>
                <w:webHidden/>
              </w:rPr>
            </w:r>
            <w:r w:rsidR="00905E87">
              <w:rPr>
                <w:webHidden/>
              </w:rPr>
              <w:fldChar w:fldCharType="separate"/>
            </w:r>
            <w:r w:rsidR="00905E87">
              <w:rPr>
                <w:webHidden/>
              </w:rPr>
              <w:t>3</w:t>
            </w:r>
            <w:r w:rsidR="00905E87">
              <w:rPr>
                <w:webHidden/>
              </w:rPr>
              <w:fldChar w:fldCharType="end"/>
            </w:r>
          </w:hyperlink>
        </w:p>
        <w:p w14:paraId="40056AB1" w14:textId="7092B671"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83" w:history="1">
            <w:r w:rsidRPr="00C165A5">
              <w:rPr>
                <w:rStyle w:val="Hyperlink"/>
                <w:noProof/>
              </w:rPr>
              <w:t>Introduction: Why anaemia awareness matters</w:t>
            </w:r>
            <w:r>
              <w:rPr>
                <w:noProof/>
                <w:webHidden/>
              </w:rPr>
              <w:tab/>
            </w:r>
            <w:r>
              <w:rPr>
                <w:noProof/>
                <w:webHidden/>
              </w:rPr>
              <w:fldChar w:fldCharType="begin"/>
            </w:r>
            <w:r>
              <w:rPr>
                <w:noProof/>
                <w:webHidden/>
              </w:rPr>
              <w:instrText xml:space="preserve"> PAGEREF _Toc243234683 \h </w:instrText>
            </w:r>
            <w:r>
              <w:rPr>
                <w:noProof/>
                <w:webHidden/>
              </w:rPr>
            </w:r>
            <w:r>
              <w:rPr>
                <w:noProof/>
                <w:webHidden/>
              </w:rPr>
              <w:fldChar w:fldCharType="separate"/>
            </w:r>
            <w:r>
              <w:rPr>
                <w:noProof/>
                <w:webHidden/>
              </w:rPr>
              <w:t>3</w:t>
            </w:r>
            <w:r>
              <w:rPr>
                <w:noProof/>
                <w:webHidden/>
              </w:rPr>
              <w:fldChar w:fldCharType="end"/>
            </w:r>
          </w:hyperlink>
        </w:p>
        <w:p w14:paraId="2ADACE23" w14:textId="5FD4D843"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84" w:history="1">
            <w:r w:rsidRPr="00C165A5">
              <w:rPr>
                <w:rStyle w:val="Hyperlink"/>
                <w:noProof/>
              </w:rPr>
              <w:t>NHS online health information as a health promotion tool</w:t>
            </w:r>
            <w:r>
              <w:rPr>
                <w:noProof/>
                <w:webHidden/>
              </w:rPr>
              <w:tab/>
            </w:r>
            <w:r>
              <w:rPr>
                <w:noProof/>
                <w:webHidden/>
              </w:rPr>
              <w:fldChar w:fldCharType="begin"/>
            </w:r>
            <w:r>
              <w:rPr>
                <w:noProof/>
                <w:webHidden/>
              </w:rPr>
              <w:instrText xml:space="preserve"> PAGEREF _Toc243234684 \h </w:instrText>
            </w:r>
            <w:r>
              <w:rPr>
                <w:noProof/>
                <w:webHidden/>
              </w:rPr>
            </w:r>
            <w:r>
              <w:rPr>
                <w:noProof/>
                <w:webHidden/>
              </w:rPr>
              <w:fldChar w:fldCharType="separate"/>
            </w:r>
            <w:r>
              <w:rPr>
                <w:noProof/>
                <w:webHidden/>
              </w:rPr>
              <w:t>3</w:t>
            </w:r>
            <w:r>
              <w:rPr>
                <w:noProof/>
                <w:webHidden/>
              </w:rPr>
              <w:fldChar w:fldCharType="end"/>
            </w:r>
          </w:hyperlink>
        </w:p>
        <w:p w14:paraId="2722D348" w14:textId="66A90AA4"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85" w:history="1">
            <w:r w:rsidRPr="00C165A5">
              <w:rPr>
                <w:rStyle w:val="Hyperlink"/>
                <w:noProof/>
              </w:rPr>
              <w:t>Benefits and limitations: a critical perspective</w:t>
            </w:r>
            <w:r>
              <w:rPr>
                <w:noProof/>
                <w:webHidden/>
              </w:rPr>
              <w:tab/>
            </w:r>
            <w:r>
              <w:rPr>
                <w:noProof/>
                <w:webHidden/>
              </w:rPr>
              <w:fldChar w:fldCharType="begin"/>
            </w:r>
            <w:r>
              <w:rPr>
                <w:noProof/>
                <w:webHidden/>
              </w:rPr>
              <w:instrText xml:space="preserve"> PAGEREF _Toc243234685 \h </w:instrText>
            </w:r>
            <w:r>
              <w:rPr>
                <w:noProof/>
                <w:webHidden/>
              </w:rPr>
            </w:r>
            <w:r>
              <w:rPr>
                <w:noProof/>
                <w:webHidden/>
              </w:rPr>
              <w:fldChar w:fldCharType="separate"/>
            </w:r>
            <w:r>
              <w:rPr>
                <w:noProof/>
                <w:webHidden/>
              </w:rPr>
              <w:t>4</w:t>
            </w:r>
            <w:r>
              <w:rPr>
                <w:noProof/>
                <w:webHidden/>
              </w:rPr>
              <w:fldChar w:fldCharType="end"/>
            </w:r>
          </w:hyperlink>
        </w:p>
        <w:p w14:paraId="7E103E54" w14:textId="66F4FFE4"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86" w:history="1">
            <w:r w:rsidRPr="00C165A5">
              <w:rPr>
                <w:rStyle w:val="Hyperlink"/>
                <w:noProof/>
              </w:rPr>
              <w:t>Recommendations and conclusion</w:t>
            </w:r>
            <w:r>
              <w:rPr>
                <w:noProof/>
                <w:webHidden/>
              </w:rPr>
              <w:tab/>
            </w:r>
            <w:r>
              <w:rPr>
                <w:noProof/>
                <w:webHidden/>
              </w:rPr>
              <w:fldChar w:fldCharType="begin"/>
            </w:r>
            <w:r>
              <w:rPr>
                <w:noProof/>
                <w:webHidden/>
              </w:rPr>
              <w:instrText xml:space="preserve"> PAGEREF _Toc243234686 \h </w:instrText>
            </w:r>
            <w:r>
              <w:rPr>
                <w:noProof/>
                <w:webHidden/>
              </w:rPr>
            </w:r>
            <w:r>
              <w:rPr>
                <w:noProof/>
                <w:webHidden/>
              </w:rPr>
              <w:fldChar w:fldCharType="separate"/>
            </w:r>
            <w:r>
              <w:rPr>
                <w:noProof/>
                <w:webHidden/>
              </w:rPr>
              <w:t>4</w:t>
            </w:r>
            <w:r>
              <w:rPr>
                <w:noProof/>
                <w:webHidden/>
              </w:rPr>
              <w:fldChar w:fldCharType="end"/>
            </w:r>
          </w:hyperlink>
        </w:p>
        <w:p w14:paraId="5034202A" w14:textId="6DD99822" w:rsidR="00905E87" w:rsidRDefault="00905E87">
          <w:pPr>
            <w:pStyle w:val="TOC1"/>
            <w:rPr>
              <w:rFonts w:asciiTheme="minorHAnsi" w:eastAsiaTheme="minorEastAsia" w:hAnsiTheme="minorHAnsi" w:cstheme="minorBidi"/>
              <w:b w:val="0"/>
              <w:bCs w:val="0"/>
              <w:kern w:val="2"/>
              <w:szCs w:val="24"/>
              <w:lang w:val="en-IN" w:eastAsia="zh-CN"/>
              <w14:ligatures w14:val="standardContextual"/>
            </w:rPr>
          </w:pPr>
          <w:hyperlink w:anchor="_Toc243234687" w:history="1">
            <w:r w:rsidRPr="00C165A5">
              <w:rPr>
                <w:rStyle w:val="Hyperlink"/>
              </w:rPr>
              <w:t>Blog 2: Designing a Multilingual Anaemia Awareness App to Support Prevention and Early Detection</w:t>
            </w:r>
            <w:r>
              <w:rPr>
                <w:webHidden/>
              </w:rPr>
              <w:tab/>
            </w:r>
            <w:r>
              <w:rPr>
                <w:webHidden/>
              </w:rPr>
              <w:fldChar w:fldCharType="begin"/>
            </w:r>
            <w:r>
              <w:rPr>
                <w:webHidden/>
              </w:rPr>
              <w:instrText xml:space="preserve"> PAGEREF _Toc243234687 \h </w:instrText>
            </w:r>
            <w:r>
              <w:rPr>
                <w:webHidden/>
              </w:rPr>
            </w:r>
            <w:r>
              <w:rPr>
                <w:webHidden/>
              </w:rPr>
              <w:fldChar w:fldCharType="separate"/>
            </w:r>
            <w:r>
              <w:rPr>
                <w:webHidden/>
              </w:rPr>
              <w:t>5</w:t>
            </w:r>
            <w:r>
              <w:rPr>
                <w:webHidden/>
              </w:rPr>
              <w:fldChar w:fldCharType="end"/>
            </w:r>
          </w:hyperlink>
        </w:p>
        <w:p w14:paraId="7AC2CAA3" w14:textId="6E076150"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88" w:history="1">
            <w:r w:rsidRPr="00C165A5">
              <w:rPr>
                <w:rStyle w:val="Hyperlink"/>
                <w:noProof/>
              </w:rPr>
              <w:t>Introduction: Addressing inequalities in anaemia awareness</w:t>
            </w:r>
            <w:r>
              <w:rPr>
                <w:noProof/>
                <w:webHidden/>
              </w:rPr>
              <w:tab/>
            </w:r>
            <w:r>
              <w:rPr>
                <w:noProof/>
                <w:webHidden/>
              </w:rPr>
              <w:fldChar w:fldCharType="begin"/>
            </w:r>
            <w:r>
              <w:rPr>
                <w:noProof/>
                <w:webHidden/>
              </w:rPr>
              <w:instrText xml:space="preserve"> PAGEREF _Toc243234688 \h </w:instrText>
            </w:r>
            <w:r>
              <w:rPr>
                <w:noProof/>
                <w:webHidden/>
              </w:rPr>
            </w:r>
            <w:r>
              <w:rPr>
                <w:noProof/>
                <w:webHidden/>
              </w:rPr>
              <w:fldChar w:fldCharType="separate"/>
            </w:r>
            <w:r>
              <w:rPr>
                <w:noProof/>
                <w:webHidden/>
              </w:rPr>
              <w:t>5</w:t>
            </w:r>
            <w:r>
              <w:rPr>
                <w:noProof/>
                <w:webHidden/>
              </w:rPr>
              <w:fldChar w:fldCharType="end"/>
            </w:r>
          </w:hyperlink>
        </w:p>
        <w:p w14:paraId="1DE4D830" w14:textId="5B4F94D6"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89" w:history="1">
            <w:r w:rsidRPr="00C165A5">
              <w:rPr>
                <w:rStyle w:val="Hyperlink"/>
                <w:noProof/>
              </w:rPr>
              <w:t>Digital technology being proposed: AnaemiaCare</w:t>
            </w:r>
            <w:r>
              <w:rPr>
                <w:noProof/>
                <w:webHidden/>
              </w:rPr>
              <w:tab/>
            </w:r>
            <w:r>
              <w:rPr>
                <w:noProof/>
                <w:webHidden/>
              </w:rPr>
              <w:fldChar w:fldCharType="begin"/>
            </w:r>
            <w:r>
              <w:rPr>
                <w:noProof/>
                <w:webHidden/>
              </w:rPr>
              <w:instrText xml:space="preserve"> PAGEREF _Toc243234689 \h </w:instrText>
            </w:r>
            <w:r>
              <w:rPr>
                <w:noProof/>
                <w:webHidden/>
              </w:rPr>
            </w:r>
            <w:r>
              <w:rPr>
                <w:noProof/>
                <w:webHidden/>
              </w:rPr>
              <w:fldChar w:fldCharType="separate"/>
            </w:r>
            <w:r>
              <w:rPr>
                <w:noProof/>
                <w:webHidden/>
              </w:rPr>
              <w:t>5</w:t>
            </w:r>
            <w:r>
              <w:rPr>
                <w:noProof/>
                <w:webHidden/>
              </w:rPr>
              <w:fldChar w:fldCharType="end"/>
            </w:r>
          </w:hyperlink>
        </w:p>
        <w:p w14:paraId="6F465E69" w14:textId="02CDDC0A"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90" w:history="1">
            <w:r w:rsidRPr="00C165A5">
              <w:rPr>
                <w:rStyle w:val="Hyperlink"/>
                <w:noProof/>
              </w:rPr>
              <w:t>Behaviour change and potential impact</w:t>
            </w:r>
            <w:r>
              <w:rPr>
                <w:noProof/>
                <w:webHidden/>
              </w:rPr>
              <w:tab/>
            </w:r>
            <w:r>
              <w:rPr>
                <w:noProof/>
                <w:webHidden/>
              </w:rPr>
              <w:fldChar w:fldCharType="begin"/>
            </w:r>
            <w:r>
              <w:rPr>
                <w:noProof/>
                <w:webHidden/>
              </w:rPr>
              <w:instrText xml:space="preserve"> PAGEREF _Toc243234690 \h </w:instrText>
            </w:r>
            <w:r>
              <w:rPr>
                <w:noProof/>
                <w:webHidden/>
              </w:rPr>
            </w:r>
            <w:r>
              <w:rPr>
                <w:noProof/>
                <w:webHidden/>
              </w:rPr>
              <w:fldChar w:fldCharType="separate"/>
            </w:r>
            <w:r>
              <w:rPr>
                <w:noProof/>
                <w:webHidden/>
              </w:rPr>
              <w:t>5</w:t>
            </w:r>
            <w:r>
              <w:rPr>
                <w:noProof/>
                <w:webHidden/>
              </w:rPr>
              <w:fldChar w:fldCharType="end"/>
            </w:r>
          </w:hyperlink>
        </w:p>
        <w:p w14:paraId="79A0CC17" w14:textId="5BF93C71"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91" w:history="1">
            <w:r w:rsidRPr="00C165A5">
              <w:rPr>
                <w:rStyle w:val="Hyperlink"/>
                <w:noProof/>
              </w:rPr>
              <w:t>Critical evaluation, recommendations and conclusion</w:t>
            </w:r>
            <w:r>
              <w:rPr>
                <w:noProof/>
                <w:webHidden/>
              </w:rPr>
              <w:tab/>
            </w:r>
            <w:r>
              <w:rPr>
                <w:noProof/>
                <w:webHidden/>
              </w:rPr>
              <w:fldChar w:fldCharType="begin"/>
            </w:r>
            <w:r>
              <w:rPr>
                <w:noProof/>
                <w:webHidden/>
              </w:rPr>
              <w:instrText xml:space="preserve"> PAGEREF _Toc243234691 \h </w:instrText>
            </w:r>
            <w:r>
              <w:rPr>
                <w:noProof/>
                <w:webHidden/>
              </w:rPr>
            </w:r>
            <w:r>
              <w:rPr>
                <w:noProof/>
                <w:webHidden/>
              </w:rPr>
              <w:fldChar w:fldCharType="separate"/>
            </w:r>
            <w:r>
              <w:rPr>
                <w:noProof/>
                <w:webHidden/>
              </w:rPr>
              <w:t>5</w:t>
            </w:r>
            <w:r>
              <w:rPr>
                <w:noProof/>
                <w:webHidden/>
              </w:rPr>
              <w:fldChar w:fldCharType="end"/>
            </w:r>
          </w:hyperlink>
        </w:p>
        <w:p w14:paraId="28C28891" w14:textId="5FB4DD95" w:rsidR="00905E87" w:rsidRDefault="00905E87">
          <w:pPr>
            <w:pStyle w:val="TOC1"/>
            <w:rPr>
              <w:rFonts w:asciiTheme="minorHAnsi" w:eastAsiaTheme="minorEastAsia" w:hAnsiTheme="minorHAnsi" w:cstheme="minorBidi"/>
              <w:b w:val="0"/>
              <w:bCs w:val="0"/>
              <w:kern w:val="2"/>
              <w:szCs w:val="24"/>
              <w:lang w:val="en-IN" w:eastAsia="zh-CN"/>
              <w14:ligatures w14:val="standardContextual"/>
            </w:rPr>
          </w:pPr>
          <w:hyperlink w:anchor="_Toc243234692" w:history="1">
            <w:r w:rsidRPr="00C165A5">
              <w:rPr>
                <w:rStyle w:val="Hyperlink"/>
              </w:rPr>
              <w:t>References</w:t>
            </w:r>
            <w:r>
              <w:rPr>
                <w:webHidden/>
              </w:rPr>
              <w:tab/>
            </w:r>
            <w:r>
              <w:rPr>
                <w:webHidden/>
              </w:rPr>
              <w:fldChar w:fldCharType="begin"/>
            </w:r>
            <w:r>
              <w:rPr>
                <w:webHidden/>
              </w:rPr>
              <w:instrText xml:space="preserve"> PAGEREF _Toc243234692 \h </w:instrText>
            </w:r>
            <w:r>
              <w:rPr>
                <w:webHidden/>
              </w:rPr>
            </w:r>
            <w:r>
              <w:rPr>
                <w:webHidden/>
              </w:rPr>
              <w:fldChar w:fldCharType="separate"/>
            </w:r>
            <w:r>
              <w:rPr>
                <w:webHidden/>
              </w:rPr>
              <w:t>7</w:t>
            </w:r>
            <w:r>
              <w:rPr>
                <w:webHidden/>
              </w:rPr>
              <w:fldChar w:fldCharType="end"/>
            </w:r>
          </w:hyperlink>
        </w:p>
        <w:p w14:paraId="49FDE00B" w14:textId="3EBADACD"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93" w:history="1">
            <w:r w:rsidRPr="00C165A5">
              <w:rPr>
                <w:rStyle w:val="Hyperlink"/>
                <w:noProof/>
              </w:rPr>
              <w:t>Blog 1</w:t>
            </w:r>
            <w:r>
              <w:rPr>
                <w:noProof/>
                <w:webHidden/>
              </w:rPr>
              <w:tab/>
            </w:r>
            <w:r>
              <w:rPr>
                <w:noProof/>
                <w:webHidden/>
              </w:rPr>
              <w:fldChar w:fldCharType="begin"/>
            </w:r>
            <w:r>
              <w:rPr>
                <w:noProof/>
                <w:webHidden/>
              </w:rPr>
              <w:instrText xml:space="preserve"> PAGEREF _Toc243234693 \h </w:instrText>
            </w:r>
            <w:r>
              <w:rPr>
                <w:noProof/>
                <w:webHidden/>
              </w:rPr>
            </w:r>
            <w:r>
              <w:rPr>
                <w:noProof/>
                <w:webHidden/>
              </w:rPr>
              <w:fldChar w:fldCharType="separate"/>
            </w:r>
            <w:r>
              <w:rPr>
                <w:noProof/>
                <w:webHidden/>
              </w:rPr>
              <w:t>7</w:t>
            </w:r>
            <w:r>
              <w:rPr>
                <w:noProof/>
                <w:webHidden/>
              </w:rPr>
              <w:fldChar w:fldCharType="end"/>
            </w:r>
          </w:hyperlink>
        </w:p>
        <w:p w14:paraId="2B88D6C5" w14:textId="4A5FCCD2" w:rsidR="00905E87" w:rsidRDefault="00905E87">
          <w:pPr>
            <w:pStyle w:val="TOC2"/>
            <w:tabs>
              <w:tab w:val="right" w:leader="dot" w:pos="9016"/>
            </w:tabs>
            <w:rPr>
              <w:rFonts w:asciiTheme="minorHAnsi" w:eastAsiaTheme="minorEastAsia" w:hAnsiTheme="minorHAnsi" w:cstheme="minorBidi"/>
              <w:noProof/>
              <w:kern w:val="2"/>
              <w:szCs w:val="24"/>
              <w:lang w:val="en-IN" w:eastAsia="zh-CN"/>
              <w14:ligatures w14:val="standardContextual"/>
            </w:rPr>
          </w:pPr>
          <w:hyperlink w:anchor="_Toc243234694" w:history="1">
            <w:r w:rsidRPr="00C165A5">
              <w:rPr>
                <w:rStyle w:val="Hyperlink"/>
                <w:noProof/>
              </w:rPr>
              <w:t>Blog 2</w:t>
            </w:r>
            <w:r>
              <w:rPr>
                <w:noProof/>
                <w:webHidden/>
              </w:rPr>
              <w:tab/>
            </w:r>
            <w:r>
              <w:rPr>
                <w:noProof/>
                <w:webHidden/>
              </w:rPr>
              <w:fldChar w:fldCharType="begin"/>
            </w:r>
            <w:r>
              <w:rPr>
                <w:noProof/>
                <w:webHidden/>
              </w:rPr>
              <w:instrText xml:space="preserve"> PAGEREF _Toc243234694 \h </w:instrText>
            </w:r>
            <w:r>
              <w:rPr>
                <w:noProof/>
                <w:webHidden/>
              </w:rPr>
            </w:r>
            <w:r>
              <w:rPr>
                <w:noProof/>
                <w:webHidden/>
              </w:rPr>
              <w:fldChar w:fldCharType="separate"/>
            </w:r>
            <w:r>
              <w:rPr>
                <w:noProof/>
                <w:webHidden/>
              </w:rPr>
              <w:t>7</w:t>
            </w:r>
            <w:r>
              <w:rPr>
                <w:noProof/>
                <w:webHidden/>
              </w:rPr>
              <w:fldChar w:fldCharType="end"/>
            </w:r>
          </w:hyperlink>
        </w:p>
        <w:p w14:paraId="4FD78524" w14:textId="3BA41610" w:rsidR="00D507FF" w:rsidRDefault="00D507FF">
          <w:r>
            <w:rPr>
              <w:b/>
              <w:bCs/>
              <w:noProof/>
            </w:rPr>
            <w:fldChar w:fldCharType="end"/>
          </w:r>
        </w:p>
      </w:sdtContent>
    </w:sdt>
    <w:p w14:paraId="48B05470" w14:textId="0708943D" w:rsidR="00B807A9" w:rsidRDefault="00B807A9" w:rsidP="00B807A9">
      <w:pPr>
        <w:rPr>
          <w:rFonts w:eastAsia="Times New Roman"/>
          <w:szCs w:val="24"/>
          <w:lang w:eastAsia="en-IN"/>
        </w:rPr>
      </w:pPr>
    </w:p>
    <w:p w14:paraId="2DB9B031" w14:textId="77777777" w:rsidR="00D507FF" w:rsidRDefault="00D507FF">
      <w:pPr>
        <w:spacing w:after="160" w:line="278" w:lineRule="auto"/>
        <w:jc w:val="left"/>
        <w:rPr>
          <w:rFonts w:eastAsia="Times New Roman"/>
          <w:b/>
          <w:bCs/>
          <w:szCs w:val="24"/>
          <w:lang w:eastAsia="en-IN"/>
        </w:rPr>
      </w:pPr>
      <w:r>
        <w:br w:type="page"/>
      </w:r>
    </w:p>
    <w:p w14:paraId="18E9D021" w14:textId="151DA7C3" w:rsidR="00181085" w:rsidRPr="00F36249" w:rsidRDefault="00181085" w:rsidP="00507495">
      <w:pPr>
        <w:pStyle w:val="Heading1"/>
        <w:rPr>
          <w:lang w:val="en-GB"/>
        </w:rPr>
      </w:pPr>
      <w:bookmarkStart w:id="0" w:name="_Toc243234682"/>
      <w:r w:rsidRPr="00F36249">
        <w:rPr>
          <w:lang w:val="en-GB"/>
        </w:rPr>
        <w:lastRenderedPageBreak/>
        <w:t>Blog 1: The Role of NHS Online Health Information in Promoting Anaemia Awareness and Prevention</w:t>
      </w:r>
      <w:bookmarkEnd w:id="0"/>
    </w:p>
    <w:p w14:paraId="5CE23EFA" w14:textId="2AE7F010" w:rsidR="00181085" w:rsidRPr="00F36249" w:rsidRDefault="00181085" w:rsidP="00507495">
      <w:pPr>
        <w:pStyle w:val="Heading2"/>
      </w:pPr>
      <w:bookmarkStart w:id="1" w:name="_Toc243234683"/>
      <w:r w:rsidRPr="00F36249">
        <w:t>Introduction: Why anaemia awareness matters</w:t>
      </w:r>
      <w:bookmarkEnd w:id="1"/>
    </w:p>
    <w:p w14:paraId="30A0EA6C" w14:textId="118819F3" w:rsidR="00181085" w:rsidRPr="00F36249" w:rsidRDefault="00181085" w:rsidP="00181085">
      <w:r w:rsidRPr="00F36249">
        <w:t xml:space="preserve">Anaemia is an important public health problem, especially among women of reproductive age, pregnant women and young children. According to the World Health Organization (WHO, 2025), around 30% of the world's female population, aged between 15 and 49, is impacted. Fatigue, weakness and breathlessness can be a result of anaemia and more severe cases can result in poor maternal and child health outcomes. In this context, awareness building is important for prevention, early recognition and prompt clinical assessment. </w:t>
      </w:r>
    </w:p>
    <w:p w14:paraId="67C9A1B8" w14:textId="68FFFA33" w:rsidR="000C685F" w:rsidRPr="00F36249" w:rsidRDefault="000C685F" w:rsidP="000C685F">
      <w:pPr>
        <w:jc w:val="center"/>
      </w:pPr>
      <w:r w:rsidRPr="00F36249">
        <w:rPr>
          <w:noProof/>
        </w:rPr>
        <w:drawing>
          <wp:inline distT="0" distB="0" distL="0" distR="0" wp14:anchorId="381F2302" wp14:editId="07CFF758">
            <wp:extent cx="3348038" cy="3348038"/>
            <wp:effectExtent l="0" t="0" r="5080" b="5080"/>
            <wp:docPr id="1735698777" name="Picture 1" descr="WHO EMRO - Anem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 EMRO - Anem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49522" cy="3349522"/>
                    </a:xfrm>
                    <a:prstGeom prst="rect">
                      <a:avLst/>
                    </a:prstGeom>
                    <a:noFill/>
                    <a:ln>
                      <a:noFill/>
                    </a:ln>
                  </pic:spPr>
                </pic:pic>
              </a:graphicData>
            </a:graphic>
          </wp:inline>
        </w:drawing>
      </w:r>
    </w:p>
    <w:p w14:paraId="4D9E4AD1" w14:textId="163B9BAD" w:rsidR="000C685F" w:rsidRPr="00F36249" w:rsidRDefault="000C685F" w:rsidP="000C685F">
      <w:pPr>
        <w:jc w:val="center"/>
      </w:pPr>
      <w:r w:rsidRPr="00F36249">
        <w:t>Figure: Anaemia</w:t>
      </w:r>
    </w:p>
    <w:p w14:paraId="14D5E443" w14:textId="2063F917" w:rsidR="000C685F" w:rsidRPr="00F36249" w:rsidRDefault="000C685F" w:rsidP="000C685F">
      <w:pPr>
        <w:jc w:val="center"/>
      </w:pPr>
      <w:r w:rsidRPr="00F36249">
        <w:t>Source: Nutrition (2022)</w:t>
      </w:r>
    </w:p>
    <w:p w14:paraId="284E08AD" w14:textId="2D582DF6" w:rsidR="00181085" w:rsidRPr="00F36249" w:rsidRDefault="00181085" w:rsidP="00507495">
      <w:pPr>
        <w:pStyle w:val="Heading2"/>
      </w:pPr>
      <w:bookmarkStart w:id="2" w:name="_Toc243234684"/>
      <w:r w:rsidRPr="00F36249">
        <w:t>NHS online health information as a health promotion tool</w:t>
      </w:r>
      <w:bookmarkEnd w:id="2"/>
    </w:p>
    <w:p w14:paraId="72A8094A" w14:textId="3CCCEB95" w:rsidR="00181085" w:rsidRPr="00F36249" w:rsidRDefault="00181085" w:rsidP="00181085">
      <w:r w:rsidRPr="00F36249">
        <w:t>The NHS website has publicly available health information on the symptoms, causes, diagnosis and treatment of anaemia</w:t>
      </w:r>
      <w:r w:rsidR="00DB1452" w:rsidRPr="00F36249">
        <w:t xml:space="preserve"> (NH, 2024)</w:t>
      </w:r>
      <w:r w:rsidRPr="00F36249">
        <w:t>. It can be accessed via digital format, allowing users to access information without traveling to a health care provider, which can enhance health literacy and promote informed decision-making. Advice on iron-rich foods, and advice to seek medical advice, could help in supporting preventive behaviours and earlier help-</w:t>
      </w:r>
      <w:r w:rsidRPr="00F36249">
        <w:lastRenderedPageBreak/>
        <w:t xml:space="preserve">seeking (NHS, </w:t>
      </w:r>
      <w:r w:rsidR="009A690F" w:rsidRPr="00F36249">
        <w:t>2026</w:t>
      </w:r>
      <w:r w:rsidRPr="00F36249">
        <w:t>). Online information can also support users when they ask questions for consultations, aiding to better communication with health care providers.</w:t>
      </w:r>
    </w:p>
    <w:p w14:paraId="3379447C" w14:textId="7F941023" w:rsidR="00181085" w:rsidRPr="00F36249" w:rsidRDefault="00181085" w:rsidP="00507495">
      <w:pPr>
        <w:pStyle w:val="Heading2"/>
      </w:pPr>
      <w:bookmarkStart w:id="3" w:name="_Toc243234685"/>
      <w:r w:rsidRPr="00F36249">
        <w:t>Benefits and limitations: a critical perspective</w:t>
      </w:r>
      <w:bookmarkEnd w:id="3"/>
    </w:p>
    <w:p w14:paraId="4E451267" w14:textId="17987E4B" w:rsidR="00181085" w:rsidRPr="00F36249" w:rsidRDefault="00181085" w:rsidP="00181085">
      <w:r w:rsidRPr="00F36249">
        <w:t xml:space="preserve">There is some evidence available that digital health literacy relates to health-related behaviours. </w:t>
      </w:r>
      <w:r w:rsidR="00476E08" w:rsidRPr="00F36249">
        <w:t xml:space="preserve">Kim </w:t>
      </w:r>
      <w:r w:rsidRPr="00F36249">
        <w:t xml:space="preserve">et al., </w:t>
      </w:r>
      <w:r w:rsidR="00DB1452" w:rsidRPr="00F36249">
        <w:t>(</w:t>
      </w:r>
      <w:r w:rsidRPr="00F36249">
        <w:t>2023</w:t>
      </w:r>
      <w:r w:rsidR="00DB1452" w:rsidRPr="00F36249">
        <w:t>)</w:t>
      </w:r>
      <w:r w:rsidRPr="00F36249">
        <w:t xml:space="preserve"> found a moderate positive correlation between eHealth literacy and health-related behaviours in a systematic review and meta-analysis, but this does not imply that use of online information leads to health-related behaviours. </w:t>
      </w:r>
    </w:p>
    <w:p w14:paraId="4ADFCC97" w14:textId="77777777" w:rsidR="00181085" w:rsidRPr="00F36249" w:rsidRDefault="00181085" w:rsidP="00181085">
      <w:r w:rsidRPr="00F36249">
        <w:t>One of the key strengths of the NHS website is its credibility and availability but access to information doesn't necessarily lead to understanding, lasting dietary change and/or appropriate attendance of healthcare services.</w:t>
      </w:r>
    </w:p>
    <w:p w14:paraId="704C556C" w14:textId="2B5154F8" w:rsidR="00181085" w:rsidRPr="00F36249" w:rsidRDefault="00181085" w:rsidP="00181085">
      <w:r w:rsidRPr="00F36249">
        <w:t xml:space="preserve">It can also be limited by digital exclusion and unequal health literacy. People who do not have a strong command of the Internet or internet technology, language barriers, or understanding the medical terminology may have difficulty using the guide. Literacy and accessibility and information reliability are identified as important barriers to health information seeking online (Jia </w:t>
      </w:r>
      <w:r w:rsidRPr="00F36249">
        <w:rPr>
          <w:i/>
        </w:rPr>
        <w:t>et al.,</w:t>
      </w:r>
      <w:r w:rsidRPr="00F36249">
        <w:t xml:space="preserve"> 2021). In addition, there are several causes for anaemia and dietary advice alone </w:t>
      </w:r>
      <w:r w:rsidR="00507495" w:rsidRPr="00F36249">
        <w:t>cannot</w:t>
      </w:r>
      <w:r w:rsidRPr="00F36249">
        <w:t xml:space="preserve"> solve all the problems.</w:t>
      </w:r>
    </w:p>
    <w:p w14:paraId="3B7609D8" w14:textId="6A3588C1" w:rsidR="00181085" w:rsidRPr="00F36249" w:rsidRDefault="00181085" w:rsidP="00507495">
      <w:pPr>
        <w:pStyle w:val="Heading2"/>
      </w:pPr>
      <w:bookmarkStart w:id="4" w:name="_Toc243234686"/>
      <w:r w:rsidRPr="00F36249">
        <w:t>Recommendations and conclusion</w:t>
      </w:r>
      <w:bookmarkEnd w:id="4"/>
    </w:p>
    <w:p w14:paraId="3A6475D1" w14:textId="77777777" w:rsidR="00181085" w:rsidRPr="00F36249" w:rsidRDefault="00181085" w:rsidP="00181085">
      <w:r w:rsidRPr="00F36249">
        <w:t xml:space="preserve">There are opportunities to improve the information about anaemia in the NHS, such as providing summaries in plain English, translating it into multiple languages, ensuring it can be clearly understood and good signposting to clinical services. Avoid putting emphasis on this because it can suggest that there is a need for symptoms to be assessed and that a blood test may be needed to confirm the diagnosis (NHS, 2024). </w:t>
      </w:r>
    </w:p>
    <w:p w14:paraId="259C2DCA" w14:textId="256B5B87" w:rsidR="00FE2448" w:rsidRPr="00F36249" w:rsidRDefault="00181085" w:rsidP="00181085">
      <w:r w:rsidRPr="00F36249">
        <w:t>The overall impression of health promotion information on the NHS online is that it is a credible and scalable tool, but is dependent on accessibility, understanding and translating knowledge into action. Therefore, digital education is indispensable with inclusive communication and professional healthcare support.</w:t>
      </w:r>
    </w:p>
    <w:p w14:paraId="22A304B7" w14:textId="77777777" w:rsidR="00FE2448" w:rsidRPr="00F36249" w:rsidRDefault="00FE2448">
      <w:pPr>
        <w:spacing w:after="160" w:line="278" w:lineRule="auto"/>
        <w:jc w:val="left"/>
      </w:pPr>
      <w:r w:rsidRPr="00F36249">
        <w:br w:type="page"/>
      </w:r>
    </w:p>
    <w:p w14:paraId="132F4AB1" w14:textId="77777777" w:rsidR="00926D08" w:rsidRPr="00F36249" w:rsidRDefault="00926D08" w:rsidP="00507495">
      <w:pPr>
        <w:pStyle w:val="Heading1"/>
        <w:rPr>
          <w:lang w:val="en-GB"/>
        </w:rPr>
      </w:pPr>
      <w:bookmarkStart w:id="5" w:name="_Toc243234687"/>
      <w:r w:rsidRPr="00F36249">
        <w:rPr>
          <w:lang w:val="en-GB"/>
        </w:rPr>
        <w:lastRenderedPageBreak/>
        <w:t>Blog 2: Designing a Multilingual Anaemia Awareness App to Support Prevention and Early Detection</w:t>
      </w:r>
      <w:bookmarkEnd w:id="5"/>
    </w:p>
    <w:p w14:paraId="18511B2E" w14:textId="77777777" w:rsidR="00926D08" w:rsidRPr="00F36249" w:rsidRDefault="00926D08" w:rsidP="00507495">
      <w:pPr>
        <w:pStyle w:val="Heading2"/>
      </w:pPr>
      <w:bookmarkStart w:id="6" w:name="_Toc243234688"/>
      <w:r w:rsidRPr="00F36249">
        <w:t>Introduction: Addressing inequalities in anaemia awareness</w:t>
      </w:r>
      <w:bookmarkEnd w:id="6"/>
    </w:p>
    <w:p w14:paraId="7A8C73FF" w14:textId="77777777" w:rsidR="00926D08" w:rsidRPr="00F36249" w:rsidRDefault="00926D08" w:rsidP="00926D08">
      <w:r w:rsidRPr="00F36249">
        <w:t>Anaemia continues to be a public health problem globally and is prevalent in women of reproductive age, pregnant women and children. World Health Organization (WHO, 2025) has declared anaemia as one of the leading causes of ill health, and thus, it is crucial to implement its prevention, awareness and timely diagnosis. Issues of language barriers, health literacy and access to reliable information may hinder people from identifying symptoms or accessing the right care. An accessible, culturally sensitive health education by way of a multilingual mobile application could help overcome these barriers.</w:t>
      </w:r>
    </w:p>
    <w:p w14:paraId="794AF7FE" w14:textId="77777777" w:rsidR="00926D08" w:rsidRPr="00F36249" w:rsidRDefault="00926D08" w:rsidP="00507495">
      <w:pPr>
        <w:pStyle w:val="Heading2"/>
      </w:pPr>
      <w:bookmarkStart w:id="7" w:name="_Toc243234689"/>
      <w:r w:rsidRPr="00F36249">
        <w:t>Digital technology being proposed: AnaemiaCare</w:t>
      </w:r>
      <w:bookmarkEnd w:id="7"/>
    </w:p>
    <w:p w14:paraId="4C18BCF0" w14:textId="4A2B8DA6" w:rsidR="00926D08" w:rsidRPr="00F36249" w:rsidRDefault="00926D08" w:rsidP="00926D08">
      <w:r w:rsidRPr="00F36249">
        <w:t xml:space="preserve">The suggested AnaemiaCare application will offer information in various languages such as English, Bengali and Hindi. Symptom education, explanation of iron rich foods, practical dietary advice, and quizzes and reminders for professional evaluation would be included. Users of all literacy levels would be supported by audio narration, illustrations and plain language. The app would provide health service guidance and information, with the aim of highlighting the fact that symptoms alone cannot confirm anaemia and that the person may require a clinical assessment and/or blood </w:t>
      </w:r>
      <w:r w:rsidR="00507495" w:rsidRPr="00F36249">
        <w:t>test</w:t>
      </w:r>
      <w:r w:rsidRPr="00F36249">
        <w:t>.</w:t>
      </w:r>
    </w:p>
    <w:p w14:paraId="6C153227" w14:textId="77777777" w:rsidR="00926D08" w:rsidRPr="00F36249" w:rsidRDefault="00926D08" w:rsidP="00507495">
      <w:pPr>
        <w:pStyle w:val="Heading2"/>
      </w:pPr>
      <w:bookmarkStart w:id="8" w:name="_Toc243234690"/>
      <w:r w:rsidRPr="00F36249">
        <w:t>Behaviour change and potential impact</w:t>
      </w:r>
      <w:bookmarkEnd w:id="8"/>
    </w:p>
    <w:p w14:paraId="043202C0" w14:textId="77777777" w:rsidR="00926D08" w:rsidRPr="00F36249" w:rsidRDefault="00926D08" w:rsidP="00926D08">
      <w:r w:rsidRPr="00F36249">
        <w:t>The app would be based on the COM-B model which suggests that behaviour is driven by capability, opportunity and motivation (Michie, van Stralen and West, 2011). Psychological capability can be enhanced through the use of educational content, opportunity can be expanded through multilingual access and reminders can be used to drive up motivation to seek assessment. These mechanisms could enhance health knowledge and help-seeking. Such download of an App or completion of the quizzes would not necessarily indicate sustained behaviour change or reduced prevalence of anaemia.</w:t>
      </w:r>
    </w:p>
    <w:p w14:paraId="0DA0278A" w14:textId="77777777" w:rsidR="00926D08" w:rsidRPr="00F36249" w:rsidRDefault="00926D08" w:rsidP="00507495">
      <w:pPr>
        <w:pStyle w:val="Heading2"/>
      </w:pPr>
      <w:bookmarkStart w:id="9" w:name="_Toc243234691"/>
      <w:r w:rsidRPr="00F36249">
        <w:t>Critical evaluation, recommendations and conclusion</w:t>
      </w:r>
      <w:bookmarkEnd w:id="9"/>
    </w:p>
    <w:p w14:paraId="54199DEB" w14:textId="77777777" w:rsidR="00926D08" w:rsidRPr="00F36249" w:rsidRDefault="00926D08" w:rsidP="00926D08">
      <w:r w:rsidRPr="00F36249">
        <w:t xml:space="preserve">Including users could be enhanced by providing reliable information in their preferred languages with AnaemiaCare. However, problems are the affordability of the smartphones, </w:t>
      </w:r>
      <w:r w:rsidRPr="00F36249">
        <w:lastRenderedPageBreak/>
        <w:t>lack of internet connectivity, data privacy concerns, and incorrect translations. However, dietary guidance alone could also be inadequate, as anaemia can be caused by blood loss, chronic diseases, or other nutrition deficiencies (WHO, 2025). The app should therefore not be self-diagnostic and offer content that has been reviewed by clinicians.</w:t>
      </w:r>
    </w:p>
    <w:p w14:paraId="62CB1ED9" w14:textId="59E24D49" w:rsidR="00D45B6E" w:rsidRPr="00F36249" w:rsidRDefault="00926D08" w:rsidP="00926D08">
      <w:r w:rsidRPr="00F36249">
        <w:t>Changes in anaemia knowledge, usability, and appropriate health care seeking and engagement across language groups should be measured during a pilot evaluation. Collaborating with CHWs can help individuals who are not able to access digital services on their own. In conclusion, AnaemiaCare seems to be a promising way forward in the field of inclusive health promotion, but further evaluation is needed to assess its effectiveness before assuming it's a technology accessible option.</w:t>
      </w:r>
    </w:p>
    <w:p w14:paraId="59BBBE1D" w14:textId="77777777" w:rsidR="00D45B6E" w:rsidRPr="00F36249" w:rsidRDefault="00D45B6E">
      <w:pPr>
        <w:spacing w:after="160" w:line="278" w:lineRule="auto"/>
        <w:jc w:val="left"/>
      </w:pPr>
      <w:r w:rsidRPr="00F36249">
        <w:br w:type="page"/>
      </w:r>
    </w:p>
    <w:p w14:paraId="687B2E19" w14:textId="5E8B97A4" w:rsidR="00D45B6E" w:rsidRPr="00F36249" w:rsidRDefault="00D45B6E" w:rsidP="00D45B6E">
      <w:pPr>
        <w:pStyle w:val="Heading1"/>
        <w:rPr>
          <w:lang w:val="en-GB"/>
        </w:rPr>
      </w:pPr>
      <w:bookmarkStart w:id="10" w:name="_Toc243234692"/>
      <w:r w:rsidRPr="00F36249">
        <w:rPr>
          <w:lang w:val="en-GB"/>
        </w:rPr>
        <w:lastRenderedPageBreak/>
        <w:t>References</w:t>
      </w:r>
      <w:bookmarkEnd w:id="10"/>
    </w:p>
    <w:p w14:paraId="7B1A29F8" w14:textId="4E4825B9" w:rsidR="00D45B6E" w:rsidRPr="00F36249" w:rsidRDefault="00D45B6E" w:rsidP="00D45B6E">
      <w:pPr>
        <w:pStyle w:val="Heading2"/>
      </w:pPr>
      <w:bookmarkStart w:id="11" w:name="_Toc243234693"/>
      <w:r w:rsidRPr="00F36249">
        <w:t>Blog 1</w:t>
      </w:r>
      <w:bookmarkEnd w:id="11"/>
    </w:p>
    <w:p w14:paraId="58A45FA1" w14:textId="53103168" w:rsidR="00D45B6E" w:rsidRPr="00F36249" w:rsidRDefault="00D45B6E" w:rsidP="00D45B6E">
      <w:r w:rsidRPr="00F36249">
        <w:t xml:space="preserve">WHO, (2025). World Health Organization. Anaemia. Available at: </w:t>
      </w:r>
      <w:hyperlink r:id="rId8" w:history="1">
        <w:r w:rsidR="00324A6B" w:rsidRPr="00784B57">
          <w:rPr>
            <w:rStyle w:val="Hyperlink"/>
          </w:rPr>
          <w:t>https://www.who.int/news-room/fact-sheets/detail/ANAEMIA</w:t>
        </w:r>
      </w:hyperlink>
      <w:r w:rsidR="00324A6B">
        <w:t xml:space="preserve"> </w:t>
      </w:r>
      <w:r w:rsidRPr="00F36249">
        <w:t>[Accessed 12 Oct. 2026].</w:t>
      </w:r>
    </w:p>
    <w:p w14:paraId="34F58891" w14:textId="5030ED66" w:rsidR="00D45B6E" w:rsidRPr="00F36249" w:rsidRDefault="00D45B6E" w:rsidP="00D45B6E">
      <w:r w:rsidRPr="00F36249">
        <w:t xml:space="preserve">Nutrition (2022). Anemia. [online] World Health Organization - Regional Office for the Eastern Mediterranean. Available at: </w:t>
      </w:r>
      <w:hyperlink r:id="rId9" w:history="1">
        <w:r w:rsidR="00324A6B" w:rsidRPr="00784B57">
          <w:rPr>
            <w:rStyle w:val="Hyperlink"/>
          </w:rPr>
          <w:t>https://www.emro.who.int/nutrition/resources/anemia.html</w:t>
        </w:r>
      </w:hyperlink>
      <w:r w:rsidR="00324A6B">
        <w:t xml:space="preserve"> </w:t>
      </w:r>
      <w:r w:rsidRPr="00F36249">
        <w:t xml:space="preserve"> [Accessed 1</w:t>
      </w:r>
      <w:r w:rsidR="00B459CD">
        <w:t>2</w:t>
      </w:r>
      <w:r w:rsidRPr="00F36249">
        <w:t xml:space="preserve"> Oct. 2026].</w:t>
      </w:r>
    </w:p>
    <w:p w14:paraId="4A84FDCA" w14:textId="0AF8E4CE" w:rsidR="00D45B6E" w:rsidRPr="00F36249" w:rsidRDefault="00D45B6E" w:rsidP="00D45B6E">
      <w:r w:rsidRPr="00F36249">
        <w:t xml:space="preserve">NHS (2026). Iron. Available at: </w:t>
      </w:r>
      <w:hyperlink r:id="rId10" w:history="1">
        <w:r w:rsidR="00324A6B" w:rsidRPr="00784B57">
          <w:rPr>
            <w:rStyle w:val="Hyperlink"/>
          </w:rPr>
          <w:t>https://www.nhs.uk/conditions/vitamins-and-minerals/iron/</w:t>
        </w:r>
      </w:hyperlink>
      <w:r w:rsidR="00324A6B">
        <w:t xml:space="preserve"> </w:t>
      </w:r>
      <w:r w:rsidRPr="00F36249">
        <w:t xml:space="preserve"> [Accessed 1</w:t>
      </w:r>
      <w:r w:rsidR="00B459CD">
        <w:t>1</w:t>
      </w:r>
      <w:r w:rsidRPr="00F36249">
        <w:t xml:space="preserve"> Oct. 2026].</w:t>
      </w:r>
    </w:p>
    <w:p w14:paraId="6B09036D" w14:textId="6C240135" w:rsidR="00D45B6E" w:rsidRPr="00F36249" w:rsidRDefault="00D45B6E" w:rsidP="00D45B6E">
      <w:r w:rsidRPr="00F36249">
        <w:t xml:space="preserve">NHS (2024). Iron deficiency anaemia. Available at: </w:t>
      </w:r>
      <w:hyperlink r:id="rId11" w:history="1">
        <w:r w:rsidR="00324A6B" w:rsidRPr="00784B57">
          <w:rPr>
            <w:rStyle w:val="Hyperlink"/>
          </w:rPr>
          <w:t>https://www.nhs.uk/conditions/iron-deficiency-anaemia/</w:t>
        </w:r>
      </w:hyperlink>
      <w:r w:rsidR="00324A6B">
        <w:t xml:space="preserve"> </w:t>
      </w:r>
      <w:r w:rsidRPr="00F36249">
        <w:t xml:space="preserve"> [Accessed 1</w:t>
      </w:r>
      <w:r w:rsidR="00B459CD">
        <w:t>2</w:t>
      </w:r>
      <w:r w:rsidRPr="00F36249">
        <w:t xml:space="preserve"> Oct. 2026].</w:t>
      </w:r>
    </w:p>
    <w:p w14:paraId="53D54CA8" w14:textId="291DABCC" w:rsidR="00D45B6E" w:rsidRPr="00F36249" w:rsidRDefault="00D45B6E" w:rsidP="00D45B6E">
      <w:r w:rsidRPr="00F36249">
        <w:t xml:space="preserve">Kim, K., Shin, S., Kim, S., and Lee, E. (2023). The relation between eHealth literacy and health-related behaviors: systematic review and meta-analysis. Journal of medical Internet research, 25, e40778. </w:t>
      </w:r>
      <w:hyperlink r:id="rId12" w:history="1">
        <w:r w:rsidR="00324A6B" w:rsidRPr="00784B57">
          <w:rPr>
            <w:rStyle w:val="Hyperlink"/>
          </w:rPr>
          <w:t>https://www.jmir.org/2023/1/e40778/</w:t>
        </w:r>
      </w:hyperlink>
      <w:r w:rsidR="00324A6B">
        <w:t xml:space="preserve"> </w:t>
      </w:r>
      <w:r w:rsidRPr="00F36249">
        <w:t xml:space="preserve"> </w:t>
      </w:r>
    </w:p>
    <w:p w14:paraId="1BB39F7B" w14:textId="241D44F5" w:rsidR="00D45B6E" w:rsidRPr="00F36249" w:rsidRDefault="00D45B6E" w:rsidP="00D45B6E">
      <w:r w:rsidRPr="00F36249">
        <w:t xml:space="preserve">Jia, X. et al. (2021). ‘Online health information seeking behavior: A systematic review’, Healthcare, 9(12), 1740. Available at: </w:t>
      </w:r>
      <w:hyperlink r:id="rId13" w:history="1">
        <w:r w:rsidR="00324A6B" w:rsidRPr="00784B57">
          <w:rPr>
            <w:rStyle w:val="Hyperlink"/>
          </w:rPr>
          <w:t>https://doi.org/10.3390/healthcare9121740</w:t>
        </w:r>
      </w:hyperlink>
      <w:r w:rsidR="00324A6B">
        <w:t xml:space="preserve"> </w:t>
      </w:r>
    </w:p>
    <w:p w14:paraId="54F9F066" w14:textId="77777777" w:rsidR="00D45B6E" w:rsidRPr="00F36249" w:rsidRDefault="00D45B6E" w:rsidP="00D45B6E">
      <w:pPr>
        <w:pStyle w:val="Heading2"/>
      </w:pPr>
      <w:bookmarkStart w:id="12" w:name="_Toc243234694"/>
      <w:r w:rsidRPr="00F36249">
        <w:t>Blog 2</w:t>
      </w:r>
      <w:bookmarkEnd w:id="12"/>
    </w:p>
    <w:p w14:paraId="1388542C" w14:textId="38A518AD" w:rsidR="00D45B6E" w:rsidRPr="00F36249" w:rsidRDefault="00D45B6E" w:rsidP="00D45B6E">
      <w:r w:rsidRPr="00F36249">
        <w:t xml:space="preserve">Michie, S., van Stralen, M.M. and West, R. (2011) ‘The behaviour change wheel: A new method for characterising and designing behaviour change interventions’, Implementation Science, 6, 42. Available at: </w:t>
      </w:r>
      <w:hyperlink r:id="rId14" w:history="1">
        <w:r w:rsidR="00324A6B" w:rsidRPr="00784B57">
          <w:rPr>
            <w:rStyle w:val="Hyperlink"/>
          </w:rPr>
          <w:t>https://doi.org/10.1186/1748-5908-6-42</w:t>
        </w:r>
      </w:hyperlink>
      <w:r w:rsidR="00324A6B">
        <w:t xml:space="preserve"> </w:t>
      </w:r>
    </w:p>
    <w:p w14:paraId="7011CAA9" w14:textId="46BEAC94" w:rsidR="00D45B6E" w:rsidRPr="00F36249" w:rsidRDefault="00D45B6E" w:rsidP="00D45B6E">
      <w:r w:rsidRPr="00F36249">
        <w:t xml:space="preserve">WHO (2024). World Health Organization. Guideline on haemoglobin cutoffs to define anaemia in individuals and populations. Geneva: WHO. Available at: </w:t>
      </w:r>
      <w:hyperlink r:id="rId15" w:history="1">
        <w:r w:rsidR="00324A6B" w:rsidRPr="00784B57">
          <w:rPr>
            <w:rStyle w:val="Hyperlink"/>
          </w:rPr>
          <w:t>https://www.who.int/publications/i/item/9789240088542</w:t>
        </w:r>
      </w:hyperlink>
      <w:r w:rsidR="00324A6B">
        <w:t xml:space="preserve"> </w:t>
      </w:r>
    </w:p>
    <w:p w14:paraId="7598BBD0" w14:textId="0A00E8F3" w:rsidR="00D45B6E" w:rsidRPr="00F36249" w:rsidRDefault="00D45B6E" w:rsidP="00D45B6E">
      <w:r w:rsidRPr="00F36249">
        <w:t>WHO (2025).</w:t>
      </w:r>
      <w:r w:rsidR="007D77DA">
        <w:t xml:space="preserve"> </w:t>
      </w:r>
      <w:r w:rsidRPr="00F36249">
        <w:t xml:space="preserve">World Health Organization (2025) Anaemia. Available at: </w:t>
      </w:r>
      <w:hyperlink r:id="rId16" w:history="1">
        <w:r w:rsidR="007D77DA" w:rsidRPr="00784B57">
          <w:rPr>
            <w:rStyle w:val="Hyperlink"/>
          </w:rPr>
          <w:t>https://www.who.int/news-room/fact-sheets/detail/anaemia</w:t>
        </w:r>
      </w:hyperlink>
      <w:r w:rsidR="007D77DA">
        <w:t xml:space="preserve"> </w:t>
      </w:r>
      <w:r w:rsidR="007D77DA" w:rsidRPr="00F36249">
        <w:t>[Accessed 1</w:t>
      </w:r>
      <w:r w:rsidR="007D77DA">
        <w:t>2</w:t>
      </w:r>
      <w:r w:rsidR="007D77DA" w:rsidRPr="00F36249">
        <w:t xml:space="preserve"> Oct. 2026].</w:t>
      </w:r>
    </w:p>
    <w:p w14:paraId="7F6A15AB" w14:textId="7E448F4D" w:rsidR="00D45B6E" w:rsidRPr="00F36249" w:rsidRDefault="00D45B6E" w:rsidP="00D45B6E">
      <w:r w:rsidRPr="00F36249">
        <w:t xml:space="preserve">WHO (2021). World Health Organization (2021) Global strategy on digital health 2020–2025. Geneva: WHO. Available at: </w:t>
      </w:r>
      <w:hyperlink r:id="rId17" w:history="1">
        <w:r w:rsidR="00324A6B" w:rsidRPr="00784B57">
          <w:rPr>
            <w:rStyle w:val="Hyperlink"/>
          </w:rPr>
          <w:t>https://www.who.int/publications/i/item/9789240020924</w:t>
        </w:r>
      </w:hyperlink>
      <w:r w:rsidR="00324A6B">
        <w:t xml:space="preserve"> </w:t>
      </w:r>
    </w:p>
    <w:p w14:paraId="23CE2BBF" w14:textId="1E93F2DE" w:rsidR="00D45B6E" w:rsidRPr="00F36249" w:rsidRDefault="00D45B6E" w:rsidP="00D45B6E">
      <w:r w:rsidRPr="00F36249">
        <w:lastRenderedPageBreak/>
        <w:t xml:space="preserve">NHS (2024) Iron deficiency anaemia. Available at: </w:t>
      </w:r>
      <w:hyperlink r:id="rId18" w:history="1">
        <w:r w:rsidR="007D77DA" w:rsidRPr="00784B57">
          <w:rPr>
            <w:rStyle w:val="Hyperlink"/>
          </w:rPr>
          <w:t>https://www.nhs.uk/conditions/iron-deficiency-anaemia/</w:t>
        </w:r>
      </w:hyperlink>
      <w:r w:rsidR="007D77DA">
        <w:t xml:space="preserve"> </w:t>
      </w:r>
      <w:r w:rsidR="007D77DA" w:rsidRPr="00F36249">
        <w:t>[Accessed 1</w:t>
      </w:r>
      <w:r w:rsidR="007D77DA">
        <w:t>6</w:t>
      </w:r>
      <w:r w:rsidR="007D77DA" w:rsidRPr="00F36249">
        <w:t xml:space="preserve"> Oct. 2026].</w:t>
      </w:r>
    </w:p>
    <w:p w14:paraId="2F869A83" w14:textId="1501431F" w:rsidR="006129C7" w:rsidRDefault="00D45B6E" w:rsidP="00D45B6E">
      <w:r w:rsidRPr="00F36249">
        <w:t xml:space="preserve">Jia, X. et al. (2021) ‘Online health information seeking behavior: A systematic review’, Healthcare, 9(12), 1740. Available at: </w:t>
      </w:r>
      <w:hyperlink r:id="rId19" w:history="1">
        <w:r w:rsidR="00324A6B" w:rsidRPr="00784B57">
          <w:rPr>
            <w:rStyle w:val="Hyperlink"/>
          </w:rPr>
          <w:t>https://doi.org/10.3390/healthcare9121740</w:t>
        </w:r>
      </w:hyperlink>
      <w:r w:rsidR="00324A6B">
        <w:t xml:space="preserve"> </w:t>
      </w:r>
    </w:p>
    <w:sectPr w:rsidR="006129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823"/>
    <w:rsid w:val="00000D0B"/>
    <w:rsid w:val="000023DE"/>
    <w:rsid w:val="00002804"/>
    <w:rsid w:val="00005963"/>
    <w:rsid w:val="00007A56"/>
    <w:rsid w:val="0001148C"/>
    <w:rsid w:val="00012364"/>
    <w:rsid w:val="00025B82"/>
    <w:rsid w:val="00035660"/>
    <w:rsid w:val="000363CE"/>
    <w:rsid w:val="0004401A"/>
    <w:rsid w:val="00045A0B"/>
    <w:rsid w:val="00046C06"/>
    <w:rsid w:val="000552A7"/>
    <w:rsid w:val="00055826"/>
    <w:rsid w:val="00056E3A"/>
    <w:rsid w:val="0006620C"/>
    <w:rsid w:val="000662E9"/>
    <w:rsid w:val="0007184E"/>
    <w:rsid w:val="00075491"/>
    <w:rsid w:val="00096361"/>
    <w:rsid w:val="000B5587"/>
    <w:rsid w:val="000C5E2F"/>
    <w:rsid w:val="000C685F"/>
    <w:rsid w:val="000D00D8"/>
    <w:rsid w:val="000D3843"/>
    <w:rsid w:val="000D3D78"/>
    <w:rsid w:val="000E26AB"/>
    <w:rsid w:val="000E29EA"/>
    <w:rsid w:val="000E59BD"/>
    <w:rsid w:val="000F71E2"/>
    <w:rsid w:val="000F7D20"/>
    <w:rsid w:val="00103E65"/>
    <w:rsid w:val="00107906"/>
    <w:rsid w:val="001114AE"/>
    <w:rsid w:val="00111A88"/>
    <w:rsid w:val="00127423"/>
    <w:rsid w:val="001274D6"/>
    <w:rsid w:val="0013002A"/>
    <w:rsid w:val="00145D37"/>
    <w:rsid w:val="00146EF6"/>
    <w:rsid w:val="00150C09"/>
    <w:rsid w:val="00160CFD"/>
    <w:rsid w:val="00171756"/>
    <w:rsid w:val="001747FD"/>
    <w:rsid w:val="00174E08"/>
    <w:rsid w:val="00177189"/>
    <w:rsid w:val="00181085"/>
    <w:rsid w:val="00185FB1"/>
    <w:rsid w:val="001B1B55"/>
    <w:rsid w:val="001B502A"/>
    <w:rsid w:val="001B5607"/>
    <w:rsid w:val="001B601F"/>
    <w:rsid w:val="001D1510"/>
    <w:rsid w:val="001F628E"/>
    <w:rsid w:val="001F6B29"/>
    <w:rsid w:val="00204DCD"/>
    <w:rsid w:val="00212661"/>
    <w:rsid w:val="00213B28"/>
    <w:rsid w:val="00223675"/>
    <w:rsid w:val="002259BE"/>
    <w:rsid w:val="00236DEF"/>
    <w:rsid w:val="002532DE"/>
    <w:rsid w:val="00257DFF"/>
    <w:rsid w:val="0026065A"/>
    <w:rsid w:val="00261FA0"/>
    <w:rsid w:val="00267BEC"/>
    <w:rsid w:val="00280E6C"/>
    <w:rsid w:val="00282EFA"/>
    <w:rsid w:val="002833D2"/>
    <w:rsid w:val="00292229"/>
    <w:rsid w:val="00293DFF"/>
    <w:rsid w:val="002A037B"/>
    <w:rsid w:val="002A4950"/>
    <w:rsid w:val="002A4B65"/>
    <w:rsid w:val="002B21FD"/>
    <w:rsid w:val="002B2FE2"/>
    <w:rsid w:val="002B6E84"/>
    <w:rsid w:val="002C2EDF"/>
    <w:rsid w:val="002C5E1B"/>
    <w:rsid w:val="002C68B1"/>
    <w:rsid w:val="002C771F"/>
    <w:rsid w:val="002D0AB2"/>
    <w:rsid w:val="002D5D3A"/>
    <w:rsid w:val="002D7D3C"/>
    <w:rsid w:val="002E25E0"/>
    <w:rsid w:val="002E3158"/>
    <w:rsid w:val="002F76D1"/>
    <w:rsid w:val="003161D1"/>
    <w:rsid w:val="00324A6B"/>
    <w:rsid w:val="003277CC"/>
    <w:rsid w:val="00335DD4"/>
    <w:rsid w:val="00344F37"/>
    <w:rsid w:val="00352F5A"/>
    <w:rsid w:val="003623AF"/>
    <w:rsid w:val="0036689F"/>
    <w:rsid w:val="00366CE2"/>
    <w:rsid w:val="00391D60"/>
    <w:rsid w:val="0039492B"/>
    <w:rsid w:val="003A35CC"/>
    <w:rsid w:val="003A4610"/>
    <w:rsid w:val="003B0E44"/>
    <w:rsid w:val="003E0FC7"/>
    <w:rsid w:val="003F55B4"/>
    <w:rsid w:val="00403C7E"/>
    <w:rsid w:val="00405464"/>
    <w:rsid w:val="00427147"/>
    <w:rsid w:val="004276E3"/>
    <w:rsid w:val="00427A47"/>
    <w:rsid w:val="00436398"/>
    <w:rsid w:val="0044787E"/>
    <w:rsid w:val="00453592"/>
    <w:rsid w:val="0045753F"/>
    <w:rsid w:val="0047022A"/>
    <w:rsid w:val="00472C1E"/>
    <w:rsid w:val="00476E08"/>
    <w:rsid w:val="004831EB"/>
    <w:rsid w:val="004853F4"/>
    <w:rsid w:val="00491AAF"/>
    <w:rsid w:val="00496865"/>
    <w:rsid w:val="004A00F5"/>
    <w:rsid w:val="004B52A8"/>
    <w:rsid w:val="004B6899"/>
    <w:rsid w:val="004C7085"/>
    <w:rsid w:val="004E25D8"/>
    <w:rsid w:val="004E7EF0"/>
    <w:rsid w:val="004F51E3"/>
    <w:rsid w:val="00505322"/>
    <w:rsid w:val="00506104"/>
    <w:rsid w:val="00507495"/>
    <w:rsid w:val="00510E00"/>
    <w:rsid w:val="00521E15"/>
    <w:rsid w:val="0052212F"/>
    <w:rsid w:val="00525235"/>
    <w:rsid w:val="00536E98"/>
    <w:rsid w:val="00537DEE"/>
    <w:rsid w:val="00543361"/>
    <w:rsid w:val="005453AF"/>
    <w:rsid w:val="0055149F"/>
    <w:rsid w:val="005804A5"/>
    <w:rsid w:val="00592344"/>
    <w:rsid w:val="005A0283"/>
    <w:rsid w:val="005A5B72"/>
    <w:rsid w:val="005A6241"/>
    <w:rsid w:val="005B7516"/>
    <w:rsid w:val="005D281C"/>
    <w:rsid w:val="0060079E"/>
    <w:rsid w:val="006129C7"/>
    <w:rsid w:val="00615FA0"/>
    <w:rsid w:val="006352E3"/>
    <w:rsid w:val="00664973"/>
    <w:rsid w:val="00680824"/>
    <w:rsid w:val="0068386E"/>
    <w:rsid w:val="006A1904"/>
    <w:rsid w:val="006B4C06"/>
    <w:rsid w:val="006B5276"/>
    <w:rsid w:val="006B5C64"/>
    <w:rsid w:val="006C1384"/>
    <w:rsid w:val="006C5830"/>
    <w:rsid w:val="006C7CDC"/>
    <w:rsid w:val="006D73B3"/>
    <w:rsid w:val="006E2A84"/>
    <w:rsid w:val="006F1417"/>
    <w:rsid w:val="006F63E8"/>
    <w:rsid w:val="00712221"/>
    <w:rsid w:val="007200A4"/>
    <w:rsid w:val="00720172"/>
    <w:rsid w:val="007309E8"/>
    <w:rsid w:val="007462C1"/>
    <w:rsid w:val="007545E7"/>
    <w:rsid w:val="00756933"/>
    <w:rsid w:val="00766F27"/>
    <w:rsid w:val="00773701"/>
    <w:rsid w:val="0077770E"/>
    <w:rsid w:val="00777EB0"/>
    <w:rsid w:val="00783230"/>
    <w:rsid w:val="0078443E"/>
    <w:rsid w:val="00794B24"/>
    <w:rsid w:val="007A0B00"/>
    <w:rsid w:val="007A366C"/>
    <w:rsid w:val="007B202E"/>
    <w:rsid w:val="007C7C51"/>
    <w:rsid w:val="007D16BD"/>
    <w:rsid w:val="007D77DA"/>
    <w:rsid w:val="007E18E2"/>
    <w:rsid w:val="007E35BE"/>
    <w:rsid w:val="007F7A40"/>
    <w:rsid w:val="0080248F"/>
    <w:rsid w:val="00803C7B"/>
    <w:rsid w:val="008047EF"/>
    <w:rsid w:val="00816F6F"/>
    <w:rsid w:val="008260CF"/>
    <w:rsid w:val="00826113"/>
    <w:rsid w:val="00834D2F"/>
    <w:rsid w:val="008438CC"/>
    <w:rsid w:val="00852179"/>
    <w:rsid w:val="008571C2"/>
    <w:rsid w:val="0086544D"/>
    <w:rsid w:val="0086720C"/>
    <w:rsid w:val="008724EE"/>
    <w:rsid w:val="008759A6"/>
    <w:rsid w:val="00881D68"/>
    <w:rsid w:val="00886846"/>
    <w:rsid w:val="008B03CF"/>
    <w:rsid w:val="008B3223"/>
    <w:rsid w:val="008B4A08"/>
    <w:rsid w:val="008B7E26"/>
    <w:rsid w:val="008C1C28"/>
    <w:rsid w:val="008E25E1"/>
    <w:rsid w:val="008E6273"/>
    <w:rsid w:val="008F02F5"/>
    <w:rsid w:val="00905E87"/>
    <w:rsid w:val="00915BC8"/>
    <w:rsid w:val="00915CFF"/>
    <w:rsid w:val="0091605C"/>
    <w:rsid w:val="0091606A"/>
    <w:rsid w:val="009206AE"/>
    <w:rsid w:val="00926D08"/>
    <w:rsid w:val="00941B25"/>
    <w:rsid w:val="00944823"/>
    <w:rsid w:val="00957B5F"/>
    <w:rsid w:val="009616C1"/>
    <w:rsid w:val="0096176B"/>
    <w:rsid w:val="00965560"/>
    <w:rsid w:val="00972E3D"/>
    <w:rsid w:val="00980E88"/>
    <w:rsid w:val="009815AD"/>
    <w:rsid w:val="00984FB9"/>
    <w:rsid w:val="009856B9"/>
    <w:rsid w:val="009971DF"/>
    <w:rsid w:val="009A064F"/>
    <w:rsid w:val="009A6138"/>
    <w:rsid w:val="009A690F"/>
    <w:rsid w:val="009C1419"/>
    <w:rsid w:val="009C5A34"/>
    <w:rsid w:val="009D5763"/>
    <w:rsid w:val="009D610D"/>
    <w:rsid w:val="009E167E"/>
    <w:rsid w:val="009E70CC"/>
    <w:rsid w:val="009F0E34"/>
    <w:rsid w:val="009F61A1"/>
    <w:rsid w:val="00A00DB0"/>
    <w:rsid w:val="00A02E3D"/>
    <w:rsid w:val="00A12C13"/>
    <w:rsid w:val="00A145EF"/>
    <w:rsid w:val="00A3055B"/>
    <w:rsid w:val="00A31573"/>
    <w:rsid w:val="00A31FDB"/>
    <w:rsid w:val="00A33BE8"/>
    <w:rsid w:val="00A34689"/>
    <w:rsid w:val="00A612AF"/>
    <w:rsid w:val="00A745F1"/>
    <w:rsid w:val="00A82692"/>
    <w:rsid w:val="00A8526A"/>
    <w:rsid w:val="00A8674A"/>
    <w:rsid w:val="00A90CD8"/>
    <w:rsid w:val="00A93945"/>
    <w:rsid w:val="00AA234F"/>
    <w:rsid w:val="00AA4568"/>
    <w:rsid w:val="00AA54F0"/>
    <w:rsid w:val="00AB5046"/>
    <w:rsid w:val="00AC6610"/>
    <w:rsid w:val="00AD02F3"/>
    <w:rsid w:val="00AD0876"/>
    <w:rsid w:val="00AE0E00"/>
    <w:rsid w:val="00B00903"/>
    <w:rsid w:val="00B058CF"/>
    <w:rsid w:val="00B06365"/>
    <w:rsid w:val="00B21E98"/>
    <w:rsid w:val="00B30497"/>
    <w:rsid w:val="00B3723F"/>
    <w:rsid w:val="00B44934"/>
    <w:rsid w:val="00B459CD"/>
    <w:rsid w:val="00B704B0"/>
    <w:rsid w:val="00B807A9"/>
    <w:rsid w:val="00B95399"/>
    <w:rsid w:val="00BB2068"/>
    <w:rsid w:val="00BC0268"/>
    <w:rsid w:val="00BC25E4"/>
    <w:rsid w:val="00BC4039"/>
    <w:rsid w:val="00BC6783"/>
    <w:rsid w:val="00BE298C"/>
    <w:rsid w:val="00BE2E5C"/>
    <w:rsid w:val="00BE6A14"/>
    <w:rsid w:val="00BF1AFA"/>
    <w:rsid w:val="00BF2F53"/>
    <w:rsid w:val="00C11AA4"/>
    <w:rsid w:val="00C16A74"/>
    <w:rsid w:val="00C17B7D"/>
    <w:rsid w:val="00C22C18"/>
    <w:rsid w:val="00C238BC"/>
    <w:rsid w:val="00C358EA"/>
    <w:rsid w:val="00C45431"/>
    <w:rsid w:val="00C536B5"/>
    <w:rsid w:val="00C54A9D"/>
    <w:rsid w:val="00C71FAA"/>
    <w:rsid w:val="00C7644D"/>
    <w:rsid w:val="00C849EB"/>
    <w:rsid w:val="00C92E96"/>
    <w:rsid w:val="00CA143F"/>
    <w:rsid w:val="00CA2565"/>
    <w:rsid w:val="00CB41A7"/>
    <w:rsid w:val="00CC27D9"/>
    <w:rsid w:val="00CC5361"/>
    <w:rsid w:val="00CD4682"/>
    <w:rsid w:val="00CE0257"/>
    <w:rsid w:val="00CE61A1"/>
    <w:rsid w:val="00D0150A"/>
    <w:rsid w:val="00D11A2A"/>
    <w:rsid w:val="00D23CFC"/>
    <w:rsid w:val="00D24FDE"/>
    <w:rsid w:val="00D402B5"/>
    <w:rsid w:val="00D41C6D"/>
    <w:rsid w:val="00D42262"/>
    <w:rsid w:val="00D42FC7"/>
    <w:rsid w:val="00D45B6E"/>
    <w:rsid w:val="00D460FA"/>
    <w:rsid w:val="00D5001B"/>
    <w:rsid w:val="00D507FF"/>
    <w:rsid w:val="00D51E83"/>
    <w:rsid w:val="00D62752"/>
    <w:rsid w:val="00D643C4"/>
    <w:rsid w:val="00D71384"/>
    <w:rsid w:val="00D77B15"/>
    <w:rsid w:val="00D82A3F"/>
    <w:rsid w:val="00D93644"/>
    <w:rsid w:val="00D9663D"/>
    <w:rsid w:val="00D974D7"/>
    <w:rsid w:val="00DA788A"/>
    <w:rsid w:val="00DA7F1D"/>
    <w:rsid w:val="00DB0ACC"/>
    <w:rsid w:val="00DB10C1"/>
    <w:rsid w:val="00DB1452"/>
    <w:rsid w:val="00DC081E"/>
    <w:rsid w:val="00DC31A0"/>
    <w:rsid w:val="00DD1B4B"/>
    <w:rsid w:val="00DD522A"/>
    <w:rsid w:val="00DE5727"/>
    <w:rsid w:val="00DF4F84"/>
    <w:rsid w:val="00E00941"/>
    <w:rsid w:val="00E13E00"/>
    <w:rsid w:val="00E13FCF"/>
    <w:rsid w:val="00E1564E"/>
    <w:rsid w:val="00E15B29"/>
    <w:rsid w:val="00E35FBC"/>
    <w:rsid w:val="00E3601A"/>
    <w:rsid w:val="00E47CCD"/>
    <w:rsid w:val="00E47F9D"/>
    <w:rsid w:val="00E56188"/>
    <w:rsid w:val="00E600EE"/>
    <w:rsid w:val="00E616B0"/>
    <w:rsid w:val="00E62B8B"/>
    <w:rsid w:val="00E63FC4"/>
    <w:rsid w:val="00E750D9"/>
    <w:rsid w:val="00E80E9F"/>
    <w:rsid w:val="00E90B74"/>
    <w:rsid w:val="00E92B87"/>
    <w:rsid w:val="00E9740B"/>
    <w:rsid w:val="00EA7524"/>
    <w:rsid w:val="00EC0A6C"/>
    <w:rsid w:val="00EC6F5E"/>
    <w:rsid w:val="00ED3856"/>
    <w:rsid w:val="00EF4BEC"/>
    <w:rsid w:val="00EF7FCE"/>
    <w:rsid w:val="00F07CE8"/>
    <w:rsid w:val="00F25895"/>
    <w:rsid w:val="00F307E1"/>
    <w:rsid w:val="00F31903"/>
    <w:rsid w:val="00F3290A"/>
    <w:rsid w:val="00F34033"/>
    <w:rsid w:val="00F36249"/>
    <w:rsid w:val="00F41D5E"/>
    <w:rsid w:val="00F632CB"/>
    <w:rsid w:val="00F633CE"/>
    <w:rsid w:val="00F72692"/>
    <w:rsid w:val="00F9012D"/>
    <w:rsid w:val="00F9096D"/>
    <w:rsid w:val="00F92803"/>
    <w:rsid w:val="00F92E40"/>
    <w:rsid w:val="00F95B76"/>
    <w:rsid w:val="00F96238"/>
    <w:rsid w:val="00FB01B2"/>
    <w:rsid w:val="00FB41A2"/>
    <w:rsid w:val="00FC17CF"/>
    <w:rsid w:val="00FC3E18"/>
    <w:rsid w:val="00FD4DF5"/>
    <w:rsid w:val="00FD70A2"/>
    <w:rsid w:val="00FE0282"/>
    <w:rsid w:val="00FE1B86"/>
    <w:rsid w:val="00FE2448"/>
    <w:rsid w:val="00FE443F"/>
    <w:rsid w:val="00FF0CA5"/>
    <w:rsid w:val="00FF687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F439B"/>
  <w15:chartTrackingRefBased/>
  <w15:docId w15:val="{A9FA69E1-7611-4D8B-9471-61879E741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IN"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5E7"/>
    <w:pPr>
      <w:spacing w:after="200" w:line="360" w:lineRule="auto"/>
      <w:jc w:val="both"/>
    </w:pPr>
    <w:rPr>
      <w:rFonts w:ascii="Calibri" w:eastAsia="Calibri" w:hAnsi="Calibri" w:cs="Times New Roman"/>
      <w:kern w:val="0"/>
      <w:szCs w:val="22"/>
      <w:lang w:val="en-GB" w:eastAsia="en-US"/>
      <w14:ligatures w14:val="none"/>
    </w:rPr>
  </w:style>
  <w:style w:type="paragraph" w:styleId="Heading1">
    <w:name w:val="heading 1"/>
    <w:basedOn w:val="Normal"/>
    <w:next w:val="Normal"/>
    <w:link w:val="Heading1Char"/>
    <w:autoRedefine/>
    <w:uiPriority w:val="9"/>
    <w:qFormat/>
    <w:rsid w:val="00507495"/>
    <w:pPr>
      <w:keepNext/>
      <w:keepLines/>
      <w:spacing w:after="0"/>
      <w:outlineLvl w:val="0"/>
    </w:pPr>
    <w:rPr>
      <w:rFonts w:eastAsia="Times New Roman"/>
      <w:b/>
      <w:bCs/>
      <w:szCs w:val="24"/>
      <w:lang w:val="en" w:eastAsia="en-IN"/>
    </w:rPr>
  </w:style>
  <w:style w:type="paragraph" w:styleId="Heading2">
    <w:name w:val="heading 2"/>
    <w:basedOn w:val="Normal"/>
    <w:next w:val="Normal"/>
    <w:link w:val="Heading2Char"/>
    <w:autoRedefine/>
    <w:uiPriority w:val="9"/>
    <w:unhideWhenUsed/>
    <w:qFormat/>
    <w:rsid w:val="00507495"/>
    <w:pPr>
      <w:keepNext/>
      <w:spacing w:before="240" w:after="60"/>
      <w:outlineLvl w:val="1"/>
    </w:pPr>
    <w:rPr>
      <w:rFonts w:asciiTheme="minorHAnsi" w:eastAsia="Times New Roman" w:hAnsiTheme="minorHAnsi" w:cstheme="minorBidi"/>
      <w:b/>
      <w:bCs/>
      <w:iCs/>
      <w:kern w:val="2"/>
      <w:szCs w:val="28"/>
      <w14:ligatures w14:val="standardContextual"/>
    </w:rPr>
  </w:style>
  <w:style w:type="paragraph" w:styleId="Heading3">
    <w:name w:val="heading 3"/>
    <w:basedOn w:val="Normal"/>
    <w:next w:val="Normal"/>
    <w:link w:val="Heading3Char"/>
    <w:autoRedefine/>
    <w:uiPriority w:val="9"/>
    <w:unhideWhenUsed/>
    <w:qFormat/>
    <w:rsid w:val="006C1384"/>
    <w:pPr>
      <w:keepNext/>
      <w:keepLines/>
      <w:spacing w:before="160" w:after="80" w:line="480" w:lineRule="auto"/>
      <w:outlineLvl w:val="2"/>
    </w:pPr>
    <w:rPr>
      <w:rFonts w:ascii="Times New Roman" w:eastAsiaTheme="majorEastAsia" w:hAnsi="Times New Roman" w:cstheme="majorBidi"/>
      <w:b/>
      <w:kern w:val="2"/>
      <w:szCs w:val="35"/>
      <w:lang w:eastAsia="zh-CN"/>
      <w14:ligatures w14:val="standardContextual"/>
    </w:rPr>
  </w:style>
  <w:style w:type="paragraph" w:styleId="Heading4">
    <w:name w:val="heading 4"/>
    <w:basedOn w:val="Normal"/>
    <w:next w:val="Normal"/>
    <w:link w:val="Heading4Char"/>
    <w:autoRedefine/>
    <w:uiPriority w:val="9"/>
    <w:unhideWhenUsed/>
    <w:qFormat/>
    <w:rsid w:val="00816F6F"/>
    <w:pPr>
      <w:keepNext/>
      <w:keepLines/>
      <w:jc w:val="center"/>
      <w:outlineLvl w:val="3"/>
    </w:pPr>
    <w:rPr>
      <w:b/>
      <w:bCs/>
      <w:i/>
      <w:iCs/>
    </w:rPr>
  </w:style>
  <w:style w:type="paragraph" w:styleId="Heading5">
    <w:name w:val="heading 5"/>
    <w:basedOn w:val="Normal"/>
    <w:next w:val="Normal"/>
    <w:link w:val="Heading5Char"/>
    <w:autoRedefine/>
    <w:uiPriority w:val="9"/>
    <w:semiHidden/>
    <w:unhideWhenUsed/>
    <w:qFormat/>
    <w:rsid w:val="00816F6F"/>
    <w:pPr>
      <w:keepNext/>
      <w:keepLines/>
      <w:spacing w:before="240" w:after="80"/>
      <w:outlineLvl w:val="4"/>
    </w:pPr>
    <w:rPr>
      <w:i/>
      <w:color w:val="000000" w:themeColor="text1"/>
    </w:rPr>
  </w:style>
  <w:style w:type="paragraph" w:styleId="Heading6">
    <w:name w:val="heading 6"/>
    <w:basedOn w:val="Normal"/>
    <w:next w:val="Normal"/>
    <w:link w:val="Heading6Char"/>
    <w:uiPriority w:val="9"/>
    <w:semiHidden/>
    <w:unhideWhenUsed/>
    <w:qFormat/>
    <w:rsid w:val="0094482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4482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4482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4482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07495"/>
    <w:rPr>
      <w:rFonts w:ascii="Calibri" w:eastAsia="Times New Roman" w:hAnsi="Calibri" w:cs="Times New Roman"/>
      <w:b/>
      <w:bCs/>
      <w:kern w:val="0"/>
      <w:lang w:val="en" w:eastAsia="en-IN"/>
      <w14:ligatures w14:val="none"/>
    </w:rPr>
  </w:style>
  <w:style w:type="character" w:customStyle="1" w:styleId="Heading2Char">
    <w:name w:val="Heading 2 Char"/>
    <w:link w:val="Heading2"/>
    <w:uiPriority w:val="9"/>
    <w:rsid w:val="00507495"/>
    <w:rPr>
      <w:rFonts w:eastAsia="Times New Roman"/>
      <w:b/>
      <w:bCs/>
      <w:iCs/>
      <w:szCs w:val="28"/>
      <w:lang w:val="en-GB" w:eastAsia="en-US"/>
    </w:rPr>
  </w:style>
  <w:style w:type="character" w:customStyle="1" w:styleId="Heading4Char">
    <w:name w:val="Heading 4 Char"/>
    <w:basedOn w:val="DefaultParagraphFont"/>
    <w:link w:val="Heading4"/>
    <w:uiPriority w:val="9"/>
    <w:rsid w:val="00816F6F"/>
    <w:rPr>
      <w:rFonts w:ascii="Arial" w:eastAsia="Arial" w:hAnsi="Arial" w:cs="Arial"/>
      <w:b/>
      <w:bCs/>
      <w:i/>
      <w:iCs/>
      <w:kern w:val="0"/>
      <w:szCs w:val="22"/>
      <w:lang w:val="en-US" w:eastAsia="en-IN"/>
      <w14:ligatures w14:val="none"/>
    </w:rPr>
  </w:style>
  <w:style w:type="character" w:customStyle="1" w:styleId="Heading3Char">
    <w:name w:val="Heading 3 Char"/>
    <w:basedOn w:val="DefaultParagraphFont"/>
    <w:link w:val="Heading3"/>
    <w:uiPriority w:val="9"/>
    <w:rsid w:val="006C1384"/>
    <w:rPr>
      <w:rFonts w:ascii="Times New Roman" w:eastAsiaTheme="majorEastAsia" w:hAnsi="Times New Roman" w:cstheme="majorBidi"/>
      <w:b/>
      <w:szCs w:val="35"/>
      <w:lang w:val="en-GB"/>
    </w:rPr>
  </w:style>
  <w:style w:type="character" w:customStyle="1" w:styleId="Heading5Char">
    <w:name w:val="Heading 5 Char"/>
    <w:basedOn w:val="DefaultParagraphFont"/>
    <w:link w:val="Heading5"/>
    <w:uiPriority w:val="9"/>
    <w:semiHidden/>
    <w:rsid w:val="00816F6F"/>
    <w:rPr>
      <w:rFonts w:ascii="Arial" w:eastAsia="Arial" w:hAnsi="Arial" w:cs="Arial"/>
      <w:i/>
      <w:color w:val="000000" w:themeColor="text1"/>
      <w:kern w:val="0"/>
      <w:szCs w:val="22"/>
      <w:lang w:val="en-US" w:eastAsia="en-IN"/>
      <w14:ligatures w14:val="none"/>
    </w:rPr>
  </w:style>
  <w:style w:type="character" w:customStyle="1" w:styleId="Heading6Char">
    <w:name w:val="Heading 6 Char"/>
    <w:basedOn w:val="DefaultParagraphFont"/>
    <w:link w:val="Heading6"/>
    <w:uiPriority w:val="9"/>
    <w:semiHidden/>
    <w:rsid w:val="00944823"/>
    <w:rPr>
      <w:rFonts w:eastAsiaTheme="majorEastAsia" w:cstheme="majorBidi"/>
      <w:i/>
      <w:iCs/>
      <w:color w:val="595959" w:themeColor="text1" w:themeTint="A6"/>
      <w:kern w:val="0"/>
      <w:szCs w:val="22"/>
      <w:lang w:val="en-GB" w:eastAsia="en-US"/>
      <w14:ligatures w14:val="none"/>
    </w:rPr>
  </w:style>
  <w:style w:type="character" w:customStyle="1" w:styleId="Heading7Char">
    <w:name w:val="Heading 7 Char"/>
    <w:basedOn w:val="DefaultParagraphFont"/>
    <w:link w:val="Heading7"/>
    <w:uiPriority w:val="9"/>
    <w:semiHidden/>
    <w:rsid w:val="00944823"/>
    <w:rPr>
      <w:rFonts w:eastAsiaTheme="majorEastAsia" w:cstheme="majorBidi"/>
      <w:color w:val="595959" w:themeColor="text1" w:themeTint="A6"/>
      <w:kern w:val="0"/>
      <w:szCs w:val="22"/>
      <w:lang w:val="en-GB" w:eastAsia="en-US"/>
      <w14:ligatures w14:val="none"/>
    </w:rPr>
  </w:style>
  <w:style w:type="character" w:customStyle="1" w:styleId="Heading8Char">
    <w:name w:val="Heading 8 Char"/>
    <w:basedOn w:val="DefaultParagraphFont"/>
    <w:link w:val="Heading8"/>
    <w:uiPriority w:val="9"/>
    <w:semiHidden/>
    <w:rsid w:val="00944823"/>
    <w:rPr>
      <w:rFonts w:eastAsiaTheme="majorEastAsia" w:cstheme="majorBidi"/>
      <w:i/>
      <w:iCs/>
      <w:color w:val="272727" w:themeColor="text1" w:themeTint="D8"/>
      <w:kern w:val="0"/>
      <w:szCs w:val="22"/>
      <w:lang w:val="en-GB" w:eastAsia="en-US"/>
      <w14:ligatures w14:val="none"/>
    </w:rPr>
  </w:style>
  <w:style w:type="character" w:customStyle="1" w:styleId="Heading9Char">
    <w:name w:val="Heading 9 Char"/>
    <w:basedOn w:val="DefaultParagraphFont"/>
    <w:link w:val="Heading9"/>
    <w:uiPriority w:val="9"/>
    <w:semiHidden/>
    <w:rsid w:val="00944823"/>
    <w:rPr>
      <w:rFonts w:eastAsiaTheme="majorEastAsia" w:cstheme="majorBidi"/>
      <w:color w:val="272727" w:themeColor="text1" w:themeTint="D8"/>
      <w:kern w:val="0"/>
      <w:szCs w:val="22"/>
      <w:lang w:val="en-GB" w:eastAsia="en-US"/>
      <w14:ligatures w14:val="none"/>
    </w:rPr>
  </w:style>
  <w:style w:type="paragraph" w:styleId="Title">
    <w:name w:val="Title"/>
    <w:basedOn w:val="Normal"/>
    <w:next w:val="Normal"/>
    <w:link w:val="TitleChar"/>
    <w:uiPriority w:val="10"/>
    <w:qFormat/>
    <w:rsid w:val="009448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823"/>
    <w:rPr>
      <w:rFonts w:asciiTheme="majorHAnsi" w:eastAsiaTheme="majorEastAsia" w:hAnsiTheme="majorHAnsi" w:cstheme="majorBidi"/>
      <w:spacing w:val="-10"/>
      <w:kern w:val="28"/>
      <w:sz w:val="56"/>
      <w:szCs w:val="56"/>
      <w:lang w:val="en-GB" w:eastAsia="en-US"/>
      <w14:ligatures w14:val="none"/>
    </w:rPr>
  </w:style>
  <w:style w:type="paragraph" w:styleId="Subtitle">
    <w:name w:val="Subtitle"/>
    <w:basedOn w:val="Normal"/>
    <w:next w:val="Normal"/>
    <w:link w:val="SubtitleChar"/>
    <w:uiPriority w:val="11"/>
    <w:qFormat/>
    <w:rsid w:val="0094482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823"/>
    <w:rPr>
      <w:rFonts w:eastAsiaTheme="majorEastAsia" w:cstheme="majorBidi"/>
      <w:color w:val="595959" w:themeColor="text1" w:themeTint="A6"/>
      <w:spacing w:val="15"/>
      <w:kern w:val="0"/>
      <w:sz w:val="28"/>
      <w:szCs w:val="28"/>
      <w:lang w:val="en-GB" w:eastAsia="en-US"/>
      <w14:ligatures w14:val="none"/>
    </w:rPr>
  </w:style>
  <w:style w:type="paragraph" w:styleId="Quote">
    <w:name w:val="Quote"/>
    <w:basedOn w:val="Normal"/>
    <w:next w:val="Normal"/>
    <w:link w:val="QuoteChar"/>
    <w:uiPriority w:val="29"/>
    <w:qFormat/>
    <w:rsid w:val="009448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44823"/>
    <w:rPr>
      <w:rFonts w:ascii="Calibri" w:eastAsia="Calibri" w:hAnsi="Calibri" w:cs="Times New Roman"/>
      <w:i/>
      <w:iCs/>
      <w:color w:val="404040" w:themeColor="text1" w:themeTint="BF"/>
      <w:kern w:val="0"/>
      <w:szCs w:val="22"/>
      <w:lang w:val="en-GB" w:eastAsia="en-US"/>
      <w14:ligatures w14:val="none"/>
    </w:rPr>
  </w:style>
  <w:style w:type="paragraph" w:styleId="ListParagraph">
    <w:name w:val="List Paragraph"/>
    <w:basedOn w:val="Normal"/>
    <w:uiPriority w:val="34"/>
    <w:qFormat/>
    <w:rsid w:val="00944823"/>
    <w:pPr>
      <w:ind w:left="720"/>
      <w:contextualSpacing/>
    </w:pPr>
  </w:style>
  <w:style w:type="character" w:styleId="IntenseEmphasis">
    <w:name w:val="Intense Emphasis"/>
    <w:basedOn w:val="DefaultParagraphFont"/>
    <w:uiPriority w:val="21"/>
    <w:qFormat/>
    <w:rsid w:val="00944823"/>
    <w:rPr>
      <w:i/>
      <w:iCs/>
      <w:color w:val="2F5496" w:themeColor="accent1" w:themeShade="BF"/>
    </w:rPr>
  </w:style>
  <w:style w:type="paragraph" w:styleId="IntenseQuote">
    <w:name w:val="Intense Quote"/>
    <w:basedOn w:val="Normal"/>
    <w:next w:val="Normal"/>
    <w:link w:val="IntenseQuoteChar"/>
    <w:uiPriority w:val="30"/>
    <w:qFormat/>
    <w:rsid w:val="009448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4823"/>
    <w:rPr>
      <w:rFonts w:ascii="Calibri" w:eastAsia="Calibri" w:hAnsi="Calibri" w:cs="Times New Roman"/>
      <w:i/>
      <w:iCs/>
      <w:color w:val="2F5496" w:themeColor="accent1" w:themeShade="BF"/>
      <w:kern w:val="0"/>
      <w:szCs w:val="22"/>
      <w:lang w:val="en-GB" w:eastAsia="en-US"/>
      <w14:ligatures w14:val="none"/>
    </w:rPr>
  </w:style>
  <w:style w:type="character" w:styleId="IntenseReference">
    <w:name w:val="Intense Reference"/>
    <w:basedOn w:val="DefaultParagraphFont"/>
    <w:uiPriority w:val="32"/>
    <w:qFormat/>
    <w:rsid w:val="00944823"/>
    <w:rPr>
      <w:b/>
      <w:bCs/>
      <w:smallCaps/>
      <w:color w:val="2F5496" w:themeColor="accent1" w:themeShade="BF"/>
      <w:spacing w:val="5"/>
    </w:rPr>
  </w:style>
  <w:style w:type="character" w:styleId="Hyperlink">
    <w:name w:val="Hyperlink"/>
    <w:basedOn w:val="DefaultParagraphFont"/>
    <w:uiPriority w:val="99"/>
    <w:unhideWhenUsed/>
    <w:rsid w:val="007D77DA"/>
    <w:rPr>
      <w:color w:val="0563C1" w:themeColor="hyperlink"/>
      <w:u w:val="single"/>
    </w:rPr>
  </w:style>
  <w:style w:type="character" w:styleId="UnresolvedMention">
    <w:name w:val="Unresolved Mention"/>
    <w:basedOn w:val="DefaultParagraphFont"/>
    <w:uiPriority w:val="99"/>
    <w:semiHidden/>
    <w:unhideWhenUsed/>
    <w:rsid w:val="007D77DA"/>
    <w:rPr>
      <w:color w:val="605E5C"/>
      <w:shd w:val="clear" w:color="auto" w:fill="E1DFDD"/>
    </w:rPr>
  </w:style>
  <w:style w:type="paragraph" w:styleId="TOCHeading">
    <w:name w:val="TOC Heading"/>
    <w:basedOn w:val="Heading1"/>
    <w:next w:val="Normal"/>
    <w:uiPriority w:val="39"/>
    <w:unhideWhenUsed/>
    <w:qFormat/>
    <w:rsid w:val="00D507FF"/>
    <w:pPr>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D507FF"/>
    <w:pPr>
      <w:tabs>
        <w:tab w:val="right" w:leader="dot" w:pos="9016"/>
      </w:tabs>
      <w:spacing w:after="100"/>
    </w:pPr>
    <w:rPr>
      <w:b/>
      <w:bCs/>
      <w:noProof/>
    </w:rPr>
  </w:style>
  <w:style w:type="paragraph" w:styleId="TOC2">
    <w:name w:val="toc 2"/>
    <w:basedOn w:val="Normal"/>
    <w:next w:val="Normal"/>
    <w:autoRedefine/>
    <w:uiPriority w:val="39"/>
    <w:unhideWhenUsed/>
    <w:rsid w:val="00D507F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ANAEMIA" TargetMode="External"/><Relationship Id="rId13" Type="http://schemas.openxmlformats.org/officeDocument/2006/relationships/hyperlink" Target="https://doi.org/10.3390/healthcare9121740" TargetMode="External"/><Relationship Id="rId18" Type="http://schemas.openxmlformats.org/officeDocument/2006/relationships/hyperlink" Target="https://www.nhs.uk/conditions/iron-deficiency-anaemia/"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jmir.org/2023/1/e40778/" TargetMode="External"/><Relationship Id="rId17" Type="http://schemas.openxmlformats.org/officeDocument/2006/relationships/hyperlink" Target="https://www.who.int/publications/i/item/9789240020924" TargetMode="External"/><Relationship Id="rId2" Type="http://schemas.openxmlformats.org/officeDocument/2006/relationships/styles" Target="styles.xml"/><Relationship Id="rId16" Type="http://schemas.openxmlformats.org/officeDocument/2006/relationships/hyperlink" Target="https://www.who.int/news-room/fact-sheets/detail/anaemi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hyperlink" Target="https://www.nhs.uk/conditions/iron-deficiency-anaemia/" TargetMode="External"/><Relationship Id="rId5" Type="http://schemas.openxmlformats.org/officeDocument/2006/relationships/image" Target="media/image1.png"/><Relationship Id="rId15" Type="http://schemas.openxmlformats.org/officeDocument/2006/relationships/hyperlink" Target="https://www.who.int/publications/i/item/9789240088542" TargetMode="External"/><Relationship Id="rId10" Type="http://schemas.openxmlformats.org/officeDocument/2006/relationships/hyperlink" Target="https://www.nhs.uk/conditions/vitamins-and-minerals/iron/" TargetMode="External"/><Relationship Id="rId19" Type="http://schemas.openxmlformats.org/officeDocument/2006/relationships/hyperlink" Target="https://doi.org/10.3390/healthcare9121740" TargetMode="External"/><Relationship Id="rId4" Type="http://schemas.openxmlformats.org/officeDocument/2006/relationships/webSettings" Target="webSettings.xml"/><Relationship Id="rId9" Type="http://schemas.openxmlformats.org/officeDocument/2006/relationships/hyperlink" Target="https://www.emro.who.int/nutrition/resources/anemia.html" TargetMode="External"/><Relationship Id="rId14" Type="http://schemas.openxmlformats.org/officeDocument/2006/relationships/hyperlink" Target="https://doi.org/10.1186/1748-5908-6-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E97DA-436A-47C8-BEFA-4612C7420E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1678</Words>
  <Characters>9570</Characters>
  <Application>Microsoft Office Word</Application>
  <DocSecurity>0</DocSecurity>
  <Lines>79</Lines>
  <Paragraphs>22</Paragraphs>
  <ScaleCrop>false</ScaleCrop>
  <Company/>
  <LinksUpToDate>false</LinksUpToDate>
  <CharactersWithSpaces>11226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work space</dc:creator>
  <cp:keywords/>
  <dc:description/>
  <cp:lastModifiedBy>ashok patel</cp:lastModifiedBy>
  <cp:revision>2</cp:revision>
  <dcterms:created xsi:type="dcterms:W3CDTF">2026-10-23T11:11:00Z</dcterms:created>
  <dcterms:modified xsi:type="dcterms:W3CDTF">2026-10-23T11:11:00Z</dcterms:modified>
</cp:coreProperties>
</file>