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92F4" w14:textId="77777777" w:rsidR="001D636C" w:rsidRDefault="001D636C" w:rsidP="00694D5D">
      <w:pPr>
        <w:spacing w:line="360" w:lineRule="auto"/>
        <w:jc w:val="both"/>
        <w:rPr>
          <w:rFonts w:ascii="Times New Roman" w:hAnsi="Times New Roman" w:cs="Times New Roman"/>
          <w:b/>
          <w:sz w:val="32"/>
        </w:rPr>
      </w:pPr>
    </w:p>
    <w:p w14:paraId="466D4792" w14:textId="6BA4391B" w:rsidR="001D636C" w:rsidRDefault="000836DD" w:rsidP="00694D5D">
      <w:pPr>
        <w:spacing w:line="360" w:lineRule="auto"/>
        <w:jc w:val="both"/>
        <w:rPr>
          <w:rFonts w:ascii="Times New Roman" w:hAnsi="Times New Roman" w:cs="Times New Roman"/>
          <w:b/>
          <w:sz w:val="32"/>
        </w:rPr>
      </w:pPr>
      <w:r w:rsidRPr="005F2E7C">
        <w:rPr>
          <w:rFonts w:ascii="Times New Roman" w:hAnsi="Times New Roman" w:cs="Times New Roman"/>
          <w:noProof/>
          <w:lang w:eastAsia="en-GB"/>
        </w:rPr>
        <w:drawing>
          <wp:inline distT="0" distB="0" distL="0" distR="0" wp14:anchorId="162FAF7B" wp14:editId="3E6BC019">
            <wp:extent cx="2157211" cy="863432"/>
            <wp:effectExtent l="0" t="0" r="0" b="0"/>
            <wp:docPr id="657721138"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12718576" w14:textId="171945D4" w:rsidR="001D636C" w:rsidRDefault="001D636C" w:rsidP="00694D5D">
      <w:pPr>
        <w:spacing w:line="360" w:lineRule="auto"/>
        <w:jc w:val="both"/>
        <w:rPr>
          <w:rFonts w:ascii="Times New Roman" w:hAnsi="Times New Roman" w:cs="Times New Roman"/>
          <w:b/>
          <w:sz w:val="32"/>
        </w:rPr>
      </w:pPr>
    </w:p>
    <w:p w14:paraId="36D46606" w14:textId="5C73382B" w:rsidR="003B4DBA" w:rsidRPr="000D52F5" w:rsidRDefault="003B4DBA" w:rsidP="000D52F5">
      <w:pPr>
        <w:rPr>
          <w:b/>
          <w:bCs/>
          <w:sz w:val="36"/>
          <w:szCs w:val="36"/>
        </w:rPr>
      </w:pPr>
      <w:r w:rsidRPr="000D52F5">
        <w:rPr>
          <w:b/>
          <w:bCs/>
          <w:sz w:val="36"/>
          <w:szCs w:val="36"/>
        </w:rPr>
        <w:t>Dissertation (LCMB7020</w:t>
      </w:r>
      <w:r w:rsidR="00F74316" w:rsidRPr="000D52F5">
        <w:rPr>
          <w:b/>
          <w:bCs/>
          <w:sz w:val="36"/>
          <w:szCs w:val="36"/>
        </w:rPr>
        <w:t>)</w:t>
      </w:r>
    </w:p>
    <w:p w14:paraId="006061D9" w14:textId="77777777" w:rsidR="001D636C" w:rsidRDefault="001D636C" w:rsidP="00694D5D">
      <w:pPr>
        <w:spacing w:line="360" w:lineRule="auto"/>
        <w:jc w:val="both"/>
        <w:rPr>
          <w:rFonts w:ascii="Times New Roman" w:hAnsi="Times New Roman" w:cs="Times New Roman"/>
          <w:b/>
          <w:sz w:val="32"/>
        </w:rPr>
      </w:pPr>
    </w:p>
    <w:p w14:paraId="01C07928" w14:textId="77777777" w:rsidR="001D636C" w:rsidRDefault="001D636C" w:rsidP="006A0D1A"/>
    <w:p w14:paraId="11DB93B7" w14:textId="0C966C2C" w:rsidR="00246EDA" w:rsidRDefault="00C041F6" w:rsidP="00694D5D">
      <w:pPr>
        <w:spacing w:line="360" w:lineRule="auto"/>
        <w:jc w:val="both"/>
        <w:rPr>
          <w:rFonts w:ascii="Times New Roman" w:hAnsi="Times New Roman" w:cs="Times New Roman"/>
          <w:b/>
          <w:sz w:val="32"/>
        </w:rPr>
      </w:pPr>
      <w:r w:rsidRPr="00694D5D">
        <w:rPr>
          <w:rFonts w:ascii="Times New Roman" w:hAnsi="Times New Roman" w:cs="Times New Roman"/>
          <w:b/>
          <w:sz w:val="32"/>
        </w:rPr>
        <w:t xml:space="preserve">The Impact of Digital Transformation on Traditional Banking in </w:t>
      </w:r>
      <w:r w:rsidR="00BB5F25" w:rsidRPr="00694D5D">
        <w:rPr>
          <w:rFonts w:ascii="Times New Roman" w:hAnsi="Times New Roman" w:cs="Times New Roman"/>
          <w:b/>
          <w:sz w:val="32"/>
        </w:rPr>
        <w:t xml:space="preserve">the </w:t>
      </w:r>
      <w:r w:rsidRPr="00694D5D">
        <w:rPr>
          <w:rFonts w:ascii="Times New Roman" w:hAnsi="Times New Roman" w:cs="Times New Roman"/>
          <w:b/>
          <w:sz w:val="32"/>
        </w:rPr>
        <w:t>UK</w:t>
      </w:r>
    </w:p>
    <w:p w14:paraId="77FB83BE" w14:textId="77777777" w:rsidR="001D636C" w:rsidRDefault="001D636C" w:rsidP="00567052">
      <w:pPr>
        <w:jc w:val="both"/>
        <w:rPr>
          <w:rFonts w:ascii="Times New Roman" w:hAnsi="Times New Roman" w:cs="Times New Roman"/>
          <w:sz w:val="28"/>
          <w:szCs w:val="28"/>
        </w:rPr>
      </w:pPr>
    </w:p>
    <w:p w14:paraId="2A6CCF3A" w14:textId="77777777" w:rsidR="001D636C" w:rsidRDefault="001D636C" w:rsidP="00567052">
      <w:pPr>
        <w:jc w:val="both"/>
        <w:rPr>
          <w:rFonts w:ascii="Times New Roman" w:hAnsi="Times New Roman" w:cs="Times New Roman"/>
          <w:sz w:val="28"/>
          <w:szCs w:val="28"/>
        </w:rPr>
      </w:pPr>
    </w:p>
    <w:p w14:paraId="358A75D1" w14:textId="77777777" w:rsidR="001D636C" w:rsidRDefault="001D636C" w:rsidP="00567052">
      <w:pPr>
        <w:jc w:val="both"/>
        <w:rPr>
          <w:rFonts w:ascii="Times New Roman" w:hAnsi="Times New Roman" w:cs="Times New Roman"/>
          <w:sz w:val="28"/>
          <w:szCs w:val="28"/>
        </w:rPr>
      </w:pPr>
    </w:p>
    <w:p w14:paraId="117E7D1E" w14:textId="77777777" w:rsidR="001D636C" w:rsidRDefault="001D636C" w:rsidP="00567052">
      <w:pPr>
        <w:jc w:val="both"/>
        <w:rPr>
          <w:rFonts w:ascii="Times New Roman" w:hAnsi="Times New Roman" w:cs="Times New Roman"/>
          <w:sz w:val="28"/>
          <w:szCs w:val="28"/>
        </w:rPr>
      </w:pPr>
    </w:p>
    <w:p w14:paraId="54E18E69" w14:textId="77777777" w:rsidR="001D636C" w:rsidRDefault="001D636C" w:rsidP="00567052">
      <w:pPr>
        <w:jc w:val="both"/>
        <w:rPr>
          <w:rFonts w:ascii="Times New Roman" w:hAnsi="Times New Roman" w:cs="Times New Roman"/>
          <w:sz w:val="28"/>
          <w:szCs w:val="28"/>
        </w:rPr>
      </w:pPr>
    </w:p>
    <w:p w14:paraId="50142F0C" w14:textId="77777777" w:rsidR="001D636C" w:rsidRDefault="001D636C" w:rsidP="00567052">
      <w:pPr>
        <w:jc w:val="both"/>
        <w:rPr>
          <w:rFonts w:ascii="Times New Roman" w:hAnsi="Times New Roman" w:cs="Times New Roman"/>
          <w:sz w:val="28"/>
          <w:szCs w:val="28"/>
        </w:rPr>
      </w:pPr>
    </w:p>
    <w:p w14:paraId="71D63F5F" w14:textId="77777777" w:rsidR="001D636C" w:rsidRDefault="001D636C" w:rsidP="00567052">
      <w:pPr>
        <w:jc w:val="both"/>
        <w:rPr>
          <w:rFonts w:ascii="Times New Roman" w:hAnsi="Times New Roman" w:cs="Times New Roman"/>
          <w:sz w:val="28"/>
          <w:szCs w:val="28"/>
        </w:rPr>
      </w:pPr>
    </w:p>
    <w:p w14:paraId="0C39D20B" w14:textId="77777777" w:rsidR="001D636C" w:rsidRDefault="001D636C" w:rsidP="00567052">
      <w:pPr>
        <w:jc w:val="both"/>
        <w:rPr>
          <w:rFonts w:ascii="Times New Roman" w:hAnsi="Times New Roman" w:cs="Times New Roman"/>
          <w:sz w:val="28"/>
          <w:szCs w:val="28"/>
        </w:rPr>
      </w:pPr>
    </w:p>
    <w:p w14:paraId="08C181B6" w14:textId="77777777" w:rsidR="001D636C" w:rsidRDefault="001D636C" w:rsidP="00567052">
      <w:pPr>
        <w:jc w:val="both"/>
        <w:rPr>
          <w:rFonts w:ascii="Times New Roman" w:hAnsi="Times New Roman" w:cs="Times New Roman"/>
          <w:sz w:val="28"/>
          <w:szCs w:val="28"/>
        </w:rPr>
      </w:pPr>
    </w:p>
    <w:p w14:paraId="7A7AF627" w14:textId="213BA8A5"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Student name: Deena Palanchoke</w:t>
      </w:r>
    </w:p>
    <w:p w14:paraId="5A4224C3" w14:textId="77777777"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Student Number: 2221001</w:t>
      </w:r>
    </w:p>
    <w:p w14:paraId="36892A93" w14:textId="77777777"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Supervisor: David Coker</w:t>
      </w:r>
    </w:p>
    <w:p w14:paraId="2FBE7D24" w14:textId="77777777" w:rsidR="00246EDA" w:rsidRDefault="00246EDA">
      <w:pPr>
        <w:rPr>
          <w:rFonts w:ascii="Times New Roman" w:hAnsi="Times New Roman" w:cs="Times New Roman"/>
          <w:b/>
          <w:sz w:val="32"/>
        </w:rPr>
      </w:pPr>
      <w:r>
        <w:rPr>
          <w:rFonts w:ascii="Times New Roman" w:hAnsi="Times New Roman" w:cs="Times New Roman"/>
          <w:b/>
          <w:sz w:val="32"/>
        </w:rPr>
        <w:br w:type="page"/>
      </w:r>
    </w:p>
    <w:sdt>
      <w:sdtPr>
        <w:rPr>
          <w:rFonts w:asciiTheme="minorHAnsi" w:eastAsiaTheme="minorHAnsi" w:hAnsiTheme="minorHAnsi" w:cstheme="minorBidi"/>
          <w:color w:val="auto"/>
          <w:sz w:val="24"/>
          <w:szCs w:val="22"/>
        </w:rPr>
        <w:id w:val="-729696727"/>
        <w:docPartObj>
          <w:docPartGallery w:val="Table of Contents"/>
          <w:docPartUnique/>
        </w:docPartObj>
      </w:sdtPr>
      <w:sdtEndPr>
        <w:rPr>
          <w:b/>
          <w:bCs/>
          <w:noProof/>
        </w:rPr>
      </w:sdtEndPr>
      <w:sdtContent>
        <w:p w14:paraId="39D3A79E" w14:textId="77777777" w:rsidR="00246EDA" w:rsidRDefault="00246EDA">
          <w:pPr>
            <w:pStyle w:val="TOCHeading"/>
          </w:pPr>
          <w:r>
            <w:t>Table of Contents</w:t>
          </w:r>
        </w:p>
        <w:p w14:paraId="149DB366" w14:textId="7CA5FEC5" w:rsidR="00133876" w:rsidRDefault="00246EDA">
          <w:pPr>
            <w:pStyle w:val="TOC1"/>
            <w:tabs>
              <w:tab w:val="left" w:pos="480"/>
              <w:tab w:val="right" w:leader="dot" w:pos="9350"/>
            </w:tabs>
            <w:rPr>
              <w:rFonts w:eastAsiaTheme="minorEastAsia"/>
              <w:noProof/>
              <w:kern w:val="2"/>
              <w:szCs w:val="24"/>
              <w:lang w:val="en-GB" w:eastAsia="en-GB"/>
              <w14:ligatures w14:val="standardContextual"/>
            </w:rPr>
          </w:pPr>
          <w:r>
            <w:fldChar w:fldCharType="begin"/>
          </w:r>
          <w:r>
            <w:instrText xml:space="preserve"> TOC \o "1-3" \h \z \u </w:instrText>
          </w:r>
          <w:r>
            <w:fldChar w:fldCharType="separate"/>
          </w:r>
          <w:hyperlink w:anchor="_Toc158706252" w:history="1">
            <w:r w:rsidR="00133876" w:rsidRPr="00CC0BF8">
              <w:rPr>
                <w:rStyle w:val="Hyperlink"/>
                <w:rFonts w:ascii="Times New Roman" w:hAnsi="Times New Roman" w:cs="Times New Roman"/>
                <w:noProof/>
              </w:rPr>
              <w:t>1.</w:t>
            </w:r>
            <w:r w:rsidR="00133876">
              <w:rPr>
                <w:rFonts w:eastAsiaTheme="minorEastAsia"/>
                <w:noProof/>
                <w:kern w:val="2"/>
                <w:szCs w:val="24"/>
                <w:lang w:val="en-GB" w:eastAsia="en-GB"/>
                <w14:ligatures w14:val="standardContextual"/>
              </w:rPr>
              <w:tab/>
            </w:r>
            <w:r w:rsidR="00133876" w:rsidRPr="00CC0BF8">
              <w:rPr>
                <w:rStyle w:val="Hyperlink"/>
                <w:rFonts w:ascii="Times New Roman" w:hAnsi="Times New Roman" w:cs="Times New Roman"/>
                <w:noProof/>
              </w:rPr>
              <w:t>Introduction</w:t>
            </w:r>
            <w:r w:rsidR="00133876">
              <w:rPr>
                <w:noProof/>
                <w:webHidden/>
              </w:rPr>
              <w:tab/>
            </w:r>
            <w:r w:rsidR="00133876">
              <w:rPr>
                <w:noProof/>
                <w:webHidden/>
              </w:rPr>
              <w:fldChar w:fldCharType="begin"/>
            </w:r>
            <w:r w:rsidR="00133876">
              <w:rPr>
                <w:noProof/>
                <w:webHidden/>
              </w:rPr>
              <w:instrText xml:space="preserve"> PAGEREF _Toc158706252 \h </w:instrText>
            </w:r>
            <w:r w:rsidR="00133876">
              <w:rPr>
                <w:noProof/>
                <w:webHidden/>
              </w:rPr>
            </w:r>
            <w:r w:rsidR="00133876">
              <w:rPr>
                <w:noProof/>
                <w:webHidden/>
              </w:rPr>
              <w:fldChar w:fldCharType="separate"/>
            </w:r>
            <w:r w:rsidR="00133876">
              <w:rPr>
                <w:noProof/>
                <w:webHidden/>
              </w:rPr>
              <w:t>1</w:t>
            </w:r>
            <w:r w:rsidR="00133876">
              <w:rPr>
                <w:noProof/>
                <w:webHidden/>
              </w:rPr>
              <w:fldChar w:fldCharType="end"/>
            </w:r>
          </w:hyperlink>
        </w:p>
        <w:p w14:paraId="00F8172A" w14:textId="434C56C4"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3" w:history="1">
            <w:r w:rsidRPr="00CC0BF8">
              <w:rPr>
                <w:rStyle w:val="Hyperlink"/>
                <w:rFonts w:ascii="Times New Roman" w:hAnsi="Times New Roman" w:cs="Times New Roman"/>
                <w:noProof/>
              </w:rPr>
              <w:t>1.1.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Background and Context</w:t>
            </w:r>
            <w:r>
              <w:rPr>
                <w:noProof/>
                <w:webHidden/>
              </w:rPr>
              <w:tab/>
            </w:r>
            <w:r>
              <w:rPr>
                <w:noProof/>
                <w:webHidden/>
              </w:rPr>
              <w:fldChar w:fldCharType="begin"/>
            </w:r>
            <w:r>
              <w:rPr>
                <w:noProof/>
                <w:webHidden/>
              </w:rPr>
              <w:instrText xml:space="preserve"> PAGEREF _Toc158706253 \h </w:instrText>
            </w:r>
            <w:r>
              <w:rPr>
                <w:noProof/>
                <w:webHidden/>
              </w:rPr>
            </w:r>
            <w:r>
              <w:rPr>
                <w:noProof/>
                <w:webHidden/>
              </w:rPr>
              <w:fldChar w:fldCharType="separate"/>
            </w:r>
            <w:r>
              <w:rPr>
                <w:noProof/>
                <w:webHidden/>
              </w:rPr>
              <w:t>1</w:t>
            </w:r>
            <w:r>
              <w:rPr>
                <w:noProof/>
                <w:webHidden/>
              </w:rPr>
              <w:fldChar w:fldCharType="end"/>
            </w:r>
          </w:hyperlink>
        </w:p>
        <w:p w14:paraId="489D6832" w14:textId="6878AF30"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4" w:history="1">
            <w:r w:rsidRPr="00CC0BF8">
              <w:rPr>
                <w:rStyle w:val="Hyperlink"/>
                <w:rFonts w:ascii="Times New Roman" w:hAnsi="Times New Roman" w:cs="Times New Roman"/>
                <w:noProof/>
              </w:rPr>
              <w:t>1.2.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Significance of the Study</w:t>
            </w:r>
            <w:r>
              <w:rPr>
                <w:noProof/>
                <w:webHidden/>
              </w:rPr>
              <w:tab/>
            </w:r>
            <w:r>
              <w:rPr>
                <w:noProof/>
                <w:webHidden/>
              </w:rPr>
              <w:fldChar w:fldCharType="begin"/>
            </w:r>
            <w:r>
              <w:rPr>
                <w:noProof/>
                <w:webHidden/>
              </w:rPr>
              <w:instrText xml:space="preserve"> PAGEREF _Toc158706254 \h </w:instrText>
            </w:r>
            <w:r>
              <w:rPr>
                <w:noProof/>
                <w:webHidden/>
              </w:rPr>
            </w:r>
            <w:r>
              <w:rPr>
                <w:noProof/>
                <w:webHidden/>
              </w:rPr>
              <w:fldChar w:fldCharType="separate"/>
            </w:r>
            <w:r>
              <w:rPr>
                <w:noProof/>
                <w:webHidden/>
              </w:rPr>
              <w:t>2</w:t>
            </w:r>
            <w:r>
              <w:rPr>
                <w:noProof/>
                <w:webHidden/>
              </w:rPr>
              <w:fldChar w:fldCharType="end"/>
            </w:r>
          </w:hyperlink>
        </w:p>
        <w:p w14:paraId="59B31A02" w14:textId="743E331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5" w:history="1">
            <w:r w:rsidRPr="00CC0BF8">
              <w:rPr>
                <w:rStyle w:val="Hyperlink"/>
                <w:rFonts w:ascii="Times New Roman" w:hAnsi="Times New Roman" w:cs="Times New Roman"/>
                <w:noProof/>
              </w:rPr>
              <w:t>1.3.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_Toc158706255 \h </w:instrText>
            </w:r>
            <w:r>
              <w:rPr>
                <w:noProof/>
                <w:webHidden/>
              </w:rPr>
            </w:r>
            <w:r>
              <w:rPr>
                <w:noProof/>
                <w:webHidden/>
              </w:rPr>
              <w:fldChar w:fldCharType="separate"/>
            </w:r>
            <w:r>
              <w:rPr>
                <w:noProof/>
                <w:webHidden/>
              </w:rPr>
              <w:t>4</w:t>
            </w:r>
            <w:r>
              <w:rPr>
                <w:noProof/>
                <w:webHidden/>
              </w:rPr>
              <w:fldChar w:fldCharType="end"/>
            </w:r>
          </w:hyperlink>
        </w:p>
        <w:p w14:paraId="46F9ADD8" w14:textId="10E366AE"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6" w:history="1">
            <w:r w:rsidRPr="00CC0BF8">
              <w:rPr>
                <w:rStyle w:val="Hyperlink"/>
                <w:rFonts w:ascii="Times New Roman" w:hAnsi="Times New Roman" w:cs="Times New Roman"/>
                <w:noProof/>
              </w:rPr>
              <w:t>1.4.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Objectives of the Study</w:t>
            </w:r>
            <w:r>
              <w:rPr>
                <w:noProof/>
                <w:webHidden/>
              </w:rPr>
              <w:tab/>
            </w:r>
            <w:r>
              <w:rPr>
                <w:noProof/>
                <w:webHidden/>
              </w:rPr>
              <w:fldChar w:fldCharType="begin"/>
            </w:r>
            <w:r>
              <w:rPr>
                <w:noProof/>
                <w:webHidden/>
              </w:rPr>
              <w:instrText xml:space="preserve"> PAGEREF _Toc158706256 \h </w:instrText>
            </w:r>
            <w:r>
              <w:rPr>
                <w:noProof/>
                <w:webHidden/>
              </w:rPr>
            </w:r>
            <w:r>
              <w:rPr>
                <w:noProof/>
                <w:webHidden/>
              </w:rPr>
              <w:fldChar w:fldCharType="separate"/>
            </w:r>
            <w:r>
              <w:rPr>
                <w:noProof/>
                <w:webHidden/>
              </w:rPr>
              <w:t>5</w:t>
            </w:r>
            <w:r>
              <w:rPr>
                <w:noProof/>
                <w:webHidden/>
              </w:rPr>
              <w:fldChar w:fldCharType="end"/>
            </w:r>
          </w:hyperlink>
        </w:p>
        <w:p w14:paraId="738F1F9E" w14:textId="22906AB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7" w:history="1">
            <w:r w:rsidRPr="00CC0BF8">
              <w:rPr>
                <w:rStyle w:val="Hyperlink"/>
                <w:rFonts w:ascii="Times New Roman" w:hAnsi="Times New Roman" w:cs="Times New Roman"/>
                <w:noProof/>
              </w:rPr>
              <w:t>1.5.</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Structure of the Dissertation</w:t>
            </w:r>
            <w:r>
              <w:rPr>
                <w:noProof/>
                <w:webHidden/>
              </w:rPr>
              <w:tab/>
            </w:r>
            <w:r>
              <w:rPr>
                <w:noProof/>
                <w:webHidden/>
              </w:rPr>
              <w:fldChar w:fldCharType="begin"/>
            </w:r>
            <w:r>
              <w:rPr>
                <w:noProof/>
                <w:webHidden/>
              </w:rPr>
              <w:instrText xml:space="preserve"> PAGEREF _Toc158706257 \h </w:instrText>
            </w:r>
            <w:r>
              <w:rPr>
                <w:noProof/>
                <w:webHidden/>
              </w:rPr>
            </w:r>
            <w:r>
              <w:rPr>
                <w:noProof/>
                <w:webHidden/>
              </w:rPr>
              <w:fldChar w:fldCharType="separate"/>
            </w:r>
            <w:r>
              <w:rPr>
                <w:noProof/>
                <w:webHidden/>
              </w:rPr>
              <w:t>5</w:t>
            </w:r>
            <w:r>
              <w:rPr>
                <w:noProof/>
                <w:webHidden/>
              </w:rPr>
              <w:fldChar w:fldCharType="end"/>
            </w:r>
          </w:hyperlink>
        </w:p>
        <w:p w14:paraId="54BCDCAB" w14:textId="2573226F" w:rsidR="00133876" w:rsidRDefault="00133876">
          <w:pPr>
            <w:pStyle w:val="TOC1"/>
            <w:tabs>
              <w:tab w:val="left" w:pos="480"/>
              <w:tab w:val="right" w:leader="dot" w:pos="9350"/>
            </w:tabs>
            <w:rPr>
              <w:rFonts w:eastAsiaTheme="minorEastAsia"/>
              <w:noProof/>
              <w:kern w:val="2"/>
              <w:szCs w:val="24"/>
              <w:lang w:val="en-GB" w:eastAsia="en-GB"/>
              <w14:ligatures w14:val="standardContextual"/>
            </w:rPr>
          </w:pPr>
          <w:hyperlink w:anchor="_Toc158706258" w:history="1">
            <w:r w:rsidRPr="00CC0BF8">
              <w:rPr>
                <w:rStyle w:val="Hyperlink"/>
                <w:rFonts w:ascii="Times New Roman" w:hAnsi="Times New Roman" w:cs="Times New Roman"/>
                <w:noProof/>
              </w:rPr>
              <w:t>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_Toc158706258 \h </w:instrText>
            </w:r>
            <w:r>
              <w:rPr>
                <w:noProof/>
                <w:webHidden/>
              </w:rPr>
            </w:r>
            <w:r>
              <w:rPr>
                <w:noProof/>
                <w:webHidden/>
              </w:rPr>
              <w:fldChar w:fldCharType="separate"/>
            </w:r>
            <w:r>
              <w:rPr>
                <w:noProof/>
                <w:webHidden/>
              </w:rPr>
              <w:t>7</w:t>
            </w:r>
            <w:r>
              <w:rPr>
                <w:noProof/>
                <w:webHidden/>
              </w:rPr>
              <w:fldChar w:fldCharType="end"/>
            </w:r>
          </w:hyperlink>
        </w:p>
        <w:p w14:paraId="6C6A7817" w14:textId="3DC0406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59" w:history="1">
            <w:r w:rsidRPr="00CC0BF8">
              <w:rPr>
                <w:rStyle w:val="Hyperlink"/>
                <w:rFonts w:ascii="Times New Roman" w:hAnsi="Times New Roman" w:cs="Times New Roman"/>
                <w:noProof/>
              </w:rPr>
              <w:t>2.1.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Overview of Digital Transformation in Banking</w:t>
            </w:r>
            <w:r>
              <w:rPr>
                <w:noProof/>
                <w:webHidden/>
              </w:rPr>
              <w:tab/>
            </w:r>
            <w:r>
              <w:rPr>
                <w:noProof/>
                <w:webHidden/>
              </w:rPr>
              <w:fldChar w:fldCharType="begin"/>
            </w:r>
            <w:r>
              <w:rPr>
                <w:noProof/>
                <w:webHidden/>
              </w:rPr>
              <w:instrText xml:space="preserve"> PAGEREF _Toc158706259 \h </w:instrText>
            </w:r>
            <w:r>
              <w:rPr>
                <w:noProof/>
                <w:webHidden/>
              </w:rPr>
            </w:r>
            <w:r>
              <w:rPr>
                <w:noProof/>
                <w:webHidden/>
              </w:rPr>
              <w:fldChar w:fldCharType="separate"/>
            </w:r>
            <w:r>
              <w:rPr>
                <w:noProof/>
                <w:webHidden/>
              </w:rPr>
              <w:t>7</w:t>
            </w:r>
            <w:r>
              <w:rPr>
                <w:noProof/>
                <w:webHidden/>
              </w:rPr>
              <w:fldChar w:fldCharType="end"/>
            </w:r>
          </w:hyperlink>
        </w:p>
        <w:p w14:paraId="4B8E00BE" w14:textId="1F0E1B9A"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0" w:history="1">
            <w:r w:rsidRPr="00CC0BF8">
              <w:rPr>
                <w:rStyle w:val="Hyperlink"/>
                <w:rFonts w:ascii="Times New Roman" w:hAnsi="Times New Roman" w:cs="Times New Roman"/>
                <w:noProof/>
              </w:rPr>
              <w:t>2.1.1.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Technological Backgrounds of Digital Transformation</w:t>
            </w:r>
            <w:r>
              <w:rPr>
                <w:noProof/>
                <w:webHidden/>
              </w:rPr>
              <w:tab/>
            </w:r>
            <w:r>
              <w:rPr>
                <w:noProof/>
                <w:webHidden/>
              </w:rPr>
              <w:fldChar w:fldCharType="begin"/>
            </w:r>
            <w:r>
              <w:rPr>
                <w:noProof/>
                <w:webHidden/>
              </w:rPr>
              <w:instrText xml:space="preserve"> PAGEREF _Toc158706260 \h </w:instrText>
            </w:r>
            <w:r>
              <w:rPr>
                <w:noProof/>
                <w:webHidden/>
              </w:rPr>
            </w:r>
            <w:r>
              <w:rPr>
                <w:noProof/>
                <w:webHidden/>
              </w:rPr>
              <w:fldChar w:fldCharType="separate"/>
            </w:r>
            <w:r>
              <w:rPr>
                <w:noProof/>
                <w:webHidden/>
              </w:rPr>
              <w:t>7</w:t>
            </w:r>
            <w:r>
              <w:rPr>
                <w:noProof/>
                <w:webHidden/>
              </w:rPr>
              <w:fldChar w:fldCharType="end"/>
            </w:r>
          </w:hyperlink>
        </w:p>
        <w:p w14:paraId="21BF5291" w14:textId="69B9DDEB"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1" w:history="1">
            <w:r w:rsidRPr="00CC0BF8">
              <w:rPr>
                <w:rStyle w:val="Hyperlink"/>
                <w:rFonts w:ascii="Times New Roman" w:hAnsi="Times New Roman" w:cs="Times New Roman"/>
                <w:noProof/>
              </w:rPr>
              <w:t>2.1.2.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Customer-Centric Evolution</w:t>
            </w:r>
            <w:r>
              <w:rPr>
                <w:noProof/>
                <w:webHidden/>
              </w:rPr>
              <w:tab/>
            </w:r>
            <w:r>
              <w:rPr>
                <w:noProof/>
                <w:webHidden/>
              </w:rPr>
              <w:fldChar w:fldCharType="begin"/>
            </w:r>
            <w:r>
              <w:rPr>
                <w:noProof/>
                <w:webHidden/>
              </w:rPr>
              <w:instrText xml:space="preserve"> PAGEREF _Toc158706261 \h </w:instrText>
            </w:r>
            <w:r>
              <w:rPr>
                <w:noProof/>
                <w:webHidden/>
              </w:rPr>
            </w:r>
            <w:r>
              <w:rPr>
                <w:noProof/>
                <w:webHidden/>
              </w:rPr>
              <w:fldChar w:fldCharType="separate"/>
            </w:r>
            <w:r>
              <w:rPr>
                <w:noProof/>
                <w:webHidden/>
              </w:rPr>
              <w:t>7</w:t>
            </w:r>
            <w:r>
              <w:rPr>
                <w:noProof/>
                <w:webHidden/>
              </w:rPr>
              <w:fldChar w:fldCharType="end"/>
            </w:r>
          </w:hyperlink>
        </w:p>
        <w:p w14:paraId="43CF3A79" w14:textId="29EEFCEB"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2" w:history="1">
            <w:r w:rsidRPr="00CC0BF8">
              <w:rPr>
                <w:rStyle w:val="Hyperlink"/>
                <w:rFonts w:ascii="Times New Roman" w:hAnsi="Times New Roman" w:cs="Times New Roman"/>
                <w:noProof/>
              </w:rPr>
              <w:t>2.1.3.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Using Data for Insights and Security</w:t>
            </w:r>
            <w:r>
              <w:rPr>
                <w:noProof/>
                <w:webHidden/>
              </w:rPr>
              <w:tab/>
            </w:r>
            <w:r>
              <w:rPr>
                <w:noProof/>
                <w:webHidden/>
              </w:rPr>
              <w:fldChar w:fldCharType="begin"/>
            </w:r>
            <w:r>
              <w:rPr>
                <w:noProof/>
                <w:webHidden/>
              </w:rPr>
              <w:instrText xml:space="preserve"> PAGEREF _Toc158706262 \h </w:instrText>
            </w:r>
            <w:r>
              <w:rPr>
                <w:noProof/>
                <w:webHidden/>
              </w:rPr>
            </w:r>
            <w:r>
              <w:rPr>
                <w:noProof/>
                <w:webHidden/>
              </w:rPr>
              <w:fldChar w:fldCharType="separate"/>
            </w:r>
            <w:r>
              <w:rPr>
                <w:noProof/>
                <w:webHidden/>
              </w:rPr>
              <w:t>8</w:t>
            </w:r>
            <w:r>
              <w:rPr>
                <w:noProof/>
                <w:webHidden/>
              </w:rPr>
              <w:fldChar w:fldCharType="end"/>
            </w:r>
          </w:hyperlink>
        </w:p>
        <w:p w14:paraId="00031DD6" w14:textId="5B0DA96C"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3" w:history="1">
            <w:r w:rsidRPr="00CC0BF8">
              <w:rPr>
                <w:rStyle w:val="Hyperlink"/>
                <w:rFonts w:ascii="Times New Roman" w:hAnsi="Times New Roman" w:cs="Times New Roman"/>
                <w:noProof/>
              </w:rPr>
              <w:t>2.1.4.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Future Trajectories of Digital Transformation</w:t>
            </w:r>
            <w:r>
              <w:rPr>
                <w:noProof/>
                <w:webHidden/>
              </w:rPr>
              <w:tab/>
            </w:r>
            <w:r>
              <w:rPr>
                <w:noProof/>
                <w:webHidden/>
              </w:rPr>
              <w:fldChar w:fldCharType="begin"/>
            </w:r>
            <w:r>
              <w:rPr>
                <w:noProof/>
                <w:webHidden/>
              </w:rPr>
              <w:instrText xml:space="preserve"> PAGEREF _Toc158706263 \h </w:instrText>
            </w:r>
            <w:r>
              <w:rPr>
                <w:noProof/>
                <w:webHidden/>
              </w:rPr>
            </w:r>
            <w:r>
              <w:rPr>
                <w:noProof/>
                <w:webHidden/>
              </w:rPr>
              <w:fldChar w:fldCharType="separate"/>
            </w:r>
            <w:r>
              <w:rPr>
                <w:noProof/>
                <w:webHidden/>
              </w:rPr>
              <w:t>8</w:t>
            </w:r>
            <w:r>
              <w:rPr>
                <w:noProof/>
                <w:webHidden/>
              </w:rPr>
              <w:fldChar w:fldCharType="end"/>
            </w:r>
          </w:hyperlink>
        </w:p>
        <w:p w14:paraId="129C411C" w14:textId="04D1E96F"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64" w:history="1">
            <w:r w:rsidRPr="00CC0BF8">
              <w:rPr>
                <w:rStyle w:val="Hyperlink"/>
                <w:rFonts w:ascii="Times New Roman" w:hAnsi="Times New Roman" w:cs="Times New Roman"/>
                <w:noProof/>
              </w:rPr>
              <w:t>2.2.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Global Trends in Digital Banking</w:t>
            </w:r>
            <w:r>
              <w:rPr>
                <w:noProof/>
                <w:webHidden/>
              </w:rPr>
              <w:tab/>
            </w:r>
            <w:r>
              <w:rPr>
                <w:noProof/>
                <w:webHidden/>
              </w:rPr>
              <w:fldChar w:fldCharType="begin"/>
            </w:r>
            <w:r>
              <w:rPr>
                <w:noProof/>
                <w:webHidden/>
              </w:rPr>
              <w:instrText xml:space="preserve"> PAGEREF _Toc158706264 \h </w:instrText>
            </w:r>
            <w:r>
              <w:rPr>
                <w:noProof/>
                <w:webHidden/>
              </w:rPr>
            </w:r>
            <w:r>
              <w:rPr>
                <w:noProof/>
                <w:webHidden/>
              </w:rPr>
              <w:fldChar w:fldCharType="separate"/>
            </w:r>
            <w:r>
              <w:rPr>
                <w:noProof/>
                <w:webHidden/>
              </w:rPr>
              <w:t>9</w:t>
            </w:r>
            <w:r>
              <w:rPr>
                <w:noProof/>
                <w:webHidden/>
              </w:rPr>
              <w:fldChar w:fldCharType="end"/>
            </w:r>
          </w:hyperlink>
        </w:p>
        <w:p w14:paraId="0F7A82A7" w14:textId="508B50CE"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5" w:history="1">
            <w:r w:rsidRPr="00CC0BF8">
              <w:rPr>
                <w:rStyle w:val="Hyperlink"/>
                <w:rFonts w:ascii="Times New Roman" w:hAnsi="Times New Roman" w:cs="Times New Roman"/>
                <w:noProof/>
              </w:rPr>
              <w:t>2.2.1.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Mobile-First Banking Experiences</w:t>
            </w:r>
            <w:r>
              <w:rPr>
                <w:noProof/>
                <w:webHidden/>
              </w:rPr>
              <w:tab/>
            </w:r>
            <w:r>
              <w:rPr>
                <w:noProof/>
                <w:webHidden/>
              </w:rPr>
              <w:fldChar w:fldCharType="begin"/>
            </w:r>
            <w:r>
              <w:rPr>
                <w:noProof/>
                <w:webHidden/>
              </w:rPr>
              <w:instrText xml:space="preserve"> PAGEREF _Toc158706265 \h </w:instrText>
            </w:r>
            <w:r>
              <w:rPr>
                <w:noProof/>
                <w:webHidden/>
              </w:rPr>
            </w:r>
            <w:r>
              <w:rPr>
                <w:noProof/>
                <w:webHidden/>
              </w:rPr>
              <w:fldChar w:fldCharType="separate"/>
            </w:r>
            <w:r>
              <w:rPr>
                <w:noProof/>
                <w:webHidden/>
              </w:rPr>
              <w:t>9</w:t>
            </w:r>
            <w:r>
              <w:rPr>
                <w:noProof/>
                <w:webHidden/>
              </w:rPr>
              <w:fldChar w:fldCharType="end"/>
            </w:r>
          </w:hyperlink>
        </w:p>
        <w:p w14:paraId="69F2F9CC" w14:textId="0F9D7080"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6" w:history="1">
            <w:r w:rsidRPr="00CC0BF8">
              <w:rPr>
                <w:rStyle w:val="Hyperlink"/>
                <w:rFonts w:ascii="Times New Roman" w:hAnsi="Times New Roman" w:cs="Times New Roman"/>
                <w:noProof/>
              </w:rPr>
              <w:t>2.2.2.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Rise of Open Banking Ecosystems</w:t>
            </w:r>
            <w:r>
              <w:rPr>
                <w:noProof/>
                <w:webHidden/>
              </w:rPr>
              <w:tab/>
            </w:r>
            <w:r>
              <w:rPr>
                <w:noProof/>
                <w:webHidden/>
              </w:rPr>
              <w:fldChar w:fldCharType="begin"/>
            </w:r>
            <w:r>
              <w:rPr>
                <w:noProof/>
                <w:webHidden/>
              </w:rPr>
              <w:instrText xml:space="preserve"> PAGEREF _Toc158706266 \h </w:instrText>
            </w:r>
            <w:r>
              <w:rPr>
                <w:noProof/>
                <w:webHidden/>
              </w:rPr>
            </w:r>
            <w:r>
              <w:rPr>
                <w:noProof/>
                <w:webHidden/>
              </w:rPr>
              <w:fldChar w:fldCharType="separate"/>
            </w:r>
            <w:r>
              <w:rPr>
                <w:noProof/>
                <w:webHidden/>
              </w:rPr>
              <w:t>9</w:t>
            </w:r>
            <w:r>
              <w:rPr>
                <w:noProof/>
                <w:webHidden/>
              </w:rPr>
              <w:fldChar w:fldCharType="end"/>
            </w:r>
          </w:hyperlink>
        </w:p>
        <w:p w14:paraId="2966075A" w14:textId="1AE9351D"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7" w:history="1">
            <w:r w:rsidRPr="00CC0BF8">
              <w:rPr>
                <w:rStyle w:val="Hyperlink"/>
                <w:rFonts w:ascii="Times New Roman" w:hAnsi="Times New Roman" w:cs="Times New Roman"/>
                <w:noProof/>
              </w:rPr>
              <w:t>2.2.3.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Artificial Intelligence (AI) and Personalization</w:t>
            </w:r>
            <w:r>
              <w:rPr>
                <w:noProof/>
                <w:webHidden/>
              </w:rPr>
              <w:tab/>
            </w:r>
            <w:r>
              <w:rPr>
                <w:noProof/>
                <w:webHidden/>
              </w:rPr>
              <w:fldChar w:fldCharType="begin"/>
            </w:r>
            <w:r>
              <w:rPr>
                <w:noProof/>
                <w:webHidden/>
              </w:rPr>
              <w:instrText xml:space="preserve"> PAGEREF _Toc158706267 \h </w:instrText>
            </w:r>
            <w:r>
              <w:rPr>
                <w:noProof/>
                <w:webHidden/>
              </w:rPr>
            </w:r>
            <w:r>
              <w:rPr>
                <w:noProof/>
                <w:webHidden/>
              </w:rPr>
              <w:fldChar w:fldCharType="separate"/>
            </w:r>
            <w:r>
              <w:rPr>
                <w:noProof/>
                <w:webHidden/>
              </w:rPr>
              <w:t>10</w:t>
            </w:r>
            <w:r>
              <w:rPr>
                <w:noProof/>
                <w:webHidden/>
              </w:rPr>
              <w:fldChar w:fldCharType="end"/>
            </w:r>
          </w:hyperlink>
        </w:p>
        <w:p w14:paraId="4A34C9A2" w14:textId="6891EAF4"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68" w:history="1">
            <w:r w:rsidRPr="00CC0BF8">
              <w:rPr>
                <w:rStyle w:val="Hyperlink"/>
                <w:rFonts w:ascii="Times New Roman" w:hAnsi="Times New Roman" w:cs="Times New Roman"/>
                <w:noProof/>
              </w:rPr>
              <w:t>2.2.4.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Enhanced Cybersecurity Measures</w:t>
            </w:r>
            <w:r>
              <w:rPr>
                <w:noProof/>
                <w:webHidden/>
              </w:rPr>
              <w:tab/>
            </w:r>
            <w:r>
              <w:rPr>
                <w:noProof/>
                <w:webHidden/>
              </w:rPr>
              <w:fldChar w:fldCharType="begin"/>
            </w:r>
            <w:r>
              <w:rPr>
                <w:noProof/>
                <w:webHidden/>
              </w:rPr>
              <w:instrText xml:space="preserve"> PAGEREF _Toc158706268 \h </w:instrText>
            </w:r>
            <w:r>
              <w:rPr>
                <w:noProof/>
                <w:webHidden/>
              </w:rPr>
            </w:r>
            <w:r>
              <w:rPr>
                <w:noProof/>
                <w:webHidden/>
              </w:rPr>
              <w:fldChar w:fldCharType="separate"/>
            </w:r>
            <w:r>
              <w:rPr>
                <w:noProof/>
                <w:webHidden/>
              </w:rPr>
              <w:t>10</w:t>
            </w:r>
            <w:r>
              <w:rPr>
                <w:noProof/>
                <w:webHidden/>
              </w:rPr>
              <w:fldChar w:fldCharType="end"/>
            </w:r>
          </w:hyperlink>
        </w:p>
        <w:p w14:paraId="66281FB2" w14:textId="2E67C170"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69" w:history="1">
            <w:r w:rsidRPr="00CC0BF8">
              <w:rPr>
                <w:rStyle w:val="Hyperlink"/>
                <w:rFonts w:ascii="Times New Roman" w:hAnsi="Times New Roman" w:cs="Times New Roman"/>
                <w:noProof/>
              </w:rPr>
              <w:t>2.3.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The Impact of Digitalization on Traditional Banking</w:t>
            </w:r>
            <w:r>
              <w:rPr>
                <w:noProof/>
                <w:webHidden/>
              </w:rPr>
              <w:tab/>
            </w:r>
            <w:r>
              <w:rPr>
                <w:noProof/>
                <w:webHidden/>
              </w:rPr>
              <w:fldChar w:fldCharType="begin"/>
            </w:r>
            <w:r>
              <w:rPr>
                <w:noProof/>
                <w:webHidden/>
              </w:rPr>
              <w:instrText xml:space="preserve"> PAGEREF _Toc158706269 \h </w:instrText>
            </w:r>
            <w:r>
              <w:rPr>
                <w:noProof/>
                <w:webHidden/>
              </w:rPr>
            </w:r>
            <w:r>
              <w:rPr>
                <w:noProof/>
                <w:webHidden/>
              </w:rPr>
              <w:fldChar w:fldCharType="separate"/>
            </w:r>
            <w:r>
              <w:rPr>
                <w:noProof/>
                <w:webHidden/>
              </w:rPr>
              <w:t>11</w:t>
            </w:r>
            <w:r>
              <w:rPr>
                <w:noProof/>
                <w:webHidden/>
              </w:rPr>
              <w:fldChar w:fldCharType="end"/>
            </w:r>
          </w:hyperlink>
        </w:p>
        <w:p w14:paraId="2C54D352" w14:textId="6CD0D0BD"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70" w:history="1">
            <w:r w:rsidRPr="00CC0BF8">
              <w:rPr>
                <w:rStyle w:val="Hyperlink"/>
                <w:rFonts w:ascii="Times New Roman" w:hAnsi="Times New Roman" w:cs="Times New Roman"/>
                <w:noProof/>
              </w:rPr>
              <w:t>2.4.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Regulatory Framework in the UK</w:t>
            </w:r>
            <w:r>
              <w:rPr>
                <w:noProof/>
                <w:webHidden/>
              </w:rPr>
              <w:tab/>
            </w:r>
            <w:r>
              <w:rPr>
                <w:noProof/>
                <w:webHidden/>
              </w:rPr>
              <w:fldChar w:fldCharType="begin"/>
            </w:r>
            <w:r>
              <w:rPr>
                <w:noProof/>
                <w:webHidden/>
              </w:rPr>
              <w:instrText xml:space="preserve"> PAGEREF _Toc158706270 \h </w:instrText>
            </w:r>
            <w:r>
              <w:rPr>
                <w:noProof/>
                <w:webHidden/>
              </w:rPr>
            </w:r>
            <w:r>
              <w:rPr>
                <w:noProof/>
                <w:webHidden/>
              </w:rPr>
              <w:fldChar w:fldCharType="separate"/>
            </w:r>
            <w:r>
              <w:rPr>
                <w:noProof/>
                <w:webHidden/>
              </w:rPr>
              <w:t>13</w:t>
            </w:r>
            <w:r>
              <w:rPr>
                <w:noProof/>
                <w:webHidden/>
              </w:rPr>
              <w:fldChar w:fldCharType="end"/>
            </w:r>
          </w:hyperlink>
        </w:p>
        <w:p w14:paraId="4D3BBA98" w14:textId="371797B9"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1" w:history="1">
            <w:r w:rsidRPr="00CC0BF8">
              <w:rPr>
                <w:rStyle w:val="Hyperlink"/>
                <w:rFonts w:ascii="Times New Roman" w:hAnsi="Times New Roman" w:cs="Times New Roman"/>
                <w:noProof/>
              </w:rPr>
              <w:t>2.4.1.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Evolution of Regulatory Framework in the UK Banking Sector</w:t>
            </w:r>
            <w:r>
              <w:rPr>
                <w:noProof/>
                <w:webHidden/>
              </w:rPr>
              <w:tab/>
            </w:r>
            <w:r>
              <w:rPr>
                <w:noProof/>
                <w:webHidden/>
              </w:rPr>
              <w:fldChar w:fldCharType="begin"/>
            </w:r>
            <w:r>
              <w:rPr>
                <w:noProof/>
                <w:webHidden/>
              </w:rPr>
              <w:instrText xml:space="preserve"> PAGEREF _Toc158706271 \h </w:instrText>
            </w:r>
            <w:r>
              <w:rPr>
                <w:noProof/>
                <w:webHidden/>
              </w:rPr>
            </w:r>
            <w:r>
              <w:rPr>
                <w:noProof/>
                <w:webHidden/>
              </w:rPr>
              <w:fldChar w:fldCharType="separate"/>
            </w:r>
            <w:r>
              <w:rPr>
                <w:noProof/>
                <w:webHidden/>
              </w:rPr>
              <w:t>13</w:t>
            </w:r>
            <w:r>
              <w:rPr>
                <w:noProof/>
                <w:webHidden/>
              </w:rPr>
              <w:fldChar w:fldCharType="end"/>
            </w:r>
          </w:hyperlink>
        </w:p>
        <w:p w14:paraId="07722FD7" w14:textId="4ADF7EE2"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2" w:history="1">
            <w:r w:rsidRPr="00CC0BF8">
              <w:rPr>
                <w:rStyle w:val="Hyperlink"/>
                <w:rFonts w:ascii="Times New Roman" w:hAnsi="Times New Roman" w:cs="Times New Roman"/>
                <w:noProof/>
              </w:rPr>
              <w:t>2.4.2.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Accepting Open Banking and Data Security</w:t>
            </w:r>
            <w:r>
              <w:rPr>
                <w:noProof/>
                <w:webHidden/>
              </w:rPr>
              <w:tab/>
            </w:r>
            <w:r>
              <w:rPr>
                <w:noProof/>
                <w:webHidden/>
              </w:rPr>
              <w:fldChar w:fldCharType="begin"/>
            </w:r>
            <w:r>
              <w:rPr>
                <w:noProof/>
                <w:webHidden/>
              </w:rPr>
              <w:instrText xml:space="preserve"> PAGEREF _Toc158706272 \h </w:instrText>
            </w:r>
            <w:r>
              <w:rPr>
                <w:noProof/>
                <w:webHidden/>
              </w:rPr>
            </w:r>
            <w:r>
              <w:rPr>
                <w:noProof/>
                <w:webHidden/>
              </w:rPr>
              <w:fldChar w:fldCharType="separate"/>
            </w:r>
            <w:r>
              <w:rPr>
                <w:noProof/>
                <w:webHidden/>
              </w:rPr>
              <w:t>13</w:t>
            </w:r>
            <w:r>
              <w:rPr>
                <w:noProof/>
                <w:webHidden/>
              </w:rPr>
              <w:fldChar w:fldCharType="end"/>
            </w:r>
          </w:hyperlink>
        </w:p>
        <w:p w14:paraId="42A1FDAF" w14:textId="37263818"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3" w:history="1">
            <w:r w:rsidRPr="00CC0BF8">
              <w:rPr>
                <w:rStyle w:val="Hyperlink"/>
                <w:rFonts w:ascii="Times New Roman" w:hAnsi="Times New Roman" w:cs="Times New Roman"/>
                <w:noProof/>
              </w:rPr>
              <w:t>2.4.3.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Navigating Cybersecurity Challenges and Future Outlook.</w:t>
            </w:r>
            <w:r>
              <w:rPr>
                <w:noProof/>
                <w:webHidden/>
              </w:rPr>
              <w:tab/>
            </w:r>
            <w:r>
              <w:rPr>
                <w:noProof/>
                <w:webHidden/>
              </w:rPr>
              <w:fldChar w:fldCharType="begin"/>
            </w:r>
            <w:r>
              <w:rPr>
                <w:noProof/>
                <w:webHidden/>
              </w:rPr>
              <w:instrText xml:space="preserve"> PAGEREF _Toc158706273 \h </w:instrText>
            </w:r>
            <w:r>
              <w:rPr>
                <w:noProof/>
                <w:webHidden/>
              </w:rPr>
            </w:r>
            <w:r>
              <w:rPr>
                <w:noProof/>
                <w:webHidden/>
              </w:rPr>
              <w:fldChar w:fldCharType="separate"/>
            </w:r>
            <w:r>
              <w:rPr>
                <w:noProof/>
                <w:webHidden/>
              </w:rPr>
              <w:t>14</w:t>
            </w:r>
            <w:r>
              <w:rPr>
                <w:noProof/>
                <w:webHidden/>
              </w:rPr>
              <w:fldChar w:fldCharType="end"/>
            </w:r>
          </w:hyperlink>
        </w:p>
        <w:p w14:paraId="5B8DED5A" w14:textId="4C95D08B"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74" w:history="1">
            <w:r w:rsidRPr="00CC0BF8">
              <w:rPr>
                <w:rStyle w:val="Hyperlink"/>
                <w:rFonts w:ascii="Times New Roman" w:hAnsi="Times New Roman" w:cs="Times New Roman"/>
                <w:noProof/>
              </w:rPr>
              <w:t>2.5.</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Consumer Behavior and Digital Banking Implementation in the UK</w:t>
            </w:r>
            <w:r>
              <w:rPr>
                <w:noProof/>
                <w:webHidden/>
              </w:rPr>
              <w:tab/>
            </w:r>
            <w:r>
              <w:rPr>
                <w:noProof/>
                <w:webHidden/>
              </w:rPr>
              <w:fldChar w:fldCharType="begin"/>
            </w:r>
            <w:r>
              <w:rPr>
                <w:noProof/>
                <w:webHidden/>
              </w:rPr>
              <w:instrText xml:space="preserve"> PAGEREF _Toc158706274 \h </w:instrText>
            </w:r>
            <w:r>
              <w:rPr>
                <w:noProof/>
                <w:webHidden/>
              </w:rPr>
            </w:r>
            <w:r>
              <w:rPr>
                <w:noProof/>
                <w:webHidden/>
              </w:rPr>
              <w:fldChar w:fldCharType="separate"/>
            </w:r>
            <w:r>
              <w:rPr>
                <w:noProof/>
                <w:webHidden/>
              </w:rPr>
              <w:t>14</w:t>
            </w:r>
            <w:r>
              <w:rPr>
                <w:noProof/>
                <w:webHidden/>
              </w:rPr>
              <w:fldChar w:fldCharType="end"/>
            </w:r>
          </w:hyperlink>
        </w:p>
        <w:p w14:paraId="6ED77A2C" w14:textId="09531F4F"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75" w:history="1">
            <w:r w:rsidRPr="00CC0BF8">
              <w:rPr>
                <w:rStyle w:val="Hyperlink"/>
                <w:rFonts w:ascii="Times New Roman" w:hAnsi="Times New Roman" w:cs="Times New Roman"/>
                <w:noProof/>
              </w:rPr>
              <w:t>2.6.</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Digital Transformation in Banking Research</w:t>
            </w:r>
            <w:r>
              <w:rPr>
                <w:noProof/>
                <w:webHidden/>
              </w:rPr>
              <w:tab/>
            </w:r>
            <w:r>
              <w:rPr>
                <w:noProof/>
                <w:webHidden/>
              </w:rPr>
              <w:fldChar w:fldCharType="begin"/>
            </w:r>
            <w:r>
              <w:rPr>
                <w:noProof/>
                <w:webHidden/>
              </w:rPr>
              <w:instrText xml:space="preserve"> PAGEREF _Toc158706275 \h </w:instrText>
            </w:r>
            <w:r>
              <w:rPr>
                <w:noProof/>
                <w:webHidden/>
              </w:rPr>
            </w:r>
            <w:r>
              <w:rPr>
                <w:noProof/>
                <w:webHidden/>
              </w:rPr>
              <w:fldChar w:fldCharType="separate"/>
            </w:r>
            <w:r>
              <w:rPr>
                <w:noProof/>
                <w:webHidden/>
              </w:rPr>
              <w:t>16</w:t>
            </w:r>
            <w:r>
              <w:rPr>
                <w:noProof/>
                <w:webHidden/>
              </w:rPr>
              <w:fldChar w:fldCharType="end"/>
            </w:r>
          </w:hyperlink>
        </w:p>
        <w:p w14:paraId="5B76DA13" w14:textId="23A56FB0"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76" w:history="1">
            <w:r w:rsidRPr="00CC0BF8">
              <w:rPr>
                <w:rStyle w:val="Hyperlink"/>
                <w:rFonts w:ascii="Times New Roman" w:hAnsi="Times New Roman" w:cs="Times New Roman"/>
                <w:noProof/>
              </w:rPr>
              <w:t>2.7.</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Gaps in the Existing Literature</w:t>
            </w:r>
            <w:r>
              <w:rPr>
                <w:noProof/>
                <w:webHidden/>
              </w:rPr>
              <w:tab/>
            </w:r>
            <w:r>
              <w:rPr>
                <w:noProof/>
                <w:webHidden/>
              </w:rPr>
              <w:fldChar w:fldCharType="begin"/>
            </w:r>
            <w:r>
              <w:rPr>
                <w:noProof/>
                <w:webHidden/>
              </w:rPr>
              <w:instrText xml:space="preserve"> PAGEREF _Toc158706276 \h </w:instrText>
            </w:r>
            <w:r>
              <w:rPr>
                <w:noProof/>
                <w:webHidden/>
              </w:rPr>
            </w:r>
            <w:r>
              <w:rPr>
                <w:noProof/>
                <w:webHidden/>
              </w:rPr>
              <w:fldChar w:fldCharType="separate"/>
            </w:r>
            <w:r>
              <w:rPr>
                <w:noProof/>
                <w:webHidden/>
              </w:rPr>
              <w:t>16</w:t>
            </w:r>
            <w:r>
              <w:rPr>
                <w:noProof/>
                <w:webHidden/>
              </w:rPr>
              <w:fldChar w:fldCharType="end"/>
            </w:r>
          </w:hyperlink>
        </w:p>
        <w:p w14:paraId="799900E9" w14:textId="2B7F827D"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7" w:history="1">
            <w:r w:rsidRPr="00CC0BF8">
              <w:rPr>
                <w:rStyle w:val="Hyperlink"/>
                <w:rFonts w:ascii="Times New Roman" w:hAnsi="Times New Roman" w:cs="Times New Roman"/>
                <w:noProof/>
              </w:rPr>
              <w:t>2.7.1.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Investigation of Cultural Factors in Digital Banking Adoption</w:t>
            </w:r>
            <w:r>
              <w:rPr>
                <w:noProof/>
                <w:webHidden/>
              </w:rPr>
              <w:tab/>
            </w:r>
            <w:r>
              <w:rPr>
                <w:noProof/>
                <w:webHidden/>
              </w:rPr>
              <w:fldChar w:fldCharType="begin"/>
            </w:r>
            <w:r>
              <w:rPr>
                <w:noProof/>
                <w:webHidden/>
              </w:rPr>
              <w:instrText xml:space="preserve"> PAGEREF _Toc158706277 \h </w:instrText>
            </w:r>
            <w:r>
              <w:rPr>
                <w:noProof/>
                <w:webHidden/>
              </w:rPr>
            </w:r>
            <w:r>
              <w:rPr>
                <w:noProof/>
                <w:webHidden/>
              </w:rPr>
              <w:fldChar w:fldCharType="separate"/>
            </w:r>
            <w:r>
              <w:rPr>
                <w:noProof/>
                <w:webHidden/>
              </w:rPr>
              <w:t>16</w:t>
            </w:r>
            <w:r>
              <w:rPr>
                <w:noProof/>
                <w:webHidden/>
              </w:rPr>
              <w:fldChar w:fldCharType="end"/>
            </w:r>
          </w:hyperlink>
        </w:p>
        <w:p w14:paraId="7DC4EE11" w14:textId="289884F4"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8" w:history="1">
            <w:r w:rsidRPr="00CC0BF8">
              <w:rPr>
                <w:rStyle w:val="Hyperlink"/>
                <w:rFonts w:ascii="Times New Roman" w:hAnsi="Times New Roman" w:cs="Times New Roman"/>
                <w:noProof/>
              </w:rPr>
              <w:t>2.7.2.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Failure to Adequately Consider the Effect on Susceptible Populations</w:t>
            </w:r>
            <w:r>
              <w:rPr>
                <w:noProof/>
                <w:webHidden/>
              </w:rPr>
              <w:tab/>
            </w:r>
            <w:r>
              <w:rPr>
                <w:noProof/>
                <w:webHidden/>
              </w:rPr>
              <w:fldChar w:fldCharType="begin"/>
            </w:r>
            <w:r>
              <w:rPr>
                <w:noProof/>
                <w:webHidden/>
              </w:rPr>
              <w:instrText xml:space="preserve"> PAGEREF _Toc158706278 \h </w:instrText>
            </w:r>
            <w:r>
              <w:rPr>
                <w:noProof/>
                <w:webHidden/>
              </w:rPr>
            </w:r>
            <w:r>
              <w:rPr>
                <w:noProof/>
                <w:webHidden/>
              </w:rPr>
              <w:fldChar w:fldCharType="separate"/>
            </w:r>
            <w:r>
              <w:rPr>
                <w:noProof/>
                <w:webHidden/>
              </w:rPr>
              <w:t>17</w:t>
            </w:r>
            <w:r>
              <w:rPr>
                <w:noProof/>
                <w:webHidden/>
              </w:rPr>
              <w:fldChar w:fldCharType="end"/>
            </w:r>
          </w:hyperlink>
        </w:p>
        <w:p w14:paraId="06EDF319" w14:textId="4FEA3B79" w:rsidR="00133876" w:rsidRDefault="00133876">
          <w:pPr>
            <w:pStyle w:val="TOC2"/>
            <w:tabs>
              <w:tab w:val="left" w:pos="1200"/>
              <w:tab w:val="right" w:leader="dot" w:pos="9350"/>
            </w:tabs>
            <w:rPr>
              <w:rFonts w:eastAsiaTheme="minorEastAsia"/>
              <w:noProof/>
              <w:kern w:val="2"/>
              <w:szCs w:val="24"/>
              <w:lang w:val="en-GB" w:eastAsia="en-GB"/>
              <w14:ligatures w14:val="standardContextual"/>
            </w:rPr>
          </w:pPr>
          <w:hyperlink w:anchor="_Toc158706279" w:history="1">
            <w:r w:rsidRPr="00CC0BF8">
              <w:rPr>
                <w:rStyle w:val="Hyperlink"/>
                <w:rFonts w:ascii="Times New Roman" w:hAnsi="Times New Roman" w:cs="Times New Roman"/>
                <w:noProof/>
              </w:rPr>
              <w:t>2.7.3.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Lack of Longitudinal Surveys Monitoring Regulatory Adaptations</w:t>
            </w:r>
            <w:r>
              <w:rPr>
                <w:noProof/>
                <w:webHidden/>
              </w:rPr>
              <w:tab/>
            </w:r>
            <w:r>
              <w:rPr>
                <w:noProof/>
                <w:webHidden/>
              </w:rPr>
              <w:fldChar w:fldCharType="begin"/>
            </w:r>
            <w:r>
              <w:rPr>
                <w:noProof/>
                <w:webHidden/>
              </w:rPr>
              <w:instrText xml:space="preserve"> PAGEREF _Toc158706279 \h </w:instrText>
            </w:r>
            <w:r>
              <w:rPr>
                <w:noProof/>
                <w:webHidden/>
              </w:rPr>
            </w:r>
            <w:r>
              <w:rPr>
                <w:noProof/>
                <w:webHidden/>
              </w:rPr>
              <w:fldChar w:fldCharType="separate"/>
            </w:r>
            <w:r>
              <w:rPr>
                <w:noProof/>
                <w:webHidden/>
              </w:rPr>
              <w:t>17</w:t>
            </w:r>
            <w:r>
              <w:rPr>
                <w:noProof/>
                <w:webHidden/>
              </w:rPr>
              <w:fldChar w:fldCharType="end"/>
            </w:r>
          </w:hyperlink>
        </w:p>
        <w:p w14:paraId="7193AF5D" w14:textId="28734A08" w:rsidR="00133876" w:rsidRDefault="00133876">
          <w:pPr>
            <w:pStyle w:val="TOC1"/>
            <w:tabs>
              <w:tab w:val="left" w:pos="480"/>
              <w:tab w:val="right" w:leader="dot" w:pos="9350"/>
            </w:tabs>
            <w:rPr>
              <w:rFonts w:eastAsiaTheme="minorEastAsia"/>
              <w:noProof/>
              <w:kern w:val="2"/>
              <w:szCs w:val="24"/>
              <w:lang w:val="en-GB" w:eastAsia="en-GB"/>
              <w14:ligatures w14:val="standardContextual"/>
            </w:rPr>
          </w:pPr>
          <w:hyperlink w:anchor="_Toc158706280" w:history="1">
            <w:r w:rsidRPr="00CC0BF8">
              <w:rPr>
                <w:rStyle w:val="Hyperlink"/>
                <w:rFonts w:ascii="Times New Roman" w:hAnsi="Times New Roman" w:cs="Times New Roman"/>
                <w:noProof/>
              </w:rPr>
              <w:t>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_Toc158706280 \h </w:instrText>
            </w:r>
            <w:r>
              <w:rPr>
                <w:noProof/>
                <w:webHidden/>
              </w:rPr>
            </w:r>
            <w:r>
              <w:rPr>
                <w:noProof/>
                <w:webHidden/>
              </w:rPr>
              <w:fldChar w:fldCharType="separate"/>
            </w:r>
            <w:r>
              <w:rPr>
                <w:noProof/>
                <w:webHidden/>
              </w:rPr>
              <w:t>18</w:t>
            </w:r>
            <w:r>
              <w:rPr>
                <w:noProof/>
                <w:webHidden/>
              </w:rPr>
              <w:fldChar w:fldCharType="end"/>
            </w:r>
          </w:hyperlink>
        </w:p>
        <w:p w14:paraId="49BB8636" w14:textId="63D449B4"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1" w:history="1">
            <w:r w:rsidRPr="00CC0BF8">
              <w:rPr>
                <w:rStyle w:val="Hyperlink"/>
                <w:rFonts w:ascii="Times New Roman" w:hAnsi="Times New Roman" w:cs="Times New Roman"/>
                <w:noProof/>
              </w:rPr>
              <w:t>3.1.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Philosophy</w:t>
            </w:r>
            <w:r>
              <w:rPr>
                <w:noProof/>
                <w:webHidden/>
              </w:rPr>
              <w:tab/>
            </w:r>
            <w:r>
              <w:rPr>
                <w:noProof/>
                <w:webHidden/>
              </w:rPr>
              <w:fldChar w:fldCharType="begin"/>
            </w:r>
            <w:r>
              <w:rPr>
                <w:noProof/>
                <w:webHidden/>
              </w:rPr>
              <w:instrText xml:space="preserve"> PAGEREF _Toc158706281 \h </w:instrText>
            </w:r>
            <w:r>
              <w:rPr>
                <w:noProof/>
                <w:webHidden/>
              </w:rPr>
            </w:r>
            <w:r>
              <w:rPr>
                <w:noProof/>
                <w:webHidden/>
              </w:rPr>
              <w:fldChar w:fldCharType="separate"/>
            </w:r>
            <w:r>
              <w:rPr>
                <w:noProof/>
                <w:webHidden/>
              </w:rPr>
              <w:t>18</w:t>
            </w:r>
            <w:r>
              <w:rPr>
                <w:noProof/>
                <w:webHidden/>
              </w:rPr>
              <w:fldChar w:fldCharType="end"/>
            </w:r>
          </w:hyperlink>
        </w:p>
        <w:p w14:paraId="3A18902C" w14:textId="6509FA8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2" w:history="1">
            <w:r w:rsidRPr="00CC0BF8">
              <w:rPr>
                <w:rStyle w:val="Hyperlink"/>
                <w:rFonts w:ascii="Times New Roman" w:hAnsi="Times New Roman" w:cs="Times New Roman"/>
                <w:noProof/>
              </w:rPr>
              <w:t>3.2.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Approach</w:t>
            </w:r>
            <w:r>
              <w:rPr>
                <w:noProof/>
                <w:webHidden/>
              </w:rPr>
              <w:tab/>
            </w:r>
            <w:r>
              <w:rPr>
                <w:noProof/>
                <w:webHidden/>
              </w:rPr>
              <w:fldChar w:fldCharType="begin"/>
            </w:r>
            <w:r>
              <w:rPr>
                <w:noProof/>
                <w:webHidden/>
              </w:rPr>
              <w:instrText xml:space="preserve"> PAGEREF _Toc158706282 \h </w:instrText>
            </w:r>
            <w:r>
              <w:rPr>
                <w:noProof/>
                <w:webHidden/>
              </w:rPr>
            </w:r>
            <w:r>
              <w:rPr>
                <w:noProof/>
                <w:webHidden/>
              </w:rPr>
              <w:fldChar w:fldCharType="separate"/>
            </w:r>
            <w:r>
              <w:rPr>
                <w:noProof/>
                <w:webHidden/>
              </w:rPr>
              <w:t>19</w:t>
            </w:r>
            <w:r>
              <w:rPr>
                <w:noProof/>
                <w:webHidden/>
              </w:rPr>
              <w:fldChar w:fldCharType="end"/>
            </w:r>
          </w:hyperlink>
        </w:p>
        <w:p w14:paraId="5B5FB78F" w14:textId="123D5EC4"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3" w:history="1">
            <w:r w:rsidRPr="00CC0BF8">
              <w:rPr>
                <w:rStyle w:val="Hyperlink"/>
                <w:rFonts w:ascii="Times New Roman" w:hAnsi="Times New Roman" w:cs="Times New Roman"/>
                <w:noProof/>
              </w:rPr>
              <w:t>3.3.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Method</w:t>
            </w:r>
            <w:r>
              <w:rPr>
                <w:noProof/>
                <w:webHidden/>
              </w:rPr>
              <w:tab/>
            </w:r>
            <w:r>
              <w:rPr>
                <w:noProof/>
                <w:webHidden/>
              </w:rPr>
              <w:fldChar w:fldCharType="begin"/>
            </w:r>
            <w:r>
              <w:rPr>
                <w:noProof/>
                <w:webHidden/>
              </w:rPr>
              <w:instrText xml:space="preserve"> PAGEREF _Toc158706283 \h </w:instrText>
            </w:r>
            <w:r>
              <w:rPr>
                <w:noProof/>
                <w:webHidden/>
              </w:rPr>
            </w:r>
            <w:r>
              <w:rPr>
                <w:noProof/>
                <w:webHidden/>
              </w:rPr>
              <w:fldChar w:fldCharType="separate"/>
            </w:r>
            <w:r>
              <w:rPr>
                <w:noProof/>
                <w:webHidden/>
              </w:rPr>
              <w:t>20</w:t>
            </w:r>
            <w:r>
              <w:rPr>
                <w:noProof/>
                <w:webHidden/>
              </w:rPr>
              <w:fldChar w:fldCharType="end"/>
            </w:r>
          </w:hyperlink>
        </w:p>
        <w:p w14:paraId="0211BF0C" w14:textId="30E19051"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4" w:history="1">
            <w:r w:rsidRPr="00CC0BF8">
              <w:rPr>
                <w:rStyle w:val="Hyperlink"/>
                <w:rFonts w:ascii="Times New Roman" w:hAnsi="Times New Roman" w:cs="Times New Roman"/>
                <w:noProof/>
              </w:rPr>
              <w:t>3.4.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_Toc158706284 \h </w:instrText>
            </w:r>
            <w:r>
              <w:rPr>
                <w:noProof/>
                <w:webHidden/>
              </w:rPr>
            </w:r>
            <w:r>
              <w:rPr>
                <w:noProof/>
                <w:webHidden/>
              </w:rPr>
              <w:fldChar w:fldCharType="separate"/>
            </w:r>
            <w:r>
              <w:rPr>
                <w:noProof/>
                <w:webHidden/>
              </w:rPr>
              <w:t>20</w:t>
            </w:r>
            <w:r>
              <w:rPr>
                <w:noProof/>
                <w:webHidden/>
              </w:rPr>
              <w:fldChar w:fldCharType="end"/>
            </w:r>
          </w:hyperlink>
        </w:p>
        <w:p w14:paraId="7DDAD784" w14:textId="20AA2A23"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5" w:history="1">
            <w:r w:rsidRPr="00CC0BF8">
              <w:rPr>
                <w:rStyle w:val="Hyperlink"/>
                <w:rFonts w:ascii="Times New Roman" w:hAnsi="Times New Roman" w:cs="Times New Roman"/>
                <w:noProof/>
              </w:rPr>
              <w:t>3.5.</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Research Strategy</w:t>
            </w:r>
            <w:r>
              <w:rPr>
                <w:noProof/>
                <w:webHidden/>
              </w:rPr>
              <w:tab/>
            </w:r>
            <w:r>
              <w:rPr>
                <w:noProof/>
                <w:webHidden/>
              </w:rPr>
              <w:fldChar w:fldCharType="begin"/>
            </w:r>
            <w:r>
              <w:rPr>
                <w:noProof/>
                <w:webHidden/>
              </w:rPr>
              <w:instrText xml:space="preserve"> PAGEREF _Toc158706285 \h </w:instrText>
            </w:r>
            <w:r>
              <w:rPr>
                <w:noProof/>
                <w:webHidden/>
              </w:rPr>
            </w:r>
            <w:r>
              <w:rPr>
                <w:noProof/>
                <w:webHidden/>
              </w:rPr>
              <w:fldChar w:fldCharType="separate"/>
            </w:r>
            <w:r>
              <w:rPr>
                <w:noProof/>
                <w:webHidden/>
              </w:rPr>
              <w:t>21</w:t>
            </w:r>
            <w:r>
              <w:rPr>
                <w:noProof/>
                <w:webHidden/>
              </w:rPr>
              <w:fldChar w:fldCharType="end"/>
            </w:r>
          </w:hyperlink>
        </w:p>
        <w:p w14:paraId="4F8AF0F2" w14:textId="08AE4B94"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6" w:history="1">
            <w:r w:rsidRPr="00CC0BF8">
              <w:rPr>
                <w:rStyle w:val="Hyperlink"/>
                <w:rFonts w:ascii="Times New Roman" w:hAnsi="Times New Roman" w:cs="Times New Roman"/>
                <w:noProof/>
              </w:rPr>
              <w:t>3.6.</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Data Source and Collection</w:t>
            </w:r>
            <w:r>
              <w:rPr>
                <w:noProof/>
                <w:webHidden/>
              </w:rPr>
              <w:tab/>
            </w:r>
            <w:r>
              <w:rPr>
                <w:noProof/>
                <w:webHidden/>
              </w:rPr>
              <w:fldChar w:fldCharType="begin"/>
            </w:r>
            <w:r>
              <w:rPr>
                <w:noProof/>
                <w:webHidden/>
              </w:rPr>
              <w:instrText xml:space="preserve"> PAGEREF _Toc158706286 \h </w:instrText>
            </w:r>
            <w:r>
              <w:rPr>
                <w:noProof/>
                <w:webHidden/>
              </w:rPr>
            </w:r>
            <w:r>
              <w:rPr>
                <w:noProof/>
                <w:webHidden/>
              </w:rPr>
              <w:fldChar w:fldCharType="separate"/>
            </w:r>
            <w:r>
              <w:rPr>
                <w:noProof/>
                <w:webHidden/>
              </w:rPr>
              <w:t>21</w:t>
            </w:r>
            <w:r>
              <w:rPr>
                <w:noProof/>
                <w:webHidden/>
              </w:rPr>
              <w:fldChar w:fldCharType="end"/>
            </w:r>
          </w:hyperlink>
        </w:p>
        <w:p w14:paraId="204A466A" w14:textId="29C6EA98"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7" w:history="1">
            <w:r w:rsidRPr="00CC0BF8">
              <w:rPr>
                <w:rStyle w:val="Hyperlink"/>
                <w:rFonts w:ascii="Times New Roman" w:hAnsi="Times New Roman" w:cs="Times New Roman"/>
                <w:noProof/>
              </w:rPr>
              <w:t>3.7.</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Case Study</w:t>
            </w:r>
            <w:r>
              <w:rPr>
                <w:noProof/>
                <w:webHidden/>
              </w:rPr>
              <w:tab/>
            </w:r>
            <w:r>
              <w:rPr>
                <w:noProof/>
                <w:webHidden/>
              </w:rPr>
              <w:fldChar w:fldCharType="begin"/>
            </w:r>
            <w:r>
              <w:rPr>
                <w:noProof/>
                <w:webHidden/>
              </w:rPr>
              <w:instrText xml:space="preserve"> PAGEREF _Toc158706287 \h </w:instrText>
            </w:r>
            <w:r>
              <w:rPr>
                <w:noProof/>
                <w:webHidden/>
              </w:rPr>
            </w:r>
            <w:r>
              <w:rPr>
                <w:noProof/>
                <w:webHidden/>
              </w:rPr>
              <w:fldChar w:fldCharType="separate"/>
            </w:r>
            <w:r>
              <w:rPr>
                <w:noProof/>
                <w:webHidden/>
              </w:rPr>
              <w:t>22</w:t>
            </w:r>
            <w:r>
              <w:rPr>
                <w:noProof/>
                <w:webHidden/>
              </w:rPr>
              <w:fldChar w:fldCharType="end"/>
            </w:r>
          </w:hyperlink>
        </w:p>
        <w:p w14:paraId="5C7C0375" w14:textId="19AF7CD5"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8" w:history="1">
            <w:r w:rsidRPr="00CC0BF8">
              <w:rPr>
                <w:rStyle w:val="Hyperlink"/>
                <w:rFonts w:ascii="Times New Roman" w:hAnsi="Times New Roman" w:cs="Times New Roman"/>
                <w:noProof/>
              </w:rPr>
              <w:t>3.8.</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Sampling</w:t>
            </w:r>
            <w:r>
              <w:rPr>
                <w:noProof/>
                <w:webHidden/>
              </w:rPr>
              <w:tab/>
            </w:r>
            <w:r>
              <w:rPr>
                <w:noProof/>
                <w:webHidden/>
              </w:rPr>
              <w:fldChar w:fldCharType="begin"/>
            </w:r>
            <w:r>
              <w:rPr>
                <w:noProof/>
                <w:webHidden/>
              </w:rPr>
              <w:instrText xml:space="preserve"> PAGEREF _Toc158706288 \h </w:instrText>
            </w:r>
            <w:r>
              <w:rPr>
                <w:noProof/>
                <w:webHidden/>
              </w:rPr>
            </w:r>
            <w:r>
              <w:rPr>
                <w:noProof/>
                <w:webHidden/>
              </w:rPr>
              <w:fldChar w:fldCharType="separate"/>
            </w:r>
            <w:r>
              <w:rPr>
                <w:noProof/>
                <w:webHidden/>
              </w:rPr>
              <w:t>22</w:t>
            </w:r>
            <w:r>
              <w:rPr>
                <w:noProof/>
                <w:webHidden/>
              </w:rPr>
              <w:fldChar w:fldCharType="end"/>
            </w:r>
          </w:hyperlink>
        </w:p>
        <w:p w14:paraId="1C9D8D20" w14:textId="1364359B"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89" w:history="1">
            <w:r w:rsidRPr="00CC0BF8">
              <w:rPr>
                <w:rStyle w:val="Hyperlink"/>
                <w:rFonts w:ascii="Times New Roman" w:hAnsi="Times New Roman" w:cs="Times New Roman"/>
                <w:noProof/>
              </w:rPr>
              <w:t>3.9.</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Data Analysis</w:t>
            </w:r>
            <w:r>
              <w:rPr>
                <w:noProof/>
                <w:webHidden/>
              </w:rPr>
              <w:tab/>
            </w:r>
            <w:r>
              <w:rPr>
                <w:noProof/>
                <w:webHidden/>
              </w:rPr>
              <w:fldChar w:fldCharType="begin"/>
            </w:r>
            <w:r>
              <w:rPr>
                <w:noProof/>
                <w:webHidden/>
              </w:rPr>
              <w:instrText xml:space="preserve"> PAGEREF _Toc158706289 \h </w:instrText>
            </w:r>
            <w:r>
              <w:rPr>
                <w:noProof/>
                <w:webHidden/>
              </w:rPr>
            </w:r>
            <w:r>
              <w:rPr>
                <w:noProof/>
                <w:webHidden/>
              </w:rPr>
              <w:fldChar w:fldCharType="separate"/>
            </w:r>
            <w:r>
              <w:rPr>
                <w:noProof/>
                <w:webHidden/>
              </w:rPr>
              <w:t>23</w:t>
            </w:r>
            <w:r>
              <w:rPr>
                <w:noProof/>
                <w:webHidden/>
              </w:rPr>
              <w:fldChar w:fldCharType="end"/>
            </w:r>
          </w:hyperlink>
        </w:p>
        <w:p w14:paraId="633BD47F" w14:textId="71DD7B90" w:rsidR="00133876" w:rsidRDefault="00133876">
          <w:pPr>
            <w:pStyle w:val="TOC1"/>
            <w:tabs>
              <w:tab w:val="left" w:pos="960"/>
              <w:tab w:val="right" w:leader="dot" w:pos="9350"/>
            </w:tabs>
            <w:rPr>
              <w:rFonts w:eastAsiaTheme="minorEastAsia"/>
              <w:noProof/>
              <w:kern w:val="2"/>
              <w:szCs w:val="24"/>
              <w:lang w:val="en-GB" w:eastAsia="en-GB"/>
              <w14:ligatures w14:val="standardContextual"/>
            </w:rPr>
          </w:pPr>
          <w:hyperlink w:anchor="_Toc158706290" w:history="1">
            <w:r w:rsidRPr="00CC0BF8">
              <w:rPr>
                <w:rStyle w:val="Hyperlink"/>
                <w:rFonts w:ascii="Times New Roman" w:hAnsi="Times New Roman" w:cs="Times New Roman"/>
                <w:noProof/>
              </w:rPr>
              <w:t>3.10.</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Ethical Consideration</w:t>
            </w:r>
            <w:r>
              <w:rPr>
                <w:noProof/>
                <w:webHidden/>
              </w:rPr>
              <w:tab/>
            </w:r>
            <w:r>
              <w:rPr>
                <w:noProof/>
                <w:webHidden/>
              </w:rPr>
              <w:fldChar w:fldCharType="begin"/>
            </w:r>
            <w:r>
              <w:rPr>
                <w:noProof/>
                <w:webHidden/>
              </w:rPr>
              <w:instrText xml:space="preserve"> PAGEREF _Toc158706290 \h </w:instrText>
            </w:r>
            <w:r>
              <w:rPr>
                <w:noProof/>
                <w:webHidden/>
              </w:rPr>
            </w:r>
            <w:r>
              <w:rPr>
                <w:noProof/>
                <w:webHidden/>
              </w:rPr>
              <w:fldChar w:fldCharType="separate"/>
            </w:r>
            <w:r>
              <w:rPr>
                <w:noProof/>
                <w:webHidden/>
              </w:rPr>
              <w:t>24</w:t>
            </w:r>
            <w:r>
              <w:rPr>
                <w:noProof/>
                <w:webHidden/>
              </w:rPr>
              <w:fldChar w:fldCharType="end"/>
            </w:r>
          </w:hyperlink>
        </w:p>
        <w:p w14:paraId="0953FE1B" w14:textId="2B52AB9F" w:rsidR="00133876" w:rsidRDefault="00133876">
          <w:pPr>
            <w:pStyle w:val="TOC1"/>
            <w:tabs>
              <w:tab w:val="left" w:pos="480"/>
              <w:tab w:val="right" w:leader="dot" w:pos="9350"/>
            </w:tabs>
            <w:rPr>
              <w:rFonts w:eastAsiaTheme="minorEastAsia"/>
              <w:noProof/>
              <w:kern w:val="2"/>
              <w:szCs w:val="24"/>
              <w:lang w:val="en-GB" w:eastAsia="en-GB"/>
              <w14:ligatures w14:val="standardContextual"/>
            </w:rPr>
          </w:pPr>
          <w:hyperlink w:anchor="_Toc158706291" w:history="1">
            <w:r w:rsidRPr="00CC0BF8">
              <w:rPr>
                <w:rStyle w:val="Hyperlink"/>
                <w:rFonts w:ascii="Times New Roman" w:hAnsi="Times New Roman" w:cs="Times New Roman"/>
                <w:noProof/>
              </w:rPr>
              <w:t>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_Toc158706291 \h </w:instrText>
            </w:r>
            <w:r>
              <w:rPr>
                <w:noProof/>
                <w:webHidden/>
              </w:rPr>
            </w:r>
            <w:r>
              <w:rPr>
                <w:noProof/>
                <w:webHidden/>
              </w:rPr>
              <w:fldChar w:fldCharType="separate"/>
            </w:r>
            <w:r>
              <w:rPr>
                <w:noProof/>
                <w:webHidden/>
              </w:rPr>
              <w:t>24</w:t>
            </w:r>
            <w:r>
              <w:rPr>
                <w:noProof/>
                <w:webHidden/>
              </w:rPr>
              <w:fldChar w:fldCharType="end"/>
            </w:r>
          </w:hyperlink>
        </w:p>
        <w:p w14:paraId="76480FD9" w14:textId="445A1002"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2" w:history="1">
            <w:r w:rsidRPr="00CC0BF8">
              <w:rPr>
                <w:rStyle w:val="Hyperlink"/>
                <w:rFonts w:ascii="Times New Roman" w:hAnsi="Times New Roman" w:cs="Times New Roman"/>
                <w:noProof/>
              </w:rPr>
              <w:t>4.1.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HSBC Holdings Plc</w:t>
            </w:r>
            <w:r>
              <w:rPr>
                <w:noProof/>
                <w:webHidden/>
              </w:rPr>
              <w:tab/>
            </w:r>
            <w:r>
              <w:rPr>
                <w:noProof/>
                <w:webHidden/>
              </w:rPr>
              <w:fldChar w:fldCharType="begin"/>
            </w:r>
            <w:r>
              <w:rPr>
                <w:noProof/>
                <w:webHidden/>
              </w:rPr>
              <w:instrText xml:space="preserve"> PAGEREF _Toc158706292 \h </w:instrText>
            </w:r>
            <w:r>
              <w:rPr>
                <w:noProof/>
                <w:webHidden/>
              </w:rPr>
            </w:r>
            <w:r>
              <w:rPr>
                <w:noProof/>
                <w:webHidden/>
              </w:rPr>
              <w:fldChar w:fldCharType="separate"/>
            </w:r>
            <w:r>
              <w:rPr>
                <w:noProof/>
                <w:webHidden/>
              </w:rPr>
              <w:t>24</w:t>
            </w:r>
            <w:r>
              <w:rPr>
                <w:noProof/>
                <w:webHidden/>
              </w:rPr>
              <w:fldChar w:fldCharType="end"/>
            </w:r>
          </w:hyperlink>
        </w:p>
        <w:p w14:paraId="4594E0F5" w14:textId="32AFF1C3"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3" w:history="1">
            <w:r w:rsidRPr="00CC0BF8">
              <w:rPr>
                <w:rStyle w:val="Hyperlink"/>
                <w:rFonts w:ascii="Times New Roman" w:hAnsi="Times New Roman" w:cs="Times New Roman"/>
                <w:noProof/>
              </w:rPr>
              <w:t>4.2.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Lloyds Banking Group Plc</w:t>
            </w:r>
            <w:r>
              <w:rPr>
                <w:noProof/>
                <w:webHidden/>
              </w:rPr>
              <w:tab/>
            </w:r>
            <w:r>
              <w:rPr>
                <w:noProof/>
                <w:webHidden/>
              </w:rPr>
              <w:fldChar w:fldCharType="begin"/>
            </w:r>
            <w:r>
              <w:rPr>
                <w:noProof/>
                <w:webHidden/>
              </w:rPr>
              <w:instrText xml:space="preserve"> PAGEREF _Toc158706293 \h </w:instrText>
            </w:r>
            <w:r>
              <w:rPr>
                <w:noProof/>
                <w:webHidden/>
              </w:rPr>
            </w:r>
            <w:r>
              <w:rPr>
                <w:noProof/>
                <w:webHidden/>
              </w:rPr>
              <w:fldChar w:fldCharType="separate"/>
            </w:r>
            <w:r>
              <w:rPr>
                <w:noProof/>
                <w:webHidden/>
              </w:rPr>
              <w:t>28</w:t>
            </w:r>
            <w:r>
              <w:rPr>
                <w:noProof/>
                <w:webHidden/>
              </w:rPr>
              <w:fldChar w:fldCharType="end"/>
            </w:r>
          </w:hyperlink>
        </w:p>
        <w:p w14:paraId="7B86EAD8" w14:textId="184B95AF"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4" w:history="1">
            <w:r w:rsidRPr="00CC0BF8">
              <w:rPr>
                <w:rStyle w:val="Hyperlink"/>
                <w:rFonts w:ascii="Times New Roman" w:hAnsi="Times New Roman" w:cs="Times New Roman"/>
                <w:noProof/>
              </w:rPr>
              <w:t>4.3.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Barclays Plc</w:t>
            </w:r>
            <w:r>
              <w:rPr>
                <w:noProof/>
                <w:webHidden/>
              </w:rPr>
              <w:tab/>
            </w:r>
            <w:r>
              <w:rPr>
                <w:noProof/>
                <w:webHidden/>
              </w:rPr>
              <w:fldChar w:fldCharType="begin"/>
            </w:r>
            <w:r>
              <w:rPr>
                <w:noProof/>
                <w:webHidden/>
              </w:rPr>
              <w:instrText xml:space="preserve"> PAGEREF _Toc158706294 \h </w:instrText>
            </w:r>
            <w:r>
              <w:rPr>
                <w:noProof/>
                <w:webHidden/>
              </w:rPr>
            </w:r>
            <w:r>
              <w:rPr>
                <w:noProof/>
                <w:webHidden/>
              </w:rPr>
              <w:fldChar w:fldCharType="separate"/>
            </w:r>
            <w:r>
              <w:rPr>
                <w:noProof/>
                <w:webHidden/>
              </w:rPr>
              <w:t>32</w:t>
            </w:r>
            <w:r>
              <w:rPr>
                <w:noProof/>
                <w:webHidden/>
              </w:rPr>
              <w:fldChar w:fldCharType="end"/>
            </w:r>
          </w:hyperlink>
        </w:p>
        <w:p w14:paraId="01EC6A7E" w14:textId="56DD10F9"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5" w:history="1">
            <w:r w:rsidRPr="00CC0BF8">
              <w:rPr>
                <w:rStyle w:val="Hyperlink"/>
                <w:rFonts w:ascii="Times New Roman" w:hAnsi="Times New Roman" w:cs="Times New Roman"/>
                <w:noProof/>
              </w:rPr>
              <w:t>4.4.</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Santander UK Plc</w:t>
            </w:r>
            <w:r>
              <w:rPr>
                <w:noProof/>
                <w:webHidden/>
              </w:rPr>
              <w:tab/>
            </w:r>
            <w:r>
              <w:rPr>
                <w:noProof/>
                <w:webHidden/>
              </w:rPr>
              <w:fldChar w:fldCharType="begin"/>
            </w:r>
            <w:r>
              <w:rPr>
                <w:noProof/>
                <w:webHidden/>
              </w:rPr>
              <w:instrText xml:space="preserve"> PAGEREF _Toc158706295 \h </w:instrText>
            </w:r>
            <w:r>
              <w:rPr>
                <w:noProof/>
                <w:webHidden/>
              </w:rPr>
            </w:r>
            <w:r>
              <w:rPr>
                <w:noProof/>
                <w:webHidden/>
              </w:rPr>
              <w:fldChar w:fldCharType="separate"/>
            </w:r>
            <w:r>
              <w:rPr>
                <w:noProof/>
                <w:webHidden/>
              </w:rPr>
              <w:t>35</w:t>
            </w:r>
            <w:r>
              <w:rPr>
                <w:noProof/>
                <w:webHidden/>
              </w:rPr>
              <w:fldChar w:fldCharType="end"/>
            </w:r>
          </w:hyperlink>
        </w:p>
        <w:p w14:paraId="65BE075D" w14:textId="15B97FF6"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6" w:history="1">
            <w:r w:rsidRPr="00CC0BF8">
              <w:rPr>
                <w:rStyle w:val="Hyperlink"/>
                <w:rFonts w:ascii="Times New Roman" w:hAnsi="Times New Roman" w:cs="Times New Roman"/>
                <w:noProof/>
              </w:rPr>
              <w:t>4.5.</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NatWest Plc</w:t>
            </w:r>
            <w:r>
              <w:rPr>
                <w:noProof/>
                <w:webHidden/>
              </w:rPr>
              <w:tab/>
            </w:r>
            <w:r>
              <w:rPr>
                <w:noProof/>
                <w:webHidden/>
              </w:rPr>
              <w:fldChar w:fldCharType="begin"/>
            </w:r>
            <w:r>
              <w:rPr>
                <w:noProof/>
                <w:webHidden/>
              </w:rPr>
              <w:instrText xml:space="preserve"> PAGEREF _Toc158706296 \h </w:instrText>
            </w:r>
            <w:r>
              <w:rPr>
                <w:noProof/>
                <w:webHidden/>
              </w:rPr>
            </w:r>
            <w:r>
              <w:rPr>
                <w:noProof/>
                <w:webHidden/>
              </w:rPr>
              <w:fldChar w:fldCharType="separate"/>
            </w:r>
            <w:r>
              <w:rPr>
                <w:noProof/>
                <w:webHidden/>
              </w:rPr>
              <w:t>36</w:t>
            </w:r>
            <w:r>
              <w:rPr>
                <w:noProof/>
                <w:webHidden/>
              </w:rPr>
              <w:fldChar w:fldCharType="end"/>
            </w:r>
          </w:hyperlink>
        </w:p>
        <w:p w14:paraId="462D5F57" w14:textId="6A03EB75" w:rsidR="00133876" w:rsidRDefault="00133876">
          <w:pPr>
            <w:pStyle w:val="TOC1"/>
            <w:tabs>
              <w:tab w:val="left" w:pos="480"/>
              <w:tab w:val="right" w:leader="dot" w:pos="9350"/>
            </w:tabs>
            <w:rPr>
              <w:rFonts w:eastAsiaTheme="minorEastAsia"/>
              <w:noProof/>
              <w:kern w:val="2"/>
              <w:szCs w:val="24"/>
              <w:lang w:val="en-GB" w:eastAsia="en-GB"/>
              <w14:ligatures w14:val="standardContextual"/>
            </w:rPr>
          </w:pPr>
          <w:hyperlink w:anchor="_Toc158706297" w:history="1">
            <w:r w:rsidRPr="00CC0BF8">
              <w:rPr>
                <w:rStyle w:val="Hyperlink"/>
                <w:rFonts w:ascii="Times New Roman" w:hAnsi="Times New Roman" w:cs="Times New Roman"/>
                <w:noProof/>
              </w:rPr>
              <w:t>5.</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_Toc158706297 \h </w:instrText>
            </w:r>
            <w:r>
              <w:rPr>
                <w:noProof/>
                <w:webHidden/>
              </w:rPr>
            </w:r>
            <w:r>
              <w:rPr>
                <w:noProof/>
                <w:webHidden/>
              </w:rPr>
              <w:fldChar w:fldCharType="separate"/>
            </w:r>
            <w:r>
              <w:rPr>
                <w:noProof/>
                <w:webHidden/>
              </w:rPr>
              <w:t>39</w:t>
            </w:r>
            <w:r>
              <w:rPr>
                <w:noProof/>
                <w:webHidden/>
              </w:rPr>
              <w:fldChar w:fldCharType="end"/>
            </w:r>
          </w:hyperlink>
        </w:p>
        <w:p w14:paraId="55AF744E" w14:textId="4DD4E7D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8" w:history="1">
            <w:r w:rsidRPr="00CC0BF8">
              <w:rPr>
                <w:rStyle w:val="Hyperlink"/>
                <w:rFonts w:ascii="Times New Roman" w:hAnsi="Times New Roman" w:cs="Times New Roman"/>
                <w:noProof/>
              </w:rPr>
              <w:t>5.1.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Interpretation of Findings</w:t>
            </w:r>
            <w:r>
              <w:rPr>
                <w:noProof/>
                <w:webHidden/>
              </w:rPr>
              <w:tab/>
            </w:r>
            <w:r>
              <w:rPr>
                <w:noProof/>
                <w:webHidden/>
              </w:rPr>
              <w:fldChar w:fldCharType="begin"/>
            </w:r>
            <w:r>
              <w:rPr>
                <w:noProof/>
                <w:webHidden/>
              </w:rPr>
              <w:instrText xml:space="preserve"> PAGEREF _Toc158706298 \h </w:instrText>
            </w:r>
            <w:r>
              <w:rPr>
                <w:noProof/>
                <w:webHidden/>
              </w:rPr>
            </w:r>
            <w:r>
              <w:rPr>
                <w:noProof/>
                <w:webHidden/>
              </w:rPr>
              <w:fldChar w:fldCharType="separate"/>
            </w:r>
            <w:r>
              <w:rPr>
                <w:noProof/>
                <w:webHidden/>
              </w:rPr>
              <w:t>39</w:t>
            </w:r>
            <w:r>
              <w:rPr>
                <w:noProof/>
                <w:webHidden/>
              </w:rPr>
              <w:fldChar w:fldCharType="end"/>
            </w:r>
          </w:hyperlink>
        </w:p>
        <w:p w14:paraId="470DBD29" w14:textId="2A2ECE2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299" w:history="1">
            <w:r w:rsidRPr="00CC0BF8">
              <w:rPr>
                <w:rStyle w:val="Hyperlink"/>
                <w:rFonts w:ascii="Times New Roman" w:hAnsi="Times New Roman" w:cs="Times New Roman"/>
                <w:noProof/>
              </w:rPr>
              <w:t>5.2.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Link with Research Questions</w:t>
            </w:r>
            <w:r>
              <w:rPr>
                <w:noProof/>
                <w:webHidden/>
              </w:rPr>
              <w:tab/>
            </w:r>
            <w:r>
              <w:rPr>
                <w:noProof/>
                <w:webHidden/>
              </w:rPr>
              <w:fldChar w:fldCharType="begin"/>
            </w:r>
            <w:r>
              <w:rPr>
                <w:noProof/>
                <w:webHidden/>
              </w:rPr>
              <w:instrText xml:space="preserve"> PAGEREF _Toc158706299 \h </w:instrText>
            </w:r>
            <w:r>
              <w:rPr>
                <w:noProof/>
                <w:webHidden/>
              </w:rPr>
            </w:r>
            <w:r>
              <w:rPr>
                <w:noProof/>
                <w:webHidden/>
              </w:rPr>
              <w:fldChar w:fldCharType="separate"/>
            </w:r>
            <w:r>
              <w:rPr>
                <w:noProof/>
                <w:webHidden/>
              </w:rPr>
              <w:t>40</w:t>
            </w:r>
            <w:r>
              <w:rPr>
                <w:noProof/>
                <w:webHidden/>
              </w:rPr>
              <w:fldChar w:fldCharType="end"/>
            </w:r>
          </w:hyperlink>
        </w:p>
        <w:p w14:paraId="751EAC27" w14:textId="4A8F7D89"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300" w:history="1">
            <w:r w:rsidRPr="00CC0BF8">
              <w:rPr>
                <w:rStyle w:val="Hyperlink"/>
                <w:rFonts w:ascii="Times New Roman" w:hAnsi="Times New Roman" w:cs="Times New Roman"/>
                <w:noProof/>
              </w:rPr>
              <w:t>5.3.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Comparison with Existing Literature</w:t>
            </w:r>
            <w:r>
              <w:rPr>
                <w:noProof/>
                <w:webHidden/>
              </w:rPr>
              <w:tab/>
            </w:r>
            <w:r>
              <w:rPr>
                <w:noProof/>
                <w:webHidden/>
              </w:rPr>
              <w:fldChar w:fldCharType="begin"/>
            </w:r>
            <w:r>
              <w:rPr>
                <w:noProof/>
                <w:webHidden/>
              </w:rPr>
              <w:instrText xml:space="preserve"> PAGEREF _Toc158706300 \h </w:instrText>
            </w:r>
            <w:r>
              <w:rPr>
                <w:noProof/>
                <w:webHidden/>
              </w:rPr>
            </w:r>
            <w:r>
              <w:rPr>
                <w:noProof/>
                <w:webHidden/>
              </w:rPr>
              <w:fldChar w:fldCharType="separate"/>
            </w:r>
            <w:r>
              <w:rPr>
                <w:noProof/>
                <w:webHidden/>
              </w:rPr>
              <w:t>49</w:t>
            </w:r>
            <w:r>
              <w:rPr>
                <w:noProof/>
                <w:webHidden/>
              </w:rPr>
              <w:fldChar w:fldCharType="end"/>
            </w:r>
          </w:hyperlink>
        </w:p>
        <w:p w14:paraId="34BF4157" w14:textId="42A879B3" w:rsidR="00133876" w:rsidRDefault="00133876">
          <w:pPr>
            <w:pStyle w:val="TOC1"/>
            <w:tabs>
              <w:tab w:val="left" w:pos="480"/>
              <w:tab w:val="right" w:leader="dot" w:pos="9350"/>
            </w:tabs>
            <w:rPr>
              <w:rFonts w:eastAsiaTheme="minorEastAsia"/>
              <w:noProof/>
              <w:kern w:val="2"/>
              <w:szCs w:val="24"/>
              <w:lang w:val="en-GB" w:eastAsia="en-GB"/>
              <w14:ligatures w14:val="standardContextual"/>
            </w:rPr>
          </w:pPr>
          <w:hyperlink w:anchor="_Toc158706301" w:history="1">
            <w:r w:rsidRPr="00CC0BF8">
              <w:rPr>
                <w:rStyle w:val="Hyperlink"/>
                <w:rFonts w:ascii="Times New Roman" w:hAnsi="Times New Roman" w:cs="Times New Roman"/>
                <w:noProof/>
              </w:rPr>
              <w:t>6.</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_Toc158706301 \h </w:instrText>
            </w:r>
            <w:r>
              <w:rPr>
                <w:noProof/>
                <w:webHidden/>
              </w:rPr>
            </w:r>
            <w:r>
              <w:rPr>
                <w:noProof/>
                <w:webHidden/>
              </w:rPr>
              <w:fldChar w:fldCharType="separate"/>
            </w:r>
            <w:r>
              <w:rPr>
                <w:noProof/>
                <w:webHidden/>
              </w:rPr>
              <w:t>50</w:t>
            </w:r>
            <w:r>
              <w:rPr>
                <w:noProof/>
                <w:webHidden/>
              </w:rPr>
              <w:fldChar w:fldCharType="end"/>
            </w:r>
          </w:hyperlink>
        </w:p>
        <w:p w14:paraId="283A731C" w14:textId="5349F1BA"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302" w:history="1">
            <w:r w:rsidRPr="00CC0BF8">
              <w:rPr>
                <w:rStyle w:val="Hyperlink"/>
                <w:rFonts w:ascii="Times New Roman" w:hAnsi="Times New Roman" w:cs="Times New Roman"/>
                <w:noProof/>
              </w:rPr>
              <w:t>6.1.</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Summary of Key Findings</w:t>
            </w:r>
            <w:r>
              <w:rPr>
                <w:noProof/>
                <w:webHidden/>
              </w:rPr>
              <w:tab/>
            </w:r>
            <w:r>
              <w:rPr>
                <w:noProof/>
                <w:webHidden/>
              </w:rPr>
              <w:fldChar w:fldCharType="begin"/>
            </w:r>
            <w:r>
              <w:rPr>
                <w:noProof/>
                <w:webHidden/>
              </w:rPr>
              <w:instrText xml:space="preserve"> PAGEREF _Toc158706302 \h </w:instrText>
            </w:r>
            <w:r>
              <w:rPr>
                <w:noProof/>
                <w:webHidden/>
              </w:rPr>
            </w:r>
            <w:r>
              <w:rPr>
                <w:noProof/>
                <w:webHidden/>
              </w:rPr>
              <w:fldChar w:fldCharType="separate"/>
            </w:r>
            <w:r>
              <w:rPr>
                <w:noProof/>
                <w:webHidden/>
              </w:rPr>
              <w:t>50</w:t>
            </w:r>
            <w:r>
              <w:rPr>
                <w:noProof/>
                <w:webHidden/>
              </w:rPr>
              <w:fldChar w:fldCharType="end"/>
            </w:r>
          </w:hyperlink>
        </w:p>
        <w:p w14:paraId="655EBE1B" w14:textId="72434301"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303" w:history="1">
            <w:r w:rsidRPr="00CC0BF8">
              <w:rPr>
                <w:rStyle w:val="Hyperlink"/>
                <w:rFonts w:ascii="Times New Roman" w:hAnsi="Times New Roman" w:cs="Times New Roman"/>
                <w:noProof/>
              </w:rPr>
              <w:t>6.2.</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Limitations of the Study</w:t>
            </w:r>
            <w:r>
              <w:rPr>
                <w:noProof/>
                <w:webHidden/>
              </w:rPr>
              <w:tab/>
            </w:r>
            <w:r>
              <w:rPr>
                <w:noProof/>
                <w:webHidden/>
              </w:rPr>
              <w:fldChar w:fldCharType="begin"/>
            </w:r>
            <w:r>
              <w:rPr>
                <w:noProof/>
                <w:webHidden/>
              </w:rPr>
              <w:instrText xml:space="preserve"> PAGEREF _Toc158706303 \h </w:instrText>
            </w:r>
            <w:r>
              <w:rPr>
                <w:noProof/>
                <w:webHidden/>
              </w:rPr>
            </w:r>
            <w:r>
              <w:rPr>
                <w:noProof/>
                <w:webHidden/>
              </w:rPr>
              <w:fldChar w:fldCharType="separate"/>
            </w:r>
            <w:r>
              <w:rPr>
                <w:noProof/>
                <w:webHidden/>
              </w:rPr>
              <w:t>51</w:t>
            </w:r>
            <w:r>
              <w:rPr>
                <w:noProof/>
                <w:webHidden/>
              </w:rPr>
              <w:fldChar w:fldCharType="end"/>
            </w:r>
          </w:hyperlink>
        </w:p>
        <w:p w14:paraId="7EAFEFD7" w14:textId="1B8BD71E" w:rsidR="00133876" w:rsidRDefault="00133876">
          <w:pPr>
            <w:pStyle w:val="TOC1"/>
            <w:tabs>
              <w:tab w:val="left" w:pos="720"/>
              <w:tab w:val="right" w:leader="dot" w:pos="9350"/>
            </w:tabs>
            <w:rPr>
              <w:rFonts w:eastAsiaTheme="minorEastAsia"/>
              <w:noProof/>
              <w:kern w:val="2"/>
              <w:szCs w:val="24"/>
              <w:lang w:val="en-GB" w:eastAsia="en-GB"/>
              <w14:ligatures w14:val="standardContextual"/>
            </w:rPr>
          </w:pPr>
          <w:hyperlink w:anchor="_Toc158706304" w:history="1">
            <w:r w:rsidRPr="00CC0BF8">
              <w:rPr>
                <w:rStyle w:val="Hyperlink"/>
                <w:rFonts w:ascii="Times New Roman" w:hAnsi="Times New Roman" w:cs="Times New Roman"/>
                <w:noProof/>
              </w:rPr>
              <w:t>6.3.</w:t>
            </w:r>
            <w:r>
              <w:rPr>
                <w:rFonts w:eastAsiaTheme="minorEastAsia"/>
                <w:noProof/>
                <w:kern w:val="2"/>
                <w:szCs w:val="24"/>
                <w:lang w:val="en-GB" w:eastAsia="en-GB"/>
                <w14:ligatures w14:val="standardContextual"/>
              </w:rPr>
              <w:tab/>
            </w:r>
            <w:r w:rsidRPr="00CC0BF8">
              <w:rPr>
                <w:rStyle w:val="Hyperlink"/>
                <w:rFonts w:ascii="Times New Roman" w:hAnsi="Times New Roman" w:cs="Times New Roman"/>
                <w:noProof/>
              </w:rPr>
              <w:t>Suggestions for Future Research</w:t>
            </w:r>
            <w:r>
              <w:rPr>
                <w:noProof/>
                <w:webHidden/>
              </w:rPr>
              <w:tab/>
            </w:r>
            <w:r>
              <w:rPr>
                <w:noProof/>
                <w:webHidden/>
              </w:rPr>
              <w:fldChar w:fldCharType="begin"/>
            </w:r>
            <w:r>
              <w:rPr>
                <w:noProof/>
                <w:webHidden/>
              </w:rPr>
              <w:instrText xml:space="preserve"> PAGEREF _Toc158706304 \h </w:instrText>
            </w:r>
            <w:r>
              <w:rPr>
                <w:noProof/>
                <w:webHidden/>
              </w:rPr>
            </w:r>
            <w:r>
              <w:rPr>
                <w:noProof/>
                <w:webHidden/>
              </w:rPr>
              <w:fldChar w:fldCharType="separate"/>
            </w:r>
            <w:r>
              <w:rPr>
                <w:noProof/>
                <w:webHidden/>
              </w:rPr>
              <w:t>52</w:t>
            </w:r>
            <w:r>
              <w:rPr>
                <w:noProof/>
                <w:webHidden/>
              </w:rPr>
              <w:fldChar w:fldCharType="end"/>
            </w:r>
          </w:hyperlink>
        </w:p>
        <w:p w14:paraId="3E9109BC" w14:textId="0B995029" w:rsidR="00133876" w:rsidRDefault="00133876">
          <w:pPr>
            <w:pStyle w:val="TOC1"/>
            <w:tabs>
              <w:tab w:val="right" w:leader="dot" w:pos="9350"/>
            </w:tabs>
            <w:rPr>
              <w:rFonts w:eastAsiaTheme="minorEastAsia"/>
              <w:noProof/>
              <w:kern w:val="2"/>
              <w:szCs w:val="24"/>
              <w:lang w:val="en-GB" w:eastAsia="en-GB"/>
              <w14:ligatures w14:val="standardContextual"/>
            </w:rPr>
          </w:pPr>
          <w:hyperlink w:anchor="_Toc158706305" w:history="1">
            <w:r w:rsidRPr="00CC0BF8">
              <w:rPr>
                <w:rStyle w:val="Hyperlink"/>
                <w:noProof/>
              </w:rPr>
              <w:t>References</w:t>
            </w:r>
            <w:r>
              <w:rPr>
                <w:noProof/>
                <w:webHidden/>
              </w:rPr>
              <w:tab/>
            </w:r>
            <w:r>
              <w:rPr>
                <w:noProof/>
                <w:webHidden/>
              </w:rPr>
              <w:fldChar w:fldCharType="begin"/>
            </w:r>
            <w:r>
              <w:rPr>
                <w:noProof/>
                <w:webHidden/>
              </w:rPr>
              <w:instrText xml:space="preserve"> PAGEREF _Toc158706305 \h </w:instrText>
            </w:r>
            <w:r>
              <w:rPr>
                <w:noProof/>
                <w:webHidden/>
              </w:rPr>
            </w:r>
            <w:r>
              <w:rPr>
                <w:noProof/>
                <w:webHidden/>
              </w:rPr>
              <w:fldChar w:fldCharType="separate"/>
            </w:r>
            <w:r>
              <w:rPr>
                <w:noProof/>
                <w:webHidden/>
              </w:rPr>
              <w:t>53</w:t>
            </w:r>
            <w:r>
              <w:rPr>
                <w:noProof/>
                <w:webHidden/>
              </w:rPr>
              <w:fldChar w:fldCharType="end"/>
            </w:r>
          </w:hyperlink>
        </w:p>
        <w:p w14:paraId="2007221D" w14:textId="5D2F4A3C" w:rsidR="00246EDA" w:rsidRDefault="00246EDA">
          <w:r>
            <w:rPr>
              <w:b/>
              <w:bCs/>
              <w:noProof/>
            </w:rPr>
            <w:fldChar w:fldCharType="end"/>
          </w:r>
        </w:p>
      </w:sdtContent>
    </w:sdt>
    <w:p w14:paraId="4CB47AB1" w14:textId="77777777" w:rsidR="00732549" w:rsidRPr="00694D5D" w:rsidRDefault="00732549" w:rsidP="00246EDA">
      <w:pPr>
        <w:rPr>
          <w:rFonts w:ascii="Times New Roman" w:hAnsi="Times New Roman" w:cs="Times New Roman"/>
          <w:b/>
          <w:sz w:val="32"/>
        </w:rPr>
      </w:pPr>
    </w:p>
    <w:p w14:paraId="3E21769F" w14:textId="058BE6A9" w:rsidR="00FE7B44" w:rsidRDefault="00732549" w:rsidP="007E2E5E">
      <w:pPr>
        <w:spacing w:line="360" w:lineRule="auto"/>
        <w:jc w:val="both"/>
        <w:rPr>
          <w:rFonts w:ascii="Times New Roman" w:hAnsi="Times New Roman" w:cs="Times New Roman"/>
          <w:b/>
          <w:sz w:val="32"/>
        </w:rPr>
      </w:pPr>
      <w:r w:rsidRPr="00694D5D">
        <w:rPr>
          <w:rFonts w:ascii="Times New Roman" w:hAnsi="Times New Roman" w:cs="Times New Roman"/>
          <w:b/>
          <w:sz w:val="32"/>
        </w:rPr>
        <w:br w:type="page"/>
      </w:r>
    </w:p>
    <w:p w14:paraId="38400B13" w14:textId="77777777" w:rsidR="009F730A" w:rsidRDefault="009F730A" w:rsidP="009F730A">
      <w:pPr>
        <w:spacing w:after="0" w:line="360" w:lineRule="auto"/>
        <w:contextualSpacing/>
        <w:jc w:val="center"/>
        <w:rPr>
          <w:rFonts w:ascii="Times New Roman" w:hAnsi="Times New Roman" w:cs="Times New Roman"/>
          <w:b/>
          <w:bCs/>
          <w:szCs w:val="24"/>
        </w:rPr>
      </w:pPr>
    </w:p>
    <w:p w14:paraId="6A99DB3E" w14:textId="77777777" w:rsidR="009F730A" w:rsidRDefault="009F730A" w:rsidP="009F730A">
      <w:pPr>
        <w:spacing w:after="0" w:line="360" w:lineRule="auto"/>
        <w:contextualSpacing/>
        <w:jc w:val="center"/>
        <w:rPr>
          <w:rFonts w:ascii="Times New Roman" w:hAnsi="Times New Roman" w:cs="Times New Roman"/>
          <w:b/>
          <w:bCs/>
          <w:szCs w:val="24"/>
        </w:rPr>
      </w:pPr>
    </w:p>
    <w:p w14:paraId="6AF6BD13" w14:textId="77777777" w:rsidR="009F730A" w:rsidRDefault="009F730A" w:rsidP="009F730A">
      <w:pPr>
        <w:spacing w:after="0" w:line="360" w:lineRule="auto"/>
        <w:contextualSpacing/>
        <w:jc w:val="center"/>
        <w:rPr>
          <w:rFonts w:ascii="Times New Roman" w:hAnsi="Times New Roman" w:cs="Times New Roman"/>
          <w:b/>
          <w:bCs/>
          <w:szCs w:val="24"/>
        </w:rPr>
      </w:pPr>
    </w:p>
    <w:p w14:paraId="767AF158" w14:textId="2B7CB9F5" w:rsidR="009F730A" w:rsidRDefault="009F730A" w:rsidP="009F730A">
      <w:pPr>
        <w:spacing w:after="0" w:line="360" w:lineRule="auto"/>
        <w:contextualSpacing/>
        <w:jc w:val="center"/>
        <w:rPr>
          <w:rFonts w:ascii="Times New Roman" w:hAnsi="Times New Roman" w:cs="Times New Roman"/>
          <w:b/>
          <w:bCs/>
          <w:szCs w:val="24"/>
        </w:rPr>
      </w:pPr>
      <w:r w:rsidRPr="00234598">
        <w:rPr>
          <w:rFonts w:ascii="Times New Roman" w:hAnsi="Times New Roman" w:cs="Times New Roman"/>
          <w:b/>
          <w:bCs/>
          <w:szCs w:val="24"/>
        </w:rPr>
        <w:t>List of Tables</w:t>
      </w:r>
    </w:p>
    <w:p w14:paraId="0A6DFB8B" w14:textId="77777777" w:rsidR="004B1E6A" w:rsidRDefault="004B1E6A" w:rsidP="009F730A">
      <w:pPr>
        <w:spacing w:after="0" w:line="360" w:lineRule="auto"/>
        <w:contextualSpacing/>
        <w:jc w:val="center"/>
        <w:rPr>
          <w:rFonts w:ascii="Times New Roman" w:hAnsi="Times New Roman" w:cs="Times New Roman"/>
          <w:b/>
          <w:bCs/>
          <w:szCs w:val="24"/>
        </w:rPr>
      </w:pPr>
    </w:p>
    <w:p w14:paraId="14F44304" w14:textId="3CA70FE5" w:rsidR="0007343C" w:rsidRDefault="001307B6">
      <w:pPr>
        <w:pStyle w:val="TableofFigures"/>
        <w:tabs>
          <w:tab w:val="right" w:leader="dot" w:pos="9350"/>
        </w:tabs>
        <w:rPr>
          <w:rFonts w:eastAsiaTheme="minorEastAsia"/>
          <w:noProof/>
          <w:kern w:val="2"/>
          <w:szCs w:val="24"/>
          <w:lang w:val="en-GB" w:eastAsia="en-GB"/>
          <w14:ligatures w14:val="standardContextual"/>
        </w:rPr>
      </w:pPr>
      <w:r>
        <w:rPr>
          <w:rFonts w:ascii="Times New Roman" w:hAnsi="Times New Roman" w:cs="Times New Roman"/>
          <w:b/>
          <w:bCs/>
          <w:szCs w:val="24"/>
        </w:rPr>
        <w:fldChar w:fldCharType="begin"/>
      </w:r>
      <w:r>
        <w:rPr>
          <w:rFonts w:ascii="Times New Roman" w:hAnsi="Times New Roman" w:cs="Times New Roman"/>
          <w:b/>
          <w:bCs/>
          <w:szCs w:val="24"/>
        </w:rPr>
        <w:instrText xml:space="preserve"> TOC \h \z \t "Caption,1" \c "Table" </w:instrText>
      </w:r>
      <w:r>
        <w:rPr>
          <w:rFonts w:ascii="Times New Roman" w:hAnsi="Times New Roman" w:cs="Times New Roman"/>
          <w:b/>
          <w:bCs/>
          <w:szCs w:val="24"/>
        </w:rPr>
        <w:fldChar w:fldCharType="separate"/>
      </w:r>
      <w:hyperlink w:anchor="_Toc158706225" w:history="1">
        <w:r w:rsidR="0007343C"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0007343C"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1 Technology initiatives and investments made by HSBC Holding PLC</w:t>
        </w:r>
        <w:r w:rsidR="0007343C">
          <w:rPr>
            <w:noProof/>
            <w:webHidden/>
          </w:rPr>
          <w:tab/>
        </w:r>
        <w:r w:rsidR="0007343C">
          <w:rPr>
            <w:noProof/>
            <w:webHidden/>
          </w:rPr>
          <w:fldChar w:fldCharType="begin"/>
        </w:r>
        <w:r w:rsidR="0007343C">
          <w:rPr>
            <w:noProof/>
            <w:webHidden/>
          </w:rPr>
          <w:instrText xml:space="preserve"> PAGEREF _Toc158706225 \h </w:instrText>
        </w:r>
        <w:r w:rsidR="0007343C">
          <w:rPr>
            <w:noProof/>
            <w:webHidden/>
          </w:rPr>
        </w:r>
        <w:r w:rsidR="0007343C">
          <w:rPr>
            <w:noProof/>
            <w:webHidden/>
          </w:rPr>
          <w:fldChar w:fldCharType="separate"/>
        </w:r>
        <w:r w:rsidR="0007343C">
          <w:rPr>
            <w:noProof/>
            <w:webHidden/>
          </w:rPr>
          <w:t>40</w:t>
        </w:r>
        <w:r w:rsidR="0007343C">
          <w:rPr>
            <w:noProof/>
            <w:webHidden/>
          </w:rPr>
          <w:fldChar w:fldCharType="end"/>
        </w:r>
      </w:hyperlink>
    </w:p>
    <w:p w14:paraId="79BBAC78" w14:textId="7AB76077" w:rsidR="0007343C" w:rsidRDefault="0007343C">
      <w:pPr>
        <w:pStyle w:val="TableofFigures"/>
        <w:tabs>
          <w:tab w:val="right" w:leader="dot" w:pos="9350"/>
        </w:tabs>
        <w:rPr>
          <w:rFonts w:eastAsiaTheme="minorEastAsia"/>
          <w:noProof/>
          <w:kern w:val="2"/>
          <w:szCs w:val="24"/>
          <w:lang w:val="en-GB" w:eastAsia="en-GB"/>
          <w14:ligatures w14:val="standardContextual"/>
        </w:rPr>
      </w:pPr>
      <w:hyperlink w:anchor="_Toc158706226" w:history="1">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2</w:t>
        </w:r>
        <w:r w:rsidRPr="00A8336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Technology initiatives and investments made by Lloyds Banking Group</w:t>
        </w:r>
        <w:r>
          <w:rPr>
            <w:noProof/>
            <w:webHidden/>
          </w:rPr>
          <w:tab/>
        </w:r>
        <w:r>
          <w:rPr>
            <w:noProof/>
            <w:webHidden/>
          </w:rPr>
          <w:fldChar w:fldCharType="begin"/>
        </w:r>
        <w:r>
          <w:rPr>
            <w:noProof/>
            <w:webHidden/>
          </w:rPr>
          <w:instrText xml:space="preserve"> PAGEREF _Toc158706226 \h </w:instrText>
        </w:r>
        <w:r>
          <w:rPr>
            <w:noProof/>
            <w:webHidden/>
          </w:rPr>
        </w:r>
        <w:r>
          <w:rPr>
            <w:noProof/>
            <w:webHidden/>
          </w:rPr>
          <w:fldChar w:fldCharType="separate"/>
        </w:r>
        <w:r>
          <w:rPr>
            <w:noProof/>
            <w:webHidden/>
          </w:rPr>
          <w:t>41</w:t>
        </w:r>
        <w:r>
          <w:rPr>
            <w:noProof/>
            <w:webHidden/>
          </w:rPr>
          <w:fldChar w:fldCharType="end"/>
        </w:r>
      </w:hyperlink>
    </w:p>
    <w:p w14:paraId="2FD46464" w14:textId="17CABAFC" w:rsidR="0007343C" w:rsidRDefault="0007343C">
      <w:pPr>
        <w:pStyle w:val="TableofFigures"/>
        <w:tabs>
          <w:tab w:val="right" w:leader="dot" w:pos="9350"/>
        </w:tabs>
        <w:rPr>
          <w:rFonts w:eastAsiaTheme="minorEastAsia"/>
          <w:noProof/>
          <w:kern w:val="2"/>
          <w:szCs w:val="24"/>
          <w:lang w:val="en-GB" w:eastAsia="en-GB"/>
          <w14:ligatures w14:val="standardContextual"/>
        </w:rPr>
      </w:pPr>
      <w:hyperlink w:anchor="_Toc158706227" w:history="1">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3</w:t>
        </w:r>
        <w:r w:rsidRPr="00A8336E">
          <w:rPr>
            <w:rStyle w:val="Hyperlink"/>
            <w:noProof/>
          </w:rPr>
          <w:t xml:space="preserve"> </w:t>
        </w:r>
        <w:r w:rsidRPr="00A8336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Barclays Plc</w:t>
        </w:r>
        <w:r>
          <w:rPr>
            <w:noProof/>
            <w:webHidden/>
          </w:rPr>
          <w:tab/>
        </w:r>
        <w:r>
          <w:rPr>
            <w:noProof/>
            <w:webHidden/>
          </w:rPr>
          <w:fldChar w:fldCharType="begin"/>
        </w:r>
        <w:r>
          <w:rPr>
            <w:noProof/>
            <w:webHidden/>
          </w:rPr>
          <w:instrText xml:space="preserve"> PAGEREF _Toc158706227 \h </w:instrText>
        </w:r>
        <w:r>
          <w:rPr>
            <w:noProof/>
            <w:webHidden/>
          </w:rPr>
        </w:r>
        <w:r>
          <w:rPr>
            <w:noProof/>
            <w:webHidden/>
          </w:rPr>
          <w:fldChar w:fldCharType="separate"/>
        </w:r>
        <w:r>
          <w:rPr>
            <w:noProof/>
            <w:webHidden/>
          </w:rPr>
          <w:t>44</w:t>
        </w:r>
        <w:r>
          <w:rPr>
            <w:noProof/>
            <w:webHidden/>
          </w:rPr>
          <w:fldChar w:fldCharType="end"/>
        </w:r>
      </w:hyperlink>
    </w:p>
    <w:p w14:paraId="021C2048" w14:textId="4857D651" w:rsidR="0007343C" w:rsidRDefault="0007343C">
      <w:pPr>
        <w:pStyle w:val="TableofFigures"/>
        <w:tabs>
          <w:tab w:val="right" w:leader="dot" w:pos="9350"/>
        </w:tabs>
        <w:rPr>
          <w:rFonts w:eastAsiaTheme="minorEastAsia"/>
          <w:noProof/>
          <w:kern w:val="2"/>
          <w:szCs w:val="24"/>
          <w:lang w:val="en-GB" w:eastAsia="en-GB"/>
          <w14:ligatures w14:val="standardContextual"/>
        </w:rPr>
      </w:pPr>
      <w:hyperlink w:anchor="_Toc158706228" w:history="1">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4</w:t>
        </w:r>
        <w:r w:rsidRPr="00A8336E">
          <w:rPr>
            <w:rStyle w:val="Hyperlink"/>
            <w:noProof/>
          </w:rPr>
          <w:t xml:space="preserve"> </w:t>
        </w:r>
        <w:r w:rsidRPr="00A8336E">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Santander UK Plc</w:t>
        </w:r>
        <w:r>
          <w:rPr>
            <w:noProof/>
            <w:webHidden/>
          </w:rPr>
          <w:tab/>
        </w:r>
        <w:r>
          <w:rPr>
            <w:noProof/>
            <w:webHidden/>
          </w:rPr>
          <w:fldChar w:fldCharType="begin"/>
        </w:r>
        <w:r>
          <w:rPr>
            <w:noProof/>
            <w:webHidden/>
          </w:rPr>
          <w:instrText xml:space="preserve"> PAGEREF _Toc158706228 \h </w:instrText>
        </w:r>
        <w:r>
          <w:rPr>
            <w:noProof/>
            <w:webHidden/>
          </w:rPr>
        </w:r>
        <w:r>
          <w:rPr>
            <w:noProof/>
            <w:webHidden/>
          </w:rPr>
          <w:fldChar w:fldCharType="separate"/>
        </w:r>
        <w:r>
          <w:rPr>
            <w:noProof/>
            <w:webHidden/>
          </w:rPr>
          <w:t>45</w:t>
        </w:r>
        <w:r>
          <w:rPr>
            <w:noProof/>
            <w:webHidden/>
          </w:rPr>
          <w:fldChar w:fldCharType="end"/>
        </w:r>
      </w:hyperlink>
    </w:p>
    <w:p w14:paraId="0C0F165E" w14:textId="2E4C30E4" w:rsidR="0007343C" w:rsidRDefault="0007343C">
      <w:pPr>
        <w:pStyle w:val="TableofFigures"/>
        <w:tabs>
          <w:tab w:val="right" w:leader="dot" w:pos="9350"/>
        </w:tabs>
        <w:rPr>
          <w:rFonts w:eastAsiaTheme="minorEastAsia"/>
          <w:noProof/>
          <w:kern w:val="2"/>
          <w:szCs w:val="24"/>
          <w:lang w:val="en-GB" w:eastAsia="en-GB"/>
          <w14:ligatures w14:val="standardContextual"/>
        </w:rPr>
      </w:pPr>
      <w:hyperlink w:anchor="_Toc158706229" w:history="1">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Pr="00A8336E">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5 Technology initiatives and investments made by NatWest Plc</w:t>
        </w:r>
        <w:r>
          <w:rPr>
            <w:noProof/>
            <w:webHidden/>
          </w:rPr>
          <w:tab/>
        </w:r>
        <w:r>
          <w:rPr>
            <w:noProof/>
            <w:webHidden/>
          </w:rPr>
          <w:fldChar w:fldCharType="begin"/>
        </w:r>
        <w:r>
          <w:rPr>
            <w:noProof/>
            <w:webHidden/>
          </w:rPr>
          <w:instrText xml:space="preserve"> PAGEREF _Toc158706229 \h </w:instrText>
        </w:r>
        <w:r>
          <w:rPr>
            <w:noProof/>
            <w:webHidden/>
          </w:rPr>
        </w:r>
        <w:r>
          <w:rPr>
            <w:noProof/>
            <w:webHidden/>
          </w:rPr>
          <w:fldChar w:fldCharType="separate"/>
        </w:r>
        <w:r>
          <w:rPr>
            <w:noProof/>
            <w:webHidden/>
          </w:rPr>
          <w:t>47</w:t>
        </w:r>
        <w:r>
          <w:rPr>
            <w:noProof/>
            <w:webHidden/>
          </w:rPr>
          <w:fldChar w:fldCharType="end"/>
        </w:r>
      </w:hyperlink>
    </w:p>
    <w:p w14:paraId="170ACC08" w14:textId="39D9CE12" w:rsidR="004B1E6A" w:rsidRPr="00234598" w:rsidRDefault="001307B6" w:rsidP="009F730A">
      <w:pPr>
        <w:spacing w:after="0" w:line="360" w:lineRule="auto"/>
        <w:contextualSpacing/>
        <w:jc w:val="center"/>
        <w:rPr>
          <w:rFonts w:ascii="Times New Roman" w:hAnsi="Times New Roman" w:cs="Times New Roman"/>
          <w:b/>
          <w:bCs/>
          <w:szCs w:val="24"/>
        </w:rPr>
      </w:pPr>
      <w:r>
        <w:rPr>
          <w:rFonts w:ascii="Times New Roman" w:hAnsi="Times New Roman" w:cs="Times New Roman"/>
          <w:b/>
          <w:bCs/>
          <w:szCs w:val="24"/>
        </w:rPr>
        <w:fldChar w:fldCharType="end"/>
      </w:r>
    </w:p>
    <w:p w14:paraId="720CF75F" w14:textId="7E90090A" w:rsidR="009F730A" w:rsidRDefault="009F730A" w:rsidP="007E2E5E">
      <w:pPr>
        <w:spacing w:line="360" w:lineRule="auto"/>
        <w:jc w:val="both"/>
      </w:pPr>
    </w:p>
    <w:p w14:paraId="76B7C5F5" w14:textId="7B2CF539" w:rsidR="009F730A" w:rsidRDefault="009F730A"/>
    <w:p w14:paraId="5D50C485" w14:textId="77777777" w:rsidR="009F730A" w:rsidRPr="00AC2DE6" w:rsidRDefault="009F730A" w:rsidP="007E2E5E">
      <w:pPr>
        <w:spacing w:line="360" w:lineRule="auto"/>
        <w:jc w:val="both"/>
      </w:pPr>
    </w:p>
    <w:p w14:paraId="77D3A3BE" w14:textId="77777777" w:rsidR="007C684B" w:rsidRDefault="007C684B">
      <w:pPr>
        <w:rPr>
          <w:rFonts w:ascii="Times New Roman" w:eastAsiaTheme="majorEastAsia" w:hAnsi="Times New Roman" w:cs="Times New Roman"/>
          <w:b/>
          <w:sz w:val="28"/>
          <w:szCs w:val="32"/>
        </w:rPr>
      </w:pPr>
      <w:r>
        <w:rPr>
          <w:rFonts w:ascii="Times New Roman" w:hAnsi="Times New Roman" w:cs="Times New Roman"/>
        </w:rPr>
        <w:br w:type="page"/>
      </w:r>
    </w:p>
    <w:p w14:paraId="7F4BD71A" w14:textId="77777777" w:rsidR="006E422C" w:rsidRDefault="006E422C" w:rsidP="002F4ADE">
      <w:pPr>
        <w:pStyle w:val="Heading1"/>
        <w:numPr>
          <w:ilvl w:val="0"/>
          <w:numId w:val="8"/>
        </w:numPr>
        <w:spacing w:line="360" w:lineRule="auto"/>
        <w:jc w:val="both"/>
        <w:rPr>
          <w:rFonts w:ascii="Times New Roman" w:hAnsi="Times New Roman" w:cs="Times New Roman"/>
        </w:rPr>
        <w:sectPr w:rsidR="006E422C" w:rsidSect="00377186">
          <w:footerReference w:type="default" r:id="rId9"/>
          <w:pgSz w:w="12240" w:h="15840"/>
          <w:pgMar w:top="1440" w:right="1440" w:bottom="1440" w:left="1440" w:header="720" w:footer="720" w:gutter="0"/>
          <w:pgNumType w:fmt="lowerRoman" w:start="1"/>
          <w:cols w:space="720"/>
          <w:titlePg/>
          <w:docGrid w:linePitch="360"/>
        </w:sectPr>
      </w:pPr>
    </w:p>
    <w:p w14:paraId="24D09678" w14:textId="5F346355" w:rsidR="009B1BA1" w:rsidRPr="00694D5D" w:rsidRDefault="009B1BA1" w:rsidP="002F4ADE">
      <w:pPr>
        <w:pStyle w:val="Heading1"/>
        <w:numPr>
          <w:ilvl w:val="0"/>
          <w:numId w:val="8"/>
        </w:numPr>
        <w:spacing w:line="360" w:lineRule="auto"/>
        <w:jc w:val="both"/>
        <w:rPr>
          <w:rFonts w:ascii="Times New Roman" w:hAnsi="Times New Roman" w:cs="Times New Roman"/>
        </w:rPr>
      </w:pPr>
      <w:bookmarkStart w:id="0" w:name="_Toc158706252"/>
      <w:r w:rsidRPr="00694D5D">
        <w:rPr>
          <w:rFonts w:ascii="Times New Roman" w:hAnsi="Times New Roman" w:cs="Times New Roman"/>
        </w:rPr>
        <w:lastRenderedPageBreak/>
        <w:t>Introduction</w:t>
      </w:r>
      <w:bookmarkEnd w:id="0"/>
    </w:p>
    <w:p w14:paraId="712931DD" w14:textId="77777777" w:rsidR="009B1BA1" w:rsidRPr="00694D5D" w:rsidRDefault="009B1BA1" w:rsidP="002F4ADE">
      <w:pPr>
        <w:pStyle w:val="Heading1"/>
        <w:numPr>
          <w:ilvl w:val="1"/>
          <w:numId w:val="8"/>
        </w:numPr>
        <w:spacing w:line="360" w:lineRule="auto"/>
        <w:jc w:val="both"/>
        <w:rPr>
          <w:rFonts w:ascii="Times New Roman" w:hAnsi="Times New Roman" w:cs="Times New Roman"/>
        </w:rPr>
      </w:pPr>
      <w:bookmarkStart w:id="1" w:name="_Toc158706253"/>
      <w:r w:rsidRPr="00694D5D">
        <w:rPr>
          <w:rFonts w:ascii="Times New Roman" w:hAnsi="Times New Roman" w:cs="Times New Roman"/>
        </w:rPr>
        <w:t>Background and Context</w:t>
      </w:r>
      <w:bookmarkEnd w:id="1"/>
    </w:p>
    <w:p w14:paraId="546AD4EF" w14:textId="2EEEA00D"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banking sector is experiencing a transformative evolution with the recent advent of digital technologies in retail banks. Innovations in the digital world not only increased pressure from new entrants into markets but also disrupted consumer choices and changed their relationship with retail banks. Currently, customers are more willing to carry out their financing activities electronically</w:t>
      </w:r>
      <w:r w:rsidR="003932FE" w:rsidRPr="00694D5D">
        <w:rPr>
          <w:rFonts w:ascii="Times New Roman" w:hAnsi="Times New Roman" w:cs="Times New Roman"/>
        </w:rPr>
        <w:t xml:space="preserve">. </w:t>
      </w:r>
      <w:r w:rsidR="00CC5856" w:rsidRPr="00694D5D">
        <w:rPr>
          <w:rFonts w:ascii="Times New Roman" w:hAnsi="Times New Roman" w:cs="Times New Roman"/>
        </w:rPr>
        <w:t>Originally</w:t>
      </w:r>
      <w:r w:rsidRPr="00694D5D">
        <w:rPr>
          <w:rFonts w:ascii="Times New Roman" w:hAnsi="Times New Roman" w:cs="Times New Roman"/>
        </w:rPr>
        <w:t xml:space="preserve">, banking institutions predominantly </w:t>
      </w:r>
      <w:r w:rsidR="005F2EAE" w:rsidRPr="00694D5D">
        <w:rPr>
          <w:rFonts w:ascii="Times New Roman" w:hAnsi="Times New Roman" w:cs="Times New Roman"/>
        </w:rPr>
        <w:t>relied</w:t>
      </w:r>
      <w:r w:rsidRPr="00694D5D">
        <w:rPr>
          <w:rFonts w:ascii="Times New Roman" w:hAnsi="Times New Roman" w:cs="Times New Roman"/>
        </w:rPr>
        <w:t xml:space="preserve"> on </w:t>
      </w:r>
      <w:r w:rsidR="00BB5F25" w:rsidRPr="00694D5D">
        <w:rPr>
          <w:rFonts w:ascii="Times New Roman" w:hAnsi="Times New Roman" w:cs="Times New Roman"/>
        </w:rPr>
        <w:t>face-to-face</w:t>
      </w:r>
      <w:r w:rsidRPr="00694D5D">
        <w:rPr>
          <w:rFonts w:ascii="Times New Roman" w:hAnsi="Times New Roman" w:cs="Times New Roman"/>
        </w:rPr>
        <w:t xml:space="preserve"> contact with consumers; </w:t>
      </w:r>
      <w:r w:rsidR="00CC5856" w:rsidRPr="00694D5D">
        <w:rPr>
          <w:rFonts w:ascii="Times New Roman" w:hAnsi="Times New Roman" w:cs="Times New Roman"/>
        </w:rPr>
        <w:t>however,</w:t>
      </w:r>
      <w:r w:rsidRPr="00694D5D">
        <w:rPr>
          <w:rFonts w:ascii="Times New Roman" w:hAnsi="Times New Roman" w:cs="Times New Roman"/>
        </w:rPr>
        <w:t xml:space="preserve"> retail banks have moreover adopted digital platforms as additional conduits or extensions of their </w:t>
      </w:r>
      <w:r w:rsidR="00BB5F25" w:rsidRPr="00694D5D">
        <w:rPr>
          <w:rFonts w:ascii="Times New Roman" w:hAnsi="Times New Roman" w:cs="Times New Roman"/>
        </w:rPr>
        <w:t>brick-and-mortar</w:t>
      </w:r>
      <w:r w:rsidRPr="00694D5D">
        <w:rPr>
          <w:rFonts w:ascii="Times New Roman" w:hAnsi="Times New Roman" w:cs="Times New Roman"/>
        </w:rPr>
        <w:t xml:space="preserve"> outlets for dispensing products and services. These additional channels allow banks to provide personalized services more effectively in different locations. The strategic deployment of digital platforms aims to increase customer interaction, culminating in stronger loyalty for customers. Customers are actively engaged through digital platforms, and banks can be efficient and </w:t>
      </w:r>
      <w:r w:rsidR="00BB5F25" w:rsidRPr="00694D5D">
        <w:rPr>
          <w:rFonts w:ascii="Times New Roman" w:hAnsi="Times New Roman" w:cs="Times New Roman"/>
        </w:rPr>
        <w:t>economical</w:t>
      </w:r>
      <w:r w:rsidRPr="00694D5D">
        <w:rPr>
          <w:rFonts w:ascii="Times New Roman" w:hAnsi="Times New Roman" w:cs="Times New Roman"/>
        </w:rPr>
        <w:t>.</w:t>
      </w:r>
    </w:p>
    <w:p w14:paraId="2177B303" w14:textId="2FD05163"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Digitization and digital orientation of the industry, along with speedy growth in technology have created room for new entrants to disrupt </w:t>
      </w:r>
      <w:r w:rsidR="00BB5F25" w:rsidRPr="00694D5D">
        <w:rPr>
          <w:rFonts w:ascii="Times New Roman" w:hAnsi="Times New Roman" w:cs="Times New Roman"/>
        </w:rPr>
        <w:t xml:space="preserve">the </w:t>
      </w:r>
      <w:r w:rsidRPr="00694D5D">
        <w:rPr>
          <w:rFonts w:ascii="Times New Roman" w:hAnsi="Times New Roman" w:cs="Times New Roman"/>
        </w:rPr>
        <w:t>financial services market</w:t>
      </w:r>
      <w:r w:rsidR="003932FE" w:rsidRPr="00694D5D">
        <w:rPr>
          <w:rFonts w:ascii="Times New Roman" w:hAnsi="Times New Roman" w:cs="Times New Roman"/>
        </w:rPr>
        <w:t xml:space="preserve">. </w:t>
      </w:r>
      <w:r w:rsidRPr="00694D5D">
        <w:rPr>
          <w:rFonts w:ascii="Times New Roman" w:hAnsi="Times New Roman" w:cs="Times New Roman"/>
        </w:rPr>
        <w:t xml:space="preserve">Traditional retail banks derived benefits from high entry barriers; however, the rise of digital technologies has contributed to reducing these barriers and enabled innovative businesses to capture parts of established bank’s value </w:t>
      </w:r>
      <w:r w:rsidR="00BB5F25" w:rsidRPr="00694D5D">
        <w:rPr>
          <w:rFonts w:ascii="Times New Roman" w:hAnsi="Times New Roman" w:cs="Times New Roman"/>
        </w:rPr>
        <w:t>chains</w:t>
      </w:r>
      <w:r w:rsidR="003932FE" w:rsidRPr="00694D5D">
        <w:rPr>
          <w:rFonts w:ascii="Times New Roman" w:hAnsi="Times New Roman" w:cs="Times New Roman"/>
        </w:rPr>
        <w:t>.</w:t>
      </w:r>
    </w:p>
    <w:p w14:paraId="081B39EF" w14:textId="78F850F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With the development of information communication technology ICT</w:t>
      </w:r>
      <w:r w:rsidR="00BB5F25" w:rsidRPr="00694D5D">
        <w:rPr>
          <w:rFonts w:ascii="Times New Roman" w:hAnsi="Times New Roman" w:cs="Times New Roman"/>
        </w:rPr>
        <w:t>,</w:t>
      </w:r>
      <w:r w:rsidRPr="00694D5D">
        <w:rPr>
          <w:rFonts w:ascii="Times New Roman" w:hAnsi="Times New Roman" w:cs="Times New Roman"/>
        </w:rPr>
        <w:t xml:space="preserve"> there has been a paradigm shift in different areas </w:t>
      </w:r>
      <w:r w:rsidR="00BB5F25" w:rsidRPr="00694D5D">
        <w:rPr>
          <w:rFonts w:ascii="Times New Roman" w:hAnsi="Times New Roman" w:cs="Times New Roman"/>
        </w:rPr>
        <w:t xml:space="preserve">of </w:t>
      </w:r>
      <w:r w:rsidRPr="00694D5D">
        <w:rPr>
          <w:rFonts w:ascii="Times New Roman" w:hAnsi="Times New Roman" w:cs="Times New Roman"/>
        </w:rPr>
        <w:t xml:space="preserve">human lives which came to be seen as an essential need for society and even within </w:t>
      </w:r>
      <w:r w:rsidR="00BB5F25" w:rsidRPr="00694D5D">
        <w:rPr>
          <w:rFonts w:ascii="Times New Roman" w:hAnsi="Times New Roman" w:cs="Times New Roman"/>
        </w:rPr>
        <w:t xml:space="preserve">the </w:t>
      </w:r>
      <w:r w:rsidRPr="00694D5D">
        <w:rPr>
          <w:rFonts w:ascii="Times New Roman" w:hAnsi="Times New Roman" w:cs="Times New Roman"/>
        </w:rPr>
        <w:t>business world</w:t>
      </w:r>
      <w:r w:rsidR="006C6B55">
        <w:rPr>
          <w:rFonts w:ascii="Times New Roman" w:hAnsi="Times New Roman" w:cs="Times New Roman"/>
        </w:rPr>
        <w:t xml:space="preserve"> </w:t>
      </w:r>
      <w:r w:rsidR="006C6B55">
        <w:t>(Diener &amp; Špaček 2021)</w:t>
      </w:r>
      <w:r w:rsidRPr="00694D5D">
        <w:rPr>
          <w:rFonts w:ascii="Times New Roman" w:hAnsi="Times New Roman" w:cs="Times New Roman"/>
        </w:rPr>
        <w:t>. The impact of technology from work automation to service digitalization has been extensive, reaching industries and steering new systems for innovation.</w:t>
      </w:r>
      <w:r w:rsidR="009B1BA1" w:rsidRPr="00694D5D">
        <w:rPr>
          <w:rFonts w:ascii="Times New Roman" w:hAnsi="Times New Roman" w:cs="Times New Roman"/>
        </w:rPr>
        <w:t xml:space="preserve"> </w:t>
      </w:r>
      <w:r w:rsidRPr="00694D5D">
        <w:rPr>
          <w:rFonts w:ascii="Times New Roman" w:hAnsi="Times New Roman" w:cs="Times New Roman"/>
        </w:rPr>
        <w:t>The financial sector has also been very active in embracing digitization, especially as digital banking is now widely used rather than traditional ways</w:t>
      </w:r>
      <w:r w:rsidR="006C6B55">
        <w:rPr>
          <w:rFonts w:ascii="Times New Roman" w:hAnsi="Times New Roman" w:cs="Times New Roman"/>
        </w:rPr>
        <w:t xml:space="preserve"> </w:t>
      </w:r>
      <w:r w:rsidR="006C6B55">
        <w:t>(Dona &amp; Mokashi, Uma Mohan 2020)</w:t>
      </w:r>
      <w:r w:rsidRPr="00694D5D">
        <w:rPr>
          <w:rFonts w:ascii="Times New Roman" w:hAnsi="Times New Roman" w:cs="Times New Roman"/>
        </w:rPr>
        <w:t xml:space="preserve">. Disruptive technological breakthroughs and internet-based solutions have </w:t>
      </w:r>
      <w:r w:rsidR="0040220F" w:rsidRPr="00694D5D">
        <w:rPr>
          <w:rFonts w:ascii="Times New Roman" w:hAnsi="Times New Roman" w:cs="Times New Roman"/>
        </w:rPr>
        <w:t>shifted to</w:t>
      </w:r>
      <w:r w:rsidRPr="00694D5D">
        <w:rPr>
          <w:rFonts w:ascii="Times New Roman" w:hAnsi="Times New Roman" w:cs="Times New Roman"/>
        </w:rPr>
        <w:t xml:space="preserve"> </w:t>
      </w:r>
      <w:r w:rsidR="00F04979" w:rsidRPr="00694D5D">
        <w:rPr>
          <w:rFonts w:ascii="Times New Roman" w:hAnsi="Times New Roman" w:cs="Times New Roman"/>
        </w:rPr>
        <w:t>one</w:t>
      </w:r>
      <w:r w:rsidRPr="00694D5D">
        <w:rPr>
          <w:rFonts w:ascii="Times New Roman" w:hAnsi="Times New Roman" w:cs="Times New Roman"/>
        </w:rPr>
        <w:t xml:space="preserve"> of most established and conservative set areas that require </w:t>
      </w:r>
      <w:r w:rsidR="00BB5F25" w:rsidRPr="00694D5D">
        <w:rPr>
          <w:rFonts w:ascii="Times New Roman" w:hAnsi="Times New Roman" w:cs="Times New Roman"/>
        </w:rPr>
        <w:t xml:space="preserve">an </w:t>
      </w:r>
      <w:r w:rsidRPr="00694D5D">
        <w:rPr>
          <w:rFonts w:ascii="Times New Roman" w:hAnsi="Times New Roman" w:cs="Times New Roman"/>
        </w:rPr>
        <w:t xml:space="preserve">inherent understanding </w:t>
      </w:r>
      <w:r w:rsidR="00BB5F25" w:rsidRPr="00694D5D">
        <w:rPr>
          <w:rFonts w:ascii="Times New Roman" w:hAnsi="Times New Roman" w:cs="Times New Roman"/>
        </w:rPr>
        <w:t>of</w:t>
      </w:r>
      <w:r w:rsidRPr="00694D5D">
        <w:rPr>
          <w:rFonts w:ascii="Times New Roman" w:hAnsi="Times New Roman" w:cs="Times New Roman"/>
        </w:rPr>
        <w:t xml:space="preserve"> digital client rhythm for effective conversion. While a lot of studies have researched the effect that information and communications technology </w:t>
      </w:r>
      <w:r w:rsidR="00CC5856" w:rsidRPr="00694D5D">
        <w:rPr>
          <w:rFonts w:ascii="Times New Roman" w:hAnsi="Times New Roman" w:cs="Times New Roman"/>
        </w:rPr>
        <w:t>have</w:t>
      </w:r>
      <w:r w:rsidRPr="00694D5D">
        <w:rPr>
          <w:rFonts w:ascii="Times New Roman" w:hAnsi="Times New Roman" w:cs="Times New Roman"/>
        </w:rPr>
        <w:t xml:space="preserve"> on banking, this study will perform bibliometric analysis with VOS </w:t>
      </w:r>
      <w:r w:rsidR="00BB5F25" w:rsidRPr="00694D5D">
        <w:rPr>
          <w:rFonts w:ascii="Times New Roman" w:hAnsi="Times New Roman" w:cs="Times New Roman"/>
        </w:rPr>
        <w:t>viewers</w:t>
      </w:r>
      <w:r w:rsidRPr="00694D5D">
        <w:rPr>
          <w:rFonts w:ascii="Times New Roman" w:hAnsi="Times New Roman" w:cs="Times New Roman"/>
        </w:rPr>
        <w:t xml:space="preserve"> emphasizing themselves onto digital banking </w:t>
      </w:r>
      <w:r w:rsidRPr="00694D5D">
        <w:rPr>
          <w:rFonts w:ascii="Times New Roman" w:hAnsi="Times New Roman" w:cs="Times New Roman"/>
        </w:rPr>
        <w:lastRenderedPageBreak/>
        <w:t xml:space="preserve">transformation (DBT) research from performance analysis as well </w:t>
      </w:r>
      <w:r w:rsidR="00BB5F25" w:rsidRPr="00694D5D">
        <w:rPr>
          <w:rFonts w:ascii="Times New Roman" w:hAnsi="Times New Roman" w:cs="Times New Roman"/>
        </w:rPr>
        <w:t xml:space="preserve">as </w:t>
      </w:r>
      <w:r w:rsidRPr="00694D5D">
        <w:rPr>
          <w:rFonts w:ascii="Times New Roman" w:hAnsi="Times New Roman" w:cs="Times New Roman"/>
        </w:rPr>
        <w:t>science mapping perspective</w:t>
      </w:r>
      <w:r w:rsidR="000967B7">
        <w:rPr>
          <w:rFonts w:ascii="Times New Roman" w:hAnsi="Times New Roman" w:cs="Times New Roman"/>
        </w:rPr>
        <w:t xml:space="preserve"> </w:t>
      </w:r>
      <w:r w:rsidR="000967B7">
        <w:t>(El-Gohary et al. 2021)</w:t>
      </w:r>
      <w:r w:rsidRPr="00694D5D">
        <w:rPr>
          <w:rFonts w:ascii="Times New Roman" w:hAnsi="Times New Roman" w:cs="Times New Roman"/>
        </w:rPr>
        <w:t>.</w:t>
      </w:r>
    </w:p>
    <w:p w14:paraId="178A3003" w14:textId="70A4D765"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adoption of digital solutions in banking has paved the way for </w:t>
      </w:r>
      <w:r w:rsidR="00CC5856" w:rsidRPr="00694D5D">
        <w:rPr>
          <w:rFonts w:ascii="Times New Roman" w:hAnsi="Times New Roman" w:cs="Times New Roman"/>
        </w:rPr>
        <w:t>non-financial</w:t>
      </w:r>
      <w:r w:rsidRPr="00694D5D">
        <w:rPr>
          <w:rFonts w:ascii="Times New Roman" w:hAnsi="Times New Roman" w:cs="Times New Roman"/>
        </w:rPr>
        <w:t xml:space="preserve"> competitors to venture into the industry and provide more specialized offerings on financial services and products. So, mobility for customers has increased between banks resulting in the shift of power to traditional dynamics as control now lies with the consumers. Customers with a myriad of </w:t>
      </w:r>
      <w:r w:rsidR="00BB5F25" w:rsidRPr="00694D5D">
        <w:rPr>
          <w:rFonts w:ascii="Times New Roman" w:hAnsi="Times New Roman" w:cs="Times New Roman"/>
        </w:rPr>
        <w:t>choices</w:t>
      </w:r>
      <w:r w:rsidRPr="00694D5D">
        <w:rPr>
          <w:rFonts w:ascii="Times New Roman" w:hAnsi="Times New Roman" w:cs="Times New Roman"/>
        </w:rPr>
        <w:t xml:space="preserve"> from both financial and non-financial entities always place pressure on banks to modernize their infrastructural </w:t>
      </w:r>
      <w:r w:rsidR="00BB5F25" w:rsidRPr="00694D5D">
        <w:rPr>
          <w:rFonts w:ascii="Times New Roman" w:hAnsi="Times New Roman" w:cs="Times New Roman"/>
        </w:rPr>
        <w:t>setup</w:t>
      </w:r>
      <w:r w:rsidRPr="00694D5D">
        <w:rPr>
          <w:rFonts w:ascii="Times New Roman" w:hAnsi="Times New Roman" w:cs="Times New Roman"/>
        </w:rPr>
        <w:t xml:space="preserve">, products as well </w:t>
      </w:r>
      <w:r w:rsidR="00F06578">
        <w:rPr>
          <w:rFonts w:ascii="Times New Roman" w:hAnsi="Times New Roman" w:cs="Times New Roman"/>
        </w:rPr>
        <w:t xml:space="preserve">as </w:t>
      </w:r>
      <w:r w:rsidRPr="00694D5D">
        <w:rPr>
          <w:rFonts w:ascii="Times New Roman" w:hAnsi="Times New Roman" w:cs="Times New Roman"/>
        </w:rPr>
        <w:t xml:space="preserve">services. This realignment gives power to customers, by putting them in a position of strength against banks and changing </w:t>
      </w:r>
      <w:r w:rsidR="00940B02" w:rsidRPr="00694D5D">
        <w:rPr>
          <w:rFonts w:ascii="Times New Roman" w:hAnsi="Times New Roman" w:cs="Times New Roman"/>
        </w:rPr>
        <w:t>the age-</w:t>
      </w:r>
      <w:r w:rsidRPr="00694D5D">
        <w:rPr>
          <w:rFonts w:ascii="Times New Roman" w:hAnsi="Times New Roman" w:cs="Times New Roman"/>
        </w:rPr>
        <w:t>old balance of powers.</w:t>
      </w:r>
    </w:p>
    <w:p w14:paraId="2B60A0AF"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2" w:name="_Toc158706254"/>
      <w:r w:rsidRPr="00694D5D">
        <w:rPr>
          <w:rFonts w:ascii="Times New Roman" w:hAnsi="Times New Roman" w:cs="Times New Roman"/>
        </w:rPr>
        <w:t>Significance of the Study</w:t>
      </w:r>
      <w:bookmarkEnd w:id="2"/>
    </w:p>
    <w:p w14:paraId="350118E4" w14:textId="71327ABA"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Nowadays, the spread of diverse digital technologies has transformed traditional banking. Today, through </w:t>
      </w:r>
      <w:r w:rsidR="0040220F" w:rsidRPr="00694D5D">
        <w:rPr>
          <w:rFonts w:ascii="Times New Roman" w:hAnsi="Times New Roman" w:cs="Times New Roman"/>
        </w:rPr>
        <w:t>digital</w:t>
      </w:r>
      <w:r w:rsidRPr="00694D5D">
        <w:rPr>
          <w:rFonts w:ascii="Times New Roman" w:hAnsi="Times New Roman" w:cs="Times New Roman"/>
        </w:rPr>
        <w:t xml:space="preserve"> transformation with the use of online channels and new technology in banking operations many aspects have changed from how banks conduct their businesses to how they interact with </w:t>
      </w:r>
      <w:r w:rsidR="00CC5856" w:rsidRPr="00694D5D">
        <w:rPr>
          <w:rFonts w:ascii="Times New Roman" w:hAnsi="Times New Roman" w:cs="Times New Roman"/>
        </w:rPr>
        <w:t>their</w:t>
      </w:r>
      <w:r w:rsidRPr="00694D5D">
        <w:rPr>
          <w:rFonts w:ascii="Times New Roman" w:hAnsi="Times New Roman" w:cs="Times New Roman"/>
        </w:rPr>
        <w:t xml:space="preserve"> customer</w:t>
      </w:r>
      <w:r w:rsidR="00BE1B2C">
        <w:rPr>
          <w:rFonts w:ascii="Times New Roman" w:hAnsi="Times New Roman" w:cs="Times New Roman"/>
        </w:rPr>
        <w:t>s</w:t>
      </w:r>
      <w:r w:rsidRPr="00694D5D">
        <w:rPr>
          <w:rFonts w:ascii="Times New Roman" w:hAnsi="Times New Roman" w:cs="Times New Roman"/>
        </w:rPr>
        <w:t xml:space="preserve">. The UK financial organizations </w:t>
      </w:r>
      <w:r w:rsidR="00BB5F25" w:rsidRPr="00694D5D">
        <w:rPr>
          <w:rFonts w:ascii="Times New Roman" w:hAnsi="Times New Roman" w:cs="Times New Roman"/>
        </w:rPr>
        <w:t>have</w:t>
      </w:r>
      <w:r w:rsidRPr="00694D5D">
        <w:rPr>
          <w:rFonts w:ascii="Times New Roman" w:hAnsi="Times New Roman" w:cs="Times New Roman"/>
        </w:rPr>
        <w:t xml:space="preserve"> been </w:t>
      </w:r>
      <w:r w:rsidR="00BB5F25" w:rsidRPr="00694D5D">
        <w:rPr>
          <w:rFonts w:ascii="Times New Roman" w:hAnsi="Times New Roman" w:cs="Times New Roman"/>
        </w:rPr>
        <w:t>at</w:t>
      </w:r>
      <w:r w:rsidRPr="00694D5D">
        <w:rPr>
          <w:rFonts w:ascii="Times New Roman" w:hAnsi="Times New Roman" w:cs="Times New Roman"/>
        </w:rPr>
        <w:t xml:space="preserve"> the heart of this digital revolution. This dissertation will hence aim to scrutinize and analyze the impacts of digitization, with a spotlight on </w:t>
      </w:r>
      <w:r w:rsidR="00BB5F25" w:rsidRPr="00694D5D">
        <w:rPr>
          <w:rFonts w:ascii="Times New Roman" w:hAnsi="Times New Roman" w:cs="Times New Roman"/>
        </w:rPr>
        <w:t xml:space="preserve">the </w:t>
      </w:r>
      <w:r w:rsidR="00CC5856" w:rsidRPr="00694D5D">
        <w:rPr>
          <w:rFonts w:ascii="Times New Roman" w:hAnsi="Times New Roman" w:cs="Times New Roman"/>
        </w:rPr>
        <w:t>UK.</w:t>
      </w:r>
    </w:p>
    <w:p w14:paraId="0624A8F7" w14:textId="54659760"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It is statistically impossible to deny that digital banking has been growing. According to the annual review of FinTech </w:t>
      </w:r>
      <w:r w:rsidR="00CC5856" w:rsidRPr="00694D5D">
        <w:rPr>
          <w:rFonts w:ascii="Times New Roman" w:hAnsi="Times New Roman" w:cs="Times New Roman"/>
        </w:rPr>
        <w:t>Global,</w:t>
      </w:r>
      <w:r w:rsidRPr="00694D5D">
        <w:rPr>
          <w:rFonts w:ascii="Times New Roman" w:hAnsi="Times New Roman" w:cs="Times New Roman"/>
        </w:rPr>
        <w:t xml:space="preserve"> for the first time in the United Kingdom digital payments exceeded cash </w:t>
      </w:r>
      <w:r w:rsidR="00BB5F25" w:rsidRPr="00694D5D">
        <w:rPr>
          <w:rFonts w:ascii="Times New Roman" w:hAnsi="Times New Roman" w:cs="Times New Roman"/>
        </w:rPr>
        <w:t>payment</w:t>
      </w:r>
      <w:r w:rsidR="00293DD8">
        <w:rPr>
          <w:rFonts w:ascii="Times New Roman" w:hAnsi="Times New Roman" w:cs="Times New Roman"/>
        </w:rPr>
        <w:t>s</w:t>
      </w:r>
      <w:r w:rsidR="00C40AE5" w:rsidRPr="00694D5D">
        <w:rPr>
          <w:rFonts w:ascii="Times New Roman" w:hAnsi="Times New Roman" w:cs="Times New Roman"/>
        </w:rPr>
        <w:t xml:space="preserve">. </w:t>
      </w:r>
      <w:r w:rsidRPr="00694D5D">
        <w:rPr>
          <w:rFonts w:ascii="Times New Roman" w:hAnsi="Times New Roman" w:cs="Times New Roman"/>
        </w:rPr>
        <w:t xml:space="preserve">This is due to heightened e-commerce purchases and contactless payments following the onset of the outbreak. This indicates the need for proper </w:t>
      </w:r>
      <w:r w:rsidR="00EF6F5C">
        <w:rPr>
          <w:rFonts w:ascii="Times New Roman" w:hAnsi="Times New Roman" w:cs="Times New Roman"/>
        </w:rPr>
        <w:t>in–depth</w:t>
      </w:r>
      <w:r w:rsidRPr="00694D5D">
        <w:rPr>
          <w:rFonts w:ascii="Times New Roman" w:hAnsi="Times New Roman" w:cs="Times New Roman"/>
        </w:rPr>
        <w:t xml:space="preserve"> research on </w:t>
      </w:r>
      <w:r w:rsidR="00BB5F25" w:rsidRPr="00694D5D">
        <w:rPr>
          <w:rFonts w:ascii="Times New Roman" w:hAnsi="Times New Roman" w:cs="Times New Roman"/>
        </w:rPr>
        <w:t xml:space="preserve">the </w:t>
      </w:r>
      <w:r w:rsidRPr="00694D5D">
        <w:rPr>
          <w:rFonts w:ascii="Times New Roman" w:hAnsi="Times New Roman" w:cs="Times New Roman"/>
        </w:rPr>
        <w:t xml:space="preserve">impact of </w:t>
      </w:r>
      <w:r w:rsidR="00BB5F25" w:rsidRPr="00694D5D">
        <w:rPr>
          <w:rFonts w:ascii="Times New Roman" w:hAnsi="Times New Roman" w:cs="Times New Roman"/>
        </w:rPr>
        <w:t xml:space="preserve">the </w:t>
      </w:r>
      <w:r w:rsidR="00CC5856" w:rsidRPr="00694D5D">
        <w:rPr>
          <w:rFonts w:ascii="Times New Roman" w:hAnsi="Times New Roman" w:cs="Times New Roman"/>
        </w:rPr>
        <w:t>digital</w:t>
      </w:r>
      <w:r w:rsidRPr="00694D5D">
        <w:rPr>
          <w:rFonts w:ascii="Times New Roman" w:hAnsi="Times New Roman" w:cs="Times New Roman"/>
        </w:rPr>
        <w:t xml:space="preserve"> revolution </w:t>
      </w:r>
      <w:r w:rsidR="00BB5F25" w:rsidRPr="00694D5D">
        <w:rPr>
          <w:rFonts w:ascii="Times New Roman" w:hAnsi="Times New Roman" w:cs="Times New Roman"/>
        </w:rPr>
        <w:t>on</w:t>
      </w:r>
      <w:r w:rsidRPr="00694D5D">
        <w:rPr>
          <w:rFonts w:ascii="Times New Roman" w:hAnsi="Times New Roman" w:cs="Times New Roman"/>
        </w:rPr>
        <w:t xml:space="preserve"> conventional banks. This reason deserves important scientific research and much mor</w:t>
      </w:r>
      <w:r w:rsidR="009866D7">
        <w:rPr>
          <w:rFonts w:ascii="Times New Roman" w:hAnsi="Times New Roman" w:cs="Times New Roman"/>
        </w:rPr>
        <w:t>e</w:t>
      </w:r>
      <w:r w:rsidRPr="00694D5D">
        <w:rPr>
          <w:rFonts w:ascii="Times New Roman" w:hAnsi="Times New Roman" w:cs="Times New Roman"/>
        </w:rPr>
        <w:t xml:space="preserve">. To start with, it provides a deeper understanding </w:t>
      </w:r>
      <w:r w:rsidR="00BB5F25" w:rsidRPr="00694D5D">
        <w:rPr>
          <w:rFonts w:ascii="Times New Roman" w:hAnsi="Times New Roman" w:cs="Times New Roman"/>
        </w:rPr>
        <w:t>of</w:t>
      </w:r>
      <w:r w:rsidRPr="00694D5D">
        <w:rPr>
          <w:rFonts w:ascii="Times New Roman" w:hAnsi="Times New Roman" w:cs="Times New Roman"/>
        </w:rPr>
        <w:t xml:space="preserve"> advanced technology trends emerging in </w:t>
      </w:r>
      <w:r w:rsidR="00BB5F25" w:rsidRPr="00694D5D">
        <w:rPr>
          <w:rFonts w:ascii="Times New Roman" w:hAnsi="Times New Roman" w:cs="Times New Roman"/>
        </w:rPr>
        <w:t>bank systems</w:t>
      </w:r>
      <w:r w:rsidRPr="00694D5D">
        <w:rPr>
          <w:rFonts w:ascii="Times New Roman" w:hAnsi="Times New Roman" w:cs="Times New Roman"/>
        </w:rPr>
        <w:t xml:space="preserve"> by adding functionalities to existing data. Additionally, digital channels continue to manage customer interfaces; hence this research will focus on banking customers’ new preferences routines</w:t>
      </w:r>
      <w:r w:rsidR="00BB5F25" w:rsidRPr="00694D5D">
        <w:rPr>
          <w:rFonts w:ascii="Times New Roman" w:hAnsi="Times New Roman" w:cs="Times New Roman"/>
        </w:rPr>
        <w:t>,</w:t>
      </w:r>
      <w:r w:rsidRPr="00694D5D">
        <w:rPr>
          <w:rFonts w:ascii="Times New Roman" w:hAnsi="Times New Roman" w:cs="Times New Roman"/>
        </w:rPr>
        <w:t xml:space="preserve"> and needs. Policymakers and financiers should be able to read the effects of digital transformation as they are within a regulatory environment. In view of the rapidly evolving digital environment, this study attempts to shed more light on what is meant by digital disruption in terms of traditional banking services and their effect thus upon </w:t>
      </w:r>
      <w:r w:rsidR="00BB5F25" w:rsidRPr="00694D5D">
        <w:rPr>
          <w:rFonts w:ascii="Times New Roman" w:hAnsi="Times New Roman" w:cs="Times New Roman"/>
        </w:rPr>
        <w:t xml:space="preserve">the </w:t>
      </w:r>
      <w:r w:rsidRPr="00694D5D">
        <w:rPr>
          <w:rFonts w:ascii="Times New Roman" w:hAnsi="Times New Roman" w:cs="Times New Roman"/>
        </w:rPr>
        <w:t xml:space="preserve">UK’s banking </w:t>
      </w:r>
      <w:r w:rsidR="00DF6C01" w:rsidRPr="00694D5D">
        <w:rPr>
          <w:rFonts w:ascii="Times New Roman" w:hAnsi="Times New Roman" w:cs="Times New Roman"/>
        </w:rPr>
        <w:t>setting</w:t>
      </w:r>
      <w:r w:rsidRPr="00694D5D">
        <w:rPr>
          <w:rFonts w:ascii="Times New Roman" w:hAnsi="Times New Roman" w:cs="Times New Roman"/>
        </w:rPr>
        <w:t>.</w:t>
      </w:r>
    </w:p>
    <w:p w14:paraId="4772BFCE" w14:textId="0CA9ED8E"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lastRenderedPageBreak/>
        <w:t>Digital adoption has been fast-</w:t>
      </w:r>
      <w:r w:rsidR="00A20D15" w:rsidRPr="00694D5D">
        <w:rPr>
          <w:rFonts w:ascii="Times New Roman" w:hAnsi="Times New Roman" w:cs="Times New Roman"/>
        </w:rPr>
        <w:t xml:space="preserve">tracked </w:t>
      </w:r>
      <w:r w:rsidR="00A20D15">
        <w:rPr>
          <w:rFonts w:ascii="Times New Roman" w:hAnsi="Times New Roman" w:cs="Times New Roman"/>
        </w:rPr>
        <w:t>by</w:t>
      </w:r>
      <w:r w:rsidRPr="00694D5D">
        <w:rPr>
          <w:rFonts w:ascii="Times New Roman" w:hAnsi="Times New Roman" w:cs="Times New Roman"/>
        </w:rPr>
        <w:t xml:space="preserve"> the pandemic. Forrester data shows that even the most digitally resistant customers found themselves adopting new digital behaviors during </w:t>
      </w:r>
      <w:r w:rsidR="00BB5F25" w:rsidRPr="00694D5D">
        <w:rPr>
          <w:rFonts w:ascii="Times New Roman" w:hAnsi="Times New Roman" w:cs="Times New Roman"/>
        </w:rPr>
        <w:t>COVID-19</w:t>
      </w:r>
      <w:r w:rsidR="00DF6C01">
        <w:rPr>
          <w:rFonts w:ascii="Times New Roman" w:hAnsi="Times New Roman" w:cs="Times New Roman"/>
        </w:rPr>
        <w:t xml:space="preserve"> </w:t>
      </w:r>
      <w:r w:rsidR="00DF6C01">
        <w:t>(M et al. 2022)</w:t>
      </w:r>
      <w:r w:rsidRPr="00694D5D">
        <w:rPr>
          <w:rFonts w:ascii="Times New Roman" w:hAnsi="Times New Roman" w:cs="Times New Roman"/>
        </w:rPr>
        <w:t xml:space="preserve">. Although some customers eagerly await the comeback of in-person and in-branch experiences once restrictions are gone, many still </w:t>
      </w:r>
      <w:proofErr w:type="gramStart"/>
      <w:r w:rsidR="00BE0D0D" w:rsidRPr="00694D5D">
        <w:rPr>
          <w:rFonts w:ascii="Times New Roman" w:hAnsi="Times New Roman" w:cs="Times New Roman"/>
        </w:rPr>
        <w:t>prefer</w:t>
      </w:r>
      <w:r w:rsidR="00BE0D0D">
        <w:rPr>
          <w:rFonts w:ascii="Times New Roman" w:hAnsi="Times New Roman" w:cs="Times New Roman"/>
        </w:rPr>
        <w:t>red</w:t>
      </w:r>
      <w:proofErr w:type="gramEnd"/>
      <w:r w:rsidRPr="00694D5D">
        <w:rPr>
          <w:rFonts w:ascii="Times New Roman" w:hAnsi="Times New Roman" w:cs="Times New Roman"/>
        </w:rPr>
        <w:t xml:space="preserve"> to use digital channels. COVID-19 forced banks to fasten their digital transformation and reconsider banking offices. Many were already downsizing their physical footprint </w:t>
      </w:r>
      <w:r w:rsidR="00BB5F25" w:rsidRPr="00694D5D">
        <w:rPr>
          <w:rFonts w:ascii="Times New Roman" w:hAnsi="Times New Roman" w:cs="Times New Roman"/>
        </w:rPr>
        <w:t>before</w:t>
      </w:r>
      <w:r w:rsidRPr="00694D5D">
        <w:rPr>
          <w:rFonts w:ascii="Times New Roman" w:hAnsi="Times New Roman" w:cs="Times New Roman"/>
        </w:rPr>
        <w:t xml:space="preserve"> COVID-19. Now, with the pandemic leading to low branch usage and expensive leases plus real estate issues</w:t>
      </w:r>
      <w:r w:rsidR="005F2EAE" w:rsidRPr="00694D5D">
        <w:rPr>
          <w:rFonts w:ascii="Times New Roman" w:hAnsi="Times New Roman" w:cs="Times New Roman"/>
        </w:rPr>
        <w:t>,</w:t>
      </w:r>
      <w:r w:rsidRPr="00694D5D">
        <w:rPr>
          <w:rFonts w:ascii="Times New Roman" w:hAnsi="Times New Roman" w:cs="Times New Roman"/>
        </w:rPr>
        <w:t xml:space="preserve"> it will bring intense cost pressure which is likely going to be too much for some firms. Banks should not abandon the physical branches but reorient them to improve customer and employee engagement instead</w:t>
      </w:r>
      <w:r w:rsidR="003D51D0">
        <w:rPr>
          <w:rFonts w:ascii="Times New Roman" w:hAnsi="Times New Roman" w:cs="Times New Roman"/>
        </w:rPr>
        <w:t xml:space="preserve"> </w:t>
      </w:r>
      <w:r w:rsidR="003D51D0">
        <w:t>(Mattila 2003)</w:t>
      </w:r>
      <w:r w:rsidRPr="00694D5D">
        <w:rPr>
          <w:rFonts w:ascii="Times New Roman" w:hAnsi="Times New Roman" w:cs="Times New Roman"/>
        </w:rPr>
        <w:t xml:space="preserve">. Banks that adopt a more strategic approach to their physical footprint and technology usage, as well </w:t>
      </w:r>
      <w:r w:rsidR="00BB5F25" w:rsidRPr="00694D5D">
        <w:rPr>
          <w:rFonts w:ascii="Times New Roman" w:hAnsi="Times New Roman" w:cs="Times New Roman"/>
        </w:rPr>
        <w:t xml:space="preserve">as </w:t>
      </w:r>
      <w:r w:rsidRPr="00694D5D">
        <w:rPr>
          <w:rFonts w:ascii="Times New Roman" w:hAnsi="Times New Roman" w:cs="Times New Roman"/>
        </w:rPr>
        <w:t xml:space="preserve">implement changes such as transitioning towards paperless and cash-free branches will be able to reduce the costs of having branch offices without detrimentally affecting their operations. Most banking executives are now visualizing hybrid experiences that use experience design to simplify services and channels </w:t>
      </w:r>
      <w:r w:rsidR="00BB5F25" w:rsidRPr="00694D5D">
        <w:rPr>
          <w:rFonts w:ascii="Times New Roman" w:hAnsi="Times New Roman" w:cs="Times New Roman"/>
        </w:rPr>
        <w:t>to</w:t>
      </w:r>
      <w:r w:rsidRPr="00694D5D">
        <w:rPr>
          <w:rFonts w:ascii="Times New Roman" w:hAnsi="Times New Roman" w:cs="Times New Roman"/>
        </w:rPr>
        <w:t xml:space="preserve"> customer demands. Though customers are still interested in the empathy offered by human advisors, digital technology offers an opportunity to extend and boost that experience. Digital transformation must not be limited to making </w:t>
      </w:r>
      <w:r w:rsidR="00FD6AD2" w:rsidRPr="00694D5D">
        <w:rPr>
          <w:rFonts w:ascii="Times New Roman" w:hAnsi="Times New Roman" w:cs="Times New Roman"/>
        </w:rPr>
        <w:t>tasks</w:t>
      </w:r>
      <w:r w:rsidRPr="00694D5D">
        <w:rPr>
          <w:rFonts w:ascii="Times New Roman" w:hAnsi="Times New Roman" w:cs="Times New Roman"/>
        </w:rPr>
        <w:t xml:space="preserve"> easy and quick; rather, it has the potential of transforming customer experiences in its entirety.</w:t>
      </w:r>
    </w:p>
    <w:p w14:paraId="183524E5" w14:textId="6BEB99E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pandemic has accelerated digital practices</w:t>
      </w:r>
      <w:r w:rsidR="00E1524A" w:rsidRPr="00694D5D">
        <w:rPr>
          <w:rFonts w:ascii="Times New Roman" w:hAnsi="Times New Roman" w:cs="Times New Roman"/>
        </w:rPr>
        <w:t>, even</w:t>
      </w:r>
      <w:r w:rsidRPr="00694D5D">
        <w:rPr>
          <w:rFonts w:ascii="Times New Roman" w:hAnsi="Times New Roman" w:cs="Times New Roman"/>
        </w:rPr>
        <w:t xml:space="preserve"> customers who had been resistant to digital methods adjusted their </w:t>
      </w:r>
      <w:r w:rsidR="00CC5856" w:rsidRPr="00694D5D">
        <w:rPr>
          <w:rFonts w:ascii="Times New Roman" w:hAnsi="Times New Roman" w:cs="Times New Roman"/>
        </w:rPr>
        <w:t>behaviors</w:t>
      </w:r>
      <w:r w:rsidRPr="00694D5D">
        <w:rPr>
          <w:rFonts w:ascii="Times New Roman" w:hAnsi="Times New Roman" w:cs="Times New Roman"/>
        </w:rPr>
        <w:t xml:space="preserve"> during th</w:t>
      </w:r>
      <w:r w:rsidR="006966EA">
        <w:rPr>
          <w:rFonts w:ascii="Times New Roman" w:hAnsi="Times New Roman" w:cs="Times New Roman"/>
        </w:rPr>
        <w:t>e</w:t>
      </w:r>
      <w:r w:rsidRPr="00694D5D">
        <w:rPr>
          <w:rFonts w:ascii="Times New Roman" w:hAnsi="Times New Roman" w:cs="Times New Roman"/>
        </w:rPr>
        <w:t xml:space="preserve"> pandemic. Following the restrictions, some consumers </w:t>
      </w:r>
      <w:r w:rsidR="0040220F" w:rsidRPr="00694D5D">
        <w:rPr>
          <w:rFonts w:ascii="Times New Roman" w:hAnsi="Times New Roman" w:cs="Times New Roman"/>
        </w:rPr>
        <w:t>w</w:t>
      </w:r>
      <w:r w:rsidR="0040220F">
        <w:rPr>
          <w:rFonts w:ascii="Times New Roman" w:hAnsi="Times New Roman" w:cs="Times New Roman"/>
        </w:rPr>
        <w:t>ere</w:t>
      </w:r>
      <w:r w:rsidRPr="00694D5D">
        <w:rPr>
          <w:rFonts w:ascii="Times New Roman" w:hAnsi="Times New Roman" w:cs="Times New Roman"/>
        </w:rPr>
        <w:t xml:space="preserve"> looking forward to going out again and visiting bank </w:t>
      </w:r>
      <w:r w:rsidR="00972E78" w:rsidRPr="00694D5D">
        <w:rPr>
          <w:rFonts w:ascii="Times New Roman" w:hAnsi="Times New Roman" w:cs="Times New Roman"/>
        </w:rPr>
        <w:t>branches,</w:t>
      </w:r>
      <w:r w:rsidRPr="00694D5D">
        <w:rPr>
          <w:rFonts w:ascii="Times New Roman" w:hAnsi="Times New Roman" w:cs="Times New Roman"/>
        </w:rPr>
        <w:t xml:space="preserve"> but a significant portion of customers </w:t>
      </w:r>
      <w:r w:rsidR="008C6718">
        <w:rPr>
          <w:rFonts w:ascii="Times New Roman" w:hAnsi="Times New Roman" w:cs="Times New Roman"/>
        </w:rPr>
        <w:t>were</w:t>
      </w:r>
      <w:r w:rsidRPr="00694D5D">
        <w:rPr>
          <w:rFonts w:ascii="Times New Roman" w:hAnsi="Times New Roman" w:cs="Times New Roman"/>
        </w:rPr>
        <w:t xml:space="preserve"> likely to continue using digital channels quite heavily. The pandemic encouraged banks </w:t>
      </w:r>
      <w:r w:rsidR="00BB5F25" w:rsidRPr="00694D5D">
        <w:rPr>
          <w:rFonts w:ascii="Times New Roman" w:hAnsi="Times New Roman" w:cs="Times New Roman"/>
        </w:rPr>
        <w:t xml:space="preserve">to </w:t>
      </w:r>
      <w:r w:rsidRPr="00694D5D">
        <w:rPr>
          <w:rFonts w:ascii="Times New Roman" w:hAnsi="Times New Roman" w:cs="Times New Roman"/>
        </w:rPr>
        <w:t xml:space="preserve">their </w:t>
      </w:r>
      <w:r w:rsidR="00CC5856" w:rsidRPr="00694D5D">
        <w:rPr>
          <w:rFonts w:ascii="Times New Roman" w:hAnsi="Times New Roman" w:cs="Times New Roman"/>
        </w:rPr>
        <w:t>digitalization</w:t>
      </w:r>
      <w:r w:rsidRPr="00694D5D">
        <w:rPr>
          <w:rFonts w:ascii="Times New Roman" w:hAnsi="Times New Roman" w:cs="Times New Roman"/>
        </w:rPr>
        <w:t xml:space="preserve"> initiatives and reassess the relevance of physical bank branches. </w:t>
      </w:r>
      <w:r w:rsidR="00094D3C" w:rsidRPr="00694D5D">
        <w:rPr>
          <w:rFonts w:ascii="Times New Roman" w:hAnsi="Times New Roman" w:cs="Times New Roman"/>
        </w:rPr>
        <w:t>At</w:t>
      </w:r>
      <w:r w:rsidRPr="00694D5D">
        <w:rPr>
          <w:rFonts w:ascii="Times New Roman" w:hAnsi="Times New Roman" w:cs="Times New Roman"/>
        </w:rPr>
        <w:t xml:space="preserve"> a point where many banks were cutting their physical presence even </w:t>
      </w:r>
      <w:r w:rsidR="00BB5F25" w:rsidRPr="00694D5D">
        <w:rPr>
          <w:rFonts w:ascii="Times New Roman" w:hAnsi="Times New Roman" w:cs="Times New Roman"/>
        </w:rPr>
        <w:t>before</w:t>
      </w:r>
      <w:r w:rsidRPr="00694D5D">
        <w:rPr>
          <w:rFonts w:ascii="Times New Roman" w:hAnsi="Times New Roman" w:cs="Times New Roman"/>
        </w:rPr>
        <w:t xml:space="preserve"> the pandemic, but with reduced branch utilization coupled with pricey leases and real estate overheads</w:t>
      </w:r>
      <w:r w:rsidR="003932FE" w:rsidRPr="00694D5D">
        <w:rPr>
          <w:rFonts w:ascii="Times New Roman" w:hAnsi="Times New Roman" w:cs="Times New Roman"/>
        </w:rPr>
        <w:t xml:space="preserve">, </w:t>
      </w:r>
      <w:r w:rsidRPr="00694D5D">
        <w:rPr>
          <w:rFonts w:ascii="Times New Roman" w:hAnsi="Times New Roman" w:cs="Times New Roman"/>
        </w:rPr>
        <w:t>particularly perception of location as vital for commercial viability is being put into question</w:t>
      </w:r>
      <w:r w:rsidR="003D51D0">
        <w:rPr>
          <w:rFonts w:ascii="Times New Roman" w:hAnsi="Times New Roman" w:cs="Times New Roman"/>
        </w:rPr>
        <w:t xml:space="preserve"> </w:t>
      </w:r>
      <w:r w:rsidR="003D51D0">
        <w:t>(El-Gohary et al. 2021)</w:t>
      </w:r>
      <w:r w:rsidRPr="00694D5D">
        <w:rPr>
          <w:rFonts w:ascii="Times New Roman" w:hAnsi="Times New Roman" w:cs="Times New Roman"/>
        </w:rPr>
        <w:t xml:space="preserve">. While such a change can bring </w:t>
      </w:r>
      <w:r w:rsidR="00BB5F25" w:rsidRPr="00694D5D">
        <w:rPr>
          <w:rFonts w:ascii="Times New Roman" w:hAnsi="Times New Roman" w:cs="Times New Roman"/>
        </w:rPr>
        <w:t>short-term</w:t>
      </w:r>
      <w:r w:rsidRPr="00694D5D">
        <w:rPr>
          <w:rFonts w:ascii="Times New Roman" w:hAnsi="Times New Roman" w:cs="Times New Roman"/>
        </w:rPr>
        <w:t xml:space="preserve"> cost advantages, these are likely to be regretted in the future. Disruptors were not the only ones eager to take advantage of new opportunities; traditional banks too have invested their money in separate digital-only banks</w:t>
      </w:r>
      <w:r w:rsidR="003D51D0">
        <w:rPr>
          <w:rFonts w:ascii="Times New Roman" w:hAnsi="Times New Roman" w:cs="Times New Roman"/>
        </w:rPr>
        <w:t xml:space="preserve"> </w:t>
      </w:r>
      <w:r w:rsidR="003D51D0">
        <w:t>(Dona &amp; Mokashi, Uma Mohan 2020)</w:t>
      </w:r>
      <w:r w:rsidRPr="00694D5D">
        <w:rPr>
          <w:rFonts w:ascii="Times New Roman" w:hAnsi="Times New Roman" w:cs="Times New Roman"/>
        </w:rPr>
        <w:t>. However, establishing a digital bank doesn’t mean that it will be successful in the competitive environment. So, beyond just the ability to bank digitally</w:t>
      </w:r>
      <w:r w:rsidR="00BB5F25" w:rsidRPr="00694D5D">
        <w:rPr>
          <w:rFonts w:ascii="Times New Roman" w:hAnsi="Times New Roman" w:cs="Times New Roman"/>
        </w:rPr>
        <w:t>,</w:t>
      </w:r>
      <w:r w:rsidRPr="00694D5D">
        <w:rPr>
          <w:rFonts w:ascii="Times New Roman" w:hAnsi="Times New Roman" w:cs="Times New Roman"/>
        </w:rPr>
        <w:t xml:space="preserve"> consumers need some </w:t>
      </w:r>
      <w:r w:rsidRPr="00694D5D">
        <w:rPr>
          <w:rFonts w:ascii="Times New Roman" w:hAnsi="Times New Roman" w:cs="Times New Roman"/>
        </w:rPr>
        <w:lastRenderedPageBreak/>
        <w:t>form of value and differentiation.</w:t>
      </w:r>
      <w:r w:rsidR="00C40AE5" w:rsidRPr="00694D5D">
        <w:rPr>
          <w:rFonts w:ascii="Times New Roman" w:hAnsi="Times New Roman" w:cs="Times New Roman"/>
        </w:rPr>
        <w:t xml:space="preserve"> </w:t>
      </w:r>
      <w:r w:rsidRPr="00694D5D">
        <w:rPr>
          <w:rFonts w:ascii="Times New Roman" w:hAnsi="Times New Roman" w:cs="Times New Roman"/>
        </w:rPr>
        <w:t>In addition, the scenery is not only about aligning with or competing against big tech and fintech companies.</w:t>
      </w:r>
    </w:p>
    <w:p w14:paraId="49D51D9D" w14:textId="3C4E12E3"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There is a growing trend towards the bank being invisible and autonomous with banking services becoming seamlessly </w:t>
      </w:r>
      <w:r w:rsidR="007776B9" w:rsidRPr="00694D5D">
        <w:rPr>
          <w:rFonts w:ascii="Times New Roman" w:hAnsi="Times New Roman" w:cs="Times New Roman"/>
        </w:rPr>
        <w:t>embedded</w:t>
      </w:r>
      <w:r w:rsidRPr="00694D5D">
        <w:rPr>
          <w:rFonts w:ascii="Times New Roman" w:hAnsi="Times New Roman" w:cs="Times New Roman"/>
        </w:rPr>
        <w:t xml:space="preserve"> where customers need them. Leading banks will create products and services as modular components while not vertically integrated. These modules will be configured differently, </w:t>
      </w:r>
      <w:r w:rsidR="00BB5F25" w:rsidRPr="00694D5D">
        <w:rPr>
          <w:rFonts w:ascii="Times New Roman" w:hAnsi="Times New Roman" w:cs="Times New Roman"/>
        </w:rPr>
        <w:t>to</w:t>
      </w:r>
      <w:r w:rsidRPr="00694D5D">
        <w:rPr>
          <w:rFonts w:ascii="Times New Roman" w:hAnsi="Times New Roman" w:cs="Times New Roman"/>
        </w:rPr>
        <w:t xml:space="preserve"> create personalized offerings either on the bank’s platform or others’ marketplaces and integrated into other touchpoints. Banks will need to </w:t>
      </w:r>
      <w:r w:rsidR="00BB5F25" w:rsidRPr="00694D5D">
        <w:rPr>
          <w:rFonts w:ascii="Times New Roman" w:hAnsi="Times New Roman" w:cs="Times New Roman"/>
        </w:rPr>
        <w:t>digitally</w:t>
      </w:r>
      <w:r w:rsidRPr="00694D5D">
        <w:rPr>
          <w:rFonts w:ascii="Times New Roman" w:hAnsi="Times New Roman" w:cs="Times New Roman"/>
        </w:rPr>
        <w:t xml:space="preserve"> transform as the disruption of traditional business models continues </w:t>
      </w:r>
      <w:r w:rsidR="00BB5F25" w:rsidRPr="00694D5D">
        <w:rPr>
          <w:rFonts w:ascii="Times New Roman" w:hAnsi="Times New Roman" w:cs="Times New Roman"/>
        </w:rPr>
        <w:t>to</w:t>
      </w:r>
      <w:r w:rsidRPr="00694D5D">
        <w:rPr>
          <w:rFonts w:ascii="Times New Roman" w:hAnsi="Times New Roman" w:cs="Times New Roman"/>
        </w:rPr>
        <w:t xml:space="preserve"> revise their pricing models and revenue streams. An increasing number of companies are looking </w:t>
      </w:r>
      <w:r w:rsidR="00BB5F25" w:rsidRPr="00694D5D">
        <w:rPr>
          <w:rFonts w:ascii="Times New Roman" w:hAnsi="Times New Roman" w:cs="Times New Roman"/>
        </w:rPr>
        <w:t>for</w:t>
      </w:r>
      <w:r w:rsidRPr="00694D5D">
        <w:rPr>
          <w:rFonts w:ascii="Times New Roman" w:hAnsi="Times New Roman" w:cs="Times New Roman"/>
        </w:rPr>
        <w:t xml:space="preserve"> ways they can benefit from the wave of new digital banking entrants by serving as a foundational infrastructure on which these people operate</w:t>
      </w:r>
      <w:r w:rsidR="003D51D0">
        <w:rPr>
          <w:rFonts w:ascii="Times New Roman" w:hAnsi="Times New Roman" w:cs="Times New Roman"/>
        </w:rPr>
        <w:t xml:space="preserve"> </w:t>
      </w:r>
      <w:r w:rsidR="003D51D0">
        <w:t>(El-Gohary et al. 2021)</w:t>
      </w:r>
      <w:r w:rsidRPr="00694D5D">
        <w:rPr>
          <w:rFonts w:ascii="Times New Roman" w:hAnsi="Times New Roman" w:cs="Times New Roman"/>
        </w:rPr>
        <w:t>. To achieve this, it still takes the process of packaging homegrown products or technology in a form that will show value and partners are willing to pay for services.</w:t>
      </w:r>
    </w:p>
    <w:p w14:paraId="0FDDE143"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3" w:name="_Toc158706255"/>
      <w:r w:rsidRPr="00694D5D">
        <w:rPr>
          <w:rFonts w:ascii="Times New Roman" w:hAnsi="Times New Roman" w:cs="Times New Roman"/>
        </w:rPr>
        <w:t>Research Questions</w:t>
      </w:r>
      <w:bookmarkEnd w:id="3"/>
    </w:p>
    <w:p w14:paraId="4E1776EB"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This research is targeted at analyzing the effects that digital transformation has on traditional banks </w:t>
      </w:r>
      <w:r w:rsidR="005F2EAE" w:rsidRPr="00694D5D">
        <w:rPr>
          <w:rFonts w:ascii="Times New Roman" w:hAnsi="Times New Roman" w:cs="Times New Roman"/>
        </w:rPr>
        <w:t>in</w:t>
      </w:r>
      <w:r w:rsidRPr="00694D5D">
        <w:rPr>
          <w:rFonts w:ascii="Times New Roman" w:hAnsi="Times New Roman" w:cs="Times New Roman"/>
        </w:rPr>
        <w:t xml:space="preserve"> </w:t>
      </w:r>
      <w:r w:rsidR="00BB5F25" w:rsidRPr="00694D5D">
        <w:rPr>
          <w:rFonts w:ascii="Times New Roman" w:hAnsi="Times New Roman" w:cs="Times New Roman"/>
        </w:rPr>
        <w:t xml:space="preserve">the </w:t>
      </w:r>
      <w:r w:rsidRPr="00694D5D">
        <w:rPr>
          <w:rFonts w:ascii="Times New Roman" w:hAnsi="Times New Roman" w:cs="Times New Roman"/>
        </w:rPr>
        <w:t>UK’s established banking system. The research is led by the following specific questions to attain this broad goal:</w:t>
      </w:r>
    </w:p>
    <w:p w14:paraId="4C91C5A8" w14:textId="66CC1F7A" w:rsidR="00EE08E6" w:rsidRPr="00A438E2" w:rsidRDefault="003932FE" w:rsidP="00A438E2">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How much has the traditional bank invested in digital technologies, and what specific technologies are prioritized in the digital transformation strategy?</w:t>
      </w:r>
    </w:p>
    <w:p w14:paraId="0F589F37" w14:textId="2AF2026F" w:rsidR="00EE08E6" w:rsidRPr="00694D5D" w:rsidRDefault="00EE08E6"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 xml:space="preserve">Using data protection and finance laws in the United Kingdom while transitioning digitally, how does the bank navigate those </w:t>
      </w:r>
      <w:r w:rsidR="00015CC7">
        <w:rPr>
          <w:rFonts w:ascii="Times New Roman" w:hAnsi="Times New Roman" w:cs="Times New Roman"/>
        </w:rPr>
        <w:t>laws</w:t>
      </w:r>
      <w:r w:rsidRPr="00694D5D">
        <w:rPr>
          <w:rFonts w:ascii="Times New Roman" w:hAnsi="Times New Roman" w:cs="Times New Roman"/>
        </w:rPr>
        <w:t>?</w:t>
      </w:r>
    </w:p>
    <w:p w14:paraId="55E0CB02" w14:textId="77777777" w:rsidR="00507222" w:rsidRPr="00694D5D" w:rsidRDefault="00CC5856"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Considering</w:t>
      </w:r>
      <w:r w:rsidR="00EE08E6" w:rsidRPr="00694D5D">
        <w:rPr>
          <w:rFonts w:ascii="Times New Roman" w:hAnsi="Times New Roman" w:cs="Times New Roman"/>
        </w:rPr>
        <w:t xml:space="preserve"> the current data and tendencies what patterns or tendentious can be distinguished which may give us an idea of where traditional banks might go in </w:t>
      </w:r>
      <w:r w:rsidR="00BB5F25" w:rsidRPr="00694D5D">
        <w:rPr>
          <w:rFonts w:ascii="Times New Roman" w:hAnsi="Times New Roman" w:cs="Times New Roman"/>
        </w:rPr>
        <w:t xml:space="preserve">the </w:t>
      </w:r>
      <w:r w:rsidR="00EE08E6" w:rsidRPr="00694D5D">
        <w:rPr>
          <w:rFonts w:ascii="Times New Roman" w:hAnsi="Times New Roman" w:cs="Times New Roman"/>
        </w:rPr>
        <w:t>digital era</w:t>
      </w:r>
      <w:r w:rsidR="00A959ED" w:rsidRPr="00694D5D">
        <w:rPr>
          <w:rFonts w:ascii="Times New Roman" w:hAnsi="Times New Roman" w:cs="Times New Roman"/>
        </w:rPr>
        <w:t>?</w:t>
      </w:r>
    </w:p>
    <w:p w14:paraId="2BD8F740" w14:textId="240D3AB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objectives contribute to the organization of background </w:t>
      </w:r>
      <w:r w:rsidR="00AA79BA" w:rsidRPr="00694D5D">
        <w:rPr>
          <w:rFonts w:ascii="Times New Roman" w:hAnsi="Times New Roman" w:cs="Times New Roman"/>
        </w:rPr>
        <w:t>research,</w:t>
      </w:r>
      <w:r w:rsidRPr="00694D5D">
        <w:rPr>
          <w:rFonts w:ascii="Times New Roman" w:hAnsi="Times New Roman" w:cs="Times New Roman"/>
        </w:rPr>
        <w:t xml:space="preserve"> hence secondary data analysis and its interpretation.</w:t>
      </w:r>
    </w:p>
    <w:p w14:paraId="3D921ED4"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4" w:name="_Toc158706256"/>
      <w:r w:rsidRPr="00694D5D">
        <w:rPr>
          <w:rFonts w:ascii="Times New Roman" w:hAnsi="Times New Roman" w:cs="Times New Roman"/>
        </w:rPr>
        <w:lastRenderedPageBreak/>
        <w:t>Objectives of the Study</w:t>
      </w:r>
      <w:bookmarkEnd w:id="4"/>
    </w:p>
    <w:p w14:paraId="29B576EB" w14:textId="724B8551"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 xml:space="preserve">This study aims to investigate the effect of digital reforms on ordinary banks in the UK’s traditional banking system. </w:t>
      </w:r>
    </w:p>
    <w:p w14:paraId="5FAB9C28" w14:textId="77777777"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Evaluate the impact of legislation on traditional banks’ digital transformation, particularly in terms of data protection and finance acts within the United Kingdom.</w:t>
      </w:r>
    </w:p>
    <w:p w14:paraId="5592A629" w14:textId="1BFC548E"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 xml:space="preserve">Predict trends and patterns from collected data to give predictions about the direction in which traditional banks are likely </w:t>
      </w:r>
      <w:r w:rsidR="00AA79BA" w:rsidRPr="00694D5D">
        <w:rPr>
          <w:rFonts w:ascii="Times New Roman" w:hAnsi="Times New Roman" w:cs="Times New Roman"/>
        </w:rPr>
        <w:t>to go,</w:t>
      </w:r>
      <w:r w:rsidRPr="00694D5D">
        <w:rPr>
          <w:rFonts w:ascii="Times New Roman" w:hAnsi="Times New Roman" w:cs="Times New Roman"/>
        </w:rPr>
        <w:t xml:space="preserve"> especially as regards standard banking during </w:t>
      </w:r>
      <w:r w:rsidR="005F2EAE" w:rsidRPr="00694D5D">
        <w:rPr>
          <w:rFonts w:ascii="Times New Roman" w:hAnsi="Times New Roman" w:cs="Times New Roman"/>
        </w:rPr>
        <w:t xml:space="preserve">the </w:t>
      </w:r>
      <w:r w:rsidRPr="00694D5D">
        <w:rPr>
          <w:rFonts w:ascii="Times New Roman" w:hAnsi="Times New Roman" w:cs="Times New Roman"/>
        </w:rPr>
        <w:t>digital age.</w:t>
      </w:r>
    </w:p>
    <w:p w14:paraId="75FD67DB"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5" w:name="_Toc158706257"/>
      <w:r w:rsidRPr="00694D5D">
        <w:rPr>
          <w:rFonts w:ascii="Times New Roman" w:hAnsi="Times New Roman" w:cs="Times New Roman"/>
        </w:rPr>
        <w:t>Structure of the Dissertation</w:t>
      </w:r>
      <w:bookmarkEnd w:id="5"/>
    </w:p>
    <w:p w14:paraId="15862B28" w14:textId="756BA533" w:rsidR="00EE08E6" w:rsidRPr="00694D5D" w:rsidRDefault="00AA79BA" w:rsidP="00694D5D">
      <w:pPr>
        <w:spacing w:line="360" w:lineRule="auto"/>
        <w:jc w:val="both"/>
        <w:rPr>
          <w:rFonts w:ascii="Times New Roman" w:hAnsi="Times New Roman" w:cs="Times New Roman"/>
        </w:rPr>
      </w:pPr>
      <w:r>
        <w:rPr>
          <w:rFonts w:ascii="Times New Roman" w:hAnsi="Times New Roman" w:cs="Times New Roman"/>
        </w:rPr>
        <w:t>T</w:t>
      </w:r>
      <w:r w:rsidR="00EE08E6" w:rsidRPr="00694D5D">
        <w:rPr>
          <w:rFonts w:ascii="Times New Roman" w:hAnsi="Times New Roman" w:cs="Times New Roman"/>
        </w:rPr>
        <w:t xml:space="preserve">his dissertation is organized to offer a detailed analysis of the effects of digitalization </w:t>
      </w:r>
      <w:r w:rsidR="005F2EAE" w:rsidRPr="00694D5D">
        <w:rPr>
          <w:rFonts w:ascii="Times New Roman" w:hAnsi="Times New Roman" w:cs="Times New Roman"/>
        </w:rPr>
        <w:t>on</w:t>
      </w:r>
      <w:r w:rsidR="00EE08E6" w:rsidRPr="00694D5D">
        <w:rPr>
          <w:rFonts w:ascii="Times New Roman" w:hAnsi="Times New Roman" w:cs="Times New Roman"/>
        </w:rPr>
        <w:t xml:space="preserve"> traditional banking within the UK’s usual banking environment. The structure is arranged such that information flows logically from beginning to end, starting with an introduction for the framework within which this research made sense further followed by a comprehensive literature review </w:t>
      </w:r>
      <w:r w:rsidR="00CC5856" w:rsidRPr="00694D5D">
        <w:rPr>
          <w:rFonts w:ascii="Times New Roman" w:hAnsi="Times New Roman" w:cs="Times New Roman"/>
        </w:rPr>
        <w:t>presentation</w:t>
      </w:r>
      <w:r w:rsidR="00EE08E6" w:rsidRPr="00694D5D">
        <w:rPr>
          <w:rFonts w:ascii="Times New Roman" w:hAnsi="Times New Roman" w:cs="Times New Roman"/>
        </w:rPr>
        <w:t>.</w:t>
      </w:r>
    </w:p>
    <w:p w14:paraId="573254E7" w14:textId="1C78238E"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In the first section, for instance, this dissertation begins by pointing out how significantly digital technologies have impacted on legacy banking. With that backdrop, one can now investigate the implications of digitalization while highlighting how crucial this phenomenon has become</w:t>
      </w:r>
      <w:r w:rsidR="00C40AE5" w:rsidRPr="00694D5D">
        <w:rPr>
          <w:rFonts w:ascii="Times New Roman" w:hAnsi="Times New Roman" w:cs="Times New Roman"/>
        </w:rPr>
        <w:t xml:space="preserve">. </w:t>
      </w:r>
      <w:r w:rsidRPr="00694D5D">
        <w:rPr>
          <w:rFonts w:ascii="Times New Roman" w:hAnsi="Times New Roman" w:cs="Times New Roman"/>
        </w:rPr>
        <w:t xml:space="preserve">The introduction presents the essence of comprehending the impact on traditional banks by a digital revolution, and it outlines which parts will characterize this research. </w:t>
      </w:r>
      <w:r w:rsidR="005F2EAE" w:rsidRPr="00694D5D">
        <w:rPr>
          <w:rFonts w:ascii="Times New Roman" w:hAnsi="Times New Roman" w:cs="Times New Roman"/>
        </w:rPr>
        <w:t>The</w:t>
      </w:r>
      <w:r w:rsidRPr="00694D5D">
        <w:rPr>
          <w:rFonts w:ascii="Times New Roman" w:hAnsi="Times New Roman" w:cs="Times New Roman"/>
        </w:rPr>
        <w:t xml:space="preserve"> literature review section of the dissertation critically reviews existing scholarly works and industry reports. It takes a deep look into the rapid advancements in technology, evolving consumer tastes and requirements as well as the challenges involved with adherence to banking regulations. The literature review aims to offer an overview of the multiple effects that digitalization has on traditional banking based on trustworthy sources like reliable consultancy firms and regulatory bodies.</w:t>
      </w:r>
    </w:p>
    <w:p w14:paraId="40F004AC" w14:textId="4667A7B2"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methodology section clarifies what approach to the study was selected </w:t>
      </w:r>
      <w:r w:rsidR="005F2EAE" w:rsidRPr="00694D5D">
        <w:rPr>
          <w:rFonts w:ascii="Times New Roman" w:hAnsi="Times New Roman" w:cs="Times New Roman"/>
        </w:rPr>
        <w:t xml:space="preserve">for </w:t>
      </w:r>
      <w:r w:rsidRPr="00694D5D">
        <w:rPr>
          <w:rFonts w:ascii="Times New Roman" w:hAnsi="Times New Roman" w:cs="Times New Roman"/>
        </w:rPr>
        <w:t xml:space="preserve">secondary data analysis. This one is a detailed scrutiny of public records such as annual reports, financial statements, </w:t>
      </w:r>
      <w:r w:rsidR="005F2EAE" w:rsidRPr="00694D5D">
        <w:rPr>
          <w:rFonts w:ascii="Times New Roman" w:hAnsi="Times New Roman" w:cs="Times New Roman"/>
        </w:rPr>
        <w:t xml:space="preserve">and </w:t>
      </w:r>
      <w:r w:rsidRPr="00694D5D">
        <w:rPr>
          <w:rFonts w:ascii="Times New Roman" w:hAnsi="Times New Roman" w:cs="Times New Roman"/>
        </w:rPr>
        <w:t xml:space="preserve">regulatory documents among others including news releases on websites or in the print media and research </w:t>
      </w:r>
      <w:r w:rsidR="00CC5856" w:rsidRPr="00694D5D">
        <w:rPr>
          <w:rFonts w:ascii="Times New Roman" w:hAnsi="Times New Roman" w:cs="Times New Roman"/>
        </w:rPr>
        <w:t>articles, industry</w:t>
      </w:r>
      <w:r w:rsidRPr="00694D5D">
        <w:rPr>
          <w:rFonts w:ascii="Times New Roman" w:hAnsi="Times New Roman" w:cs="Times New Roman"/>
        </w:rPr>
        <w:t xml:space="preserve"> analysis from firms </w:t>
      </w:r>
      <w:r w:rsidR="00CC5856" w:rsidRPr="00694D5D">
        <w:rPr>
          <w:rFonts w:ascii="Times New Roman" w:hAnsi="Times New Roman" w:cs="Times New Roman"/>
        </w:rPr>
        <w:t>analyzed</w:t>
      </w:r>
      <w:r w:rsidR="005F2EAE" w:rsidRPr="00694D5D">
        <w:rPr>
          <w:rFonts w:ascii="Times New Roman" w:hAnsi="Times New Roman" w:cs="Times New Roman"/>
        </w:rPr>
        <w:t>,</w:t>
      </w:r>
      <w:r w:rsidRPr="00694D5D">
        <w:rPr>
          <w:rFonts w:ascii="Times New Roman" w:hAnsi="Times New Roman" w:cs="Times New Roman"/>
        </w:rPr>
        <w:t xml:space="preserve"> etc. It is a rigorous approach that provides the banker with an in-depth understanding of how traditional banks are </w:t>
      </w:r>
      <w:r w:rsidRPr="00694D5D">
        <w:rPr>
          <w:rFonts w:ascii="Times New Roman" w:hAnsi="Times New Roman" w:cs="Times New Roman"/>
        </w:rPr>
        <w:lastRenderedPageBreak/>
        <w:t xml:space="preserve">undergoing </w:t>
      </w:r>
      <w:r w:rsidR="005F2EAE" w:rsidRPr="00694D5D">
        <w:rPr>
          <w:rFonts w:ascii="Times New Roman" w:hAnsi="Times New Roman" w:cs="Times New Roman"/>
        </w:rPr>
        <w:t xml:space="preserve">a </w:t>
      </w:r>
      <w:r w:rsidRPr="00694D5D">
        <w:rPr>
          <w:rFonts w:ascii="Times New Roman" w:hAnsi="Times New Roman" w:cs="Times New Roman"/>
        </w:rPr>
        <w:t xml:space="preserve">digitalization journey within </w:t>
      </w:r>
      <w:r w:rsidR="005F2EAE" w:rsidRPr="00694D5D">
        <w:rPr>
          <w:rFonts w:ascii="Times New Roman" w:hAnsi="Times New Roman" w:cs="Times New Roman"/>
        </w:rPr>
        <w:t xml:space="preserve">the </w:t>
      </w:r>
      <w:r w:rsidRPr="00694D5D">
        <w:rPr>
          <w:rFonts w:ascii="Times New Roman" w:hAnsi="Times New Roman" w:cs="Times New Roman"/>
        </w:rPr>
        <w:t>UK’s financial landscape. This section of analysis uses qualitative</w:t>
      </w:r>
      <w:r w:rsidR="00940B78">
        <w:rPr>
          <w:rFonts w:ascii="Times New Roman" w:hAnsi="Times New Roman" w:cs="Times New Roman"/>
        </w:rPr>
        <w:t xml:space="preserve"> analysis,</w:t>
      </w:r>
      <w:r w:rsidRPr="00694D5D">
        <w:rPr>
          <w:rFonts w:ascii="Times New Roman" w:hAnsi="Times New Roman" w:cs="Times New Roman"/>
        </w:rPr>
        <w:t xml:space="preserve"> trend </w:t>
      </w:r>
      <w:r w:rsidR="005F2EAE" w:rsidRPr="00694D5D">
        <w:rPr>
          <w:rFonts w:ascii="Times New Roman" w:hAnsi="Times New Roman" w:cs="Times New Roman"/>
        </w:rPr>
        <w:t>analysis,</w:t>
      </w:r>
      <w:r w:rsidRPr="00694D5D">
        <w:rPr>
          <w:rFonts w:ascii="Times New Roman" w:hAnsi="Times New Roman" w:cs="Times New Roman"/>
        </w:rPr>
        <w:t xml:space="preserve"> and comparative evaluation. The languages used in business are primarily nonverbal, but they also include verbal language and written words that help communicate the proper message to others.</w:t>
      </w:r>
    </w:p>
    <w:p w14:paraId="52F023C2" w14:textId="77777777" w:rsidR="008C3A4F"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discussion section that follows offers a critical interpretation of the findings, situating them </w:t>
      </w:r>
      <w:r w:rsidR="005F2EAE" w:rsidRPr="00694D5D">
        <w:rPr>
          <w:rFonts w:ascii="Times New Roman" w:hAnsi="Times New Roman" w:cs="Times New Roman"/>
        </w:rPr>
        <w:t>about</w:t>
      </w:r>
      <w:r w:rsidRPr="00694D5D">
        <w:rPr>
          <w:rFonts w:ascii="Times New Roman" w:hAnsi="Times New Roman" w:cs="Times New Roman"/>
        </w:rPr>
        <w:t xml:space="preserve"> initial research objectives and their implications for the wider backdrop regarding </w:t>
      </w:r>
      <w:r w:rsidR="005F2EAE" w:rsidRPr="00694D5D">
        <w:rPr>
          <w:rFonts w:ascii="Times New Roman" w:hAnsi="Times New Roman" w:cs="Times New Roman"/>
        </w:rPr>
        <w:t xml:space="preserve">the </w:t>
      </w:r>
      <w:r w:rsidRPr="00694D5D">
        <w:rPr>
          <w:rFonts w:ascii="Times New Roman" w:hAnsi="Times New Roman" w:cs="Times New Roman"/>
        </w:rPr>
        <w:t>UK banking environment. This section discusses the impact of digitalization on established banking services, customer choices</w:t>
      </w:r>
      <w:r w:rsidR="005F2EAE" w:rsidRPr="00694D5D">
        <w:rPr>
          <w:rFonts w:ascii="Times New Roman" w:hAnsi="Times New Roman" w:cs="Times New Roman"/>
        </w:rPr>
        <w:t>,</w:t>
      </w:r>
      <w:r w:rsidRPr="00694D5D">
        <w:rPr>
          <w:rFonts w:ascii="Times New Roman" w:hAnsi="Times New Roman" w:cs="Times New Roman"/>
        </w:rPr>
        <w:t xml:space="preserve"> and regulatory concerns. Finally, the dissertation </w:t>
      </w:r>
      <w:r w:rsidR="005F2EAE" w:rsidRPr="00694D5D">
        <w:rPr>
          <w:rFonts w:ascii="Times New Roman" w:hAnsi="Times New Roman" w:cs="Times New Roman"/>
        </w:rPr>
        <w:t>summarizes</w:t>
      </w:r>
      <w:r w:rsidRPr="00694D5D">
        <w:rPr>
          <w:rFonts w:ascii="Times New Roman" w:hAnsi="Times New Roman" w:cs="Times New Roman"/>
        </w:rPr>
        <w:t xml:space="preserve"> key findings and insights gleaned from its analysis and discussion. It considers the wider impact of digital disruption in traditional banking services within the UK and concludes this research, summarizing its overall contribution to current knowledge.</w:t>
      </w:r>
    </w:p>
    <w:p w14:paraId="6198AB2E" w14:textId="77777777" w:rsidR="00A72D3F" w:rsidRPr="00694D5D" w:rsidRDefault="008C3A4F" w:rsidP="00694D5D">
      <w:pPr>
        <w:spacing w:line="360" w:lineRule="auto"/>
        <w:jc w:val="both"/>
        <w:rPr>
          <w:rFonts w:ascii="Times New Roman" w:hAnsi="Times New Roman" w:cs="Times New Roman"/>
        </w:rPr>
      </w:pPr>
      <w:r w:rsidRPr="00694D5D">
        <w:rPr>
          <w:rFonts w:ascii="Times New Roman" w:hAnsi="Times New Roman" w:cs="Times New Roman"/>
        </w:rPr>
        <w:br w:type="page"/>
      </w:r>
    </w:p>
    <w:p w14:paraId="38EBFE85" w14:textId="77777777" w:rsidR="0074666C" w:rsidRPr="00694D5D" w:rsidRDefault="0074666C" w:rsidP="002F4ADE">
      <w:pPr>
        <w:pStyle w:val="Heading1"/>
        <w:numPr>
          <w:ilvl w:val="0"/>
          <w:numId w:val="8"/>
        </w:numPr>
        <w:spacing w:line="360" w:lineRule="auto"/>
        <w:jc w:val="both"/>
        <w:rPr>
          <w:rFonts w:ascii="Times New Roman" w:hAnsi="Times New Roman" w:cs="Times New Roman"/>
        </w:rPr>
      </w:pPr>
      <w:bookmarkStart w:id="6" w:name="_Toc158706258"/>
      <w:r w:rsidRPr="00694D5D">
        <w:rPr>
          <w:rFonts w:ascii="Times New Roman" w:hAnsi="Times New Roman" w:cs="Times New Roman"/>
        </w:rPr>
        <w:lastRenderedPageBreak/>
        <w:t>Literature Review</w:t>
      </w:r>
      <w:bookmarkEnd w:id="6"/>
    </w:p>
    <w:p w14:paraId="509002FE" w14:textId="77777777" w:rsidR="0074666C" w:rsidRPr="00694D5D" w:rsidRDefault="0074666C" w:rsidP="002F4ADE">
      <w:pPr>
        <w:pStyle w:val="Heading1"/>
        <w:numPr>
          <w:ilvl w:val="1"/>
          <w:numId w:val="8"/>
        </w:numPr>
        <w:spacing w:line="360" w:lineRule="auto"/>
        <w:jc w:val="both"/>
        <w:rPr>
          <w:rFonts w:ascii="Times New Roman" w:hAnsi="Times New Roman" w:cs="Times New Roman"/>
        </w:rPr>
      </w:pPr>
      <w:bookmarkStart w:id="7" w:name="_Toc158706259"/>
      <w:r w:rsidRPr="00694D5D">
        <w:rPr>
          <w:rFonts w:ascii="Times New Roman" w:hAnsi="Times New Roman" w:cs="Times New Roman"/>
        </w:rPr>
        <w:t>Overview of Digital Transformation in Banking</w:t>
      </w:r>
      <w:bookmarkEnd w:id="7"/>
    </w:p>
    <w:p w14:paraId="3FCF9979"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Digital transformation has </w:t>
      </w:r>
      <w:r w:rsidR="00CC5856" w:rsidRPr="00694D5D">
        <w:rPr>
          <w:rFonts w:ascii="Times New Roman" w:hAnsi="Times New Roman" w:cs="Times New Roman"/>
        </w:rPr>
        <w:t>become</w:t>
      </w:r>
      <w:r w:rsidRPr="00694D5D">
        <w:rPr>
          <w:rFonts w:ascii="Times New Roman" w:hAnsi="Times New Roman" w:cs="Times New Roman"/>
        </w:rPr>
        <w:t xml:space="preserve"> a defining driver in the banking industry, transforming what was once considered traditional and changing the way financial institutions conduct their business, interact with clients, </w:t>
      </w:r>
      <w:r w:rsidR="005F2EAE" w:rsidRPr="00694D5D">
        <w:rPr>
          <w:rFonts w:ascii="Times New Roman" w:hAnsi="Times New Roman" w:cs="Times New Roman"/>
        </w:rPr>
        <w:t xml:space="preserve">and </w:t>
      </w:r>
      <w:r w:rsidRPr="00694D5D">
        <w:rPr>
          <w:rFonts w:ascii="Times New Roman" w:hAnsi="Times New Roman" w:cs="Times New Roman"/>
        </w:rPr>
        <w:t>provide services</w:t>
      </w:r>
      <w:r w:rsidR="00075B2C">
        <w:rPr>
          <w:rFonts w:ascii="Times New Roman" w:hAnsi="Times New Roman" w:cs="Times New Roman"/>
        </w:rPr>
        <w:t xml:space="preserve"> </w:t>
      </w:r>
      <w:r w:rsidR="00075B2C">
        <w:t>(El-Gohary et al. 2021)</w:t>
      </w:r>
      <w:r w:rsidRPr="00694D5D">
        <w:rPr>
          <w:rFonts w:ascii="Times New Roman" w:hAnsi="Times New Roman" w:cs="Times New Roman"/>
        </w:rPr>
        <w:t xml:space="preserve">. This is a complete shift that goes beyond just being an upgrade in technology; it involves the total reinvention of business processes, strategies, and how businesses interact with customers. Technological developments have led to changes in consumer behaviors and the need for competition within a developing financial environment that has helped speed up the banking industry’s journey </w:t>
      </w:r>
      <w:r w:rsidR="005F2EAE" w:rsidRPr="00694D5D">
        <w:rPr>
          <w:rFonts w:ascii="Times New Roman" w:hAnsi="Times New Roman" w:cs="Times New Roman"/>
        </w:rPr>
        <w:t>toward</w:t>
      </w:r>
      <w:r w:rsidRPr="00694D5D">
        <w:rPr>
          <w:rFonts w:ascii="Times New Roman" w:hAnsi="Times New Roman" w:cs="Times New Roman"/>
        </w:rPr>
        <w:t xml:space="preserve"> digital transformation</w:t>
      </w:r>
      <w:r w:rsidR="00075B2C">
        <w:rPr>
          <w:rFonts w:ascii="Times New Roman" w:hAnsi="Times New Roman" w:cs="Times New Roman"/>
        </w:rPr>
        <w:t xml:space="preserve"> </w:t>
      </w:r>
      <w:r w:rsidR="00075B2C">
        <w:t xml:space="preserve">(Gurumurthy &amp; </w:t>
      </w:r>
      <w:proofErr w:type="spellStart"/>
      <w:r w:rsidR="00075B2C">
        <w:t>Schatsky</w:t>
      </w:r>
      <w:proofErr w:type="spellEnd"/>
      <w:r w:rsidR="00075B2C">
        <w:t xml:space="preserve"> 2019)</w:t>
      </w:r>
      <w:r w:rsidRPr="00694D5D">
        <w:rPr>
          <w:rFonts w:ascii="Times New Roman" w:hAnsi="Times New Roman" w:cs="Times New Roman"/>
        </w:rPr>
        <w:t>.</w:t>
      </w:r>
    </w:p>
    <w:p w14:paraId="1A3F9093"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8" w:name="_Toc158706260"/>
      <w:r w:rsidRPr="00694D5D">
        <w:rPr>
          <w:rFonts w:ascii="Times New Roman" w:hAnsi="Times New Roman" w:cs="Times New Roman"/>
        </w:rPr>
        <w:t>Technological Backgrounds of Digital Transformation</w:t>
      </w:r>
      <w:bookmarkEnd w:id="8"/>
    </w:p>
    <w:p w14:paraId="139A142C" w14:textId="089903DC"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digital transformation in banking stands for a major change to the work processes of financial institutions. In an ever-changing technological environment, adjustment is essential for banks to be able to maintain a competitive edge over their counterparts, run efficiently</w:t>
      </w:r>
      <w:r w:rsidR="005F2EAE" w:rsidRPr="00694D5D">
        <w:rPr>
          <w:rFonts w:ascii="Times New Roman" w:hAnsi="Times New Roman" w:cs="Times New Roman"/>
        </w:rPr>
        <w:t>,</w:t>
      </w:r>
      <w:r w:rsidRPr="00694D5D">
        <w:rPr>
          <w:rFonts w:ascii="Times New Roman" w:hAnsi="Times New Roman" w:cs="Times New Roman"/>
        </w:rPr>
        <w:t xml:space="preserve"> and meet the changing needs of customers</w:t>
      </w:r>
      <w:r w:rsidR="00582675">
        <w:rPr>
          <w:rFonts w:ascii="Times New Roman" w:hAnsi="Times New Roman" w:cs="Times New Roman"/>
        </w:rPr>
        <w:t xml:space="preserve"> </w:t>
      </w:r>
      <w:r w:rsidR="00582675">
        <w:t>(Ivey 2023)</w:t>
      </w:r>
      <w:r w:rsidRPr="00694D5D">
        <w:rPr>
          <w:rFonts w:ascii="Times New Roman" w:hAnsi="Times New Roman" w:cs="Times New Roman"/>
        </w:rPr>
        <w:t xml:space="preserve">. At the heart of this transformation, there is a significant increase in advanced technologies such as Artificial Intelligence </w:t>
      </w:r>
      <w:r w:rsidR="00CC5856" w:rsidRPr="00694D5D">
        <w:rPr>
          <w:rFonts w:ascii="Times New Roman" w:hAnsi="Times New Roman" w:cs="Times New Roman"/>
        </w:rPr>
        <w:t>AI,</w:t>
      </w:r>
      <w:r w:rsidRPr="00694D5D">
        <w:rPr>
          <w:rFonts w:ascii="Times New Roman" w:hAnsi="Times New Roman" w:cs="Times New Roman"/>
        </w:rPr>
        <w:t xml:space="preserve"> machine learning, blockchain</w:t>
      </w:r>
      <w:r w:rsidR="005F2EAE" w:rsidRPr="00694D5D">
        <w:rPr>
          <w:rFonts w:ascii="Times New Roman" w:hAnsi="Times New Roman" w:cs="Times New Roman"/>
        </w:rPr>
        <w:t>,</w:t>
      </w:r>
      <w:r w:rsidRPr="00694D5D">
        <w:rPr>
          <w:rFonts w:ascii="Times New Roman" w:hAnsi="Times New Roman" w:cs="Times New Roman"/>
        </w:rPr>
        <w:t xml:space="preserve"> and data analytics. AI plays a crucial role in rethinking banking operations. It is also used in process automation, decision-making enhancement processes</w:t>
      </w:r>
      <w:r w:rsidR="005F2EAE" w:rsidRPr="00694D5D">
        <w:rPr>
          <w:rFonts w:ascii="Times New Roman" w:hAnsi="Times New Roman" w:cs="Times New Roman"/>
        </w:rPr>
        <w:t>,</w:t>
      </w:r>
      <w:r w:rsidRPr="00694D5D">
        <w:rPr>
          <w:rFonts w:ascii="Times New Roman" w:hAnsi="Times New Roman" w:cs="Times New Roman"/>
        </w:rPr>
        <w:t xml:space="preserve"> and personalized customer experience delivery</w:t>
      </w:r>
      <w:r w:rsidR="00D5270B">
        <w:rPr>
          <w:rFonts w:ascii="Times New Roman" w:hAnsi="Times New Roman" w:cs="Times New Roman"/>
        </w:rPr>
        <w:t xml:space="preserve">. </w:t>
      </w:r>
      <w:r w:rsidRPr="00694D5D">
        <w:rPr>
          <w:rFonts w:ascii="Times New Roman" w:hAnsi="Times New Roman" w:cs="Times New Roman"/>
        </w:rPr>
        <w:t>Machine learning algorithms are powered by large datasets that identify patterns, detect anomalies</w:t>
      </w:r>
      <w:r w:rsidR="005F2EAE" w:rsidRPr="00694D5D">
        <w:rPr>
          <w:rFonts w:ascii="Times New Roman" w:hAnsi="Times New Roman" w:cs="Times New Roman"/>
        </w:rPr>
        <w:t>,</w:t>
      </w:r>
      <w:r w:rsidRPr="00694D5D">
        <w:rPr>
          <w:rFonts w:ascii="Times New Roman" w:hAnsi="Times New Roman" w:cs="Times New Roman"/>
        </w:rPr>
        <w:t xml:space="preserve"> and contribute to better risk management. With its secure and </w:t>
      </w:r>
      <w:r w:rsidR="0040220F" w:rsidRPr="00694D5D">
        <w:rPr>
          <w:rFonts w:ascii="Times New Roman" w:hAnsi="Times New Roman" w:cs="Times New Roman"/>
        </w:rPr>
        <w:t>temper</w:t>
      </w:r>
      <w:r w:rsidRPr="00694D5D">
        <w:rPr>
          <w:rFonts w:ascii="Times New Roman" w:hAnsi="Times New Roman" w:cs="Times New Roman"/>
        </w:rPr>
        <w:t>-proof nature, it allows for transparent transactions which foster trust in digital financial interactions.</w:t>
      </w:r>
    </w:p>
    <w:p w14:paraId="19049B60"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9" w:name="_Toc158706261"/>
      <w:r w:rsidRPr="00694D5D">
        <w:rPr>
          <w:rFonts w:ascii="Times New Roman" w:hAnsi="Times New Roman" w:cs="Times New Roman"/>
        </w:rPr>
        <w:t>Customer-Centric Evolution</w:t>
      </w:r>
      <w:bookmarkEnd w:id="9"/>
    </w:p>
    <w:p w14:paraId="60C97EF9" w14:textId="55096CEA"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In the banking industry, customer experience </w:t>
      </w:r>
      <w:r w:rsidR="005F2EAE" w:rsidRPr="00694D5D">
        <w:rPr>
          <w:rFonts w:ascii="Times New Roman" w:hAnsi="Times New Roman" w:cs="Times New Roman"/>
        </w:rPr>
        <w:t>has become</w:t>
      </w:r>
      <w:r w:rsidRPr="00694D5D">
        <w:rPr>
          <w:rFonts w:ascii="Times New Roman" w:hAnsi="Times New Roman" w:cs="Times New Roman"/>
        </w:rPr>
        <w:t xml:space="preserve"> a main topic of digital transformation. Traditional banks are transforming into customer-centric institutions that use digital platforms to facilitate smooth and tailored interactions</w:t>
      </w:r>
      <w:r w:rsidR="00FC131D">
        <w:rPr>
          <w:rFonts w:ascii="Times New Roman" w:hAnsi="Times New Roman" w:cs="Times New Roman"/>
        </w:rPr>
        <w:t xml:space="preserve"> </w:t>
      </w:r>
      <w:r w:rsidR="00FC131D">
        <w:t>(M et al. 2022)</w:t>
      </w:r>
      <w:r w:rsidRPr="00694D5D">
        <w:rPr>
          <w:rFonts w:ascii="Times New Roman" w:hAnsi="Times New Roman" w:cs="Times New Roman"/>
        </w:rPr>
        <w:t>. Most modern banks have embraced mobile banking apps, online platforms</w:t>
      </w:r>
      <w:r w:rsidR="005F2EAE" w:rsidRPr="00694D5D">
        <w:rPr>
          <w:rFonts w:ascii="Times New Roman" w:hAnsi="Times New Roman" w:cs="Times New Roman"/>
        </w:rPr>
        <w:t>,</w:t>
      </w:r>
      <w:r w:rsidRPr="00694D5D">
        <w:rPr>
          <w:rFonts w:ascii="Times New Roman" w:hAnsi="Times New Roman" w:cs="Times New Roman"/>
        </w:rPr>
        <w:t xml:space="preserve"> and chatbots as part of their operations. In addition to making transactions easy, these tools allow customers convenient access to a wide variety of </w:t>
      </w:r>
      <w:proofErr w:type="gramStart"/>
      <w:r w:rsidR="00CD47B1" w:rsidRPr="00694D5D">
        <w:rPr>
          <w:rFonts w:ascii="Times New Roman" w:hAnsi="Times New Roman" w:cs="Times New Roman"/>
        </w:rPr>
        <w:t xml:space="preserve">24 </w:t>
      </w:r>
      <w:r w:rsidR="00CD47B1" w:rsidRPr="00694D5D">
        <w:rPr>
          <w:rFonts w:ascii="Times New Roman" w:hAnsi="Times New Roman" w:cs="Times New Roman"/>
        </w:rPr>
        <w:lastRenderedPageBreak/>
        <w:t>hours</w:t>
      </w:r>
      <w:proofErr w:type="gramEnd"/>
      <w:r w:rsidR="00CD47B1" w:rsidRPr="00694D5D">
        <w:rPr>
          <w:rFonts w:ascii="Times New Roman" w:hAnsi="Times New Roman" w:cs="Times New Roman"/>
        </w:rPr>
        <w:t xml:space="preserve"> </w:t>
      </w:r>
      <w:r w:rsidRPr="00694D5D">
        <w:rPr>
          <w:rFonts w:ascii="Times New Roman" w:hAnsi="Times New Roman" w:cs="Times New Roman"/>
        </w:rPr>
        <w:t xml:space="preserve">financial services </w:t>
      </w:r>
      <w:r w:rsidR="00FC131D">
        <w:t xml:space="preserve">(Matt, Hess &amp; </w:t>
      </w:r>
      <w:proofErr w:type="spellStart"/>
      <w:r w:rsidR="00FC131D">
        <w:t>Benlian</w:t>
      </w:r>
      <w:proofErr w:type="spellEnd"/>
      <w:r w:rsidR="00FC131D">
        <w:t xml:space="preserve"> 2019)</w:t>
      </w:r>
      <w:r w:rsidR="00350A5D" w:rsidRPr="00694D5D">
        <w:rPr>
          <w:rFonts w:ascii="Times New Roman" w:hAnsi="Times New Roman" w:cs="Times New Roman"/>
        </w:rPr>
        <w:t xml:space="preserve">. </w:t>
      </w:r>
      <w:r w:rsidRPr="00694D5D">
        <w:rPr>
          <w:rFonts w:ascii="Times New Roman" w:hAnsi="Times New Roman" w:cs="Times New Roman"/>
        </w:rPr>
        <w:t xml:space="preserve">Fintech companies and digital-native banks are pushing into the industry, making competition more intense. These agile elements, powered by </w:t>
      </w:r>
      <w:r w:rsidR="0040220F" w:rsidRPr="00694D5D">
        <w:rPr>
          <w:rFonts w:ascii="Times New Roman" w:hAnsi="Times New Roman" w:cs="Times New Roman"/>
        </w:rPr>
        <w:t>technology,</w:t>
      </w:r>
      <w:r w:rsidRPr="00694D5D">
        <w:rPr>
          <w:rFonts w:ascii="Times New Roman" w:hAnsi="Times New Roman" w:cs="Times New Roman"/>
        </w:rPr>
        <w:t xml:space="preserve"> are usually faster than traditional banks when it comes to innovation and serving immediate market needs. To stay competitive and innovative, traditional banks are increasingly partnering with or acquiring fintech </w:t>
      </w:r>
      <w:r w:rsidR="00CC5856" w:rsidRPr="00694D5D">
        <w:rPr>
          <w:rFonts w:ascii="Times New Roman" w:hAnsi="Times New Roman" w:cs="Times New Roman"/>
        </w:rPr>
        <w:t>firms,</w:t>
      </w:r>
      <w:r w:rsidRPr="00694D5D">
        <w:rPr>
          <w:rFonts w:ascii="Times New Roman" w:hAnsi="Times New Roman" w:cs="Times New Roman"/>
        </w:rPr>
        <w:t xml:space="preserve"> integrating disruptive technologies into their infrastructures, </w:t>
      </w:r>
      <w:r w:rsidR="005F2EAE" w:rsidRPr="00694D5D">
        <w:rPr>
          <w:rFonts w:ascii="Times New Roman" w:hAnsi="Times New Roman" w:cs="Times New Roman"/>
        </w:rPr>
        <w:t xml:space="preserve">and </w:t>
      </w:r>
      <w:r w:rsidRPr="00694D5D">
        <w:rPr>
          <w:rFonts w:ascii="Times New Roman" w:hAnsi="Times New Roman" w:cs="Times New Roman"/>
        </w:rPr>
        <w:t>fostering a culture of innovation within the organizational frameworks.</w:t>
      </w:r>
    </w:p>
    <w:p w14:paraId="2D191324"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0" w:name="_Toc158706262"/>
      <w:r w:rsidRPr="00694D5D">
        <w:rPr>
          <w:rFonts w:ascii="Times New Roman" w:hAnsi="Times New Roman" w:cs="Times New Roman"/>
        </w:rPr>
        <w:t>Using Data for Insights and Security</w:t>
      </w:r>
      <w:bookmarkEnd w:id="10"/>
    </w:p>
    <w:p w14:paraId="36000925" w14:textId="3B993005"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Data plays a critical role in driving digital transformation for banks, helping them extract useful information. Advanced analytics is essential to the customer’s understanding of the behavior, customization of products and services offered</w:t>
      </w:r>
      <w:r w:rsidR="005F2EAE" w:rsidRPr="00694D5D">
        <w:rPr>
          <w:rFonts w:ascii="Times New Roman" w:hAnsi="Times New Roman" w:cs="Times New Roman"/>
        </w:rPr>
        <w:t>,</w:t>
      </w:r>
      <w:r w:rsidRPr="00694D5D">
        <w:rPr>
          <w:rFonts w:ascii="Times New Roman" w:hAnsi="Times New Roman" w:cs="Times New Roman"/>
        </w:rPr>
        <w:t xml:space="preserve"> and risk management. The use of big data supports the creation of predictive models where banks can predefine market trends, identify new opportunities</w:t>
      </w:r>
      <w:r w:rsidR="005F2EAE" w:rsidRPr="00694D5D">
        <w:rPr>
          <w:rFonts w:ascii="Times New Roman" w:hAnsi="Times New Roman" w:cs="Times New Roman"/>
        </w:rPr>
        <w:t>,</w:t>
      </w:r>
      <w:r w:rsidRPr="00694D5D">
        <w:rPr>
          <w:rFonts w:ascii="Times New Roman" w:hAnsi="Times New Roman" w:cs="Times New Roman"/>
        </w:rPr>
        <w:t xml:space="preserve"> and improve strategic decision-making</w:t>
      </w:r>
      <w:r w:rsidR="00FC131D">
        <w:rPr>
          <w:rFonts w:ascii="Times New Roman" w:hAnsi="Times New Roman" w:cs="Times New Roman"/>
        </w:rPr>
        <w:t xml:space="preserve"> </w:t>
      </w:r>
      <w:r w:rsidR="00FC131D">
        <w:t xml:space="preserve">(Gurumurthy &amp; </w:t>
      </w:r>
      <w:proofErr w:type="spellStart"/>
      <w:r w:rsidR="00FC131D">
        <w:t>Schatsky</w:t>
      </w:r>
      <w:proofErr w:type="spellEnd"/>
      <w:r w:rsidR="00FC131D">
        <w:t xml:space="preserve"> 2019)</w:t>
      </w:r>
      <w:r w:rsidRPr="00694D5D">
        <w:rPr>
          <w:rFonts w:ascii="Times New Roman" w:hAnsi="Times New Roman" w:cs="Times New Roman"/>
        </w:rPr>
        <w:t xml:space="preserve">. In the digital age, </w:t>
      </w:r>
      <w:r w:rsidR="001950B7" w:rsidRPr="00694D5D">
        <w:rPr>
          <w:rFonts w:ascii="Times New Roman" w:hAnsi="Times New Roman" w:cs="Times New Roman"/>
        </w:rPr>
        <w:t>security</w:t>
      </w:r>
      <w:r w:rsidRPr="00694D5D">
        <w:rPr>
          <w:rFonts w:ascii="Times New Roman" w:hAnsi="Times New Roman" w:cs="Times New Roman"/>
        </w:rPr>
        <w:t xml:space="preserve"> and regulatory compliance continue to be paramount. With finances becoming increasingly digitalized, the safety of customer data and strict compliance with regulatory requirements become non-negotiable necessities</w:t>
      </w:r>
      <w:r w:rsidR="009F5018">
        <w:rPr>
          <w:rFonts w:ascii="Times New Roman" w:hAnsi="Times New Roman" w:cs="Times New Roman"/>
        </w:rPr>
        <w:t xml:space="preserve"> </w:t>
      </w:r>
      <w:r w:rsidR="009F5018">
        <w:t>(Gogia &amp; Chakraborty 2022)</w:t>
      </w:r>
      <w:r w:rsidRPr="00694D5D">
        <w:rPr>
          <w:rFonts w:ascii="Times New Roman" w:hAnsi="Times New Roman" w:cs="Times New Roman"/>
        </w:rPr>
        <w:t xml:space="preserve">. The COVID-19 pandemic played a crucial catalyst for digital acceleration in banking, as banks are making significant investments </w:t>
      </w:r>
      <w:r w:rsidR="005F2EAE" w:rsidRPr="00694D5D">
        <w:rPr>
          <w:rFonts w:ascii="Times New Roman" w:hAnsi="Times New Roman" w:cs="Times New Roman"/>
        </w:rPr>
        <w:t>in</w:t>
      </w:r>
      <w:r w:rsidRPr="00694D5D">
        <w:rPr>
          <w:rFonts w:ascii="Times New Roman" w:hAnsi="Times New Roman" w:cs="Times New Roman"/>
        </w:rPr>
        <w:t xml:space="preserve"> strong cybersecurity measures, encryption technologies</w:t>
      </w:r>
      <w:r w:rsidR="005F2EAE" w:rsidRPr="00694D5D">
        <w:rPr>
          <w:rFonts w:ascii="Times New Roman" w:hAnsi="Times New Roman" w:cs="Times New Roman"/>
        </w:rPr>
        <w:t>,</w:t>
      </w:r>
      <w:r w:rsidRPr="00694D5D">
        <w:rPr>
          <w:rFonts w:ascii="Times New Roman" w:hAnsi="Times New Roman" w:cs="Times New Roman"/>
        </w:rPr>
        <w:t xml:space="preserve"> and compliance frameworks to protect information about their customers. Hence trust is preserved within the digital </w:t>
      </w:r>
      <w:r w:rsidR="00CC5856" w:rsidRPr="00694D5D">
        <w:rPr>
          <w:rFonts w:ascii="Times New Roman" w:hAnsi="Times New Roman" w:cs="Times New Roman"/>
        </w:rPr>
        <w:t>ecosystem</w:t>
      </w:r>
      <w:r w:rsidR="009F5018">
        <w:rPr>
          <w:rFonts w:ascii="Times New Roman" w:hAnsi="Times New Roman" w:cs="Times New Roman"/>
        </w:rPr>
        <w:t xml:space="preserve"> </w:t>
      </w:r>
      <w:r w:rsidR="009F5018">
        <w:t>(Dona 2020)</w:t>
      </w:r>
      <w:r w:rsidR="00CC5856" w:rsidRPr="00694D5D">
        <w:rPr>
          <w:rFonts w:ascii="Times New Roman" w:hAnsi="Times New Roman" w:cs="Times New Roman"/>
        </w:rPr>
        <w:t>.</w:t>
      </w:r>
      <w:r w:rsidRPr="00694D5D">
        <w:rPr>
          <w:rFonts w:ascii="Times New Roman" w:hAnsi="Times New Roman" w:cs="Times New Roman"/>
        </w:rPr>
        <w:t xml:space="preserve"> </w:t>
      </w:r>
      <w:r w:rsidR="00620200" w:rsidRPr="00694D5D">
        <w:rPr>
          <w:rFonts w:ascii="Times New Roman" w:hAnsi="Times New Roman" w:cs="Times New Roman"/>
        </w:rPr>
        <w:t>Consequently</w:t>
      </w:r>
      <w:r w:rsidR="00CC5856" w:rsidRPr="00694D5D">
        <w:rPr>
          <w:rFonts w:ascii="Times New Roman" w:hAnsi="Times New Roman" w:cs="Times New Roman"/>
        </w:rPr>
        <w:t>,</w:t>
      </w:r>
      <w:r w:rsidRPr="00694D5D">
        <w:rPr>
          <w:rFonts w:ascii="Times New Roman" w:hAnsi="Times New Roman" w:cs="Times New Roman"/>
        </w:rPr>
        <w:t xml:space="preserve"> social distancing and lockdowns led to an unparalleled boom in online trade, which highlighted the need for being prepared on </w:t>
      </w:r>
      <w:r w:rsidR="005F2EAE" w:rsidRPr="00694D5D">
        <w:rPr>
          <w:rFonts w:ascii="Times New Roman" w:hAnsi="Times New Roman" w:cs="Times New Roman"/>
        </w:rPr>
        <w:t xml:space="preserve">a </w:t>
      </w:r>
      <w:r w:rsidRPr="00694D5D">
        <w:rPr>
          <w:rFonts w:ascii="Times New Roman" w:hAnsi="Times New Roman" w:cs="Times New Roman"/>
        </w:rPr>
        <w:t>digital level. Banks needed to adjust quickly, expanding their digital infrastructure, strengthening cybersecurity defenses</w:t>
      </w:r>
      <w:r w:rsidR="005F2EAE" w:rsidRPr="00694D5D">
        <w:rPr>
          <w:rFonts w:ascii="Times New Roman" w:hAnsi="Times New Roman" w:cs="Times New Roman"/>
        </w:rPr>
        <w:t>,</w:t>
      </w:r>
      <w:r w:rsidRPr="00694D5D">
        <w:rPr>
          <w:rFonts w:ascii="Times New Roman" w:hAnsi="Times New Roman" w:cs="Times New Roman"/>
        </w:rPr>
        <w:t xml:space="preserve"> and focusing on remote customer interactions. The pandemic emphasized the strength of banks with solid digital infrastructure and revealed how important it is for others to rapidly advance their digitalization journeys.</w:t>
      </w:r>
    </w:p>
    <w:p w14:paraId="3A6BABB4"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1" w:name="_Toc158706263"/>
      <w:r w:rsidRPr="00694D5D">
        <w:rPr>
          <w:rFonts w:ascii="Times New Roman" w:hAnsi="Times New Roman" w:cs="Times New Roman"/>
        </w:rPr>
        <w:t>Future Trajectories of Digital Transformation</w:t>
      </w:r>
      <w:bookmarkEnd w:id="11"/>
    </w:p>
    <w:p w14:paraId="4FA6FB5F" w14:textId="1890854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As we peer into the future, </w:t>
      </w:r>
      <w:proofErr w:type="gramStart"/>
      <w:r w:rsidRPr="00694D5D">
        <w:rPr>
          <w:rFonts w:ascii="Times New Roman" w:hAnsi="Times New Roman" w:cs="Times New Roman"/>
        </w:rPr>
        <w:t>it can be seen that digital</w:t>
      </w:r>
      <w:proofErr w:type="gramEnd"/>
      <w:r w:rsidRPr="00694D5D">
        <w:rPr>
          <w:rFonts w:ascii="Times New Roman" w:hAnsi="Times New Roman" w:cs="Times New Roman"/>
        </w:rPr>
        <w:t xml:space="preserve"> transformation in banking is about to further change its course. 5G technology is on the horizon, and it promises improved connectivity that can usher in new dimensions of financial services like augmented reality AR banking.</w:t>
      </w:r>
      <w:r w:rsidR="00350A5D" w:rsidRPr="00694D5D">
        <w:rPr>
          <w:rFonts w:ascii="Times New Roman" w:hAnsi="Times New Roman" w:cs="Times New Roman"/>
        </w:rPr>
        <w:t xml:space="preserve"> </w:t>
      </w:r>
      <w:r w:rsidRPr="00694D5D">
        <w:rPr>
          <w:rFonts w:ascii="Times New Roman" w:hAnsi="Times New Roman" w:cs="Times New Roman"/>
        </w:rPr>
        <w:t xml:space="preserve">Suddenly, Decentralized </w:t>
      </w:r>
      <w:r w:rsidR="00FC4B82" w:rsidRPr="00694D5D">
        <w:rPr>
          <w:rFonts w:ascii="Times New Roman" w:hAnsi="Times New Roman" w:cs="Times New Roman"/>
        </w:rPr>
        <w:t xml:space="preserve">Finance </w:t>
      </w:r>
      <w:r w:rsidRPr="00694D5D">
        <w:rPr>
          <w:rFonts w:ascii="Times New Roman" w:hAnsi="Times New Roman" w:cs="Times New Roman"/>
        </w:rPr>
        <w:t xml:space="preserve">(DeFi) and central bank digital currencies (CBDCs) </w:t>
      </w:r>
      <w:r w:rsidR="005F2EAE" w:rsidRPr="00694D5D">
        <w:rPr>
          <w:rFonts w:ascii="Times New Roman" w:hAnsi="Times New Roman" w:cs="Times New Roman"/>
        </w:rPr>
        <w:t>emerged</w:t>
      </w:r>
      <w:r w:rsidRPr="00694D5D">
        <w:rPr>
          <w:rFonts w:ascii="Times New Roman" w:hAnsi="Times New Roman" w:cs="Times New Roman"/>
        </w:rPr>
        <w:t xml:space="preserve"> as disruptive </w:t>
      </w:r>
      <w:r w:rsidRPr="00694D5D">
        <w:rPr>
          <w:rFonts w:ascii="Times New Roman" w:hAnsi="Times New Roman" w:cs="Times New Roman"/>
        </w:rPr>
        <w:lastRenderedPageBreak/>
        <w:t xml:space="preserve">trends that could redefine the very pillars of conventional banking. </w:t>
      </w:r>
      <w:r w:rsidR="009F5018">
        <w:rPr>
          <w:rFonts w:ascii="Times New Roman" w:hAnsi="Times New Roman" w:cs="Times New Roman"/>
        </w:rPr>
        <w:t>It</w:t>
      </w:r>
      <w:r w:rsidRPr="00694D5D">
        <w:rPr>
          <w:rFonts w:ascii="Times New Roman" w:hAnsi="Times New Roman" w:cs="Times New Roman"/>
        </w:rPr>
        <w:t xml:space="preserve"> </w:t>
      </w:r>
      <w:r w:rsidR="009F5018" w:rsidRPr="00694D5D">
        <w:rPr>
          <w:rFonts w:ascii="Times New Roman" w:hAnsi="Times New Roman" w:cs="Times New Roman"/>
        </w:rPr>
        <w:t>stands</w:t>
      </w:r>
      <w:r w:rsidRPr="00694D5D">
        <w:rPr>
          <w:rFonts w:ascii="Times New Roman" w:hAnsi="Times New Roman" w:cs="Times New Roman"/>
        </w:rPr>
        <w:t xml:space="preserve"> on the cusp of a transformative epoch within this industry where adaptability, innovation, and strategic foresight are key elements as we traverse our way through an ever-changing digital terrain.</w:t>
      </w:r>
    </w:p>
    <w:p w14:paraId="54064354"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12" w:name="_Toc158706264"/>
      <w:r w:rsidRPr="00694D5D">
        <w:rPr>
          <w:rFonts w:ascii="Times New Roman" w:hAnsi="Times New Roman" w:cs="Times New Roman"/>
        </w:rPr>
        <w:t>Global Trends in Digital Banking</w:t>
      </w:r>
      <w:bookmarkEnd w:id="12"/>
    </w:p>
    <w:p w14:paraId="0F51C2DD"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3" w:name="_Toc158706265"/>
      <w:r w:rsidRPr="00694D5D">
        <w:rPr>
          <w:rFonts w:ascii="Times New Roman" w:hAnsi="Times New Roman" w:cs="Times New Roman"/>
        </w:rPr>
        <w:t>Mobile-First Banking Experiences</w:t>
      </w:r>
      <w:bookmarkEnd w:id="13"/>
    </w:p>
    <w:p w14:paraId="4EAD477D" w14:textId="0CFF6FB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In the </w:t>
      </w:r>
      <w:r w:rsidR="00CC5856" w:rsidRPr="00694D5D">
        <w:rPr>
          <w:rFonts w:ascii="Times New Roman" w:hAnsi="Times New Roman" w:cs="Times New Roman"/>
        </w:rPr>
        <w:t>fast-changing</w:t>
      </w:r>
      <w:r w:rsidRPr="00694D5D">
        <w:rPr>
          <w:rFonts w:ascii="Times New Roman" w:hAnsi="Times New Roman" w:cs="Times New Roman"/>
        </w:rPr>
        <w:t xml:space="preserve"> field of digital banking, the mobile-first approach is a universally dominant tendency. This paradigm change is in reaction to the growing omnipresence of smartphones, whereby financial institutions are moving towards focusing on creating user-friendly and feature-rich mobile banking programs. Customers find it impossible to do without these applications that provide them easy access to </w:t>
      </w:r>
      <w:r w:rsidR="005F2EAE" w:rsidRPr="00694D5D">
        <w:rPr>
          <w:rFonts w:ascii="Times New Roman" w:hAnsi="Times New Roman" w:cs="Times New Roman"/>
        </w:rPr>
        <w:t>an</w:t>
      </w:r>
      <w:r w:rsidRPr="00694D5D">
        <w:rPr>
          <w:rFonts w:ascii="Times New Roman" w:hAnsi="Times New Roman" w:cs="Times New Roman"/>
        </w:rPr>
        <w:t xml:space="preserve"> array of services from simple transactions to sophisticated financial management. The mobile-first strategies can be traced back to the deep transformation in consumer tastes for immediate and personal banking. Customers have gotten used to the convenience of mobile devices and now want financial services at their fingertips. Financial institutions are therefore investing heavily in the creation of mobile applications that not only support standard transactions but also enable higher levels of engagement via user-friendly interfaces and personalized features</w:t>
      </w:r>
      <w:r w:rsidR="00D2504D">
        <w:rPr>
          <w:rFonts w:ascii="Times New Roman" w:hAnsi="Times New Roman" w:cs="Times New Roman"/>
        </w:rPr>
        <w:t xml:space="preserve"> </w:t>
      </w:r>
      <w:r w:rsidR="00D2504D">
        <w:t>(Lauchlan 2021)</w:t>
      </w:r>
      <w:r w:rsidRPr="00694D5D">
        <w:rPr>
          <w:rFonts w:ascii="Times New Roman" w:hAnsi="Times New Roman" w:cs="Times New Roman"/>
        </w:rPr>
        <w:t>.</w:t>
      </w:r>
    </w:p>
    <w:p w14:paraId="689C70E2"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aim is to build an environment where users can satisfy their financial requirements effortlessly, increasing convenience and involvement. As the mobile-first experience continues to evolve, </w:t>
      </w:r>
      <w:r w:rsidR="005F2EAE" w:rsidRPr="00694D5D">
        <w:rPr>
          <w:rFonts w:ascii="Times New Roman" w:hAnsi="Times New Roman" w:cs="Times New Roman"/>
        </w:rPr>
        <w:t>emerging technologies such as augmented reality and voice-activated services will likely</w:t>
      </w:r>
      <w:r w:rsidRPr="00694D5D">
        <w:rPr>
          <w:rFonts w:ascii="Times New Roman" w:hAnsi="Times New Roman" w:cs="Times New Roman"/>
        </w:rPr>
        <w:t xml:space="preserve"> be incorporated into this new way of displaying information</w:t>
      </w:r>
      <w:r w:rsidR="00D2504D">
        <w:rPr>
          <w:rFonts w:ascii="Times New Roman" w:hAnsi="Times New Roman" w:cs="Times New Roman"/>
        </w:rPr>
        <w:t xml:space="preserve"> </w:t>
      </w:r>
      <w:r w:rsidR="00D2504D">
        <w:t>(M. &amp; V.T. 2021)</w:t>
      </w:r>
      <w:r w:rsidRPr="00694D5D">
        <w:rPr>
          <w:rFonts w:ascii="Times New Roman" w:hAnsi="Times New Roman" w:cs="Times New Roman"/>
        </w:rPr>
        <w:t>.</w:t>
      </w:r>
    </w:p>
    <w:p w14:paraId="54A36C36"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4" w:name="_Toc158706266"/>
      <w:r w:rsidRPr="00694D5D">
        <w:rPr>
          <w:rFonts w:ascii="Times New Roman" w:hAnsi="Times New Roman" w:cs="Times New Roman"/>
        </w:rPr>
        <w:t>Rise of Open Banking Ecosystems</w:t>
      </w:r>
      <w:bookmarkEnd w:id="14"/>
    </w:p>
    <w:p w14:paraId="1C7B32DB" w14:textId="405F75C5" w:rsidR="004E3047"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emergence of open banking ecosystems represents an emerging paradigm that has been increasingly embraced in the world’s digital banking landscape.</w:t>
      </w:r>
      <w:r w:rsidR="00350A5D" w:rsidRPr="00694D5D">
        <w:rPr>
          <w:rFonts w:ascii="Times New Roman" w:hAnsi="Times New Roman" w:cs="Times New Roman"/>
        </w:rPr>
        <w:t xml:space="preserve"> </w:t>
      </w:r>
      <w:r w:rsidR="004E3047" w:rsidRPr="00694D5D">
        <w:rPr>
          <w:rFonts w:ascii="Times New Roman" w:hAnsi="Times New Roman" w:cs="Times New Roman"/>
        </w:rPr>
        <w:t xml:space="preserve">With the aid of Open banking, which involves sharing and leveraging financial data through Application Programming Interfaces </w:t>
      </w:r>
      <w:r w:rsidR="00CC5856" w:rsidRPr="00694D5D">
        <w:rPr>
          <w:rFonts w:ascii="Times New Roman" w:hAnsi="Times New Roman" w:cs="Times New Roman"/>
        </w:rPr>
        <w:t>APIs,</w:t>
      </w:r>
      <w:r w:rsidR="004E3047" w:rsidRPr="00694D5D">
        <w:rPr>
          <w:rFonts w:ascii="Times New Roman" w:hAnsi="Times New Roman" w:cs="Times New Roman"/>
        </w:rPr>
        <w:t xml:space="preserve"> </w:t>
      </w:r>
      <w:r w:rsidR="00726B73">
        <w:rPr>
          <w:rFonts w:ascii="Times New Roman" w:hAnsi="Times New Roman" w:cs="Times New Roman"/>
        </w:rPr>
        <w:t>world</w:t>
      </w:r>
      <w:r w:rsidR="004E3047" w:rsidRPr="00694D5D">
        <w:rPr>
          <w:rFonts w:ascii="Times New Roman" w:hAnsi="Times New Roman" w:cs="Times New Roman"/>
        </w:rPr>
        <w:t xml:space="preserve"> </w:t>
      </w:r>
      <w:r w:rsidR="00726B73">
        <w:rPr>
          <w:rFonts w:ascii="Times New Roman" w:hAnsi="Times New Roman" w:cs="Times New Roman"/>
        </w:rPr>
        <w:t>is</w:t>
      </w:r>
      <w:r w:rsidR="004E3047" w:rsidRPr="00694D5D">
        <w:rPr>
          <w:rFonts w:ascii="Times New Roman" w:hAnsi="Times New Roman" w:cs="Times New Roman"/>
        </w:rPr>
        <w:t xml:space="preserve"> entering an age where traditional banks fintech startups as well as </w:t>
      </w:r>
      <w:r w:rsidR="005F2EAE" w:rsidRPr="00694D5D">
        <w:rPr>
          <w:rFonts w:ascii="Times New Roman" w:hAnsi="Times New Roman" w:cs="Times New Roman"/>
        </w:rPr>
        <w:t>third-party</w:t>
      </w:r>
      <w:r w:rsidR="004E3047" w:rsidRPr="00694D5D">
        <w:rPr>
          <w:rFonts w:ascii="Times New Roman" w:hAnsi="Times New Roman" w:cs="Times New Roman"/>
        </w:rPr>
        <w:t xml:space="preserve"> service suppliers could collaborate. All these lead to the creation of closely related ecosystems that go beyond </w:t>
      </w:r>
      <w:r w:rsidR="005F2EAE" w:rsidRPr="00694D5D">
        <w:rPr>
          <w:rFonts w:ascii="Times New Roman" w:hAnsi="Times New Roman" w:cs="Times New Roman"/>
        </w:rPr>
        <w:t xml:space="preserve">the </w:t>
      </w:r>
      <w:r w:rsidR="004E3047" w:rsidRPr="00694D5D">
        <w:rPr>
          <w:rFonts w:ascii="Times New Roman" w:hAnsi="Times New Roman" w:cs="Times New Roman"/>
        </w:rPr>
        <w:t>borders of traditional banking. Open banking is a collaborative approach that improves customer choice by promoting healthy competition in the financial sector</w:t>
      </w:r>
      <w:r w:rsidR="007109BC">
        <w:rPr>
          <w:rFonts w:ascii="Times New Roman" w:hAnsi="Times New Roman" w:cs="Times New Roman"/>
        </w:rPr>
        <w:t xml:space="preserve"> </w:t>
      </w:r>
      <w:r w:rsidR="007109BC">
        <w:t xml:space="preserve">(Reinartz, Wiegand &amp; </w:t>
      </w:r>
      <w:proofErr w:type="spellStart"/>
      <w:r w:rsidR="007109BC">
        <w:lastRenderedPageBreak/>
        <w:t>Imschloss</w:t>
      </w:r>
      <w:proofErr w:type="spellEnd"/>
      <w:r w:rsidR="007109BC">
        <w:t xml:space="preserve"> 2019)</w:t>
      </w:r>
      <w:r w:rsidR="004E3047" w:rsidRPr="00694D5D">
        <w:rPr>
          <w:rFonts w:ascii="Times New Roman" w:hAnsi="Times New Roman" w:cs="Times New Roman"/>
        </w:rPr>
        <w:t>. Today, legacy banks are becoming strategic partners with fintech firms and capitalizing on each other’s strengths for better services or customer experiences.</w:t>
      </w:r>
    </w:p>
    <w:p w14:paraId="3D5AA9DD" w14:textId="3EEB1594"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This is a trend redefining conventional banking models and creating a more interdependent, customer-oriented financial spac</w:t>
      </w:r>
      <w:r w:rsidR="005412A4">
        <w:rPr>
          <w:rFonts w:ascii="Times New Roman" w:hAnsi="Times New Roman" w:cs="Times New Roman"/>
        </w:rPr>
        <w:t>e</w:t>
      </w:r>
      <w:r w:rsidRPr="00694D5D">
        <w:rPr>
          <w:rFonts w:ascii="Times New Roman" w:hAnsi="Times New Roman" w:cs="Times New Roman"/>
        </w:rPr>
        <w:t xml:space="preserve">. It is anticipated that with the further evolution of open </w:t>
      </w:r>
      <w:r w:rsidR="007109BC" w:rsidRPr="00694D5D">
        <w:rPr>
          <w:rFonts w:ascii="Times New Roman" w:hAnsi="Times New Roman" w:cs="Times New Roman"/>
        </w:rPr>
        <w:t>banking</w:t>
      </w:r>
      <w:r w:rsidR="007109BC">
        <w:rPr>
          <w:rFonts w:ascii="Times New Roman" w:hAnsi="Times New Roman" w:cs="Times New Roman"/>
        </w:rPr>
        <w:t>,</w:t>
      </w:r>
      <w:r w:rsidRPr="00694D5D">
        <w:rPr>
          <w:rFonts w:ascii="Times New Roman" w:hAnsi="Times New Roman" w:cs="Times New Roman"/>
        </w:rPr>
        <w:t xml:space="preserve"> there will be a greater diversification in financial products available for consumers as well </w:t>
      </w:r>
      <w:r w:rsidR="005F2EAE" w:rsidRPr="00694D5D">
        <w:rPr>
          <w:rFonts w:ascii="Times New Roman" w:hAnsi="Times New Roman" w:cs="Times New Roman"/>
        </w:rPr>
        <w:t xml:space="preserve">as </w:t>
      </w:r>
      <w:r w:rsidRPr="00694D5D">
        <w:rPr>
          <w:rFonts w:ascii="Times New Roman" w:hAnsi="Times New Roman" w:cs="Times New Roman"/>
        </w:rPr>
        <w:t>more accessible and personalized ways through which people can bank.</w:t>
      </w:r>
    </w:p>
    <w:p w14:paraId="5A3366DD"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15" w:name="_Toc158706267"/>
      <w:r w:rsidRPr="00694D5D">
        <w:rPr>
          <w:rFonts w:ascii="Times New Roman" w:hAnsi="Times New Roman" w:cs="Times New Roman"/>
        </w:rPr>
        <w:t>Artificial Intelligence (AI) and Personalization</w:t>
      </w:r>
      <w:bookmarkEnd w:id="15"/>
    </w:p>
    <w:p w14:paraId="00FE157D" w14:textId="2B5654E0"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The most significant trend is the integration of artificial intelligence (AI) and machine learning into operations for digital banking, which has profound implications across all key markets. AI-based solutions allow banks to study huge data sets and deepen their understanding of customer behavior activiti</w:t>
      </w:r>
      <w:r w:rsidR="008471B9">
        <w:rPr>
          <w:rFonts w:ascii="Times New Roman" w:hAnsi="Times New Roman" w:cs="Times New Roman"/>
        </w:rPr>
        <w:t>es</w:t>
      </w:r>
      <w:r w:rsidRPr="00694D5D">
        <w:rPr>
          <w:rFonts w:ascii="Times New Roman" w:hAnsi="Times New Roman" w:cs="Times New Roman"/>
        </w:rPr>
        <w:t>. AI from providing instant customer support through chatbots to financial planning using predictive analytics improves efficiency, lowers running costs</w:t>
      </w:r>
      <w:r w:rsidR="005F2EAE" w:rsidRPr="00694D5D">
        <w:rPr>
          <w:rFonts w:ascii="Times New Roman" w:hAnsi="Times New Roman" w:cs="Times New Roman"/>
        </w:rPr>
        <w:t>,</w:t>
      </w:r>
      <w:r w:rsidRPr="00694D5D">
        <w:rPr>
          <w:rFonts w:ascii="Times New Roman" w:hAnsi="Times New Roman" w:cs="Times New Roman"/>
        </w:rPr>
        <w:t xml:space="preserve"> and makes the whole experience for consumers better</w:t>
      </w:r>
      <w:r w:rsidR="00A87C93">
        <w:rPr>
          <w:rFonts w:ascii="Times New Roman" w:hAnsi="Times New Roman" w:cs="Times New Roman"/>
        </w:rPr>
        <w:t xml:space="preserve"> </w:t>
      </w:r>
      <w:r w:rsidR="00A87C93">
        <w:t>(El-Gohary et al. 2021)</w:t>
      </w:r>
      <w:r w:rsidRPr="00694D5D">
        <w:rPr>
          <w:rFonts w:ascii="Times New Roman" w:hAnsi="Times New Roman" w:cs="Times New Roman"/>
        </w:rPr>
        <w:t>.</w:t>
      </w:r>
    </w:p>
    <w:p w14:paraId="2E8B10C9" w14:textId="0A0CAD8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One of the main benefits associated with AI in digital banking is its capacity to offer very personal services. With the development of advanced AI algorithms, banks will be able to offer personalized and </w:t>
      </w:r>
      <w:r w:rsidR="005F2EAE" w:rsidRPr="00694D5D">
        <w:rPr>
          <w:rFonts w:ascii="Times New Roman" w:hAnsi="Times New Roman" w:cs="Times New Roman"/>
        </w:rPr>
        <w:t>proactive</w:t>
      </w:r>
      <w:r w:rsidRPr="00694D5D">
        <w:rPr>
          <w:rFonts w:ascii="Times New Roman" w:hAnsi="Times New Roman" w:cs="Times New Roman"/>
        </w:rPr>
        <w:t xml:space="preserve"> solutions that match individual customer needs. Personalization goes beyond just transactional experiences, such as tailored product recommendations and financial advice or even personalized marketing communications</w:t>
      </w:r>
      <w:r w:rsidR="00553CAE">
        <w:rPr>
          <w:rFonts w:ascii="Times New Roman" w:hAnsi="Times New Roman" w:cs="Times New Roman"/>
        </w:rPr>
        <w:t xml:space="preserve"> </w:t>
      </w:r>
      <w:r w:rsidR="00553CAE">
        <w:t>(Ivey 2023)</w:t>
      </w:r>
      <w:r w:rsidRPr="00694D5D">
        <w:rPr>
          <w:rFonts w:ascii="Times New Roman" w:hAnsi="Times New Roman" w:cs="Times New Roman"/>
        </w:rPr>
        <w:t>. The use of AI also covers risk management and fraud detection as machine learning algorithms can process patterns and anomalies in real-time to improve the banking process</w:t>
      </w:r>
      <w:r w:rsidR="00350A5D" w:rsidRPr="00694D5D">
        <w:rPr>
          <w:rFonts w:ascii="Times New Roman" w:hAnsi="Times New Roman" w:cs="Times New Roman"/>
        </w:rPr>
        <w:t xml:space="preserve">. </w:t>
      </w:r>
      <w:r w:rsidRPr="00694D5D">
        <w:rPr>
          <w:rFonts w:ascii="Times New Roman" w:hAnsi="Times New Roman" w:cs="Times New Roman"/>
        </w:rPr>
        <w:t xml:space="preserve">So as AI development goes ahead, the fact that it gets </w:t>
      </w:r>
      <w:r w:rsidR="00CC5856" w:rsidRPr="00694D5D">
        <w:rPr>
          <w:rFonts w:ascii="Times New Roman" w:hAnsi="Times New Roman" w:cs="Times New Roman"/>
        </w:rPr>
        <w:t>molded</w:t>
      </w:r>
      <w:r w:rsidRPr="00694D5D">
        <w:rPr>
          <w:rFonts w:ascii="Times New Roman" w:hAnsi="Times New Roman" w:cs="Times New Roman"/>
        </w:rPr>
        <w:t xml:space="preserve"> into digital banking processes will likely only increase in prevalence among customers and provide them with ever more advanced financial services.</w:t>
      </w:r>
    </w:p>
    <w:p w14:paraId="280FC796" w14:textId="77777777" w:rsidR="00E1524A" w:rsidRPr="00694D5D" w:rsidRDefault="004E3047" w:rsidP="002F4ADE">
      <w:pPr>
        <w:pStyle w:val="Heading2"/>
        <w:numPr>
          <w:ilvl w:val="2"/>
          <w:numId w:val="8"/>
        </w:numPr>
        <w:spacing w:line="360" w:lineRule="auto"/>
        <w:jc w:val="both"/>
        <w:rPr>
          <w:rFonts w:ascii="Times New Roman" w:hAnsi="Times New Roman" w:cs="Times New Roman"/>
        </w:rPr>
      </w:pPr>
      <w:bookmarkStart w:id="16" w:name="_Toc158706268"/>
      <w:r w:rsidRPr="00694D5D">
        <w:rPr>
          <w:rFonts w:ascii="Times New Roman" w:hAnsi="Times New Roman" w:cs="Times New Roman"/>
        </w:rPr>
        <w:t>Enhanced Cybersecurity Measures</w:t>
      </w:r>
      <w:bookmarkEnd w:id="16"/>
    </w:p>
    <w:p w14:paraId="00689F4C" w14:textId="5B528D0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With the growth and development of digital banking, cybersecurity has taken on paramount importance. Cyber threats and data breaches have become commonplace, they pose a serious threat not only to financial institutions but also their </w:t>
      </w:r>
      <w:r w:rsidR="00CC5856" w:rsidRPr="00694D5D">
        <w:rPr>
          <w:rFonts w:ascii="Times New Roman" w:hAnsi="Times New Roman" w:cs="Times New Roman"/>
        </w:rPr>
        <w:t>customers.</w:t>
      </w:r>
      <w:r w:rsidRPr="00694D5D">
        <w:rPr>
          <w:rFonts w:ascii="Times New Roman" w:hAnsi="Times New Roman" w:cs="Times New Roman"/>
        </w:rPr>
        <w:t xml:space="preserve"> As a reaction to this problem, one of the biggest international trends is placing greater emphasis on installing more sophisticated cybersecurity mechanisms and approaches. Financial institutions are embracing </w:t>
      </w:r>
      <w:r w:rsidR="005F2EAE" w:rsidRPr="00694D5D">
        <w:rPr>
          <w:rFonts w:ascii="Times New Roman" w:hAnsi="Times New Roman" w:cs="Times New Roman"/>
        </w:rPr>
        <w:t>state-of-the-art</w:t>
      </w:r>
      <w:r w:rsidRPr="00694D5D">
        <w:rPr>
          <w:rFonts w:ascii="Times New Roman" w:hAnsi="Times New Roman" w:cs="Times New Roman"/>
        </w:rPr>
        <w:t xml:space="preserve"> </w:t>
      </w:r>
      <w:r w:rsidRPr="00694D5D">
        <w:rPr>
          <w:rFonts w:ascii="Times New Roman" w:hAnsi="Times New Roman" w:cs="Times New Roman"/>
        </w:rPr>
        <w:lastRenderedPageBreak/>
        <w:t>cybersecurity to harden their digital infrastructure</w:t>
      </w:r>
      <w:r w:rsidR="002E4E4E">
        <w:rPr>
          <w:rFonts w:ascii="Times New Roman" w:hAnsi="Times New Roman" w:cs="Times New Roman"/>
        </w:rPr>
        <w:t xml:space="preserve"> </w:t>
      </w:r>
      <w:r w:rsidR="002E4E4E">
        <w:t>(Svensen 2019)</w:t>
      </w:r>
      <w:r w:rsidRPr="00694D5D">
        <w:rPr>
          <w:rFonts w:ascii="Times New Roman" w:hAnsi="Times New Roman" w:cs="Times New Roman"/>
        </w:rPr>
        <w:t>. This can encompass the incorporation of biometric authentication mechanisms like fingerprint and facial recognition, strong encryption methods as well real time monitoring systems. Biometric authentication increases the security of digital banking platforms by introducing an extra level of validation when it comes to trusting a client’s identity thereby reducing threats arising from password-based systems</w:t>
      </w:r>
      <w:r w:rsidR="00D80EDA">
        <w:rPr>
          <w:rFonts w:ascii="Times New Roman" w:hAnsi="Times New Roman" w:cs="Times New Roman"/>
        </w:rPr>
        <w:t xml:space="preserve"> </w:t>
      </w:r>
      <w:r w:rsidR="00D80EDA">
        <w:t>(Wright 2023)</w:t>
      </w:r>
      <w:r w:rsidRPr="00694D5D">
        <w:rPr>
          <w:rFonts w:ascii="Times New Roman" w:hAnsi="Times New Roman" w:cs="Times New Roman"/>
        </w:rPr>
        <w:t xml:space="preserve">. Encryption techniques play a very important role in securing sensitive financial information during transmission and storage. Adopting end-to-end encryption ensures that customer data is kept confidential and secure </w:t>
      </w:r>
      <w:r w:rsidR="005F2EAE" w:rsidRPr="00694D5D">
        <w:rPr>
          <w:rFonts w:ascii="Times New Roman" w:hAnsi="Times New Roman" w:cs="Times New Roman"/>
        </w:rPr>
        <w:t>throughout</w:t>
      </w:r>
      <w:r w:rsidRPr="00694D5D">
        <w:rPr>
          <w:rFonts w:ascii="Times New Roman" w:hAnsi="Times New Roman" w:cs="Times New Roman"/>
        </w:rPr>
        <w:t xml:space="preserve"> the entire banking process.</w:t>
      </w:r>
    </w:p>
    <w:p w14:paraId="48B3E19D" w14:textId="236A4600"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Financial institutions must build and maintain trust in their digital banking platforms by reinforcing cybersecurity measures. User data security and privacy are two non-negotiable aspects of the digital banking experience</w:t>
      </w:r>
      <w:r w:rsidR="00A86BC7">
        <w:rPr>
          <w:rFonts w:ascii="Times New Roman" w:hAnsi="Times New Roman" w:cs="Times New Roman"/>
        </w:rPr>
        <w:t xml:space="preserve"> </w:t>
      </w:r>
      <w:r w:rsidR="00A86BC7">
        <w:t>(Mattila 2003)</w:t>
      </w:r>
      <w:r w:rsidRPr="00694D5D">
        <w:rPr>
          <w:rFonts w:ascii="Times New Roman" w:hAnsi="Times New Roman" w:cs="Times New Roman"/>
        </w:rPr>
        <w:t xml:space="preserve">. With the changing threat landscape, banks will continue to invest in innovative cybersecurity solutions as they aim </w:t>
      </w:r>
      <w:r w:rsidR="005F2EAE" w:rsidRPr="00694D5D">
        <w:rPr>
          <w:rFonts w:ascii="Times New Roman" w:hAnsi="Times New Roman" w:cs="Times New Roman"/>
        </w:rPr>
        <w:t>to stay</w:t>
      </w:r>
      <w:r w:rsidRPr="00694D5D">
        <w:rPr>
          <w:rFonts w:ascii="Times New Roman" w:hAnsi="Times New Roman" w:cs="Times New Roman"/>
        </w:rPr>
        <w:t xml:space="preserve"> ahead of possible risks and </w:t>
      </w:r>
      <w:r w:rsidR="005F2EAE" w:rsidRPr="00694D5D">
        <w:rPr>
          <w:rFonts w:ascii="Times New Roman" w:hAnsi="Times New Roman" w:cs="Times New Roman"/>
        </w:rPr>
        <w:t>ensure</w:t>
      </w:r>
      <w:r w:rsidRPr="00694D5D">
        <w:rPr>
          <w:rFonts w:ascii="Times New Roman" w:hAnsi="Times New Roman" w:cs="Times New Roman"/>
        </w:rPr>
        <w:t xml:space="preserve"> that digital financial transactions maintain their integrity.</w:t>
      </w:r>
    </w:p>
    <w:p w14:paraId="37E332AB"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17" w:name="_Toc158706269"/>
      <w:r w:rsidRPr="00694D5D">
        <w:rPr>
          <w:rFonts w:ascii="Times New Roman" w:hAnsi="Times New Roman" w:cs="Times New Roman"/>
        </w:rPr>
        <w:t>The Impact of Digitalization on Traditional Banking</w:t>
      </w:r>
      <w:bookmarkEnd w:id="17"/>
    </w:p>
    <w:p w14:paraId="221BA683" w14:textId="7AD1231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Digitalization has </w:t>
      </w:r>
      <w:r w:rsidR="0040220F" w:rsidRPr="00694D5D">
        <w:rPr>
          <w:rFonts w:ascii="Times New Roman" w:hAnsi="Times New Roman" w:cs="Times New Roman"/>
        </w:rPr>
        <w:t>opened</w:t>
      </w:r>
      <w:r w:rsidRPr="00694D5D">
        <w:rPr>
          <w:rFonts w:ascii="Times New Roman" w:hAnsi="Times New Roman" w:cs="Times New Roman"/>
        </w:rPr>
        <w:t xml:space="preserve"> a new era of transformation in the traditional banking system, which </w:t>
      </w:r>
      <w:r w:rsidR="00F938C0" w:rsidRPr="00694D5D">
        <w:rPr>
          <w:rFonts w:ascii="Times New Roman" w:hAnsi="Times New Roman" w:cs="Times New Roman"/>
        </w:rPr>
        <w:t>is tied</w:t>
      </w:r>
      <w:r w:rsidRPr="00694D5D">
        <w:rPr>
          <w:rFonts w:ascii="Times New Roman" w:hAnsi="Times New Roman" w:cs="Times New Roman"/>
        </w:rPr>
        <w:t xml:space="preserve"> to banks’ operations, customer relations and contests are changing significantly.</w:t>
      </w:r>
      <w:r w:rsidR="00350A5D" w:rsidRPr="00694D5D">
        <w:rPr>
          <w:rFonts w:ascii="Times New Roman" w:hAnsi="Times New Roman" w:cs="Times New Roman"/>
        </w:rPr>
        <w:t xml:space="preserve"> </w:t>
      </w:r>
      <w:r w:rsidRPr="00694D5D">
        <w:rPr>
          <w:rFonts w:ascii="Times New Roman" w:hAnsi="Times New Roman" w:cs="Times New Roman"/>
        </w:rPr>
        <w:t>Digitalization influences traditional banking in a variety of ways technology shifts, changes to customer behavior, regulator-related issues</w:t>
      </w:r>
      <w:r w:rsidR="005F2EAE" w:rsidRPr="00694D5D">
        <w:rPr>
          <w:rFonts w:ascii="Times New Roman" w:hAnsi="Times New Roman" w:cs="Times New Roman"/>
        </w:rPr>
        <w:t>,</w:t>
      </w:r>
      <w:r w:rsidRPr="00694D5D">
        <w:rPr>
          <w:rFonts w:ascii="Times New Roman" w:hAnsi="Times New Roman" w:cs="Times New Roman"/>
        </w:rPr>
        <w:t xml:space="preserve"> and generally defines the transformation over time of what it means to be managing money for people</w:t>
      </w:r>
      <w:r w:rsidR="00CD4F66">
        <w:rPr>
          <w:rFonts w:ascii="Times New Roman" w:hAnsi="Times New Roman" w:cs="Times New Roman"/>
        </w:rPr>
        <w:t xml:space="preserve"> </w:t>
      </w:r>
      <w:r w:rsidR="00CD4F66">
        <w:t>(</w:t>
      </w:r>
      <w:proofErr w:type="spellStart"/>
      <w:r w:rsidR="00CD4F66">
        <w:t>Kudichs</w:t>
      </w:r>
      <w:proofErr w:type="spellEnd"/>
      <w:r w:rsidR="00CD4F66">
        <w:t xml:space="preserve"> 2018)</w:t>
      </w:r>
      <w:r w:rsidRPr="00694D5D">
        <w:rPr>
          <w:rFonts w:ascii="Times New Roman" w:hAnsi="Times New Roman" w:cs="Times New Roman"/>
        </w:rPr>
        <w:t xml:space="preserve">. With digitalization in the traditional banking community, one of its major consequences is a paradigm shift when it comes to interacting with clients. Nowadays with online and mobile banking platforms, the customer experience is more convenient. Now customers can carry out various types of financial transactions from transferring funds to managing accounts without </w:t>
      </w:r>
      <w:r w:rsidR="005F2EAE" w:rsidRPr="00694D5D">
        <w:rPr>
          <w:rFonts w:ascii="Times New Roman" w:hAnsi="Times New Roman" w:cs="Times New Roman"/>
        </w:rPr>
        <w:t>needing</w:t>
      </w:r>
      <w:r w:rsidRPr="00694D5D">
        <w:rPr>
          <w:rFonts w:ascii="Times New Roman" w:hAnsi="Times New Roman" w:cs="Times New Roman"/>
        </w:rPr>
        <w:t xml:space="preserve"> </w:t>
      </w:r>
      <w:r w:rsidR="005F2EAE" w:rsidRPr="00694D5D">
        <w:rPr>
          <w:rFonts w:ascii="Times New Roman" w:hAnsi="Times New Roman" w:cs="Times New Roman"/>
        </w:rPr>
        <w:t>to visit</w:t>
      </w:r>
      <w:r w:rsidRPr="00694D5D">
        <w:rPr>
          <w:rFonts w:ascii="Times New Roman" w:hAnsi="Times New Roman" w:cs="Times New Roman"/>
        </w:rPr>
        <w:t xml:space="preserve"> physical branches. Furthermore, this shift has not only raised the bar of </w:t>
      </w:r>
      <w:r w:rsidR="005F2EAE" w:rsidRPr="00694D5D">
        <w:rPr>
          <w:rFonts w:ascii="Times New Roman" w:hAnsi="Times New Roman" w:cs="Times New Roman"/>
        </w:rPr>
        <w:t>customer</w:t>
      </w:r>
      <w:r w:rsidRPr="00694D5D">
        <w:rPr>
          <w:rFonts w:ascii="Times New Roman" w:hAnsi="Times New Roman" w:cs="Times New Roman"/>
        </w:rPr>
        <w:t xml:space="preserve"> expectations but also forced traditional banks to reconsider and improve their digital offerings so </w:t>
      </w:r>
      <w:r w:rsidR="005F2EAE" w:rsidRPr="00694D5D">
        <w:rPr>
          <w:rFonts w:ascii="Times New Roman" w:hAnsi="Times New Roman" w:cs="Times New Roman"/>
        </w:rPr>
        <w:t>that</w:t>
      </w:r>
      <w:r w:rsidRPr="00694D5D">
        <w:rPr>
          <w:rFonts w:ascii="Times New Roman" w:hAnsi="Times New Roman" w:cs="Times New Roman"/>
        </w:rPr>
        <w:t xml:space="preserve"> they can keep up with </w:t>
      </w:r>
      <w:r w:rsidR="005F2EAE" w:rsidRPr="00694D5D">
        <w:rPr>
          <w:rFonts w:ascii="Times New Roman" w:hAnsi="Times New Roman" w:cs="Times New Roman"/>
        </w:rPr>
        <w:t xml:space="preserve">the </w:t>
      </w:r>
      <w:r w:rsidRPr="00694D5D">
        <w:rPr>
          <w:rFonts w:ascii="Times New Roman" w:hAnsi="Times New Roman" w:cs="Times New Roman"/>
        </w:rPr>
        <w:t xml:space="preserve">competition. The increased use of digital payment systems stands out the most </w:t>
      </w:r>
      <w:r w:rsidR="005F2EAE" w:rsidRPr="00694D5D">
        <w:rPr>
          <w:rFonts w:ascii="Times New Roman" w:hAnsi="Times New Roman" w:cs="Times New Roman"/>
        </w:rPr>
        <w:t>about</w:t>
      </w:r>
      <w:r w:rsidRPr="00694D5D">
        <w:rPr>
          <w:rFonts w:ascii="Times New Roman" w:hAnsi="Times New Roman" w:cs="Times New Roman"/>
        </w:rPr>
        <w:t xml:space="preserve"> how digitization has affected traditional banking. The reliance on cash has significantly diminished as electronic and contactless payments have increased in prevalence. Digital wallets, mobile payment apps</w:t>
      </w:r>
      <w:r w:rsidR="005F2EAE" w:rsidRPr="00694D5D">
        <w:rPr>
          <w:rFonts w:ascii="Times New Roman" w:hAnsi="Times New Roman" w:cs="Times New Roman"/>
        </w:rPr>
        <w:t>,</w:t>
      </w:r>
      <w:r w:rsidRPr="00694D5D">
        <w:rPr>
          <w:rFonts w:ascii="Times New Roman" w:hAnsi="Times New Roman" w:cs="Times New Roman"/>
        </w:rPr>
        <w:t xml:space="preserve"> and online transactions have become commonplace redefining </w:t>
      </w:r>
      <w:r w:rsidR="005F2EAE" w:rsidRPr="00694D5D">
        <w:rPr>
          <w:rFonts w:ascii="Times New Roman" w:hAnsi="Times New Roman" w:cs="Times New Roman"/>
        </w:rPr>
        <w:t>how</w:t>
      </w:r>
      <w:r w:rsidRPr="00694D5D">
        <w:rPr>
          <w:rFonts w:ascii="Times New Roman" w:hAnsi="Times New Roman" w:cs="Times New Roman"/>
        </w:rPr>
        <w:t xml:space="preserve"> individuals carry out purchases as well as </w:t>
      </w:r>
      <w:r w:rsidRPr="00694D5D">
        <w:rPr>
          <w:rFonts w:ascii="Times New Roman" w:hAnsi="Times New Roman" w:cs="Times New Roman"/>
        </w:rPr>
        <w:lastRenderedPageBreak/>
        <w:t>manage their financial commitments. The COVID-19 pandemic further fueled this trend where consumers sought touchless payment options that resulted in a major uptick of digital payments.</w:t>
      </w:r>
    </w:p>
    <w:p w14:paraId="19CFA1A5" w14:textId="5655851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Digitalization has also compelled traditional banks to introspect and reinvent their operational strategies by investing in technology for simplified processes. Banking operations have been automated using automation and artificial intelligence in customer service via chatbots to data analysis for the risk management process. For instance, chatbots offer immediate customer service thus improving the whole banking experience. This not only improves business efficiency but also allows traditional banks to redeploy resources </w:t>
      </w:r>
      <w:r w:rsidR="005F2EAE" w:rsidRPr="00694D5D">
        <w:rPr>
          <w:rFonts w:ascii="Times New Roman" w:hAnsi="Times New Roman" w:cs="Times New Roman"/>
        </w:rPr>
        <w:t>more strategically</w:t>
      </w:r>
      <w:r w:rsidRPr="00694D5D">
        <w:rPr>
          <w:rFonts w:ascii="Times New Roman" w:hAnsi="Times New Roman" w:cs="Times New Roman"/>
        </w:rPr>
        <w:t xml:space="preserve"> and focus on higher-value </w:t>
      </w:r>
      <w:r w:rsidR="00CC5856" w:rsidRPr="00694D5D">
        <w:rPr>
          <w:rFonts w:ascii="Times New Roman" w:hAnsi="Times New Roman" w:cs="Times New Roman"/>
        </w:rPr>
        <w:t>services. The</w:t>
      </w:r>
      <w:r w:rsidRPr="00694D5D">
        <w:rPr>
          <w:rFonts w:ascii="Times New Roman" w:hAnsi="Times New Roman" w:cs="Times New Roman"/>
        </w:rPr>
        <w:t xml:space="preserve"> effects of digitization are not limited to just customer touch points; they reach the heart of banking services.</w:t>
      </w:r>
      <w:r w:rsidR="00350A5D" w:rsidRPr="00694D5D">
        <w:rPr>
          <w:rFonts w:ascii="Times New Roman" w:hAnsi="Times New Roman" w:cs="Times New Roman"/>
        </w:rPr>
        <w:t xml:space="preserve"> </w:t>
      </w:r>
      <w:r w:rsidRPr="00694D5D">
        <w:rPr>
          <w:rFonts w:ascii="Times New Roman" w:hAnsi="Times New Roman" w:cs="Times New Roman"/>
        </w:rPr>
        <w:t xml:space="preserve">For instance, blockchain is capable of changing processes like cross-border payments and verification of documents by increasing transparency and reducing the time spent on such </w:t>
      </w:r>
      <w:r w:rsidR="0040220F" w:rsidRPr="00694D5D">
        <w:rPr>
          <w:rFonts w:ascii="Times New Roman" w:hAnsi="Times New Roman" w:cs="Times New Roman"/>
        </w:rPr>
        <w:t>transactio</w:t>
      </w:r>
      <w:r w:rsidR="0040220F">
        <w:rPr>
          <w:rFonts w:ascii="Times New Roman" w:hAnsi="Times New Roman" w:cs="Times New Roman"/>
        </w:rPr>
        <w:t>ns</w:t>
      </w:r>
      <w:r w:rsidRPr="00694D5D">
        <w:rPr>
          <w:rFonts w:ascii="Times New Roman" w:hAnsi="Times New Roman" w:cs="Times New Roman"/>
        </w:rPr>
        <w:t>. These technological innovations make the banking ecosystem more agile and responsive.</w:t>
      </w:r>
    </w:p>
    <w:p w14:paraId="4D78F74E" w14:textId="13A6F4A7"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However, the digital transformation journey is fraught with challenges. Traditional banks are faced with the imperative of having robust cybersecurity measures in place to ensure that customer information and financial </w:t>
      </w:r>
      <w:r w:rsidR="00CC5856" w:rsidRPr="00694D5D">
        <w:rPr>
          <w:rFonts w:ascii="Times New Roman" w:hAnsi="Times New Roman" w:cs="Times New Roman"/>
        </w:rPr>
        <w:t>transactions are</w:t>
      </w:r>
      <w:r w:rsidRPr="00694D5D">
        <w:rPr>
          <w:rFonts w:ascii="Times New Roman" w:hAnsi="Times New Roman" w:cs="Times New Roman"/>
        </w:rPr>
        <w:t xml:space="preserve"> safe. As cyber threats continue to become more sophisticated, </w:t>
      </w:r>
      <w:r w:rsidR="00F31B18" w:rsidRPr="00694D5D">
        <w:rPr>
          <w:rFonts w:ascii="Times New Roman" w:hAnsi="Times New Roman" w:cs="Times New Roman"/>
        </w:rPr>
        <w:t>so</w:t>
      </w:r>
      <w:r w:rsidRPr="00694D5D">
        <w:rPr>
          <w:rFonts w:ascii="Times New Roman" w:hAnsi="Times New Roman" w:cs="Times New Roman"/>
        </w:rPr>
        <w:t xml:space="preserve"> does the level of required investment in </w:t>
      </w:r>
      <w:r w:rsidR="005F2EAE" w:rsidRPr="00694D5D">
        <w:rPr>
          <w:rFonts w:ascii="Times New Roman" w:hAnsi="Times New Roman" w:cs="Times New Roman"/>
        </w:rPr>
        <w:t>cutting-edge</w:t>
      </w:r>
      <w:r w:rsidRPr="00694D5D">
        <w:rPr>
          <w:rFonts w:ascii="Times New Roman" w:hAnsi="Times New Roman" w:cs="Times New Roman"/>
        </w:rPr>
        <w:t xml:space="preserve"> security technology as a means </w:t>
      </w:r>
      <w:r w:rsidR="005F2EAE" w:rsidRPr="00694D5D">
        <w:rPr>
          <w:rFonts w:ascii="Times New Roman" w:hAnsi="Times New Roman" w:cs="Times New Roman"/>
        </w:rPr>
        <w:t xml:space="preserve">of </w:t>
      </w:r>
      <w:r w:rsidRPr="00694D5D">
        <w:rPr>
          <w:rFonts w:ascii="Times New Roman" w:hAnsi="Times New Roman" w:cs="Times New Roman"/>
        </w:rPr>
        <w:t>protecting against potential breaches</w:t>
      </w:r>
      <w:r w:rsidR="00414E27">
        <w:rPr>
          <w:rFonts w:ascii="Times New Roman" w:hAnsi="Times New Roman" w:cs="Times New Roman"/>
        </w:rPr>
        <w:t xml:space="preserve"> </w:t>
      </w:r>
      <w:r w:rsidR="00414E27">
        <w:t>(Luck 2023)</w:t>
      </w:r>
      <w:r w:rsidRPr="00694D5D">
        <w:rPr>
          <w:rFonts w:ascii="Times New Roman" w:hAnsi="Times New Roman" w:cs="Times New Roman"/>
        </w:rPr>
        <w:t xml:space="preserve">. An industry report shows the finance sector is still among </w:t>
      </w:r>
      <w:r w:rsidR="005F2EAE" w:rsidRPr="00694D5D">
        <w:rPr>
          <w:rFonts w:ascii="Times New Roman" w:hAnsi="Times New Roman" w:cs="Times New Roman"/>
        </w:rPr>
        <w:t xml:space="preserve">the </w:t>
      </w:r>
      <w:r w:rsidRPr="00694D5D">
        <w:rPr>
          <w:rFonts w:ascii="Times New Roman" w:hAnsi="Times New Roman" w:cs="Times New Roman"/>
        </w:rPr>
        <w:t xml:space="preserve">top targets of </w:t>
      </w:r>
      <w:r w:rsidR="00CC5856" w:rsidRPr="00694D5D">
        <w:rPr>
          <w:rFonts w:ascii="Times New Roman" w:hAnsi="Times New Roman" w:cs="Times New Roman"/>
        </w:rPr>
        <w:t>cyber-attacks</w:t>
      </w:r>
      <w:r w:rsidRPr="00694D5D">
        <w:rPr>
          <w:rFonts w:ascii="Times New Roman" w:hAnsi="Times New Roman" w:cs="Times New Roman"/>
        </w:rPr>
        <w:t xml:space="preserve">, highlighting how imperative robust measures for cyberspace protection are. It also involves the upskilling of </w:t>
      </w:r>
      <w:r w:rsidR="005F2EAE" w:rsidRPr="00694D5D">
        <w:rPr>
          <w:rFonts w:ascii="Times New Roman" w:hAnsi="Times New Roman" w:cs="Times New Roman"/>
        </w:rPr>
        <w:t xml:space="preserve">the </w:t>
      </w:r>
      <w:r w:rsidRPr="00694D5D">
        <w:rPr>
          <w:rFonts w:ascii="Times New Roman" w:hAnsi="Times New Roman" w:cs="Times New Roman"/>
        </w:rPr>
        <w:t xml:space="preserve">existing workforce and nurturing a digital culture in traditional banking institutions, which are both equally challenging. For the successful implementation process of digital strategies, training programs and initiatives designed </w:t>
      </w:r>
      <w:r w:rsidR="005F2EAE" w:rsidRPr="00694D5D">
        <w:rPr>
          <w:rFonts w:ascii="Times New Roman" w:hAnsi="Times New Roman" w:cs="Times New Roman"/>
        </w:rPr>
        <w:t>to equip</w:t>
      </w:r>
      <w:r w:rsidRPr="00694D5D">
        <w:rPr>
          <w:rFonts w:ascii="Times New Roman" w:hAnsi="Times New Roman" w:cs="Times New Roman"/>
        </w:rPr>
        <w:t xml:space="preserve"> employees with appropriate digital skills are essential. Statistics </w:t>
      </w:r>
      <w:r w:rsidR="0040220F" w:rsidRPr="00694D5D">
        <w:rPr>
          <w:rFonts w:ascii="Times New Roman" w:hAnsi="Times New Roman" w:cs="Times New Roman"/>
        </w:rPr>
        <w:t>show</w:t>
      </w:r>
      <w:r w:rsidRPr="00694D5D">
        <w:rPr>
          <w:rFonts w:ascii="Times New Roman" w:hAnsi="Times New Roman" w:cs="Times New Roman"/>
        </w:rPr>
        <w:t xml:space="preserve"> that organizations </w:t>
      </w:r>
      <w:r w:rsidR="005F2EAE" w:rsidRPr="00694D5D">
        <w:rPr>
          <w:rFonts w:ascii="Times New Roman" w:hAnsi="Times New Roman" w:cs="Times New Roman"/>
        </w:rPr>
        <w:t>that</w:t>
      </w:r>
      <w:r w:rsidRPr="00694D5D">
        <w:rPr>
          <w:rFonts w:ascii="Times New Roman" w:hAnsi="Times New Roman" w:cs="Times New Roman"/>
        </w:rPr>
        <w:t xml:space="preserve"> prioritize digital upskilling have higher employee satisfaction rates and </w:t>
      </w:r>
      <w:r w:rsidR="005F2EAE" w:rsidRPr="00694D5D">
        <w:rPr>
          <w:rFonts w:ascii="Times New Roman" w:hAnsi="Times New Roman" w:cs="Times New Roman"/>
        </w:rPr>
        <w:t>can</w:t>
      </w:r>
      <w:r w:rsidRPr="00694D5D">
        <w:rPr>
          <w:rFonts w:ascii="Times New Roman" w:hAnsi="Times New Roman" w:cs="Times New Roman"/>
        </w:rPr>
        <w:t xml:space="preserve"> cope better with the challenges of a digitized world. Importantly, from a regulatory perspective</w:t>
      </w:r>
      <w:r w:rsidR="005F2EAE" w:rsidRPr="00694D5D">
        <w:rPr>
          <w:rFonts w:ascii="Times New Roman" w:hAnsi="Times New Roman" w:cs="Times New Roman"/>
        </w:rPr>
        <w:t>,</w:t>
      </w:r>
      <w:r w:rsidRPr="00694D5D">
        <w:rPr>
          <w:rFonts w:ascii="Times New Roman" w:hAnsi="Times New Roman" w:cs="Times New Roman"/>
        </w:rPr>
        <w:t xml:space="preserve"> the influence of digitalization is significant. Regulators are trying to find a fine balance between encouraging innovation and ensuring stability in the financial system. Regulatory bodies have now been forced to revisit frameworks and adapt due </w:t>
      </w:r>
      <w:r w:rsidR="005F2EAE" w:rsidRPr="00694D5D">
        <w:rPr>
          <w:rFonts w:ascii="Times New Roman" w:hAnsi="Times New Roman" w:cs="Times New Roman"/>
        </w:rPr>
        <w:t xml:space="preserve">to </w:t>
      </w:r>
      <w:r w:rsidRPr="00694D5D">
        <w:rPr>
          <w:rFonts w:ascii="Times New Roman" w:hAnsi="Times New Roman" w:cs="Times New Roman"/>
        </w:rPr>
        <w:t xml:space="preserve">the emergence of fintech disruptors in response to </w:t>
      </w:r>
      <w:r w:rsidR="005F2EAE" w:rsidRPr="00694D5D">
        <w:rPr>
          <w:rFonts w:ascii="Times New Roman" w:hAnsi="Times New Roman" w:cs="Times New Roman"/>
        </w:rPr>
        <w:t xml:space="preserve">the </w:t>
      </w:r>
      <w:r w:rsidRPr="00694D5D">
        <w:rPr>
          <w:rFonts w:ascii="Times New Roman" w:hAnsi="Times New Roman" w:cs="Times New Roman"/>
        </w:rPr>
        <w:t xml:space="preserve">changing dynamics of the digital banking landscape. For instance, the establishment of open banking initiatives and data protection regulations can be seen </w:t>
      </w:r>
      <w:r w:rsidR="00FE0AFD" w:rsidRPr="00694D5D">
        <w:rPr>
          <w:rFonts w:ascii="Times New Roman" w:hAnsi="Times New Roman" w:cs="Times New Roman"/>
        </w:rPr>
        <w:t>because of</w:t>
      </w:r>
      <w:r w:rsidRPr="00694D5D">
        <w:rPr>
          <w:rFonts w:ascii="Times New Roman" w:hAnsi="Times New Roman" w:cs="Times New Roman"/>
        </w:rPr>
        <w:t xml:space="preserve"> continuous changes in </w:t>
      </w:r>
      <w:r w:rsidR="005F2EAE" w:rsidRPr="00694D5D">
        <w:rPr>
          <w:rFonts w:ascii="Times New Roman" w:hAnsi="Times New Roman" w:cs="Times New Roman"/>
        </w:rPr>
        <w:lastRenderedPageBreak/>
        <w:t xml:space="preserve">the </w:t>
      </w:r>
      <w:r w:rsidRPr="00694D5D">
        <w:rPr>
          <w:rFonts w:ascii="Times New Roman" w:hAnsi="Times New Roman" w:cs="Times New Roman"/>
        </w:rPr>
        <w:t>digitalization-driven regulatory environment</w:t>
      </w:r>
      <w:r w:rsidR="009F4E3C">
        <w:rPr>
          <w:rFonts w:ascii="Times New Roman" w:hAnsi="Times New Roman" w:cs="Times New Roman"/>
        </w:rPr>
        <w:t xml:space="preserve"> </w:t>
      </w:r>
      <w:r w:rsidR="009F4E3C">
        <w:t xml:space="preserve">(Reinartz, Wiegand &amp; </w:t>
      </w:r>
      <w:proofErr w:type="spellStart"/>
      <w:r w:rsidR="009F4E3C">
        <w:t>Imschloss</w:t>
      </w:r>
      <w:proofErr w:type="spellEnd"/>
      <w:r w:rsidR="009F4E3C">
        <w:t xml:space="preserve"> 2019)</w:t>
      </w:r>
      <w:r w:rsidRPr="00694D5D">
        <w:rPr>
          <w:rFonts w:ascii="Times New Roman" w:hAnsi="Times New Roman" w:cs="Times New Roman"/>
        </w:rPr>
        <w:t>. The effects of digitization on conventional banking reach far beyond superficial changes, affecting fundamental processes and shaping interactions with customers while also influencing regulatory environments. As traditional banks make their way through this digital transformation journey with the use of technological innovations while handling challenges, it is essentia</w:t>
      </w:r>
      <w:r w:rsidR="0084366A">
        <w:rPr>
          <w:rFonts w:ascii="Times New Roman" w:hAnsi="Times New Roman" w:cs="Times New Roman"/>
        </w:rPr>
        <w:t>l</w:t>
      </w:r>
      <w:r w:rsidRPr="00694D5D">
        <w:rPr>
          <w:rFonts w:ascii="Times New Roman" w:hAnsi="Times New Roman" w:cs="Times New Roman"/>
        </w:rPr>
        <w:t>.</w:t>
      </w:r>
      <w:r w:rsidR="00350A5D" w:rsidRPr="00694D5D">
        <w:rPr>
          <w:rFonts w:ascii="Times New Roman" w:hAnsi="Times New Roman" w:cs="Times New Roman"/>
        </w:rPr>
        <w:t xml:space="preserve"> </w:t>
      </w:r>
      <w:bookmarkStart w:id="18" w:name="_Hlk155709434"/>
      <w:r w:rsidRPr="00694D5D">
        <w:rPr>
          <w:rFonts w:ascii="Times New Roman" w:hAnsi="Times New Roman" w:cs="Times New Roman"/>
        </w:rPr>
        <w:t>If traditional banks employ appropriate strategies, they can not only adapt to the changing needs of customers but also support building a robust and forward-looking financial landscape in line with digital times</w:t>
      </w:r>
      <w:r w:rsidR="00632BAE">
        <w:rPr>
          <w:rFonts w:ascii="Times New Roman" w:hAnsi="Times New Roman" w:cs="Times New Roman"/>
        </w:rPr>
        <w:t xml:space="preserve"> </w:t>
      </w:r>
      <w:r w:rsidR="00632BAE">
        <w:t>(</w:t>
      </w:r>
      <w:proofErr w:type="spellStart"/>
      <w:r w:rsidR="00632BAE">
        <w:t>Tzortzakis</w:t>
      </w:r>
      <w:proofErr w:type="spellEnd"/>
      <w:r w:rsidR="00632BAE">
        <w:t xml:space="preserve"> 2018)</w:t>
      </w:r>
      <w:r w:rsidRPr="00694D5D">
        <w:rPr>
          <w:rFonts w:ascii="Times New Roman" w:hAnsi="Times New Roman" w:cs="Times New Roman"/>
        </w:rPr>
        <w:t>.</w:t>
      </w:r>
    </w:p>
    <w:p w14:paraId="34B4464D"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19" w:name="_Toc158706270"/>
      <w:r w:rsidRPr="00694D5D">
        <w:rPr>
          <w:rFonts w:ascii="Times New Roman" w:hAnsi="Times New Roman" w:cs="Times New Roman"/>
        </w:rPr>
        <w:t>Regulatory Framework in the UK</w:t>
      </w:r>
      <w:bookmarkEnd w:id="19"/>
    </w:p>
    <w:p w14:paraId="02F9BF15"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20" w:name="_Toc158706271"/>
      <w:r w:rsidRPr="00694D5D">
        <w:rPr>
          <w:rFonts w:ascii="Times New Roman" w:hAnsi="Times New Roman" w:cs="Times New Roman"/>
        </w:rPr>
        <w:t>Evolution of Regulatory Framework in the UK Banking Sector</w:t>
      </w:r>
      <w:bookmarkEnd w:id="20"/>
    </w:p>
    <w:p w14:paraId="42244A91" w14:textId="7E7EFD48"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Over the years, the regulatory environment of banking operations in </w:t>
      </w:r>
      <w:r w:rsidR="005F2EAE" w:rsidRPr="00694D5D">
        <w:rPr>
          <w:rFonts w:ascii="Times New Roman" w:hAnsi="Times New Roman" w:cs="Times New Roman"/>
        </w:rPr>
        <w:t xml:space="preserve">the </w:t>
      </w:r>
      <w:r w:rsidRPr="00694D5D">
        <w:rPr>
          <w:rFonts w:ascii="Times New Roman" w:hAnsi="Times New Roman" w:cs="Times New Roman"/>
        </w:rPr>
        <w:t>UK has come a long way</w:t>
      </w:r>
      <w:r w:rsidR="005F2EAE" w:rsidRPr="00694D5D">
        <w:rPr>
          <w:rFonts w:ascii="Times New Roman" w:hAnsi="Times New Roman" w:cs="Times New Roman"/>
        </w:rPr>
        <w:t>,</w:t>
      </w:r>
      <w:r w:rsidRPr="00694D5D">
        <w:rPr>
          <w:rFonts w:ascii="Times New Roman" w:hAnsi="Times New Roman" w:cs="Times New Roman"/>
        </w:rPr>
        <w:t xml:space="preserve"> especially after an evolution spurred by digitalization – </w:t>
      </w:r>
      <w:r w:rsidR="005F2EAE" w:rsidRPr="00694D5D">
        <w:rPr>
          <w:rFonts w:ascii="Times New Roman" w:hAnsi="Times New Roman" w:cs="Times New Roman"/>
        </w:rPr>
        <w:t>ever-changing</w:t>
      </w:r>
      <w:r w:rsidRPr="00694D5D">
        <w:rPr>
          <w:rFonts w:ascii="Times New Roman" w:hAnsi="Times New Roman" w:cs="Times New Roman"/>
        </w:rPr>
        <w:t xml:space="preserve"> dynamics. Previously, banking laws in the UK </w:t>
      </w:r>
      <w:r w:rsidR="00054019" w:rsidRPr="00694D5D">
        <w:rPr>
          <w:rFonts w:ascii="Times New Roman" w:hAnsi="Times New Roman" w:cs="Times New Roman"/>
        </w:rPr>
        <w:t>were mainly</w:t>
      </w:r>
      <w:r w:rsidRPr="00694D5D">
        <w:rPr>
          <w:rFonts w:ascii="Times New Roman" w:hAnsi="Times New Roman" w:cs="Times New Roman"/>
        </w:rPr>
        <w:t xml:space="preserve"> aimed </w:t>
      </w:r>
      <w:r w:rsidR="005F2EAE" w:rsidRPr="00694D5D">
        <w:rPr>
          <w:rFonts w:ascii="Times New Roman" w:hAnsi="Times New Roman" w:cs="Times New Roman"/>
        </w:rPr>
        <w:t>at</w:t>
      </w:r>
      <w:r w:rsidRPr="00694D5D">
        <w:rPr>
          <w:rFonts w:ascii="Times New Roman" w:hAnsi="Times New Roman" w:cs="Times New Roman"/>
        </w:rPr>
        <w:t xml:space="preserve"> maintaining financial stability and mitigating systemic risks</w:t>
      </w:r>
      <w:r w:rsidR="00FF5C35">
        <w:rPr>
          <w:rFonts w:ascii="Times New Roman" w:hAnsi="Times New Roman" w:cs="Times New Roman"/>
        </w:rPr>
        <w:t xml:space="preserve"> </w:t>
      </w:r>
      <w:r w:rsidR="00FF5C35">
        <w:t>(Roy 2020)</w:t>
      </w:r>
      <w:r w:rsidRPr="00694D5D">
        <w:rPr>
          <w:rFonts w:ascii="Times New Roman" w:hAnsi="Times New Roman" w:cs="Times New Roman"/>
        </w:rPr>
        <w:t xml:space="preserve">. However, digital technologies and fintech developments brought a </w:t>
      </w:r>
      <w:r w:rsidR="005F2EAE" w:rsidRPr="00694D5D">
        <w:rPr>
          <w:rFonts w:ascii="Times New Roman" w:hAnsi="Times New Roman" w:cs="Times New Roman"/>
        </w:rPr>
        <w:t>regulation change</w:t>
      </w:r>
      <w:r w:rsidRPr="00694D5D">
        <w:rPr>
          <w:rFonts w:ascii="Times New Roman" w:hAnsi="Times New Roman" w:cs="Times New Roman"/>
        </w:rPr>
        <w:t xml:space="preserve">. </w:t>
      </w:r>
      <w:r w:rsidR="005F2EAE" w:rsidRPr="00694D5D">
        <w:rPr>
          <w:rFonts w:ascii="Times New Roman" w:hAnsi="Times New Roman" w:cs="Times New Roman"/>
        </w:rPr>
        <w:t xml:space="preserve">In </w:t>
      </w:r>
      <w:r w:rsidRPr="00694D5D">
        <w:rPr>
          <w:rFonts w:ascii="Times New Roman" w:hAnsi="Times New Roman" w:cs="Times New Roman"/>
        </w:rPr>
        <w:t xml:space="preserve">1997 </w:t>
      </w:r>
      <w:r w:rsidR="0040220F" w:rsidRPr="00694D5D">
        <w:rPr>
          <w:rFonts w:ascii="Times New Roman" w:hAnsi="Times New Roman" w:cs="Times New Roman"/>
        </w:rPr>
        <w:t>the Financial</w:t>
      </w:r>
      <w:r w:rsidRPr="00694D5D">
        <w:rPr>
          <w:rFonts w:ascii="Times New Roman" w:hAnsi="Times New Roman" w:cs="Times New Roman"/>
        </w:rPr>
        <w:t xml:space="preserve"> Services Authority, </w:t>
      </w:r>
      <w:proofErr w:type="gramStart"/>
      <w:r w:rsidRPr="00694D5D">
        <w:rPr>
          <w:rFonts w:ascii="Times New Roman" w:hAnsi="Times New Roman" w:cs="Times New Roman"/>
        </w:rPr>
        <w:t>FSA</w:t>
      </w:r>
      <w:proofErr w:type="gramEnd"/>
      <w:r w:rsidRPr="00694D5D">
        <w:rPr>
          <w:rFonts w:ascii="Times New Roman" w:hAnsi="Times New Roman" w:cs="Times New Roman"/>
        </w:rPr>
        <w:t xml:space="preserve"> became an important body involved in monitoring and regulating financial institutions. However, in the wake of </w:t>
      </w:r>
      <w:r w:rsidR="005F2EAE" w:rsidRPr="00694D5D">
        <w:rPr>
          <w:rFonts w:ascii="Times New Roman" w:hAnsi="Times New Roman" w:cs="Times New Roman"/>
        </w:rPr>
        <w:t xml:space="preserve">the </w:t>
      </w:r>
      <w:r w:rsidRPr="00694D5D">
        <w:rPr>
          <w:rFonts w:ascii="Times New Roman" w:hAnsi="Times New Roman" w:cs="Times New Roman"/>
        </w:rPr>
        <w:t>2008 global financial crisis</w:t>
      </w:r>
      <w:r w:rsidR="005F2EAE" w:rsidRPr="00694D5D">
        <w:rPr>
          <w:rFonts w:ascii="Times New Roman" w:hAnsi="Times New Roman" w:cs="Times New Roman"/>
        </w:rPr>
        <w:t>,</w:t>
      </w:r>
      <w:r w:rsidRPr="00694D5D">
        <w:rPr>
          <w:rFonts w:ascii="Times New Roman" w:hAnsi="Times New Roman" w:cs="Times New Roman"/>
        </w:rPr>
        <w:t xml:space="preserve"> there was a fundamental restructuring of </w:t>
      </w:r>
      <w:r w:rsidR="005F2EAE" w:rsidRPr="00694D5D">
        <w:rPr>
          <w:rFonts w:ascii="Times New Roman" w:hAnsi="Times New Roman" w:cs="Times New Roman"/>
        </w:rPr>
        <w:t xml:space="preserve">the </w:t>
      </w:r>
      <w:r w:rsidRPr="00694D5D">
        <w:rPr>
          <w:rFonts w:ascii="Times New Roman" w:hAnsi="Times New Roman" w:cs="Times New Roman"/>
        </w:rPr>
        <w:t xml:space="preserve">regulatory framework. FSA was abolished, </w:t>
      </w:r>
      <w:r w:rsidR="005F2EAE" w:rsidRPr="00694D5D">
        <w:rPr>
          <w:rFonts w:ascii="Times New Roman" w:hAnsi="Times New Roman" w:cs="Times New Roman"/>
        </w:rPr>
        <w:t xml:space="preserve">and </w:t>
      </w:r>
      <w:r w:rsidRPr="00694D5D">
        <w:rPr>
          <w:rFonts w:ascii="Times New Roman" w:hAnsi="Times New Roman" w:cs="Times New Roman"/>
        </w:rPr>
        <w:t xml:space="preserve">PRA and the Financial Conduct Authority (FCA) were formed. This reorganization was intended to facilitate a better regulatory framework through the separation of prudential and conduct supervision </w:t>
      </w:r>
      <w:r w:rsidR="005F2EAE" w:rsidRPr="00694D5D">
        <w:rPr>
          <w:rFonts w:ascii="Times New Roman" w:hAnsi="Times New Roman" w:cs="Times New Roman"/>
        </w:rPr>
        <w:t>for</w:t>
      </w:r>
      <w:r w:rsidRPr="00694D5D">
        <w:rPr>
          <w:rFonts w:ascii="Times New Roman" w:hAnsi="Times New Roman" w:cs="Times New Roman"/>
        </w:rPr>
        <w:t xml:space="preserve"> oversight </w:t>
      </w:r>
      <w:r w:rsidR="005F2EAE" w:rsidRPr="00694D5D">
        <w:rPr>
          <w:rFonts w:ascii="Times New Roman" w:hAnsi="Times New Roman" w:cs="Times New Roman"/>
        </w:rPr>
        <w:t xml:space="preserve">to </w:t>
      </w:r>
      <w:r w:rsidRPr="00694D5D">
        <w:rPr>
          <w:rFonts w:ascii="Times New Roman" w:hAnsi="Times New Roman" w:cs="Times New Roman"/>
        </w:rPr>
        <w:t xml:space="preserve">be more directed, </w:t>
      </w:r>
      <w:r w:rsidR="005F2EAE" w:rsidRPr="00694D5D">
        <w:rPr>
          <w:rFonts w:ascii="Times New Roman" w:hAnsi="Times New Roman" w:cs="Times New Roman"/>
        </w:rPr>
        <w:t xml:space="preserve">and </w:t>
      </w:r>
      <w:r w:rsidRPr="00694D5D">
        <w:rPr>
          <w:rFonts w:ascii="Times New Roman" w:hAnsi="Times New Roman" w:cs="Times New Roman"/>
        </w:rPr>
        <w:t>efficient.</w:t>
      </w:r>
    </w:p>
    <w:p w14:paraId="054D7087"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21" w:name="_Toc158706272"/>
      <w:r w:rsidRPr="00694D5D">
        <w:rPr>
          <w:rFonts w:ascii="Times New Roman" w:hAnsi="Times New Roman" w:cs="Times New Roman"/>
        </w:rPr>
        <w:t>Accepting Open Banking and Data Security</w:t>
      </w:r>
      <w:bookmarkEnd w:id="21"/>
    </w:p>
    <w:p w14:paraId="06E298FA" w14:textId="7A91D470"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Following the arrival of digital transformation, open banking initiatives were taken up in the UK. Open banking was promoted by the Competition and Markets Authority (CMA) in 2018 </w:t>
      </w:r>
      <w:r w:rsidR="005F2EAE" w:rsidRPr="00694D5D">
        <w:rPr>
          <w:rFonts w:ascii="Times New Roman" w:hAnsi="Times New Roman" w:cs="Times New Roman"/>
        </w:rPr>
        <w:t>to drive competition, encourage</w:t>
      </w:r>
      <w:r w:rsidRPr="00694D5D">
        <w:rPr>
          <w:rFonts w:ascii="Times New Roman" w:hAnsi="Times New Roman" w:cs="Times New Roman"/>
        </w:rPr>
        <w:t xml:space="preserve"> innovation, </w:t>
      </w:r>
      <w:r w:rsidR="005F2EAE" w:rsidRPr="00694D5D">
        <w:rPr>
          <w:rFonts w:ascii="Times New Roman" w:hAnsi="Times New Roman" w:cs="Times New Roman"/>
        </w:rPr>
        <w:t>and enable</w:t>
      </w:r>
      <w:r w:rsidRPr="00694D5D">
        <w:rPr>
          <w:rFonts w:ascii="Times New Roman" w:hAnsi="Times New Roman" w:cs="Times New Roman"/>
        </w:rPr>
        <w:t xml:space="preserve"> consumers to share their financial information safely </w:t>
      </w:r>
      <w:r w:rsidR="005F2EAE" w:rsidRPr="00694D5D">
        <w:rPr>
          <w:rFonts w:ascii="Times New Roman" w:hAnsi="Times New Roman" w:cs="Times New Roman"/>
        </w:rPr>
        <w:t>using</w:t>
      </w:r>
      <w:r w:rsidRPr="00694D5D">
        <w:rPr>
          <w:rFonts w:ascii="Times New Roman" w:hAnsi="Times New Roman" w:cs="Times New Roman"/>
        </w:rPr>
        <w:t xml:space="preserve"> </w:t>
      </w:r>
      <w:r w:rsidR="005F2EAE" w:rsidRPr="00694D5D">
        <w:rPr>
          <w:rFonts w:ascii="Times New Roman" w:hAnsi="Times New Roman" w:cs="Times New Roman"/>
        </w:rPr>
        <w:t>third-party</w:t>
      </w:r>
      <w:r w:rsidRPr="00694D5D">
        <w:rPr>
          <w:rFonts w:ascii="Times New Roman" w:hAnsi="Times New Roman" w:cs="Times New Roman"/>
        </w:rPr>
        <w:t xml:space="preserve"> providers. This represented a major change in the more traditional banking </w:t>
      </w:r>
      <w:r w:rsidR="00FD3894" w:rsidRPr="00694D5D">
        <w:rPr>
          <w:rFonts w:ascii="Times New Roman" w:hAnsi="Times New Roman" w:cs="Times New Roman"/>
        </w:rPr>
        <w:t>world,</w:t>
      </w:r>
      <w:r w:rsidRPr="00694D5D">
        <w:rPr>
          <w:rFonts w:ascii="Times New Roman" w:hAnsi="Times New Roman" w:cs="Times New Roman"/>
        </w:rPr>
        <w:t xml:space="preserve"> helping to provide a much greater degree of collaboration and customer orientation. </w:t>
      </w:r>
      <w:r w:rsidR="00036114">
        <w:rPr>
          <w:rFonts w:ascii="Times New Roman" w:hAnsi="Times New Roman" w:cs="Times New Roman"/>
        </w:rPr>
        <w:t xml:space="preserve">In </w:t>
      </w:r>
      <w:r w:rsidRPr="00694D5D">
        <w:rPr>
          <w:rFonts w:ascii="Times New Roman" w:hAnsi="Times New Roman" w:cs="Times New Roman"/>
        </w:rPr>
        <w:t>2018 GDPR, the General Data Protection Regulation</w:t>
      </w:r>
      <w:r w:rsidR="001B5A78">
        <w:rPr>
          <w:rFonts w:ascii="Times New Roman" w:hAnsi="Times New Roman" w:cs="Times New Roman"/>
        </w:rPr>
        <w:t>,</w:t>
      </w:r>
      <w:r w:rsidRPr="00694D5D">
        <w:rPr>
          <w:rFonts w:ascii="Times New Roman" w:hAnsi="Times New Roman" w:cs="Times New Roman"/>
        </w:rPr>
        <w:t xml:space="preserve"> data protection became a top priority as well.</w:t>
      </w:r>
      <w:r w:rsidR="00935069" w:rsidRPr="00694D5D">
        <w:rPr>
          <w:rFonts w:ascii="Times New Roman" w:hAnsi="Times New Roman" w:cs="Times New Roman"/>
        </w:rPr>
        <w:t xml:space="preserve"> </w:t>
      </w:r>
      <w:bookmarkEnd w:id="18"/>
      <w:r w:rsidRPr="00694D5D">
        <w:rPr>
          <w:rFonts w:ascii="Times New Roman" w:hAnsi="Times New Roman" w:cs="Times New Roman"/>
        </w:rPr>
        <w:t xml:space="preserve">GDPR not only highlighted the necessity to protect customer data but also increased individuals’ </w:t>
      </w:r>
      <w:r w:rsidRPr="00694D5D">
        <w:rPr>
          <w:rFonts w:ascii="Times New Roman" w:hAnsi="Times New Roman" w:cs="Times New Roman"/>
        </w:rPr>
        <w:lastRenderedPageBreak/>
        <w:t xml:space="preserve">power over their private information. Banking institutions had to streamline their data management practices </w:t>
      </w:r>
      <w:r w:rsidR="00373245" w:rsidRPr="00694D5D">
        <w:rPr>
          <w:rFonts w:ascii="Times New Roman" w:hAnsi="Times New Roman" w:cs="Times New Roman"/>
        </w:rPr>
        <w:t>meeting</w:t>
      </w:r>
      <w:r w:rsidRPr="00694D5D">
        <w:rPr>
          <w:rFonts w:ascii="Times New Roman" w:hAnsi="Times New Roman" w:cs="Times New Roman"/>
        </w:rPr>
        <w:t xml:space="preserve"> the strict requirements of GDPR, thus strengthening confidence and transparency in the digital age.</w:t>
      </w:r>
    </w:p>
    <w:p w14:paraId="3E136F8F" w14:textId="77777777" w:rsidR="004E3047" w:rsidRDefault="004E3047" w:rsidP="002F4ADE">
      <w:pPr>
        <w:pStyle w:val="Heading2"/>
        <w:numPr>
          <w:ilvl w:val="2"/>
          <w:numId w:val="8"/>
        </w:numPr>
        <w:spacing w:line="360" w:lineRule="auto"/>
        <w:jc w:val="both"/>
        <w:rPr>
          <w:rFonts w:ascii="Times New Roman" w:hAnsi="Times New Roman" w:cs="Times New Roman"/>
        </w:rPr>
      </w:pPr>
      <w:bookmarkStart w:id="22" w:name="_Toc158706273"/>
      <w:r w:rsidRPr="00694D5D">
        <w:rPr>
          <w:rFonts w:ascii="Times New Roman" w:hAnsi="Times New Roman" w:cs="Times New Roman"/>
        </w:rPr>
        <w:t>Navigating Cybersecurity Challenges and Future Outlook.</w:t>
      </w:r>
      <w:bookmarkEnd w:id="22"/>
    </w:p>
    <w:p w14:paraId="4B6246C0" w14:textId="26A5082D" w:rsidR="006334D9" w:rsidRPr="006334D9" w:rsidRDefault="006334D9" w:rsidP="006334D9">
      <w:pPr>
        <w:spacing w:line="360" w:lineRule="auto"/>
        <w:jc w:val="both"/>
        <w:rPr>
          <w:rFonts w:ascii="Times New Roman" w:hAnsi="Times New Roman" w:cs="Times New Roman"/>
        </w:rPr>
      </w:pPr>
      <w:r w:rsidRPr="006334D9">
        <w:rPr>
          <w:rFonts w:ascii="Times New Roman" w:hAnsi="Times New Roman" w:cs="Times New Roman"/>
        </w:rPr>
        <w:t xml:space="preserve">The advent of digitalization presented new and unique challenges related to cybersecurity. As the UK banking sector was one of the main targets for cyber threats, it had to strengthen defenses to ensure the confidentiality and integrity of financial data as well as transactions made digitally. Financial institutions also received guidelines and frameworks on improving cybersecurity measures from regulatory bodies like PRA and FCA. Statistics show that in the UK banking environment, there is rapid growth of cyber threats where attempted attacks on banks’ digital structure increased significantly </w:t>
      </w:r>
      <w:r>
        <w:t>(FinTech Global 2023)</w:t>
      </w:r>
      <w:r w:rsidRPr="006334D9">
        <w:rPr>
          <w:rFonts w:ascii="Times New Roman" w:hAnsi="Times New Roman" w:cs="Times New Roman"/>
        </w:rPr>
        <w:t xml:space="preserve">. According to the latest data, the number of cyber-attacks against financial institutions has increased by 30 percent </w:t>
      </w:r>
      <w:r w:rsidR="008E0E8C">
        <w:rPr>
          <w:rFonts w:ascii="Times New Roman" w:hAnsi="Times New Roman" w:cs="Times New Roman"/>
        </w:rPr>
        <w:t xml:space="preserve">per </w:t>
      </w:r>
      <w:r w:rsidRPr="006334D9">
        <w:rPr>
          <w:rFonts w:ascii="Times New Roman" w:hAnsi="Times New Roman" w:cs="Times New Roman"/>
        </w:rPr>
        <w:t xml:space="preserve">year suggesting that there is an urgent need for strong measures in fighting cybercrimes </w:t>
      </w:r>
      <w:r>
        <w:t xml:space="preserve">(Gurumurthy &amp; </w:t>
      </w:r>
      <w:proofErr w:type="spellStart"/>
      <w:r>
        <w:t>Schatsky</w:t>
      </w:r>
      <w:proofErr w:type="spellEnd"/>
      <w:r>
        <w:t xml:space="preserve"> 2019)</w:t>
      </w:r>
      <w:r w:rsidRPr="006334D9">
        <w:rPr>
          <w:rFonts w:ascii="Times New Roman" w:hAnsi="Times New Roman" w:cs="Times New Roman"/>
        </w:rPr>
        <w:t>.</w:t>
      </w:r>
    </w:p>
    <w:p w14:paraId="14411276" w14:textId="77777777" w:rsidR="006334D9" w:rsidRPr="006334D9" w:rsidRDefault="006334D9" w:rsidP="006334D9">
      <w:pPr>
        <w:spacing w:line="360" w:lineRule="auto"/>
        <w:jc w:val="both"/>
        <w:rPr>
          <w:rFonts w:ascii="Times New Roman" w:hAnsi="Times New Roman" w:cs="Times New Roman"/>
        </w:rPr>
      </w:pPr>
      <w:r w:rsidRPr="006334D9">
        <w:rPr>
          <w:rFonts w:ascii="Times New Roman" w:hAnsi="Times New Roman" w:cs="Times New Roman"/>
        </w:rPr>
        <w:t xml:space="preserve">As we move into the future, it is anticipated that the regulatory framework of the UK’s banking sector will continue evolving as new technologies emerge and threats develop. The emphasis on regulatory focus could be moved to the ethical impacts facing artificial intelligence, proper use of customer data, and supporting innovation while still being fiscally stable </w:t>
      </w:r>
      <w:r>
        <w:t>(FinTech Global 2023)</w:t>
      </w:r>
      <w:r w:rsidRPr="006334D9">
        <w:rPr>
          <w:rFonts w:ascii="Times New Roman" w:hAnsi="Times New Roman" w:cs="Times New Roman"/>
        </w:rPr>
        <w:t>. Regulatory concerns are likely to focus on the effective balancing between creating a competitive digital marketplace and protecting consumer interests. The UK banking scene is poised as a global trailblazer in the changing digital landscape, with its resilience in coping with the challenges posed by digitization and proactive regulatory moves.</w:t>
      </w:r>
    </w:p>
    <w:p w14:paraId="2B11226C" w14:textId="77777777" w:rsidR="006334D9" w:rsidRPr="006334D9" w:rsidRDefault="006334D9" w:rsidP="006334D9"/>
    <w:p w14:paraId="0DC0FAFA" w14:textId="77777777" w:rsidR="004E3047" w:rsidRPr="00694D5D" w:rsidRDefault="00E1524A" w:rsidP="002F4ADE">
      <w:pPr>
        <w:pStyle w:val="Heading1"/>
        <w:numPr>
          <w:ilvl w:val="1"/>
          <w:numId w:val="8"/>
        </w:numPr>
        <w:spacing w:line="360" w:lineRule="auto"/>
        <w:jc w:val="both"/>
        <w:rPr>
          <w:rFonts w:ascii="Times New Roman" w:hAnsi="Times New Roman" w:cs="Times New Roman"/>
        </w:rPr>
      </w:pPr>
      <w:bookmarkStart w:id="23" w:name="_Toc158706274"/>
      <w:r w:rsidRPr="00694D5D">
        <w:rPr>
          <w:rFonts w:ascii="Times New Roman" w:hAnsi="Times New Roman" w:cs="Times New Roman"/>
        </w:rPr>
        <w:t>Consumer Behavior and Digital Banking Implementation in the UK</w:t>
      </w:r>
      <w:bookmarkEnd w:id="23"/>
    </w:p>
    <w:p w14:paraId="3F690B22" w14:textId="2A53F4E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There has been a significant change in consumer behavior with the introduction of digital </w:t>
      </w:r>
      <w:r w:rsidR="00373245" w:rsidRPr="00694D5D">
        <w:rPr>
          <w:rFonts w:ascii="Times New Roman" w:hAnsi="Times New Roman" w:cs="Times New Roman"/>
        </w:rPr>
        <w:t>banking,</w:t>
      </w:r>
      <w:r w:rsidRPr="00694D5D">
        <w:rPr>
          <w:rFonts w:ascii="Times New Roman" w:hAnsi="Times New Roman" w:cs="Times New Roman"/>
        </w:rPr>
        <w:t xml:space="preserve"> especially in countries like </w:t>
      </w:r>
      <w:r w:rsidR="005F2EAE" w:rsidRPr="00694D5D">
        <w:rPr>
          <w:rFonts w:ascii="Times New Roman" w:hAnsi="Times New Roman" w:cs="Times New Roman"/>
        </w:rPr>
        <w:t xml:space="preserve">the </w:t>
      </w:r>
      <w:r w:rsidRPr="00694D5D">
        <w:rPr>
          <w:rFonts w:ascii="Times New Roman" w:hAnsi="Times New Roman" w:cs="Times New Roman"/>
        </w:rPr>
        <w:t>UK.</w:t>
      </w:r>
      <w:r w:rsidR="00935069" w:rsidRPr="00694D5D">
        <w:rPr>
          <w:rFonts w:ascii="Times New Roman" w:hAnsi="Times New Roman" w:cs="Times New Roman"/>
        </w:rPr>
        <w:t xml:space="preserve"> </w:t>
      </w:r>
      <w:r w:rsidRPr="00694D5D">
        <w:rPr>
          <w:rFonts w:ascii="Times New Roman" w:hAnsi="Times New Roman" w:cs="Times New Roman"/>
        </w:rPr>
        <w:t>The move to embrace digital banking services has gained more popularity, transforming the way consumers approach their financial institutions and how they handle their money</w:t>
      </w:r>
      <w:r w:rsidR="00C47276">
        <w:rPr>
          <w:rFonts w:ascii="Times New Roman" w:hAnsi="Times New Roman" w:cs="Times New Roman"/>
        </w:rPr>
        <w:t xml:space="preserve"> </w:t>
      </w:r>
      <w:r w:rsidR="00C47276">
        <w:t>(</w:t>
      </w:r>
      <w:proofErr w:type="spellStart"/>
      <w:r w:rsidR="00C47276">
        <w:t>Rubanov</w:t>
      </w:r>
      <w:proofErr w:type="spellEnd"/>
      <w:r w:rsidR="00C47276">
        <w:t xml:space="preserve"> 2020)</w:t>
      </w:r>
      <w:r w:rsidRPr="00694D5D">
        <w:rPr>
          <w:rFonts w:ascii="Times New Roman" w:hAnsi="Times New Roman" w:cs="Times New Roman"/>
        </w:rPr>
        <w:t xml:space="preserve">. </w:t>
      </w:r>
      <w:r w:rsidR="005F2EAE" w:rsidRPr="00694D5D">
        <w:rPr>
          <w:rFonts w:ascii="Times New Roman" w:hAnsi="Times New Roman" w:cs="Times New Roman"/>
        </w:rPr>
        <w:t>Financial institutions and policymakers must understand</w:t>
      </w:r>
      <w:r w:rsidRPr="00694D5D">
        <w:rPr>
          <w:rFonts w:ascii="Times New Roman" w:hAnsi="Times New Roman" w:cs="Times New Roman"/>
        </w:rPr>
        <w:t xml:space="preserve"> what factors affect consumer behavior, as well as the main drivers of digital banking adoption. One </w:t>
      </w:r>
      <w:r w:rsidRPr="00694D5D">
        <w:rPr>
          <w:rFonts w:ascii="Times New Roman" w:hAnsi="Times New Roman" w:cs="Times New Roman"/>
        </w:rPr>
        <w:lastRenderedPageBreak/>
        <w:t>significant reason that causes digital banking to be adopted in the UK is wrapped around convenience. A major factor that has helped make digital banking popular is the ease of access to account information, transactions</w:t>
      </w:r>
      <w:r w:rsidR="005F2EAE" w:rsidRPr="00694D5D">
        <w:rPr>
          <w:rFonts w:ascii="Times New Roman" w:hAnsi="Times New Roman" w:cs="Times New Roman"/>
        </w:rPr>
        <w:t>,</w:t>
      </w:r>
      <w:r w:rsidRPr="00694D5D">
        <w:rPr>
          <w:rFonts w:ascii="Times New Roman" w:hAnsi="Times New Roman" w:cs="Times New Roman"/>
        </w:rPr>
        <w:t xml:space="preserve"> and general use of banking services without being chronicled by regular bank hours</w:t>
      </w:r>
      <w:r w:rsidR="00C47276">
        <w:rPr>
          <w:rFonts w:ascii="Times New Roman" w:hAnsi="Times New Roman" w:cs="Times New Roman"/>
        </w:rPr>
        <w:t xml:space="preserve"> </w:t>
      </w:r>
      <w:r w:rsidR="00C47276">
        <w:t>(</w:t>
      </w:r>
      <w:proofErr w:type="spellStart"/>
      <w:r w:rsidR="00C47276">
        <w:t>Rubanov</w:t>
      </w:r>
      <w:proofErr w:type="spellEnd"/>
      <w:r w:rsidR="00C47276">
        <w:t xml:space="preserve"> 2020)</w:t>
      </w:r>
      <w:r w:rsidRPr="00694D5D">
        <w:rPr>
          <w:rFonts w:ascii="Times New Roman" w:hAnsi="Times New Roman" w:cs="Times New Roman"/>
        </w:rPr>
        <w:t>.</w:t>
      </w:r>
    </w:p>
    <w:p w14:paraId="3BDCE7AD" w14:textId="2C267AA1"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In addition, the scope of services offered by digital banking platforms is crucial in influencing consumer behavior. Digital banking goes beyond simple transactions into budget tracking, financial planning tools</w:t>
      </w:r>
      <w:r w:rsidR="005F2EAE" w:rsidRPr="00694D5D">
        <w:rPr>
          <w:rFonts w:ascii="Times New Roman" w:hAnsi="Times New Roman" w:cs="Times New Roman"/>
        </w:rPr>
        <w:t>,</w:t>
      </w:r>
      <w:r w:rsidRPr="00694D5D">
        <w:rPr>
          <w:rFonts w:ascii="Times New Roman" w:hAnsi="Times New Roman" w:cs="Times New Roman"/>
        </w:rPr>
        <w:t xml:space="preserve"> and real-time alerts offering consumers greater full service on their finances</w:t>
      </w:r>
      <w:r w:rsidR="00C47276">
        <w:rPr>
          <w:rFonts w:ascii="Times New Roman" w:hAnsi="Times New Roman" w:cs="Times New Roman"/>
        </w:rPr>
        <w:t xml:space="preserve"> </w:t>
      </w:r>
      <w:r w:rsidR="00C47276">
        <w:t>(Mattila 2003)</w:t>
      </w:r>
      <w:r w:rsidRPr="00694D5D">
        <w:rPr>
          <w:rFonts w:ascii="Times New Roman" w:hAnsi="Times New Roman" w:cs="Times New Roman"/>
        </w:rPr>
        <w:t xml:space="preserve">. As the set of services is wider than before, this increases </w:t>
      </w:r>
      <w:r w:rsidR="005F2EAE" w:rsidRPr="00694D5D">
        <w:rPr>
          <w:rFonts w:ascii="Times New Roman" w:hAnsi="Times New Roman" w:cs="Times New Roman"/>
        </w:rPr>
        <w:t xml:space="preserve">the </w:t>
      </w:r>
      <w:r w:rsidRPr="00694D5D">
        <w:rPr>
          <w:rFonts w:ascii="Times New Roman" w:hAnsi="Times New Roman" w:cs="Times New Roman"/>
        </w:rPr>
        <w:t>overall value proposition for consumers thus encouraging them to use digital channels. The C</w:t>
      </w:r>
      <w:r w:rsidR="00F820B1">
        <w:rPr>
          <w:rFonts w:ascii="Times New Roman" w:hAnsi="Times New Roman" w:cs="Times New Roman"/>
        </w:rPr>
        <w:t>ovid 19</w:t>
      </w:r>
      <w:r w:rsidRPr="00694D5D">
        <w:rPr>
          <w:rFonts w:ascii="Times New Roman" w:hAnsi="Times New Roman" w:cs="Times New Roman"/>
        </w:rPr>
        <w:t xml:space="preserve"> pandemic has simply acted as a catalyst for digital banking adoption in the UK. Lockdowns, social distancing policies</w:t>
      </w:r>
      <w:r w:rsidR="005F2EAE" w:rsidRPr="00694D5D">
        <w:rPr>
          <w:rFonts w:ascii="Times New Roman" w:hAnsi="Times New Roman" w:cs="Times New Roman"/>
        </w:rPr>
        <w:t>,</w:t>
      </w:r>
      <w:r w:rsidRPr="00694D5D">
        <w:rPr>
          <w:rFonts w:ascii="Times New Roman" w:hAnsi="Times New Roman" w:cs="Times New Roman"/>
        </w:rPr>
        <w:t xml:space="preserve"> and remote work prompted a higher degree of dependency on online services. Therefore, consumers started using digital banking for its touchless and reachable attributes. New digital banking registrations also increased by 25% during the pandemic, showing consumer behavior adjustments</w:t>
      </w:r>
      <w:r w:rsidR="00C47276">
        <w:rPr>
          <w:rFonts w:ascii="Times New Roman" w:hAnsi="Times New Roman" w:cs="Times New Roman"/>
        </w:rPr>
        <w:t xml:space="preserve"> </w:t>
      </w:r>
      <w:r w:rsidR="00C47276">
        <w:t>(Luck 2023)</w:t>
      </w:r>
      <w:r w:rsidRPr="00694D5D">
        <w:rPr>
          <w:rFonts w:ascii="Times New Roman" w:hAnsi="Times New Roman" w:cs="Times New Roman"/>
        </w:rPr>
        <w:t>.</w:t>
      </w:r>
      <w:r w:rsidR="00C01F96" w:rsidRPr="00694D5D">
        <w:rPr>
          <w:rFonts w:ascii="Times New Roman" w:hAnsi="Times New Roman" w:cs="Times New Roman"/>
        </w:rPr>
        <w:t xml:space="preserve"> </w:t>
      </w:r>
      <w:r w:rsidRPr="00694D5D">
        <w:rPr>
          <w:rFonts w:ascii="Times New Roman" w:hAnsi="Times New Roman" w:cs="Times New Roman"/>
        </w:rPr>
        <w:t xml:space="preserve">Besides, the younger generation including millennials and Generation Z has also been instrumental in boosting digital banking adoption. These generations of forward thinkers are tech-savvy, and their demands for </w:t>
      </w:r>
      <w:r w:rsidR="005F2EAE" w:rsidRPr="00694D5D">
        <w:rPr>
          <w:rFonts w:ascii="Times New Roman" w:hAnsi="Times New Roman" w:cs="Times New Roman"/>
        </w:rPr>
        <w:t>high-fidelity</w:t>
      </w:r>
      <w:r w:rsidRPr="00694D5D">
        <w:rPr>
          <w:rFonts w:ascii="Times New Roman" w:hAnsi="Times New Roman" w:cs="Times New Roman"/>
        </w:rPr>
        <w:t xml:space="preserve"> digital experience have forced the banking industry to innovate and develop </w:t>
      </w:r>
      <w:r w:rsidR="005F2EAE" w:rsidRPr="00694D5D">
        <w:rPr>
          <w:rFonts w:ascii="Times New Roman" w:hAnsi="Times New Roman" w:cs="Times New Roman"/>
        </w:rPr>
        <w:t>cutting-edge</w:t>
      </w:r>
      <w:r w:rsidRPr="00694D5D">
        <w:rPr>
          <w:rFonts w:ascii="Times New Roman" w:hAnsi="Times New Roman" w:cs="Times New Roman"/>
        </w:rPr>
        <w:t xml:space="preserve"> digital services</w:t>
      </w:r>
      <w:r w:rsidR="006A7A6E">
        <w:rPr>
          <w:rFonts w:ascii="Times New Roman" w:hAnsi="Times New Roman" w:cs="Times New Roman"/>
        </w:rPr>
        <w:t xml:space="preserve"> </w:t>
      </w:r>
      <w:r w:rsidR="006A7A6E">
        <w:t>(</w:t>
      </w:r>
      <w:proofErr w:type="spellStart"/>
      <w:r w:rsidR="006A7A6E">
        <w:t>Kolodiziev</w:t>
      </w:r>
      <w:proofErr w:type="spellEnd"/>
      <w:r w:rsidR="006A7A6E">
        <w:t xml:space="preserve"> et al. 2021)</w:t>
      </w:r>
      <w:r w:rsidRPr="00694D5D">
        <w:rPr>
          <w:rFonts w:ascii="Times New Roman" w:hAnsi="Times New Roman" w:cs="Times New Roman"/>
        </w:rPr>
        <w:t>.</w:t>
      </w:r>
      <w:r w:rsidR="00935069" w:rsidRPr="00694D5D">
        <w:rPr>
          <w:rFonts w:ascii="Times New Roman" w:hAnsi="Times New Roman" w:cs="Times New Roman"/>
        </w:rPr>
        <w:t xml:space="preserve"> </w:t>
      </w:r>
      <w:r w:rsidRPr="00694D5D">
        <w:rPr>
          <w:rFonts w:ascii="Times New Roman" w:hAnsi="Times New Roman" w:cs="Times New Roman"/>
        </w:rPr>
        <w:t xml:space="preserve">70% of young people surveyed in the United Kingdom by one of </w:t>
      </w:r>
      <w:r w:rsidR="005F2EAE" w:rsidRPr="00694D5D">
        <w:rPr>
          <w:rFonts w:ascii="Times New Roman" w:hAnsi="Times New Roman" w:cs="Times New Roman"/>
        </w:rPr>
        <w:t xml:space="preserve">the </w:t>
      </w:r>
      <w:r w:rsidRPr="00694D5D">
        <w:rPr>
          <w:rFonts w:ascii="Times New Roman" w:hAnsi="Times New Roman" w:cs="Times New Roman"/>
        </w:rPr>
        <w:t xml:space="preserve">leading market research </w:t>
      </w:r>
      <w:r w:rsidR="00BB5F25" w:rsidRPr="00694D5D">
        <w:rPr>
          <w:rFonts w:ascii="Times New Roman" w:hAnsi="Times New Roman" w:cs="Times New Roman"/>
        </w:rPr>
        <w:t>firms</w:t>
      </w:r>
      <w:r w:rsidRPr="00694D5D">
        <w:rPr>
          <w:rFonts w:ascii="Times New Roman" w:hAnsi="Times New Roman" w:cs="Times New Roman"/>
        </w:rPr>
        <w:t xml:space="preserve"> indicate that they would prefer to use digital banking channels for everyday transactions. Financial literacy and awareness also play a role in the adoption patterns of digital banking. </w:t>
      </w:r>
      <w:r w:rsidR="005F2EAE" w:rsidRPr="00694D5D">
        <w:rPr>
          <w:rFonts w:ascii="Times New Roman" w:hAnsi="Times New Roman" w:cs="Times New Roman"/>
        </w:rPr>
        <w:t>As</w:t>
      </w:r>
      <w:r w:rsidRPr="00694D5D">
        <w:rPr>
          <w:rFonts w:ascii="Times New Roman" w:hAnsi="Times New Roman" w:cs="Times New Roman"/>
        </w:rPr>
        <w:t xml:space="preserve"> consumers become aware of the features and security aspects associated with using digital banking </w:t>
      </w:r>
      <w:r w:rsidR="006F0ABC" w:rsidRPr="00694D5D">
        <w:rPr>
          <w:rFonts w:ascii="Times New Roman" w:hAnsi="Times New Roman" w:cs="Times New Roman"/>
        </w:rPr>
        <w:t>platforms,</w:t>
      </w:r>
      <w:r w:rsidRPr="00694D5D">
        <w:rPr>
          <w:rFonts w:ascii="Times New Roman" w:hAnsi="Times New Roman" w:cs="Times New Roman"/>
        </w:rPr>
        <w:t xml:space="preserve"> they are likely to issue in embracing these services. Banks and regulatory bodies initiate various educational programs that help in generating consumer confidence </w:t>
      </w:r>
      <w:r w:rsidR="005F2EAE" w:rsidRPr="00694D5D">
        <w:rPr>
          <w:rFonts w:ascii="Times New Roman" w:hAnsi="Times New Roman" w:cs="Times New Roman"/>
        </w:rPr>
        <w:t>toward</w:t>
      </w:r>
      <w:r w:rsidRPr="00694D5D">
        <w:rPr>
          <w:rFonts w:ascii="Times New Roman" w:hAnsi="Times New Roman" w:cs="Times New Roman"/>
        </w:rPr>
        <w:t xml:space="preserve"> digital banking.</w:t>
      </w:r>
    </w:p>
    <w:p w14:paraId="24B0A6E6" w14:textId="325EDBC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In addition, consumer trust and behavior have been shaped significantly by the presence of strong security mechanisms. Issues of security related to digital transactions have been addressed through features like biometric authentication, encryption</w:t>
      </w:r>
      <w:r w:rsidR="005F2EAE" w:rsidRPr="00694D5D">
        <w:rPr>
          <w:rFonts w:ascii="Times New Roman" w:hAnsi="Times New Roman" w:cs="Times New Roman"/>
        </w:rPr>
        <w:t>,</w:t>
      </w:r>
      <w:r w:rsidRPr="00694D5D">
        <w:rPr>
          <w:rFonts w:ascii="Times New Roman" w:hAnsi="Times New Roman" w:cs="Times New Roman"/>
        </w:rPr>
        <w:t xml:space="preserve"> and multi-factor authentication. Banks that resolve and reveal how they are going to ensure </w:t>
      </w:r>
      <w:r w:rsidR="005F2EAE" w:rsidRPr="00694D5D">
        <w:rPr>
          <w:rFonts w:ascii="Times New Roman" w:hAnsi="Times New Roman" w:cs="Times New Roman"/>
        </w:rPr>
        <w:t xml:space="preserve">the </w:t>
      </w:r>
      <w:r w:rsidRPr="00694D5D">
        <w:rPr>
          <w:rFonts w:ascii="Times New Roman" w:hAnsi="Times New Roman" w:cs="Times New Roman"/>
        </w:rPr>
        <w:t xml:space="preserve">security of customer data would see a high level </w:t>
      </w:r>
      <w:r w:rsidR="005F2EAE" w:rsidRPr="00694D5D">
        <w:rPr>
          <w:rFonts w:ascii="Times New Roman" w:hAnsi="Times New Roman" w:cs="Times New Roman"/>
        </w:rPr>
        <w:t>of</w:t>
      </w:r>
      <w:r w:rsidRPr="00694D5D">
        <w:rPr>
          <w:rFonts w:ascii="Times New Roman" w:hAnsi="Times New Roman" w:cs="Times New Roman"/>
        </w:rPr>
        <w:t xml:space="preserve"> digital adoption</w:t>
      </w:r>
      <w:r w:rsidR="006A7A6E">
        <w:rPr>
          <w:rFonts w:ascii="Times New Roman" w:hAnsi="Times New Roman" w:cs="Times New Roman"/>
        </w:rPr>
        <w:t xml:space="preserve"> </w:t>
      </w:r>
      <w:r w:rsidR="006A7A6E">
        <w:t>(M et al. 2022)</w:t>
      </w:r>
      <w:r w:rsidRPr="00694D5D">
        <w:rPr>
          <w:rFonts w:ascii="Times New Roman" w:hAnsi="Times New Roman" w:cs="Times New Roman"/>
        </w:rPr>
        <w:t xml:space="preserve">. UK consumers are increasingly embracing digital banking for reasons of convenience, service offering </w:t>
      </w:r>
      <w:r w:rsidR="005F2EAE" w:rsidRPr="00694D5D">
        <w:rPr>
          <w:rFonts w:ascii="Times New Roman" w:hAnsi="Times New Roman" w:cs="Times New Roman"/>
        </w:rPr>
        <w:t xml:space="preserve">the </w:t>
      </w:r>
      <w:r w:rsidRPr="00694D5D">
        <w:rPr>
          <w:rFonts w:ascii="Times New Roman" w:hAnsi="Times New Roman" w:cs="Times New Roman"/>
        </w:rPr>
        <w:t xml:space="preserve">quality type of account </w:t>
      </w:r>
      <w:r w:rsidR="00CC5856" w:rsidRPr="00694D5D">
        <w:rPr>
          <w:rFonts w:ascii="Times New Roman" w:hAnsi="Times New Roman" w:cs="Times New Roman"/>
        </w:rPr>
        <w:t>offered,</w:t>
      </w:r>
      <w:r w:rsidRPr="00694D5D">
        <w:rPr>
          <w:rFonts w:ascii="Times New Roman" w:hAnsi="Times New Roman" w:cs="Times New Roman"/>
        </w:rPr>
        <w:t xml:space="preserve"> effects brought about by the pandemic-induced lifestyle change generational behavior from one age cohort to </w:t>
      </w:r>
      <w:r w:rsidRPr="00694D5D">
        <w:rPr>
          <w:rFonts w:ascii="Times New Roman" w:hAnsi="Times New Roman" w:cs="Times New Roman"/>
        </w:rPr>
        <w:lastRenderedPageBreak/>
        <w:t>another financial literacy</w:t>
      </w:r>
      <w:r w:rsidR="005F2EAE" w:rsidRPr="00694D5D">
        <w:rPr>
          <w:rFonts w:ascii="Times New Roman" w:hAnsi="Times New Roman" w:cs="Times New Roman"/>
        </w:rPr>
        <w:t>,</w:t>
      </w:r>
      <w:r w:rsidRPr="00694D5D">
        <w:rPr>
          <w:rFonts w:ascii="Times New Roman" w:hAnsi="Times New Roman" w:cs="Times New Roman"/>
        </w:rPr>
        <w:t xml:space="preserve"> and the general security associated with it</w:t>
      </w:r>
      <w:r w:rsidR="00476281">
        <w:rPr>
          <w:rFonts w:ascii="Times New Roman" w:hAnsi="Times New Roman" w:cs="Times New Roman"/>
        </w:rPr>
        <w:t xml:space="preserve"> </w:t>
      </w:r>
      <w:r w:rsidR="00476281">
        <w:t xml:space="preserve">(Reinartz, Wiegand &amp; </w:t>
      </w:r>
      <w:proofErr w:type="spellStart"/>
      <w:r w:rsidR="00476281">
        <w:t>Imschloss</w:t>
      </w:r>
      <w:proofErr w:type="spellEnd"/>
      <w:r w:rsidR="00476281">
        <w:t xml:space="preserve"> 2019)</w:t>
      </w:r>
      <w:r w:rsidRPr="00694D5D">
        <w:rPr>
          <w:rFonts w:ascii="Times New Roman" w:hAnsi="Times New Roman" w:cs="Times New Roman"/>
        </w:rPr>
        <w:t xml:space="preserve">. As the digital banking market moves forward, financial institutions must keep up with changing consumer expectations to offer their products in a way that caters to </w:t>
      </w:r>
      <w:proofErr w:type="gramStart"/>
      <w:r w:rsidRPr="00694D5D">
        <w:rPr>
          <w:rFonts w:ascii="Times New Roman" w:hAnsi="Times New Roman" w:cs="Times New Roman"/>
        </w:rPr>
        <w:t>all of</w:t>
      </w:r>
      <w:proofErr w:type="gramEnd"/>
      <w:r w:rsidRPr="00694D5D">
        <w:rPr>
          <w:rFonts w:ascii="Times New Roman" w:hAnsi="Times New Roman" w:cs="Times New Roman"/>
        </w:rPr>
        <w:t xml:space="preserve"> </w:t>
      </w:r>
      <w:r w:rsidR="005F2EAE" w:rsidRPr="00694D5D">
        <w:rPr>
          <w:rFonts w:ascii="Times New Roman" w:hAnsi="Times New Roman" w:cs="Times New Roman"/>
        </w:rPr>
        <w:t>their</w:t>
      </w:r>
      <w:r w:rsidRPr="00694D5D">
        <w:rPr>
          <w:rFonts w:ascii="Times New Roman" w:hAnsi="Times New Roman" w:cs="Times New Roman"/>
        </w:rPr>
        <w:t xml:space="preserve"> customers. The future landscape of digital banking in the UK will be significantly influenced by ongoing collaboration between banks, regulators, and consumers.</w:t>
      </w:r>
    </w:p>
    <w:p w14:paraId="27FF913C"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24" w:name="_Toc158706275"/>
      <w:r w:rsidRPr="00694D5D">
        <w:rPr>
          <w:rFonts w:ascii="Times New Roman" w:hAnsi="Times New Roman" w:cs="Times New Roman"/>
        </w:rPr>
        <w:t>Digital Transformation in Banking Research</w:t>
      </w:r>
      <w:bookmarkEnd w:id="24"/>
    </w:p>
    <w:p w14:paraId="12736FCF" w14:textId="292F6917" w:rsidR="00935069"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 concept of digital transformation in the banking sector </w:t>
      </w:r>
      <w:r w:rsidR="005F2EAE" w:rsidRPr="00694D5D">
        <w:rPr>
          <w:rFonts w:ascii="Times New Roman" w:hAnsi="Times New Roman" w:cs="Times New Roman"/>
        </w:rPr>
        <w:t>has</w:t>
      </w:r>
      <w:r w:rsidRPr="00694D5D">
        <w:rPr>
          <w:rFonts w:ascii="Times New Roman" w:hAnsi="Times New Roman" w:cs="Times New Roman"/>
        </w:rPr>
        <w:t xml:space="preserve"> been widely researched as it illustrates how this industry grows with new technological advancements and evolving </w:t>
      </w:r>
      <w:r w:rsidR="005F2EAE" w:rsidRPr="00694D5D">
        <w:rPr>
          <w:rFonts w:ascii="Times New Roman" w:hAnsi="Times New Roman" w:cs="Times New Roman"/>
        </w:rPr>
        <w:t>consumer</w:t>
      </w:r>
      <w:r w:rsidRPr="00694D5D">
        <w:rPr>
          <w:rFonts w:ascii="Times New Roman" w:hAnsi="Times New Roman" w:cs="Times New Roman"/>
        </w:rPr>
        <w:t xml:space="preserve"> behaviors. Previous research </w:t>
      </w:r>
      <w:r w:rsidR="0047154E">
        <w:t>(FinTech Global 2023)</w:t>
      </w:r>
      <w:r w:rsidR="001F64EB">
        <w:t xml:space="preserve"> </w:t>
      </w:r>
      <w:r w:rsidRPr="00694D5D">
        <w:rPr>
          <w:rFonts w:ascii="Times New Roman" w:hAnsi="Times New Roman" w:cs="Times New Roman"/>
        </w:rPr>
        <w:t>that analyzed a good number of elements related to digital transformation reveals insights into the effects it had on traditional banking models, customer experiences</w:t>
      </w:r>
      <w:r w:rsidR="005F2EAE" w:rsidRPr="00694D5D">
        <w:rPr>
          <w:rFonts w:ascii="Times New Roman" w:hAnsi="Times New Roman" w:cs="Times New Roman"/>
        </w:rPr>
        <w:t>,</w:t>
      </w:r>
      <w:r w:rsidRPr="00694D5D">
        <w:rPr>
          <w:rFonts w:ascii="Times New Roman" w:hAnsi="Times New Roman" w:cs="Times New Roman"/>
        </w:rPr>
        <w:t xml:space="preserve"> and overall competitive environments as well as regulatory frameworks.</w:t>
      </w:r>
      <w:r w:rsidR="00935069" w:rsidRPr="00694D5D">
        <w:rPr>
          <w:rFonts w:ascii="Times New Roman" w:hAnsi="Times New Roman" w:cs="Times New Roman"/>
        </w:rPr>
        <w:t xml:space="preserve"> </w:t>
      </w:r>
    </w:p>
    <w:p w14:paraId="719516D6" w14:textId="315EC58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One common topic in the previous studies is looking at how digitalization affects customer behavior and expectations. Researchers</w:t>
      </w:r>
      <w:r w:rsidR="001F64EB">
        <w:rPr>
          <w:rFonts w:ascii="Times New Roman" w:hAnsi="Times New Roman" w:cs="Times New Roman"/>
        </w:rPr>
        <w:t xml:space="preserve"> </w:t>
      </w:r>
      <w:r w:rsidRPr="00694D5D">
        <w:rPr>
          <w:rFonts w:ascii="Times New Roman" w:hAnsi="Times New Roman" w:cs="Times New Roman"/>
        </w:rPr>
        <w:t xml:space="preserve">have conducted studies focusing on the evolution of customers’ interactions with financial institutions </w:t>
      </w:r>
      <w:r w:rsidR="002D705E" w:rsidRPr="00694D5D">
        <w:rPr>
          <w:rFonts w:ascii="Times New Roman" w:hAnsi="Times New Roman" w:cs="Times New Roman"/>
        </w:rPr>
        <w:t>because of</w:t>
      </w:r>
      <w:r w:rsidRPr="00694D5D">
        <w:rPr>
          <w:rFonts w:ascii="Times New Roman" w:hAnsi="Times New Roman" w:cs="Times New Roman"/>
        </w:rPr>
        <w:t xml:space="preserve"> embracing digital banking channels such as mobile applications and online platforms. </w:t>
      </w:r>
      <w:r w:rsidR="00114701" w:rsidRPr="00694D5D">
        <w:rPr>
          <w:rFonts w:ascii="Times New Roman" w:hAnsi="Times New Roman" w:cs="Times New Roman"/>
        </w:rPr>
        <w:t xml:space="preserve">Researchers </w:t>
      </w:r>
      <w:r w:rsidR="00114701">
        <w:t>have</w:t>
      </w:r>
      <w:r w:rsidRPr="00694D5D">
        <w:rPr>
          <w:rFonts w:ascii="Times New Roman" w:hAnsi="Times New Roman" w:cs="Times New Roman"/>
        </w:rPr>
        <w:t xml:space="preserve"> </w:t>
      </w:r>
      <w:r w:rsidR="0040220F" w:rsidRPr="00694D5D">
        <w:rPr>
          <w:rFonts w:ascii="Times New Roman" w:hAnsi="Times New Roman" w:cs="Times New Roman"/>
        </w:rPr>
        <w:t>investigated</w:t>
      </w:r>
      <w:r w:rsidRPr="00694D5D">
        <w:rPr>
          <w:rFonts w:ascii="Times New Roman" w:hAnsi="Times New Roman" w:cs="Times New Roman"/>
        </w:rPr>
        <w:t xml:space="preserve"> the reasons why customers are using digital banking, from convenience and accessibility to availability of advanced </w:t>
      </w:r>
      <w:r w:rsidR="00CC5856" w:rsidRPr="00694D5D">
        <w:rPr>
          <w:rFonts w:ascii="Times New Roman" w:hAnsi="Times New Roman" w:cs="Times New Roman"/>
        </w:rPr>
        <w:t>features,</w:t>
      </w:r>
      <w:r w:rsidRPr="00694D5D">
        <w:rPr>
          <w:rFonts w:ascii="Times New Roman" w:hAnsi="Times New Roman" w:cs="Times New Roman"/>
        </w:rPr>
        <w:t xml:space="preserve"> </w:t>
      </w:r>
      <w:r w:rsidR="005F2EAE" w:rsidRPr="00694D5D">
        <w:rPr>
          <w:rFonts w:ascii="Times New Roman" w:hAnsi="Times New Roman" w:cs="Times New Roman"/>
        </w:rPr>
        <w:t xml:space="preserve">and </w:t>
      </w:r>
      <w:r w:rsidRPr="00694D5D">
        <w:rPr>
          <w:rFonts w:ascii="Times New Roman" w:hAnsi="Times New Roman" w:cs="Times New Roman"/>
        </w:rPr>
        <w:t xml:space="preserve">personalization. </w:t>
      </w:r>
      <w:r w:rsidR="005F2EAE" w:rsidRPr="00694D5D">
        <w:rPr>
          <w:rFonts w:ascii="Times New Roman" w:hAnsi="Times New Roman" w:cs="Times New Roman"/>
        </w:rPr>
        <w:t>Several</w:t>
      </w:r>
      <w:r w:rsidRPr="00694D5D">
        <w:rPr>
          <w:rFonts w:ascii="Times New Roman" w:hAnsi="Times New Roman" w:cs="Times New Roman"/>
        </w:rPr>
        <w:t xml:space="preserve"> studies have identified fintech (financial technology) as a key factor that drives digital transformation in the banking sector. Fintech companies that are defined as having innovative </w:t>
      </w:r>
      <w:r w:rsidR="005F2EAE" w:rsidRPr="00694D5D">
        <w:rPr>
          <w:rFonts w:ascii="Times New Roman" w:hAnsi="Times New Roman" w:cs="Times New Roman"/>
        </w:rPr>
        <w:t>approaches</w:t>
      </w:r>
      <w:r w:rsidRPr="00694D5D">
        <w:rPr>
          <w:rFonts w:ascii="Times New Roman" w:hAnsi="Times New Roman" w:cs="Times New Roman"/>
        </w:rPr>
        <w:t xml:space="preserve"> to delivering financial services through technology have become disruptors and out-innovators of traditional banking norms. Research has delved into the alliances and associations between traditional banks, </w:t>
      </w:r>
      <w:r w:rsidR="005F2EAE" w:rsidRPr="00694D5D">
        <w:rPr>
          <w:rFonts w:ascii="Times New Roman" w:hAnsi="Times New Roman" w:cs="Times New Roman"/>
        </w:rPr>
        <w:t xml:space="preserve">and </w:t>
      </w:r>
      <w:r w:rsidRPr="00694D5D">
        <w:rPr>
          <w:rFonts w:ascii="Times New Roman" w:hAnsi="Times New Roman" w:cs="Times New Roman"/>
        </w:rPr>
        <w:t>fintech startups – as well as how such partnerships have contributed to positions of product presentations in addition to customers’ services along with entire impact on market dynamics</w:t>
      </w:r>
      <w:r w:rsidR="00663947">
        <w:rPr>
          <w:rFonts w:ascii="Times New Roman" w:hAnsi="Times New Roman" w:cs="Times New Roman"/>
        </w:rPr>
        <w:t xml:space="preserve"> </w:t>
      </w:r>
      <w:r w:rsidR="00663947">
        <w:t>(Ivey 2023)</w:t>
      </w:r>
      <w:r w:rsidRPr="00694D5D">
        <w:rPr>
          <w:rFonts w:ascii="Times New Roman" w:hAnsi="Times New Roman" w:cs="Times New Roman"/>
        </w:rPr>
        <w:t>.</w:t>
      </w:r>
    </w:p>
    <w:p w14:paraId="263A2C24"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25" w:name="_Toc158706276"/>
      <w:r w:rsidRPr="00694D5D">
        <w:rPr>
          <w:rFonts w:ascii="Times New Roman" w:hAnsi="Times New Roman" w:cs="Times New Roman"/>
        </w:rPr>
        <w:t>Gaps in the Existing Literature</w:t>
      </w:r>
      <w:bookmarkEnd w:id="25"/>
    </w:p>
    <w:p w14:paraId="20BC15AE" w14:textId="77777777" w:rsidR="004E3047" w:rsidRDefault="004E3047" w:rsidP="002F4ADE">
      <w:pPr>
        <w:pStyle w:val="Heading2"/>
        <w:numPr>
          <w:ilvl w:val="2"/>
          <w:numId w:val="8"/>
        </w:numPr>
        <w:spacing w:line="360" w:lineRule="auto"/>
        <w:jc w:val="both"/>
        <w:rPr>
          <w:rFonts w:ascii="Times New Roman" w:hAnsi="Times New Roman" w:cs="Times New Roman"/>
        </w:rPr>
      </w:pPr>
      <w:bookmarkStart w:id="26" w:name="_Toc158706277"/>
      <w:r w:rsidRPr="00694D5D">
        <w:rPr>
          <w:rFonts w:ascii="Times New Roman" w:hAnsi="Times New Roman" w:cs="Times New Roman"/>
        </w:rPr>
        <w:t>Investigation of Cultural Factors in Digital Banking Adoption</w:t>
      </w:r>
      <w:bookmarkEnd w:id="26"/>
    </w:p>
    <w:p w14:paraId="005E69E6" w14:textId="77777777" w:rsidR="006775CE" w:rsidRPr="006775CE" w:rsidRDefault="006775CE" w:rsidP="006775CE">
      <w:pPr>
        <w:spacing w:line="360" w:lineRule="auto"/>
        <w:jc w:val="both"/>
        <w:rPr>
          <w:rFonts w:ascii="Times New Roman" w:hAnsi="Times New Roman" w:cs="Times New Roman"/>
        </w:rPr>
      </w:pPr>
      <w:r w:rsidRPr="006775CE">
        <w:rPr>
          <w:rFonts w:ascii="Times New Roman" w:hAnsi="Times New Roman" w:cs="Times New Roman"/>
        </w:rPr>
        <w:t xml:space="preserve">Although a lot has been written in literature about the technological and economic ways of digital transformation being used by banks, there is very little attention given to cultural options that can </w:t>
      </w:r>
      <w:r w:rsidRPr="006775CE">
        <w:rPr>
          <w:rFonts w:ascii="Times New Roman" w:hAnsi="Times New Roman" w:cs="Times New Roman"/>
        </w:rPr>
        <w:lastRenderedPageBreak/>
        <w:t xml:space="preserve">increase the adoption of digital banking </w:t>
      </w:r>
      <w:r>
        <w:t>(Wright 2023)</w:t>
      </w:r>
      <w:r w:rsidRPr="006775CE">
        <w:rPr>
          <w:rFonts w:ascii="Times New Roman" w:hAnsi="Times New Roman" w:cs="Times New Roman"/>
        </w:rPr>
        <w:t xml:space="preserve">. Cultural subtleties such as attitudes to technologies, distrust in digital systems and preferences for face-to-face communication significantly influence consumer behavior. Banks aimed at designing their digital offerings for various customers can get valuable insights if they understand how cultural factors differ among different demographic segments and geographical areas </w:t>
      </w:r>
      <w:r>
        <w:t>(Svensen 2019)</w:t>
      </w:r>
      <w:r w:rsidRPr="006775CE">
        <w:rPr>
          <w:rFonts w:ascii="Times New Roman" w:hAnsi="Times New Roman" w:cs="Times New Roman"/>
        </w:rPr>
        <w:t>. Closing this gap necessitates careful consideration of the cultural aspects that determine how people make decisions regarding digital banking services.</w:t>
      </w:r>
    </w:p>
    <w:p w14:paraId="0C3C4CE3" w14:textId="77777777" w:rsidR="006775CE" w:rsidRPr="006775CE" w:rsidRDefault="006775CE" w:rsidP="006775CE"/>
    <w:p w14:paraId="76BFBAB9" w14:textId="77777777" w:rsidR="004E3047" w:rsidRDefault="00E1524A" w:rsidP="002F4ADE">
      <w:pPr>
        <w:pStyle w:val="Heading2"/>
        <w:numPr>
          <w:ilvl w:val="2"/>
          <w:numId w:val="8"/>
        </w:numPr>
        <w:spacing w:line="360" w:lineRule="auto"/>
        <w:jc w:val="both"/>
        <w:rPr>
          <w:rFonts w:ascii="Times New Roman" w:hAnsi="Times New Roman" w:cs="Times New Roman"/>
        </w:rPr>
      </w:pPr>
      <w:bookmarkStart w:id="27" w:name="_Toc158706278"/>
      <w:r w:rsidRPr="00694D5D">
        <w:rPr>
          <w:rFonts w:ascii="Times New Roman" w:hAnsi="Times New Roman" w:cs="Times New Roman"/>
        </w:rPr>
        <w:t>F</w:t>
      </w:r>
      <w:r w:rsidR="004E3047" w:rsidRPr="00694D5D">
        <w:rPr>
          <w:rFonts w:ascii="Times New Roman" w:hAnsi="Times New Roman" w:cs="Times New Roman"/>
        </w:rPr>
        <w:t>ailure to Adequately Consider the Effect on Susceptible Populations</w:t>
      </w:r>
      <w:bookmarkEnd w:id="27"/>
    </w:p>
    <w:p w14:paraId="299C25FD" w14:textId="1A2C3AAC" w:rsidR="004A4B84" w:rsidRPr="004A4B84" w:rsidRDefault="004A4B84" w:rsidP="004A4B84">
      <w:pPr>
        <w:spacing w:line="360" w:lineRule="auto"/>
        <w:jc w:val="both"/>
        <w:rPr>
          <w:rFonts w:ascii="Times New Roman" w:hAnsi="Times New Roman" w:cs="Times New Roman"/>
        </w:rPr>
      </w:pPr>
      <w:r w:rsidRPr="004A4B84">
        <w:rPr>
          <w:rFonts w:ascii="Times New Roman" w:hAnsi="Times New Roman" w:cs="Times New Roman"/>
        </w:rPr>
        <w:t xml:space="preserve">Another major gap in the current literature is related to less attention being paid to how digital transformations affect deprived populations like elderly people, poor populaces, and </w:t>
      </w:r>
      <w:r w:rsidR="00C42337" w:rsidRPr="004A4B84">
        <w:rPr>
          <w:rFonts w:ascii="Times New Roman" w:hAnsi="Times New Roman" w:cs="Times New Roman"/>
        </w:rPr>
        <w:t>less</w:t>
      </w:r>
      <w:r w:rsidRPr="004A4B84">
        <w:rPr>
          <w:rFonts w:ascii="Times New Roman" w:hAnsi="Times New Roman" w:cs="Times New Roman"/>
        </w:rPr>
        <w:t xml:space="preserve"> digitally literate audiences. Some demographic groups have been identified in research as potentially having difficulty accessing and using digital banking services which may lead to aggravated financial exclusion. Documenting the obstacles faced by vulnerable individuals in educating themselves about digital banking can help determine approaches to creating inclusive digital solutions and narrowing the gap of the Digital Chasm. Future research should focus on discovering the socio-economic and demographic factors impacting digital banking adoption to ensure that the benefits of digitization can be identified by all segments of society.</w:t>
      </w:r>
    </w:p>
    <w:p w14:paraId="2B3BA0FF" w14:textId="77777777" w:rsidR="004A4B84" w:rsidRPr="004A4B84" w:rsidRDefault="004A4B84" w:rsidP="004A4B84"/>
    <w:p w14:paraId="1252D73E" w14:textId="77777777" w:rsidR="004E3047" w:rsidRDefault="004E3047" w:rsidP="002F4ADE">
      <w:pPr>
        <w:pStyle w:val="Heading2"/>
        <w:numPr>
          <w:ilvl w:val="2"/>
          <w:numId w:val="8"/>
        </w:numPr>
        <w:spacing w:line="360" w:lineRule="auto"/>
        <w:jc w:val="both"/>
        <w:rPr>
          <w:rFonts w:ascii="Times New Roman" w:hAnsi="Times New Roman" w:cs="Times New Roman"/>
        </w:rPr>
      </w:pPr>
      <w:bookmarkStart w:id="28" w:name="_Toc158706279"/>
      <w:r w:rsidRPr="00694D5D">
        <w:rPr>
          <w:rFonts w:ascii="Times New Roman" w:hAnsi="Times New Roman" w:cs="Times New Roman"/>
        </w:rPr>
        <w:t>Lack of Longitudinal Surveys Monitoring Regulatory Adaptations</w:t>
      </w:r>
      <w:bookmarkEnd w:id="28"/>
    </w:p>
    <w:p w14:paraId="14A39AF1" w14:textId="49A214DD" w:rsidR="001C3769" w:rsidRPr="00D64B0D" w:rsidRDefault="001C3769" w:rsidP="00D64B0D">
      <w:pPr>
        <w:spacing w:line="360" w:lineRule="auto"/>
        <w:jc w:val="both"/>
        <w:rPr>
          <w:rFonts w:ascii="Times New Roman" w:hAnsi="Times New Roman" w:cs="Times New Roman"/>
        </w:rPr>
      </w:pPr>
      <w:r w:rsidRPr="00D64B0D">
        <w:rPr>
          <w:rFonts w:ascii="Times New Roman" w:hAnsi="Times New Roman" w:cs="Times New Roman"/>
        </w:rPr>
        <w:t>Although several studies</w:t>
      </w:r>
      <w:r w:rsidR="00ED42E1">
        <w:rPr>
          <w:rFonts w:ascii="Times New Roman" w:hAnsi="Times New Roman" w:cs="Times New Roman"/>
        </w:rPr>
        <w:t xml:space="preserve"> </w:t>
      </w:r>
      <w:r w:rsidR="00ED42E1">
        <w:t>h</w:t>
      </w:r>
      <w:r w:rsidRPr="00D64B0D">
        <w:rPr>
          <w:rFonts w:ascii="Times New Roman" w:hAnsi="Times New Roman" w:cs="Times New Roman"/>
        </w:rPr>
        <w:t>ave addressed the regulatory aspects of digital transformation in banking, there is a lack of longitudinal research that traces changes to regulations’ frameworks over time. Since technology changes very rapidly, and financial sectors are in constant dynamics regulators need to constantly look at how they modify their attitude toward the rising digital challenges. Longitudinal studies can help to build a clear picture of the regulatory responses, the effect of implemented measures, and if there is a need for refining any measure to create an environment where innovation could take place while at the same time ensuring financial stability. Closing this gap is essential for policymakers, regulatory bodies, and stakeholders in the industry who want to be able to forecast future development trends of regulating landscapes.</w:t>
      </w:r>
    </w:p>
    <w:p w14:paraId="0AB9CABE" w14:textId="1AD01694" w:rsidR="001C3769" w:rsidRPr="001C3769" w:rsidRDefault="001C3769" w:rsidP="00256DB7">
      <w:pPr>
        <w:spacing w:line="360" w:lineRule="auto"/>
        <w:jc w:val="both"/>
      </w:pPr>
      <w:r w:rsidRPr="00D64B0D">
        <w:rPr>
          <w:rFonts w:ascii="Times New Roman" w:hAnsi="Times New Roman" w:cs="Times New Roman"/>
        </w:rPr>
        <w:lastRenderedPageBreak/>
        <w:t xml:space="preserve">Recognizing and filling these gaps in the current literature will help develop a more complete understanding of digital transformation within banks </w:t>
      </w:r>
      <w:r>
        <w:t xml:space="preserve">(Kitsios, </w:t>
      </w:r>
      <w:proofErr w:type="spellStart"/>
      <w:r>
        <w:t>Giatsidis</w:t>
      </w:r>
      <w:proofErr w:type="spellEnd"/>
      <w:r>
        <w:t xml:space="preserve"> &amp; </w:t>
      </w:r>
      <w:proofErr w:type="spellStart"/>
      <w:r>
        <w:t>Kamariotou</w:t>
      </w:r>
      <w:proofErr w:type="spellEnd"/>
      <w:r>
        <w:t xml:space="preserve"> 2021)</w:t>
      </w:r>
      <w:r w:rsidRPr="00D64B0D">
        <w:rPr>
          <w:rFonts w:ascii="Times New Roman" w:hAnsi="Times New Roman" w:cs="Times New Roman"/>
        </w:rPr>
        <w:t>. Through research on cultural influences, dealing with vulnerable populations, and conducting longitudinal studies revolving around regulatory adjustments an individual can generate inclusive sent adaptive digital strategies in banking and finance in a constantly changing field. Future research efforts should focus on these areas to help academic and industry practitioners derive actionable insights.</w:t>
      </w:r>
    </w:p>
    <w:p w14:paraId="011BD012" w14:textId="77777777" w:rsidR="004E3047" w:rsidRPr="00694D5D" w:rsidRDefault="004E3047" w:rsidP="002F4ADE">
      <w:pPr>
        <w:pStyle w:val="Heading1"/>
        <w:numPr>
          <w:ilvl w:val="0"/>
          <w:numId w:val="8"/>
        </w:numPr>
        <w:spacing w:line="360" w:lineRule="auto"/>
        <w:jc w:val="both"/>
        <w:rPr>
          <w:rFonts w:ascii="Times New Roman" w:hAnsi="Times New Roman" w:cs="Times New Roman"/>
        </w:rPr>
      </w:pPr>
      <w:bookmarkStart w:id="29" w:name="_Toc158706280"/>
      <w:r w:rsidRPr="00694D5D">
        <w:rPr>
          <w:rFonts w:ascii="Times New Roman" w:hAnsi="Times New Roman" w:cs="Times New Roman"/>
        </w:rPr>
        <w:t>Methodology</w:t>
      </w:r>
      <w:bookmarkEnd w:id="29"/>
    </w:p>
    <w:p w14:paraId="2309EC0E"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30" w:name="_Toc158706281"/>
      <w:r w:rsidRPr="00694D5D">
        <w:rPr>
          <w:rFonts w:ascii="Times New Roman" w:hAnsi="Times New Roman" w:cs="Times New Roman"/>
        </w:rPr>
        <w:t>Research Philosophy</w:t>
      </w:r>
      <w:bookmarkEnd w:id="30"/>
    </w:p>
    <w:p w14:paraId="4EB19152" w14:textId="7B4B543D"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 </w:t>
      </w:r>
      <w:r w:rsidR="005F2EAE" w:rsidRPr="00694D5D">
        <w:rPr>
          <w:rFonts w:ascii="Times New Roman" w:hAnsi="Times New Roman" w:cs="Times New Roman"/>
        </w:rPr>
        <w:t>interpretivism</w:t>
      </w:r>
      <w:r w:rsidRPr="00694D5D">
        <w:rPr>
          <w:rFonts w:ascii="Times New Roman" w:hAnsi="Times New Roman" w:cs="Times New Roman"/>
        </w:rPr>
        <w:t xml:space="preserve"> philosophy in this study recognizes that social reality is not an objective entity but rather a manifestation of individual and collective perceptions. </w:t>
      </w:r>
      <w:r w:rsidR="00D2217E">
        <w:rPr>
          <w:rFonts w:ascii="Times New Roman" w:hAnsi="Times New Roman" w:cs="Times New Roman"/>
        </w:rPr>
        <w:t xml:space="preserve">The principal aim of elucidating </w:t>
      </w:r>
      <w:r w:rsidR="00ED04E4">
        <w:rPr>
          <w:rFonts w:ascii="Times New Roman" w:hAnsi="Times New Roman" w:cs="Times New Roman"/>
        </w:rPr>
        <w:t xml:space="preserve">a research philosophy is to transparently communicate to fellow researchers the guiding principles of the study. </w:t>
      </w:r>
      <w:r w:rsidR="00224D8F">
        <w:rPr>
          <w:rFonts w:ascii="Times New Roman" w:hAnsi="Times New Roman" w:cs="Times New Roman"/>
        </w:rPr>
        <w:t xml:space="preserve">This facilitates the signaling of potential claims within the findings and underscores the foundational basis for such assertions </w:t>
      </w:r>
      <w:sdt>
        <w:sdtPr>
          <w:rPr>
            <w:rFonts w:ascii="Times New Roman" w:hAnsi="Times New Roman" w:cs="Times New Roman"/>
          </w:rPr>
          <w:id w:val="516734570"/>
          <w:citation/>
        </w:sdtPr>
        <w:sdtContent>
          <w:r w:rsidR="00492007">
            <w:rPr>
              <w:rFonts w:ascii="Times New Roman" w:hAnsi="Times New Roman" w:cs="Times New Roman"/>
            </w:rPr>
            <w:fldChar w:fldCharType="begin"/>
          </w:r>
          <w:r w:rsidR="00492007">
            <w:rPr>
              <w:rFonts w:ascii="Times New Roman" w:hAnsi="Times New Roman" w:cs="Times New Roman"/>
              <w:lang w:val="en-GB"/>
            </w:rPr>
            <w:instrText xml:space="preserve"> CITATION OGo15 \l 2057 </w:instrText>
          </w:r>
          <w:r w:rsidR="00492007">
            <w:rPr>
              <w:rFonts w:ascii="Times New Roman" w:hAnsi="Times New Roman" w:cs="Times New Roman"/>
            </w:rPr>
            <w:fldChar w:fldCharType="separate"/>
          </w:r>
          <w:r w:rsidR="002C0313" w:rsidRPr="002C0313">
            <w:rPr>
              <w:rFonts w:ascii="Times New Roman" w:hAnsi="Times New Roman" w:cs="Times New Roman"/>
              <w:noProof/>
              <w:lang w:val="en-GB"/>
            </w:rPr>
            <w:t>(O' Gorman, 2015)</w:t>
          </w:r>
          <w:r w:rsidR="00492007">
            <w:rPr>
              <w:rFonts w:ascii="Times New Roman" w:hAnsi="Times New Roman" w:cs="Times New Roman"/>
            </w:rPr>
            <w:fldChar w:fldCharType="end"/>
          </w:r>
        </w:sdtContent>
      </w:sdt>
      <w:r w:rsidR="00224D8F">
        <w:rPr>
          <w:rFonts w:ascii="Times New Roman" w:hAnsi="Times New Roman" w:cs="Times New Roman"/>
        </w:rPr>
        <w:t xml:space="preserve">. </w:t>
      </w:r>
      <w:r w:rsidRPr="00694D5D">
        <w:rPr>
          <w:rFonts w:ascii="Times New Roman" w:hAnsi="Times New Roman" w:cs="Times New Roman"/>
        </w:rPr>
        <w:t xml:space="preserve">The research takes an </w:t>
      </w:r>
      <w:r w:rsidR="005F2EAE" w:rsidRPr="00694D5D">
        <w:rPr>
          <w:rFonts w:ascii="Times New Roman" w:hAnsi="Times New Roman" w:cs="Times New Roman"/>
        </w:rPr>
        <w:t>interpretive</w:t>
      </w:r>
      <w:r w:rsidRPr="00694D5D">
        <w:rPr>
          <w:rFonts w:ascii="Times New Roman" w:hAnsi="Times New Roman" w:cs="Times New Roman"/>
        </w:rPr>
        <w:t xml:space="preserve"> approach to </w:t>
      </w:r>
      <w:r w:rsidR="005F2EAE" w:rsidRPr="00694D5D">
        <w:rPr>
          <w:rFonts w:ascii="Times New Roman" w:hAnsi="Times New Roman" w:cs="Times New Roman"/>
        </w:rPr>
        <w:t>recognize</w:t>
      </w:r>
      <w:r w:rsidRPr="00694D5D">
        <w:rPr>
          <w:rFonts w:ascii="Times New Roman" w:hAnsi="Times New Roman" w:cs="Times New Roman"/>
        </w:rPr>
        <w:t xml:space="preserve"> how human experiences within the UK banking sector’s digital transformation are diverse and subjective. This philosophy allows for a detailed analysis of the cultural, social</w:t>
      </w:r>
      <w:r w:rsidR="005F2EAE" w:rsidRPr="00694D5D">
        <w:rPr>
          <w:rFonts w:ascii="Times New Roman" w:hAnsi="Times New Roman" w:cs="Times New Roman"/>
        </w:rPr>
        <w:t>,</w:t>
      </w:r>
      <w:r w:rsidRPr="00694D5D">
        <w:rPr>
          <w:rFonts w:ascii="Times New Roman" w:hAnsi="Times New Roman" w:cs="Times New Roman"/>
        </w:rPr>
        <w:t xml:space="preserve"> and contextual aspects that affect the perception and response respectively by different stakeholders </w:t>
      </w:r>
      <w:r w:rsidR="005F2EAE" w:rsidRPr="00694D5D">
        <w:rPr>
          <w:rFonts w:ascii="Times New Roman" w:hAnsi="Times New Roman" w:cs="Times New Roman"/>
        </w:rPr>
        <w:t>toward</w:t>
      </w:r>
      <w:r w:rsidRPr="00694D5D">
        <w:rPr>
          <w:rFonts w:ascii="Times New Roman" w:hAnsi="Times New Roman" w:cs="Times New Roman"/>
        </w:rPr>
        <w:t xml:space="preserve"> digitalization. By adopting interpretivism, the study acknowledges that individuals’ views and meanings </w:t>
      </w:r>
      <w:r w:rsidR="005F2EAE" w:rsidRPr="00694D5D">
        <w:rPr>
          <w:rFonts w:ascii="Times New Roman" w:hAnsi="Times New Roman" w:cs="Times New Roman"/>
        </w:rPr>
        <w:t>about</w:t>
      </w:r>
      <w:r w:rsidRPr="00694D5D">
        <w:rPr>
          <w:rFonts w:ascii="Times New Roman" w:hAnsi="Times New Roman" w:cs="Times New Roman"/>
        </w:rPr>
        <w:t xml:space="preserve"> digitalization as experienced by various actors within </w:t>
      </w:r>
      <w:r w:rsidR="005F2EAE" w:rsidRPr="00694D5D">
        <w:rPr>
          <w:rFonts w:ascii="Times New Roman" w:hAnsi="Times New Roman" w:cs="Times New Roman"/>
        </w:rPr>
        <w:t xml:space="preserve">the </w:t>
      </w:r>
      <w:r w:rsidRPr="00694D5D">
        <w:rPr>
          <w:rFonts w:ascii="Times New Roman" w:hAnsi="Times New Roman" w:cs="Times New Roman"/>
        </w:rPr>
        <w:t xml:space="preserve">banking sector are influenced based on their understandings and values </w:t>
      </w:r>
      <w:r w:rsidR="00445844">
        <w:t xml:space="preserve">(Baker 2000). </w:t>
      </w:r>
      <w:r w:rsidRPr="00694D5D">
        <w:rPr>
          <w:rFonts w:ascii="Times New Roman" w:hAnsi="Times New Roman" w:cs="Times New Roman"/>
        </w:rPr>
        <w:t xml:space="preserve">This is the complexity that this research aims to capture by getting into the qualitative aspects of data, </w:t>
      </w:r>
      <w:r w:rsidR="005F2EAE" w:rsidRPr="00694D5D">
        <w:rPr>
          <w:rFonts w:ascii="Times New Roman" w:hAnsi="Times New Roman" w:cs="Times New Roman"/>
        </w:rPr>
        <w:t>unraveling</w:t>
      </w:r>
      <w:r w:rsidRPr="00694D5D">
        <w:rPr>
          <w:rFonts w:ascii="Times New Roman" w:hAnsi="Times New Roman" w:cs="Times New Roman"/>
        </w:rPr>
        <w:t xml:space="preserve"> narratives, motivations</w:t>
      </w:r>
      <w:r w:rsidR="005F2EAE" w:rsidRPr="00694D5D">
        <w:rPr>
          <w:rFonts w:ascii="Times New Roman" w:hAnsi="Times New Roman" w:cs="Times New Roman"/>
        </w:rPr>
        <w:t>,</w:t>
      </w:r>
      <w:r w:rsidRPr="00694D5D">
        <w:rPr>
          <w:rFonts w:ascii="Times New Roman" w:hAnsi="Times New Roman" w:cs="Times New Roman"/>
        </w:rPr>
        <w:t xml:space="preserve"> and rationales behind decisions and strategies of banks as well other relevant entities.</w:t>
      </w:r>
    </w:p>
    <w:p w14:paraId="0D20E563" w14:textId="43D0E1A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Additionally, the interpretivist perspective suits well with </w:t>
      </w:r>
      <w:r w:rsidR="005F2EAE" w:rsidRPr="00694D5D">
        <w:rPr>
          <w:rFonts w:ascii="Times New Roman" w:hAnsi="Times New Roman" w:cs="Times New Roman"/>
        </w:rPr>
        <w:t xml:space="preserve">the </w:t>
      </w:r>
      <w:r w:rsidRPr="00694D5D">
        <w:rPr>
          <w:rFonts w:ascii="Times New Roman" w:hAnsi="Times New Roman" w:cs="Times New Roman"/>
        </w:rPr>
        <w:t xml:space="preserve">epistemological belief that knowledge is socially developed and </w:t>
      </w:r>
      <w:proofErr w:type="gramStart"/>
      <w:r w:rsidR="00256DB7" w:rsidRPr="00694D5D">
        <w:rPr>
          <w:rFonts w:ascii="Times New Roman" w:hAnsi="Times New Roman" w:cs="Times New Roman"/>
        </w:rPr>
        <w:t>context</w:t>
      </w:r>
      <w:r w:rsidR="008929CE">
        <w:rPr>
          <w:rFonts w:ascii="Times New Roman" w:hAnsi="Times New Roman" w:cs="Times New Roman"/>
        </w:rPr>
        <w:t>-</w:t>
      </w:r>
      <w:r w:rsidR="00256DB7" w:rsidRPr="00694D5D">
        <w:rPr>
          <w:rFonts w:ascii="Times New Roman" w:hAnsi="Times New Roman" w:cs="Times New Roman"/>
        </w:rPr>
        <w:t>dependent</w:t>
      </w:r>
      <w:proofErr w:type="gramEnd"/>
      <w:r w:rsidR="00445844">
        <w:rPr>
          <w:rFonts w:ascii="Times New Roman" w:hAnsi="Times New Roman" w:cs="Times New Roman"/>
        </w:rPr>
        <w:t xml:space="preserve"> </w:t>
      </w:r>
      <w:r w:rsidR="00445844">
        <w:t>(Bengtsson 2016)</w:t>
      </w:r>
      <w:r w:rsidRPr="00694D5D">
        <w:rPr>
          <w:rFonts w:ascii="Times New Roman" w:hAnsi="Times New Roman" w:cs="Times New Roman"/>
        </w:rPr>
        <w:t>. In the world of digital transformation where technology meets human actions, there is an opportunity to understand how innovation and social interaction in banking shape one another by adopting a lens provided by interpretivism</w:t>
      </w:r>
      <w:r w:rsidR="00445844">
        <w:rPr>
          <w:rFonts w:ascii="Times New Roman" w:hAnsi="Times New Roman" w:cs="Times New Roman"/>
        </w:rPr>
        <w:t xml:space="preserve"> </w:t>
      </w:r>
      <w:r w:rsidR="00445844">
        <w:t>(Allen 2017)</w:t>
      </w:r>
      <w:r w:rsidRPr="00694D5D">
        <w:rPr>
          <w:rFonts w:ascii="Times New Roman" w:hAnsi="Times New Roman" w:cs="Times New Roman"/>
        </w:rPr>
        <w:t xml:space="preserve">. Through this perspective, the study aims at more than just identifying </w:t>
      </w:r>
      <w:r w:rsidRPr="00694D5D">
        <w:rPr>
          <w:rFonts w:ascii="Times New Roman" w:hAnsi="Times New Roman" w:cs="Times New Roman"/>
        </w:rPr>
        <w:lastRenderedPageBreak/>
        <w:t>patterns and trends; it endeavors to illuminate individual experiences and perceptions that constitute what has become an ongoing journey toward digitalization in UK banking.</w:t>
      </w:r>
    </w:p>
    <w:p w14:paraId="420CBE56" w14:textId="77777777" w:rsidR="004E3047" w:rsidRDefault="004E3047" w:rsidP="002F4ADE">
      <w:pPr>
        <w:pStyle w:val="Heading1"/>
        <w:numPr>
          <w:ilvl w:val="1"/>
          <w:numId w:val="8"/>
        </w:numPr>
        <w:spacing w:line="360" w:lineRule="auto"/>
        <w:jc w:val="both"/>
        <w:rPr>
          <w:rFonts w:ascii="Times New Roman" w:hAnsi="Times New Roman" w:cs="Times New Roman"/>
        </w:rPr>
      </w:pPr>
      <w:bookmarkStart w:id="31" w:name="_Toc158706282"/>
      <w:r w:rsidRPr="00694D5D">
        <w:rPr>
          <w:rFonts w:ascii="Times New Roman" w:hAnsi="Times New Roman" w:cs="Times New Roman"/>
        </w:rPr>
        <w:t>Research Approach</w:t>
      </w:r>
      <w:bookmarkEnd w:id="31"/>
    </w:p>
    <w:p w14:paraId="41C6D8FC" w14:textId="286AE581" w:rsidR="00064B5F" w:rsidRPr="00064B5F" w:rsidRDefault="00064B5F" w:rsidP="00064B5F">
      <w:pPr>
        <w:spacing w:line="360" w:lineRule="auto"/>
        <w:jc w:val="both"/>
        <w:rPr>
          <w:rFonts w:ascii="Times New Roman" w:hAnsi="Times New Roman" w:cs="Times New Roman"/>
        </w:rPr>
      </w:pPr>
      <w:r w:rsidRPr="00064B5F">
        <w:rPr>
          <w:rFonts w:ascii="Times New Roman" w:hAnsi="Times New Roman" w:cs="Times New Roman"/>
        </w:rPr>
        <w:t xml:space="preserve">Thus, as a method to investigate the intricate nature of the UK banking sector’s digital transformation landscape taken in this </w:t>
      </w:r>
      <w:r w:rsidR="00C42337" w:rsidRPr="00064B5F">
        <w:rPr>
          <w:rFonts w:ascii="Times New Roman" w:hAnsi="Times New Roman" w:cs="Times New Roman"/>
        </w:rPr>
        <w:t>case</w:t>
      </w:r>
      <w:r w:rsidRPr="00064B5F">
        <w:rPr>
          <w:rFonts w:ascii="Times New Roman" w:hAnsi="Times New Roman" w:cs="Times New Roman"/>
        </w:rPr>
        <w:t xml:space="preserve"> is highly potent. By choosing a qualitative approach to this research, we aim not only to surpass the issues of imperfection that are related to numerical data but also to discuss some details about emotions and views people demonstrate while demonstrating their understanding of digitalization.</w:t>
      </w:r>
    </w:p>
    <w:p w14:paraId="3F3223C6" w14:textId="02894D40" w:rsidR="002077B9" w:rsidRPr="00064B5F" w:rsidRDefault="00A761CD" w:rsidP="00064B5F">
      <w:pPr>
        <w:spacing w:line="360" w:lineRule="auto"/>
        <w:jc w:val="both"/>
        <w:rPr>
          <w:rFonts w:ascii="Times New Roman" w:hAnsi="Times New Roman" w:cs="Times New Roman"/>
        </w:rPr>
      </w:pPr>
      <w:r>
        <w:rPr>
          <w:rFonts w:ascii="Times New Roman" w:hAnsi="Times New Roman" w:cs="Times New Roman"/>
        </w:rPr>
        <w:t xml:space="preserve">Qualitative </w:t>
      </w:r>
      <w:r w:rsidR="00DB2CFF">
        <w:rPr>
          <w:rFonts w:ascii="Times New Roman" w:hAnsi="Times New Roman" w:cs="Times New Roman"/>
        </w:rPr>
        <w:t xml:space="preserve">inquires study how people and groups construct meaning. In so doing, qualitative </w:t>
      </w:r>
      <w:r w:rsidR="00DE4D03">
        <w:rPr>
          <w:rFonts w:ascii="Times New Roman" w:hAnsi="Times New Roman" w:cs="Times New Roman"/>
        </w:rPr>
        <w:t>methodology devotes considerable attention to how qualitative analyst</w:t>
      </w:r>
      <w:r w:rsidR="00764BAA">
        <w:rPr>
          <w:rFonts w:ascii="Times New Roman" w:hAnsi="Times New Roman" w:cs="Times New Roman"/>
        </w:rPr>
        <w:t>s</w:t>
      </w:r>
      <w:r w:rsidR="00DE4D03">
        <w:rPr>
          <w:rFonts w:ascii="Times New Roman" w:hAnsi="Times New Roman" w:cs="Times New Roman"/>
        </w:rPr>
        <w:t xml:space="preserve"> </w:t>
      </w:r>
      <w:r w:rsidR="00C4510E">
        <w:rPr>
          <w:rFonts w:ascii="Times New Roman" w:hAnsi="Times New Roman" w:cs="Times New Roman"/>
        </w:rPr>
        <w:t xml:space="preserve">determine what is meaningful. Qualitative analysis involves </w:t>
      </w:r>
      <w:r w:rsidR="001D42B6">
        <w:rPr>
          <w:rFonts w:ascii="Times New Roman" w:hAnsi="Times New Roman" w:cs="Times New Roman"/>
        </w:rPr>
        <w:t>interpreting interviews, observations, and document</w:t>
      </w:r>
      <w:r w:rsidR="00E3335B">
        <w:rPr>
          <w:rFonts w:ascii="Times New Roman" w:hAnsi="Times New Roman" w:cs="Times New Roman"/>
        </w:rPr>
        <w:t>s-the data of qualitative inquir</w:t>
      </w:r>
      <w:r w:rsidR="00546831">
        <w:rPr>
          <w:rFonts w:ascii="Times New Roman" w:hAnsi="Times New Roman" w:cs="Times New Roman"/>
        </w:rPr>
        <w:t xml:space="preserve">y – to find substantively meaningful </w:t>
      </w:r>
      <w:r w:rsidR="00764BAA">
        <w:rPr>
          <w:rFonts w:ascii="Times New Roman" w:hAnsi="Times New Roman" w:cs="Times New Roman"/>
        </w:rPr>
        <w:t xml:space="preserve">patterns and themes </w:t>
      </w:r>
      <w:sdt>
        <w:sdtPr>
          <w:rPr>
            <w:rFonts w:ascii="Times New Roman" w:hAnsi="Times New Roman" w:cs="Times New Roman"/>
          </w:rPr>
          <w:id w:val="227575913"/>
          <w:citation/>
        </w:sdtPr>
        <w:sdtContent>
          <w:r w:rsidR="00957EFE">
            <w:rPr>
              <w:rFonts w:ascii="Times New Roman" w:hAnsi="Times New Roman" w:cs="Times New Roman"/>
            </w:rPr>
            <w:fldChar w:fldCharType="begin"/>
          </w:r>
          <w:r w:rsidR="00957EFE">
            <w:rPr>
              <w:rFonts w:ascii="Times New Roman" w:hAnsi="Times New Roman" w:cs="Times New Roman"/>
              <w:lang w:val="en-GB"/>
            </w:rPr>
            <w:instrText xml:space="preserve"> CITATION Pat15 \l 2057 </w:instrText>
          </w:r>
          <w:r w:rsidR="00957EFE">
            <w:rPr>
              <w:rFonts w:ascii="Times New Roman" w:hAnsi="Times New Roman" w:cs="Times New Roman"/>
            </w:rPr>
            <w:fldChar w:fldCharType="separate"/>
          </w:r>
          <w:r w:rsidR="002C0313" w:rsidRPr="002C0313">
            <w:rPr>
              <w:rFonts w:ascii="Times New Roman" w:hAnsi="Times New Roman" w:cs="Times New Roman"/>
              <w:noProof/>
              <w:lang w:val="en-GB"/>
            </w:rPr>
            <w:t>(Patton, 2015)</w:t>
          </w:r>
          <w:r w:rsidR="00957EFE">
            <w:rPr>
              <w:rFonts w:ascii="Times New Roman" w:hAnsi="Times New Roman" w:cs="Times New Roman"/>
            </w:rPr>
            <w:fldChar w:fldCharType="end"/>
          </w:r>
        </w:sdtContent>
      </w:sdt>
      <w:r w:rsidR="00764BAA">
        <w:rPr>
          <w:rFonts w:ascii="Times New Roman" w:hAnsi="Times New Roman" w:cs="Times New Roman"/>
        </w:rPr>
        <w:t xml:space="preserve">. </w:t>
      </w:r>
      <w:r w:rsidR="00064B5F" w:rsidRPr="00064B5F">
        <w:rPr>
          <w:rFonts w:ascii="Times New Roman" w:hAnsi="Times New Roman" w:cs="Times New Roman"/>
        </w:rPr>
        <w:t xml:space="preserve">Content analysis and thematic coding as qualitative research methods offer the tools to analyze in fine detail a broad range of data sources. These analytical methods enable the study to uncover the complicated structures and repeated ideas present in banks' narratives, regulators, </w:t>
      </w:r>
      <w:r w:rsidR="004271EB" w:rsidRPr="00064B5F">
        <w:rPr>
          <w:rFonts w:ascii="Times New Roman" w:hAnsi="Times New Roman" w:cs="Times New Roman"/>
        </w:rPr>
        <w:t>and</w:t>
      </w:r>
      <w:r w:rsidR="00064B5F" w:rsidRPr="00064B5F">
        <w:rPr>
          <w:rFonts w:ascii="Times New Roman" w:hAnsi="Times New Roman" w:cs="Times New Roman"/>
        </w:rPr>
        <w:t xml:space="preserve"> other stakeholders who participate in digital transformation. This approach allows for a more in-depth analysis of the various facets of digitalization, moving beyond superficial observations to expose underlying attitudes, issues, and strategies that influence this sector. The qualitative research design is suitable for the study as it aims to provide a holistic and situational view of digital transformation in UK banking. The realization that the weight of the digitalization phenomenon goes beyond quantitative metrics, recognizes also the power lying in qualitative insights to capture dynamic interactions between technological progress and human factors impacting industry development (</w:t>
      </w:r>
      <w:proofErr w:type="spellStart"/>
      <w:r w:rsidR="00064B5F" w:rsidRPr="00064B5F">
        <w:rPr>
          <w:rFonts w:ascii="Times New Roman" w:hAnsi="Times New Roman" w:cs="Times New Roman"/>
        </w:rPr>
        <w:t>Cidell</w:t>
      </w:r>
      <w:proofErr w:type="spellEnd"/>
      <w:r w:rsidR="00064B5F" w:rsidRPr="00064B5F">
        <w:rPr>
          <w:rFonts w:ascii="Times New Roman" w:hAnsi="Times New Roman" w:cs="Times New Roman"/>
        </w:rPr>
        <w:t xml:space="preserve"> 2010). </w:t>
      </w:r>
      <w:r w:rsidR="00AA7B1F">
        <w:rPr>
          <w:rFonts w:ascii="Times New Roman" w:hAnsi="Times New Roman" w:cs="Times New Roman"/>
        </w:rPr>
        <w:t xml:space="preserve">Qualitative data sets characterized by their fullness and richness </w:t>
      </w:r>
      <w:r w:rsidR="00792868">
        <w:rPr>
          <w:rFonts w:ascii="Times New Roman" w:hAnsi="Times New Roman" w:cs="Times New Roman"/>
        </w:rPr>
        <w:t>provide an opportunity for in-depth analysis</w:t>
      </w:r>
      <w:r w:rsidR="000F7673">
        <w:rPr>
          <w:rFonts w:ascii="Times New Roman" w:hAnsi="Times New Roman" w:cs="Times New Roman"/>
        </w:rPr>
        <w:t>, where context can be related to the themes that emerge from analysis</w:t>
      </w:r>
      <w:r w:rsidR="00BC3D79">
        <w:rPr>
          <w:rFonts w:ascii="Times New Roman" w:hAnsi="Times New Roman" w:cs="Times New Roman"/>
        </w:rPr>
        <w:t xml:space="preserve">, to produce well-grounded and </w:t>
      </w:r>
      <w:r w:rsidR="00B73CAB">
        <w:rPr>
          <w:rFonts w:ascii="Times New Roman" w:hAnsi="Times New Roman" w:cs="Times New Roman"/>
        </w:rPr>
        <w:t>contextualized</w:t>
      </w:r>
      <w:r w:rsidR="00064B5F" w:rsidRPr="00064B5F">
        <w:rPr>
          <w:rFonts w:ascii="Times New Roman" w:hAnsi="Times New Roman" w:cs="Times New Roman"/>
        </w:rPr>
        <w:t xml:space="preserve"> </w:t>
      </w:r>
      <w:r w:rsidR="00B73CAB">
        <w:rPr>
          <w:rFonts w:ascii="Times New Roman" w:hAnsi="Times New Roman" w:cs="Times New Roman"/>
        </w:rPr>
        <w:t>explanations</w:t>
      </w:r>
      <w:sdt>
        <w:sdtPr>
          <w:rPr>
            <w:rFonts w:ascii="Times New Roman" w:hAnsi="Times New Roman" w:cs="Times New Roman"/>
          </w:rPr>
          <w:id w:val="-31884057"/>
          <w:citation/>
        </w:sdtPr>
        <w:sdtContent>
          <w:r w:rsidR="008511F6">
            <w:rPr>
              <w:rFonts w:ascii="Times New Roman" w:hAnsi="Times New Roman" w:cs="Times New Roman"/>
            </w:rPr>
            <w:fldChar w:fldCharType="begin"/>
          </w:r>
          <w:r w:rsidR="008511F6">
            <w:rPr>
              <w:rFonts w:ascii="Times New Roman" w:hAnsi="Times New Roman" w:cs="Times New Roman"/>
              <w:lang w:val="en-GB"/>
            </w:rPr>
            <w:instrText xml:space="preserve"> CITATION Sau19 \l 2057 </w:instrText>
          </w:r>
          <w:r w:rsidR="008511F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(Saunders, et al., 2019)</w:t>
          </w:r>
          <w:r w:rsidR="008511F6">
            <w:rPr>
              <w:rFonts w:ascii="Times New Roman" w:hAnsi="Times New Roman" w:cs="Times New Roman"/>
            </w:rPr>
            <w:fldChar w:fldCharType="end"/>
          </w:r>
        </w:sdtContent>
      </w:sdt>
      <w:r w:rsidR="008511F6">
        <w:rPr>
          <w:rFonts w:ascii="Times New Roman" w:hAnsi="Times New Roman" w:cs="Times New Roman"/>
        </w:rPr>
        <w:t xml:space="preserve">. This </w:t>
      </w:r>
      <w:r w:rsidR="00064B5F" w:rsidRPr="00064B5F">
        <w:rPr>
          <w:rFonts w:ascii="Times New Roman" w:hAnsi="Times New Roman" w:cs="Times New Roman"/>
        </w:rPr>
        <w:t>approach permits the study to provide a more profound comprehension of complications concerning digital transformation, sharing knowledge that transcends numerical aspects in the evolving scene.</w:t>
      </w:r>
    </w:p>
    <w:p w14:paraId="34B8726D" w14:textId="77777777" w:rsidR="004E3047" w:rsidRDefault="004E3047" w:rsidP="002F4ADE">
      <w:pPr>
        <w:pStyle w:val="Heading1"/>
        <w:numPr>
          <w:ilvl w:val="1"/>
          <w:numId w:val="8"/>
        </w:numPr>
        <w:spacing w:line="360" w:lineRule="auto"/>
        <w:jc w:val="both"/>
        <w:rPr>
          <w:rFonts w:ascii="Times New Roman" w:hAnsi="Times New Roman" w:cs="Times New Roman"/>
        </w:rPr>
      </w:pPr>
      <w:bookmarkStart w:id="32" w:name="_Toc158706283"/>
      <w:r w:rsidRPr="00694D5D">
        <w:rPr>
          <w:rFonts w:ascii="Times New Roman" w:hAnsi="Times New Roman" w:cs="Times New Roman"/>
        </w:rPr>
        <w:lastRenderedPageBreak/>
        <w:t>Research Method</w:t>
      </w:r>
      <w:bookmarkEnd w:id="32"/>
    </w:p>
    <w:p w14:paraId="7863508C" w14:textId="1BE6C64B" w:rsidR="00CC68F6" w:rsidRPr="00CC68F6" w:rsidRDefault="00CC68F6" w:rsidP="002101A9">
      <w:pPr>
        <w:spacing w:line="360" w:lineRule="auto"/>
        <w:jc w:val="both"/>
        <w:rPr>
          <w:rFonts w:ascii="Times New Roman" w:hAnsi="Times New Roman" w:cs="Times New Roman"/>
        </w:rPr>
      </w:pPr>
      <w:r w:rsidRPr="00CC68F6">
        <w:rPr>
          <w:rFonts w:ascii="Times New Roman" w:hAnsi="Times New Roman" w:cs="Times New Roman"/>
        </w:rPr>
        <w:t>Utilizing secondary data analysis as the main research tool emphasizes a pragmatic approach to studying the UK banking sector’s digital transformation landscape. The study maximizes the wealth of information available in various forms by focusing on existing data sources that span ten years from 2013 to 2023 and ensures a thorough exploration of the subject matter.</w:t>
      </w:r>
    </w:p>
    <w:p w14:paraId="4BD9AA33" w14:textId="56A69FA2" w:rsidR="00CC68F6" w:rsidRPr="00D315E9" w:rsidRDefault="00CC68F6" w:rsidP="00D315E9">
      <w:pPr>
        <w:spacing w:line="360" w:lineRule="auto"/>
        <w:jc w:val="both"/>
        <w:rPr>
          <w:rFonts w:ascii="Times New Roman" w:hAnsi="Times New Roman" w:cs="Times New Roman"/>
        </w:rPr>
      </w:pPr>
      <w:r w:rsidRPr="00CC68F6">
        <w:rPr>
          <w:rFonts w:ascii="Times New Roman" w:hAnsi="Times New Roman" w:cs="Times New Roman"/>
        </w:rPr>
        <w:t xml:space="preserve">The chosen method complements the exploratory nature of this research and allows insights to be gathered from annual reports, financial statements, regulatory documents, news releases; and a variety of articles found in peer-reviewed journals expressed by researchers. The long-time range of the data sources allows for a historical perspective as one can look back and understand how the digitalization journey was made in the UK banking sector. This holistic perspective enables the study to investigate the evolutionary pathway and highlight important milestones, trends, patterns as well changes that have defined the digital transformation landscape in recent times. It is very beneficial that secondary data analysis can be implemented in a cost-efficient manner, given the sheer scope of available documents (Allen 2017). This method not only gives in-depth insights into the strategies banks are using but also contributes to the understanding of the regulatory environment, collaborations within the industry, and broader contextual factors that impact digital transformation. The fact that the study leverages existing data sources enables it to provide valuable insights into various facets of digitalization in UK banking, thus enriching holistic and well-informed interpretations of developments within the sector (Matt, Hess &amp; </w:t>
      </w:r>
      <w:proofErr w:type="spellStart"/>
      <w:r w:rsidRPr="00CC68F6">
        <w:rPr>
          <w:rFonts w:ascii="Times New Roman" w:hAnsi="Times New Roman" w:cs="Times New Roman"/>
        </w:rPr>
        <w:t>Benlian</w:t>
      </w:r>
      <w:proofErr w:type="spellEnd"/>
      <w:r w:rsidRPr="00CC68F6">
        <w:rPr>
          <w:rFonts w:ascii="Times New Roman" w:hAnsi="Times New Roman" w:cs="Times New Roman"/>
        </w:rPr>
        <w:t xml:space="preserve"> 2019).</w:t>
      </w:r>
    </w:p>
    <w:p w14:paraId="62C56583"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3" w:name="_Toc158706284"/>
      <w:r w:rsidRPr="00694D5D">
        <w:rPr>
          <w:rFonts w:ascii="Times New Roman" w:hAnsi="Times New Roman" w:cs="Times New Roman"/>
        </w:rPr>
        <w:t>Research Design</w:t>
      </w:r>
      <w:bookmarkEnd w:id="33"/>
    </w:p>
    <w:p w14:paraId="7E3E5647" w14:textId="17CFFA5D" w:rsidR="006E64D9" w:rsidRPr="0077661C" w:rsidRDefault="00BD493C" w:rsidP="0077661C">
      <w:pPr>
        <w:spacing w:line="360" w:lineRule="auto"/>
        <w:jc w:val="both"/>
        <w:rPr>
          <w:rFonts w:ascii="Times New Roman" w:hAnsi="Times New Roman" w:cs="Times New Roman"/>
        </w:rPr>
      </w:pPr>
      <w:r>
        <w:rPr>
          <w:rFonts w:ascii="Times New Roman" w:hAnsi="Times New Roman" w:cs="Times New Roman"/>
        </w:rPr>
        <w:t xml:space="preserve">Research design refers to the steps which will be embraced to relate the study’s questions to the data collection </w:t>
      </w:r>
      <w:r w:rsidR="00596E76">
        <w:rPr>
          <w:rFonts w:ascii="Times New Roman" w:hAnsi="Times New Roman" w:cs="Times New Roman"/>
        </w:rPr>
        <w:t>and analysis stages in a coherent way</w:t>
      </w:r>
      <w:sdt>
        <w:sdtPr>
          <w:rPr>
            <w:rFonts w:ascii="Times New Roman" w:hAnsi="Times New Roman" w:cs="Times New Roman"/>
          </w:rPr>
          <w:id w:val="1256259908"/>
          <w:citation/>
        </w:sdtPr>
        <w:sdtContent>
          <w:r w:rsidR="00596E76">
            <w:rPr>
              <w:rFonts w:ascii="Times New Roman" w:hAnsi="Times New Roman" w:cs="Times New Roman"/>
            </w:rPr>
            <w:fldChar w:fldCharType="begin"/>
          </w:r>
          <w:r w:rsidR="00596E76">
            <w:rPr>
              <w:rFonts w:ascii="Times New Roman" w:hAnsi="Times New Roman" w:cs="Times New Roman"/>
              <w:lang w:val="en-GB"/>
            </w:rPr>
            <w:instrText xml:space="preserve"> CITATION OGo15 \l 2057 </w:instrText>
          </w:r>
          <w:r w:rsidR="00596E7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(O' Gorman, 2015)</w:t>
          </w:r>
          <w:r w:rsidR="00596E76">
            <w:rPr>
              <w:rFonts w:ascii="Times New Roman" w:hAnsi="Times New Roman" w:cs="Times New Roman"/>
            </w:rPr>
            <w:fldChar w:fldCharType="end"/>
          </w:r>
        </w:sdtContent>
      </w:sdt>
      <w:r w:rsidR="00596E76">
        <w:rPr>
          <w:rFonts w:ascii="Times New Roman" w:hAnsi="Times New Roman" w:cs="Times New Roman"/>
        </w:rPr>
        <w:t xml:space="preserve">. </w:t>
      </w:r>
      <w:r w:rsidR="006E64D9" w:rsidRPr="0077661C">
        <w:rPr>
          <w:rFonts w:ascii="Times New Roman" w:hAnsi="Times New Roman" w:cs="Times New Roman"/>
        </w:rPr>
        <w:t xml:space="preserve">The research design used includes a comprehensive exploratory approach ensuring that the digital transformation landscape within UK banking is examined in depth. The use of both qualitative and quantitative research methodologies indicates the dedication to understanding all aspects of this multifaceted phenomenon </w:t>
      </w:r>
      <w:r w:rsidR="006E64D9">
        <w:t>(Allen 2017)</w:t>
      </w:r>
      <w:r w:rsidR="006E64D9" w:rsidRPr="0077661C">
        <w:rPr>
          <w:rFonts w:ascii="Times New Roman" w:hAnsi="Times New Roman" w:cs="Times New Roman"/>
        </w:rPr>
        <w:t>. Th</w:t>
      </w:r>
      <w:r w:rsidR="00F659D6">
        <w:rPr>
          <w:rFonts w:ascii="Times New Roman" w:hAnsi="Times New Roman" w:cs="Times New Roman"/>
        </w:rPr>
        <w:t xml:space="preserve">is </w:t>
      </w:r>
      <w:r w:rsidR="003321B8">
        <w:rPr>
          <w:rFonts w:ascii="Times New Roman" w:hAnsi="Times New Roman" w:cs="Times New Roman"/>
        </w:rPr>
        <w:t>research uses</w:t>
      </w:r>
      <w:r w:rsidR="006E64D9" w:rsidRPr="0077661C">
        <w:rPr>
          <w:rFonts w:ascii="Times New Roman" w:hAnsi="Times New Roman" w:cs="Times New Roman"/>
        </w:rPr>
        <w:t xml:space="preserve"> qualitative methods such as content analysis and </w:t>
      </w:r>
      <w:r w:rsidR="00C67153" w:rsidRPr="0077661C">
        <w:rPr>
          <w:rFonts w:ascii="Times New Roman" w:hAnsi="Times New Roman" w:cs="Times New Roman"/>
        </w:rPr>
        <w:t>thematic</w:t>
      </w:r>
      <w:r w:rsidR="006E64D9" w:rsidRPr="0077661C">
        <w:rPr>
          <w:rFonts w:ascii="Times New Roman" w:hAnsi="Times New Roman" w:cs="Times New Roman"/>
        </w:rPr>
        <w:t xml:space="preserve"> coding to get deep insights into the qualitative aspects of their digitalization journey. These approaches allow for the investigation of various aspects, such as banks’ strategies; changing tastes and behaviors among consumers; intricate landscape of regulations. The study </w:t>
      </w:r>
      <w:r w:rsidR="006E64D9" w:rsidRPr="0077661C">
        <w:rPr>
          <w:rFonts w:ascii="Times New Roman" w:hAnsi="Times New Roman" w:cs="Times New Roman"/>
        </w:rPr>
        <w:lastRenderedPageBreak/>
        <w:t>goes into the qualitative factors to reveal the hidden narratives and contextual forces that drive away people from this narrative of digital transformation.</w:t>
      </w:r>
    </w:p>
    <w:p w14:paraId="415DBEBA"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4" w:name="_Toc158706285"/>
      <w:r w:rsidRPr="00694D5D">
        <w:rPr>
          <w:rFonts w:ascii="Times New Roman" w:hAnsi="Times New Roman" w:cs="Times New Roman"/>
        </w:rPr>
        <w:t>Research Strategy</w:t>
      </w:r>
      <w:bookmarkEnd w:id="34"/>
    </w:p>
    <w:p w14:paraId="4A39C275" w14:textId="4C004A1C" w:rsidR="00B10FAA" w:rsidRPr="00B10FAA" w:rsidRDefault="00B10FAA" w:rsidP="00B10FAA">
      <w:pPr>
        <w:spacing w:line="360" w:lineRule="auto"/>
        <w:jc w:val="both"/>
        <w:rPr>
          <w:rFonts w:ascii="Times New Roman" w:hAnsi="Times New Roman" w:cs="Times New Roman"/>
        </w:rPr>
      </w:pPr>
      <w:r w:rsidRPr="00B10FAA">
        <w:rPr>
          <w:rFonts w:ascii="Times New Roman" w:hAnsi="Times New Roman" w:cs="Times New Roman"/>
        </w:rPr>
        <w:t>The research design developed for this project utilizes a synergistic and balanced approach between content analysis and statistical assessment. The study employs qualitative content analysis where it penetrates the depth of richness in textual data by breaking down meaningful insights that are concealed within documents such as an annual report, regulatory papers, and industry studies. This approach allows us to identify the common themes, patterns, and trends in the banking digital transformation landscap</w:t>
      </w:r>
      <w:r w:rsidR="00850E08">
        <w:rPr>
          <w:rFonts w:ascii="Times New Roman" w:hAnsi="Times New Roman" w:cs="Times New Roman"/>
        </w:rPr>
        <w:t>e.</w:t>
      </w:r>
      <w:r w:rsidRPr="00B10FAA">
        <w:rPr>
          <w:rFonts w:ascii="Times New Roman" w:hAnsi="Times New Roman" w:cs="Times New Roman"/>
        </w:rPr>
        <w:t xml:space="preserve"> Qualitative content analysis acts as an influential tool for revealing the fine points of the strategies, challenges, and successes during the UK banking sector’s digitalization process.</w:t>
      </w:r>
    </w:p>
    <w:p w14:paraId="24E5E0B1" w14:textId="1516A7DE" w:rsidR="00B10FAA" w:rsidRPr="00B10FAA" w:rsidRDefault="003B02D2" w:rsidP="00B10FAA">
      <w:pPr>
        <w:spacing w:line="360" w:lineRule="auto"/>
        <w:jc w:val="both"/>
        <w:rPr>
          <w:rFonts w:ascii="Times New Roman" w:hAnsi="Times New Roman" w:cs="Times New Roman"/>
        </w:rPr>
      </w:pPr>
      <w:r>
        <w:rPr>
          <w:rFonts w:ascii="Times New Roman" w:hAnsi="Times New Roman" w:cs="Times New Roman"/>
        </w:rPr>
        <w:t>Qualitative findings in evaluation illuminate the people behind the numbers and put faces on the statistics to deepen understanding and inform decision making</w:t>
      </w:r>
      <w:sdt>
        <w:sdtPr>
          <w:rPr>
            <w:rFonts w:ascii="Times New Roman" w:hAnsi="Times New Roman" w:cs="Times New Roman"/>
          </w:rPr>
          <w:id w:val="-1455711745"/>
          <w:citation/>
        </w:sdtPr>
        <w:sdtContent>
          <w:r>
            <w:rPr>
              <w:rFonts w:ascii="Times New Roman" w:hAnsi="Times New Roman" w:cs="Times New Roman"/>
            </w:rPr>
            <w:fldChar w:fldCharType="begin"/>
          </w:r>
          <w:r>
            <w:rPr>
              <w:rFonts w:ascii="Times New Roman" w:hAnsi="Times New Roman" w:cs="Times New Roman"/>
              <w:lang w:val="en-GB"/>
            </w:rPr>
            <w:instrText xml:space="preserve"> CITATION Pat15 \l 2057 </w:instrText>
          </w:r>
          <w:r>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(Patton, 2015)</w:t>
          </w:r>
          <w:r>
            <w:rPr>
              <w:rFonts w:ascii="Times New Roman" w:hAnsi="Times New Roman" w:cs="Times New Roman"/>
            </w:rPr>
            <w:fldChar w:fldCharType="end"/>
          </w:r>
        </w:sdtContent>
      </w:sdt>
      <w:r w:rsidR="00DF2A40">
        <w:rPr>
          <w:rFonts w:ascii="Times New Roman" w:hAnsi="Times New Roman" w:cs="Times New Roman"/>
        </w:rPr>
        <w:t xml:space="preserve">. </w:t>
      </w:r>
    </w:p>
    <w:p w14:paraId="0805311C" w14:textId="77777777" w:rsidR="00B10FAA" w:rsidRPr="00B10FAA" w:rsidRDefault="00B10FAA" w:rsidP="00B10FAA"/>
    <w:p w14:paraId="3F010782"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5" w:name="_Toc158706286"/>
      <w:r w:rsidRPr="00694D5D">
        <w:rPr>
          <w:rFonts w:ascii="Times New Roman" w:hAnsi="Times New Roman" w:cs="Times New Roman"/>
        </w:rPr>
        <w:t>Data Source and Collection</w:t>
      </w:r>
      <w:bookmarkEnd w:id="35"/>
    </w:p>
    <w:p w14:paraId="10C6CFA1" w14:textId="741E132A" w:rsidR="005470AE" w:rsidRPr="005470AE" w:rsidRDefault="005470AE" w:rsidP="005470AE">
      <w:pPr>
        <w:spacing w:line="360" w:lineRule="auto"/>
        <w:jc w:val="both"/>
        <w:rPr>
          <w:rFonts w:ascii="Times New Roman" w:hAnsi="Times New Roman" w:cs="Times New Roman"/>
        </w:rPr>
      </w:pPr>
      <w:r w:rsidRPr="005470AE">
        <w:rPr>
          <w:rFonts w:ascii="Times New Roman" w:hAnsi="Times New Roman" w:cs="Times New Roman"/>
        </w:rPr>
        <w:t xml:space="preserve">The vast assortment of </w:t>
      </w:r>
      <w:r w:rsidR="00B11C3A" w:rsidRPr="005470AE">
        <w:rPr>
          <w:rFonts w:ascii="Times New Roman" w:hAnsi="Times New Roman" w:cs="Times New Roman"/>
        </w:rPr>
        <w:t>publicly</w:t>
      </w:r>
      <w:r w:rsidRPr="005470AE">
        <w:rPr>
          <w:rFonts w:ascii="Times New Roman" w:hAnsi="Times New Roman" w:cs="Times New Roman"/>
        </w:rPr>
        <w:t xml:space="preserve"> available documents serves as the foundation for data gathering in this study, encompassing essential records from 2013 to 2023. Annual reports, a major source, provide insight into the strategic goals of banks' financial statements and key projects. This is a virtual treasure trove of information on their strategies for digital transformation, offering an in-depth and detailed analysis. Another important topic is the landscape of regulations, in which regulatory documents shed light on changing rules and compliance requirements outlining how financial firms convert to digital. As such, exploring these documents provides a vivid picture of the regulatory path tied to digitalization.</w:t>
      </w:r>
    </w:p>
    <w:p w14:paraId="36180577" w14:textId="52086B51" w:rsidR="005470AE" w:rsidRPr="005470AE" w:rsidRDefault="005470AE" w:rsidP="005470AE">
      <w:pPr>
        <w:spacing w:line="360" w:lineRule="auto"/>
        <w:jc w:val="both"/>
        <w:rPr>
          <w:rFonts w:ascii="Times New Roman" w:hAnsi="Times New Roman" w:cs="Times New Roman"/>
        </w:rPr>
      </w:pPr>
      <w:r w:rsidRPr="005470AE">
        <w:rPr>
          <w:rFonts w:ascii="Times New Roman" w:hAnsi="Times New Roman" w:cs="Times New Roman"/>
        </w:rPr>
        <w:t xml:space="preserve">Furthermore, the addition of news releases covers live information and reactions thus adding current perspectives to a study. Research articles supply necessary academic insights into the change in banking in the UK, and industry reports offer a general background to understand this process. The eclectic selection of data sources that this study employs makes it possible to explore the multilayered dynamics of digital transformation in an all-embracing and detailed fashion. Such </w:t>
      </w:r>
      <w:r w:rsidRPr="005470AE">
        <w:rPr>
          <w:rFonts w:ascii="Times New Roman" w:hAnsi="Times New Roman" w:cs="Times New Roman"/>
        </w:rPr>
        <w:lastRenderedPageBreak/>
        <w:t>documents should, therefore, be systematically collected and analyzed in a very careful manner to deduce valuable insights that would allow for an extensive understanding of how digitalization evolves across the UK banking sector.</w:t>
      </w:r>
    </w:p>
    <w:p w14:paraId="66427F1B"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6" w:name="_Toc158706287"/>
      <w:r w:rsidRPr="00694D5D">
        <w:rPr>
          <w:rFonts w:ascii="Times New Roman" w:hAnsi="Times New Roman" w:cs="Times New Roman"/>
        </w:rPr>
        <w:t>Case Study</w:t>
      </w:r>
      <w:bookmarkEnd w:id="36"/>
    </w:p>
    <w:p w14:paraId="51DA153E" w14:textId="1E2D2934" w:rsidR="00D35FAF" w:rsidRPr="00D35FAF" w:rsidRDefault="00D35FAF" w:rsidP="00D35FAF">
      <w:pPr>
        <w:spacing w:line="360" w:lineRule="auto"/>
        <w:jc w:val="both"/>
        <w:rPr>
          <w:rFonts w:ascii="Times New Roman" w:hAnsi="Times New Roman" w:cs="Times New Roman"/>
        </w:rPr>
      </w:pPr>
      <w:r w:rsidRPr="00D35FAF">
        <w:rPr>
          <w:rFonts w:ascii="Times New Roman" w:hAnsi="Times New Roman" w:cs="Times New Roman"/>
        </w:rPr>
        <w:t xml:space="preserve">The UK banking system offers a unique case </w:t>
      </w:r>
      <w:proofErr w:type="gramStart"/>
      <w:r w:rsidRPr="00D35FAF">
        <w:rPr>
          <w:rFonts w:ascii="Times New Roman" w:hAnsi="Times New Roman" w:cs="Times New Roman"/>
        </w:rPr>
        <w:t>in the area of</w:t>
      </w:r>
      <w:proofErr w:type="gramEnd"/>
      <w:r w:rsidRPr="00D35FAF">
        <w:rPr>
          <w:rFonts w:ascii="Times New Roman" w:hAnsi="Times New Roman" w:cs="Times New Roman"/>
        </w:rPr>
        <w:t xml:space="preserve"> digital transformation. Over the past decade, British banks have been through a transformational journey because of technological breakthroughs and changing customer choices </w:t>
      </w:r>
      <w:r>
        <w:t>(Diener &amp; Špaček 2021)</w:t>
      </w:r>
      <w:r w:rsidRPr="00D35FAF">
        <w:rPr>
          <w:rFonts w:ascii="Times New Roman" w:hAnsi="Times New Roman" w:cs="Times New Roman"/>
        </w:rPr>
        <w:t xml:space="preserve">. There has been significant movement towards digitalization in the sector; this can be attributed to factors like the growing prevalence of smartphones, the emergence of fintech disruptors as well as changing regulatory frameworks. Thus, major retail banks have positioned themselves strategically by adopting digital technologies and allowing customers to browse their mobile banking applications offering them exceptional experiences that are very personalized. The rollout of open banking policies, spurred by the Competition and Markets Authority, has encouraged synergy between established banks and dynamic fintech startups </w:t>
      </w:r>
      <w:r>
        <w:t xml:space="preserve">(Kitsios, </w:t>
      </w:r>
      <w:proofErr w:type="spellStart"/>
      <w:r>
        <w:t>Giatsidis</w:t>
      </w:r>
      <w:proofErr w:type="spellEnd"/>
      <w:r>
        <w:t xml:space="preserve"> &amp; </w:t>
      </w:r>
      <w:proofErr w:type="spellStart"/>
      <w:r>
        <w:t>Kamariotou</w:t>
      </w:r>
      <w:proofErr w:type="spellEnd"/>
      <w:r>
        <w:t xml:space="preserve"> 2021)</w:t>
      </w:r>
      <w:r w:rsidRPr="00D35FAF">
        <w:rPr>
          <w:rFonts w:ascii="Times New Roman" w:hAnsi="Times New Roman" w:cs="Times New Roman"/>
        </w:rPr>
        <w:t>. It has developed as a collaborative ecosystem that led to the creation of interdependent platforms enriching financial services offered to consumers.</w:t>
      </w:r>
    </w:p>
    <w:p w14:paraId="73F9D129" w14:textId="668E6F92" w:rsidR="00D35FAF" w:rsidRPr="00837A72" w:rsidRDefault="00D35FAF" w:rsidP="00837A72">
      <w:pPr>
        <w:spacing w:line="360" w:lineRule="auto"/>
        <w:jc w:val="both"/>
        <w:rPr>
          <w:rFonts w:ascii="Times New Roman" w:hAnsi="Times New Roman" w:cs="Times New Roman"/>
        </w:rPr>
      </w:pPr>
      <w:r w:rsidRPr="00D35FAF">
        <w:rPr>
          <w:rFonts w:ascii="Times New Roman" w:hAnsi="Times New Roman" w:cs="Times New Roman"/>
        </w:rPr>
        <w:t xml:space="preserve">In the UK banking system, digital adoption was already gathering pace pre-pandemic as customers were increasingly making transactions and interacting via digital channels. The ability of the sector to bounce back from problems and innovate speaks volumes about </w:t>
      </w:r>
      <w:r w:rsidR="00C42337" w:rsidRPr="00D35FAF">
        <w:rPr>
          <w:rFonts w:ascii="Times New Roman" w:hAnsi="Times New Roman" w:cs="Times New Roman"/>
        </w:rPr>
        <w:t>how</w:t>
      </w:r>
      <w:r w:rsidRPr="00D35FAF">
        <w:rPr>
          <w:rFonts w:ascii="Times New Roman" w:hAnsi="Times New Roman" w:cs="Times New Roman"/>
        </w:rPr>
        <w:t xml:space="preserve"> digital transformation is crucial for enabling uninterrupted operations as well as future-proofing customer demands. The case study of the UK banking system sheds light on multiple dynamics that bring digitalization into a traditional financial landscape </w:t>
      </w:r>
      <w:r>
        <w:t>(El-Gohary et al. 2021)</w:t>
      </w:r>
      <w:r w:rsidRPr="00D35FAF">
        <w:rPr>
          <w:rFonts w:ascii="Times New Roman" w:hAnsi="Times New Roman" w:cs="Times New Roman"/>
        </w:rPr>
        <w:t>.</w:t>
      </w:r>
    </w:p>
    <w:p w14:paraId="105FAFA1"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7" w:name="_Toc158706288"/>
      <w:r w:rsidRPr="00694D5D">
        <w:rPr>
          <w:rFonts w:ascii="Times New Roman" w:hAnsi="Times New Roman" w:cs="Times New Roman"/>
        </w:rPr>
        <w:t>Sampling</w:t>
      </w:r>
      <w:bookmarkEnd w:id="37"/>
    </w:p>
    <w:p w14:paraId="30ABE456" w14:textId="74B903B0" w:rsidR="00837A72" w:rsidRPr="00631D75" w:rsidRDefault="00837A72" w:rsidP="00631D75">
      <w:pPr>
        <w:spacing w:line="360" w:lineRule="auto"/>
        <w:jc w:val="both"/>
        <w:rPr>
          <w:rFonts w:ascii="Times New Roman" w:hAnsi="Times New Roman" w:cs="Times New Roman"/>
        </w:rPr>
      </w:pPr>
      <w:r w:rsidRPr="00631D75">
        <w:rPr>
          <w:rFonts w:ascii="Times New Roman" w:hAnsi="Times New Roman" w:cs="Times New Roman"/>
        </w:rPr>
        <w:t>Since analyzing secondary data forms the core of this study’s sampling procedure, the process is elaborately planned to create a coherent and useful body of results. The period is a time of transformation for digital evolution within the UK banking sector, 2013-2023. Major retail banks and financial institutions as well as entities that have made significant attempts to go digital are the main subjects.</w:t>
      </w:r>
    </w:p>
    <w:p w14:paraId="4D638445" w14:textId="5EDE45BA" w:rsidR="00837A72" w:rsidRPr="00837A72" w:rsidRDefault="00837A72" w:rsidP="00631D75">
      <w:pPr>
        <w:spacing w:line="360" w:lineRule="auto"/>
        <w:jc w:val="both"/>
        <w:rPr>
          <w:rFonts w:ascii="Times New Roman" w:hAnsi="Times New Roman" w:cs="Times New Roman"/>
        </w:rPr>
      </w:pPr>
      <w:r w:rsidRPr="00837A72">
        <w:rPr>
          <w:rFonts w:ascii="Times New Roman" w:hAnsi="Times New Roman" w:cs="Times New Roman"/>
        </w:rPr>
        <w:lastRenderedPageBreak/>
        <w:t xml:space="preserve">The sampling methodology makes use of a purposive approach, which ensures that the chosen documents are selected on an intentional basis to provide different and insightful viewpoints regarding effects Protecting papers involved in business from being digitized. The study aims at depth and specificity as it focuses only on significant players in the UK banking landscape to explore the intricacies of their transformative journeys toward digitalization. </w:t>
      </w:r>
      <w:r w:rsidR="00EB7877">
        <w:rPr>
          <w:rFonts w:ascii="Times New Roman" w:hAnsi="Times New Roman" w:cs="Times New Roman"/>
        </w:rPr>
        <w:t xml:space="preserve">The </w:t>
      </w:r>
      <w:r w:rsidR="006A7FD4">
        <w:rPr>
          <w:rFonts w:ascii="Times New Roman" w:hAnsi="Times New Roman" w:cs="Times New Roman"/>
        </w:rPr>
        <w:t>author</w:t>
      </w:r>
      <w:r w:rsidR="00EB7877">
        <w:rPr>
          <w:rFonts w:ascii="Times New Roman" w:hAnsi="Times New Roman" w:cs="Times New Roman"/>
        </w:rPr>
        <w:t xml:space="preserve"> has chosen five different banks </w:t>
      </w:r>
      <w:r w:rsidR="004D2D06">
        <w:rPr>
          <w:rFonts w:ascii="Times New Roman" w:hAnsi="Times New Roman" w:cs="Times New Roman"/>
        </w:rPr>
        <w:t xml:space="preserve">as a sample </w:t>
      </w:r>
      <w:r w:rsidR="006A7FD4">
        <w:rPr>
          <w:rFonts w:ascii="Times New Roman" w:hAnsi="Times New Roman" w:cs="Times New Roman"/>
        </w:rPr>
        <w:t xml:space="preserve">for this research among the banks of the UK which </w:t>
      </w:r>
      <w:r w:rsidR="004D2D06">
        <w:rPr>
          <w:rFonts w:ascii="Times New Roman" w:hAnsi="Times New Roman" w:cs="Times New Roman"/>
        </w:rPr>
        <w:t>includes</w:t>
      </w:r>
      <w:r w:rsidR="005E5691">
        <w:rPr>
          <w:rFonts w:ascii="Times New Roman" w:hAnsi="Times New Roman" w:cs="Times New Roman"/>
        </w:rPr>
        <w:t xml:space="preserve"> HSBC </w:t>
      </w:r>
      <w:r w:rsidR="00BE4AD8">
        <w:rPr>
          <w:rFonts w:ascii="Times New Roman" w:hAnsi="Times New Roman" w:cs="Times New Roman"/>
        </w:rPr>
        <w:t xml:space="preserve">Holding Plc, </w:t>
      </w:r>
      <w:r w:rsidR="00901886">
        <w:rPr>
          <w:rFonts w:ascii="Times New Roman" w:hAnsi="Times New Roman" w:cs="Times New Roman"/>
        </w:rPr>
        <w:t xml:space="preserve">Lloyds </w:t>
      </w:r>
      <w:r w:rsidR="003D46A9">
        <w:rPr>
          <w:rFonts w:ascii="Times New Roman" w:hAnsi="Times New Roman" w:cs="Times New Roman"/>
        </w:rPr>
        <w:t xml:space="preserve">Banking Group Plc, </w:t>
      </w:r>
      <w:r w:rsidR="0051648D">
        <w:rPr>
          <w:rFonts w:ascii="Times New Roman" w:hAnsi="Times New Roman" w:cs="Times New Roman"/>
        </w:rPr>
        <w:t>Barclays Plc</w:t>
      </w:r>
      <w:r w:rsidR="0092578C">
        <w:rPr>
          <w:rFonts w:ascii="Times New Roman" w:hAnsi="Times New Roman" w:cs="Times New Roman"/>
        </w:rPr>
        <w:t xml:space="preserve">, Santander UK Plc and </w:t>
      </w:r>
      <w:r w:rsidR="004D2D06">
        <w:rPr>
          <w:rFonts w:ascii="Times New Roman" w:hAnsi="Times New Roman" w:cs="Times New Roman"/>
        </w:rPr>
        <w:t xml:space="preserve">NatWest Plc. </w:t>
      </w:r>
      <w:r w:rsidRPr="00837A72">
        <w:rPr>
          <w:rFonts w:ascii="Times New Roman" w:hAnsi="Times New Roman" w:cs="Times New Roman"/>
        </w:rPr>
        <w:t>This purposive sampling strategy will therefore be consistent with the purposes of the research which allows for a more focused and in-depth analysis of the experiences that are selected banks. These entities’ deliberate incorporation of documents strengthens the study’s capacity to make significant conclusions thereby adding richness and relevance value to what is discovered within the realm of UK banking sector digitalization.</w:t>
      </w:r>
    </w:p>
    <w:p w14:paraId="5FBB54AA" w14:textId="77777777" w:rsidR="00837A72" w:rsidRPr="00837A72" w:rsidRDefault="00837A72" w:rsidP="00837A72"/>
    <w:p w14:paraId="3DA206CB"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8" w:name="_Toc158706289"/>
      <w:r w:rsidRPr="00694D5D">
        <w:rPr>
          <w:rFonts w:ascii="Times New Roman" w:hAnsi="Times New Roman" w:cs="Times New Roman"/>
        </w:rPr>
        <w:t>Data Analysis</w:t>
      </w:r>
      <w:bookmarkEnd w:id="38"/>
    </w:p>
    <w:p w14:paraId="33B0117E" w14:textId="78E68660" w:rsidR="00AC2502" w:rsidRPr="00AC2502" w:rsidRDefault="00AC2502" w:rsidP="00AC2502">
      <w:pPr>
        <w:spacing w:line="360" w:lineRule="auto"/>
        <w:jc w:val="both"/>
        <w:rPr>
          <w:rFonts w:ascii="Times New Roman" w:hAnsi="Times New Roman" w:cs="Times New Roman"/>
        </w:rPr>
      </w:pPr>
      <w:r w:rsidRPr="00AC2502">
        <w:rPr>
          <w:rFonts w:ascii="Times New Roman" w:hAnsi="Times New Roman" w:cs="Times New Roman"/>
        </w:rPr>
        <w:t xml:space="preserve">In conducting this study, the adopted data analysis methodology is an all-encompassing and integrated approach that brought together quantitative as well as qualitative methods. Qualitative content analysis is a very powerful tool that allows careful examination of textual data drawn from various sources. Through this approach, the meaningful themes patterns, and trends regarding digital transformation in banking can be identified as well. The qualitative dimension adds depth to the analysis by revealing subtle insights that are not explicit in many documents including annual reports, regulatory documents, and industry reports </w:t>
      </w:r>
      <w:r>
        <w:t>(Allen 2017)</w:t>
      </w:r>
      <w:r w:rsidRPr="00AC2502">
        <w:rPr>
          <w:rFonts w:ascii="Times New Roman" w:hAnsi="Times New Roman" w:cs="Times New Roman"/>
        </w:rPr>
        <w:t>. These quantitative methods play a crucial role in identifying key performance indicators and numerical trends that have defined the digital transformation landscape within the UK banking sector over the past decade (2013- 2023). This integrated analytical approach guarantees that the study effectively captures the diversity of the digitalization landscape in the UK banking sector providing helpful insights to comprehensively understand major financial institutions' transformative journey.</w:t>
      </w:r>
    </w:p>
    <w:p w14:paraId="5FE6C8BE" w14:textId="77777777" w:rsidR="00AC2502" w:rsidRPr="00AC2502" w:rsidRDefault="00AC2502" w:rsidP="00AC2502"/>
    <w:p w14:paraId="607F2D07"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9" w:name="_Toc158706290"/>
      <w:r w:rsidRPr="00694D5D">
        <w:rPr>
          <w:rFonts w:ascii="Times New Roman" w:hAnsi="Times New Roman" w:cs="Times New Roman"/>
        </w:rPr>
        <w:lastRenderedPageBreak/>
        <w:t>Ethical Consideration</w:t>
      </w:r>
      <w:bookmarkEnd w:id="39"/>
    </w:p>
    <w:p w14:paraId="6DFE3307" w14:textId="715CD3C7" w:rsidR="00BA0F1D" w:rsidRPr="00BA0F1D" w:rsidRDefault="00BA0F1D" w:rsidP="00BA0F1D">
      <w:pPr>
        <w:spacing w:line="360" w:lineRule="auto"/>
        <w:jc w:val="both"/>
        <w:rPr>
          <w:rFonts w:ascii="Times New Roman" w:hAnsi="Times New Roman" w:cs="Times New Roman"/>
        </w:rPr>
      </w:pPr>
      <w:r w:rsidRPr="00BA0F1D">
        <w:rPr>
          <w:rFonts w:ascii="Times New Roman" w:hAnsi="Times New Roman" w:cs="Times New Roman"/>
        </w:rPr>
        <w:t xml:space="preserve">It is of the utmost importance to ensure ethical considerations at all stages while researching sensitive financial and regulatory data. All collected data from publicly available resources is treated with the utmost respect for privacy and copyright laws, rigorously adhering to confidentiality and data protection principles. As a solution to </w:t>
      </w:r>
      <w:r w:rsidR="00256DB7" w:rsidRPr="00BA0F1D">
        <w:rPr>
          <w:rFonts w:ascii="Times New Roman" w:hAnsi="Times New Roman" w:cs="Times New Roman"/>
        </w:rPr>
        <w:t>identify</w:t>
      </w:r>
      <w:r w:rsidRPr="00BA0F1D">
        <w:rPr>
          <w:rFonts w:ascii="Times New Roman" w:hAnsi="Times New Roman" w:cs="Times New Roman"/>
        </w:rPr>
        <w:t xml:space="preserve"> potential biases in the chosen documents, transparency is observed when reporting results.</w:t>
      </w:r>
    </w:p>
    <w:p w14:paraId="4BF87433" w14:textId="77777777" w:rsidR="00BA0F1D" w:rsidRPr="00BA0F1D" w:rsidRDefault="00BA0F1D" w:rsidP="00BA0F1D">
      <w:pPr>
        <w:spacing w:line="360" w:lineRule="auto"/>
        <w:jc w:val="both"/>
        <w:rPr>
          <w:rFonts w:ascii="Times New Roman" w:hAnsi="Times New Roman" w:cs="Times New Roman"/>
        </w:rPr>
      </w:pPr>
      <w:r w:rsidRPr="00BA0F1D">
        <w:rPr>
          <w:rFonts w:ascii="Times New Roman" w:hAnsi="Times New Roman" w:cs="Times New Roman"/>
        </w:rPr>
        <w:t xml:space="preserve">Moreover, the research establishes high ethical standards by making sure that interpretations and conclusions are based on the evidence provided. No baseless assumptions or misrepresentations are made, and the study is determined to be truthful and accurate in its attempt to represent what has been deciphered from those data </w:t>
      </w:r>
      <w:r>
        <w:t>(Baker 2000)</w:t>
      </w:r>
      <w:r w:rsidRPr="00BA0F1D">
        <w:rPr>
          <w:rFonts w:ascii="Times New Roman" w:hAnsi="Times New Roman" w:cs="Times New Roman"/>
        </w:rPr>
        <w:t xml:space="preserve">. By adhering to these moral guidelines, the research intends that it can instill helpful and credible information into both intellectual conversations in addition to those of industrial nature so as not to taint its outcome. The commitment to ethical behavior within this study signals its dedication to creating reliable and credible findings </w:t>
      </w:r>
      <w:proofErr w:type="gramStart"/>
      <w:r w:rsidRPr="00BA0F1D">
        <w:rPr>
          <w:rFonts w:ascii="Times New Roman" w:hAnsi="Times New Roman" w:cs="Times New Roman"/>
        </w:rPr>
        <w:t>on the subject of digital</w:t>
      </w:r>
      <w:proofErr w:type="gramEnd"/>
      <w:r w:rsidRPr="00BA0F1D">
        <w:rPr>
          <w:rFonts w:ascii="Times New Roman" w:hAnsi="Times New Roman" w:cs="Times New Roman"/>
        </w:rPr>
        <w:t xml:space="preserve"> transformation in the UK banking sector.</w:t>
      </w:r>
    </w:p>
    <w:p w14:paraId="26ED05A4" w14:textId="77777777" w:rsidR="00BA0F1D" w:rsidRPr="00BA0F1D" w:rsidRDefault="00BA0F1D" w:rsidP="00BA0F1D"/>
    <w:p w14:paraId="6547D995" w14:textId="77777777" w:rsidR="00ED28DB" w:rsidRPr="00694D5D" w:rsidRDefault="00ED28DB" w:rsidP="002F4ADE">
      <w:pPr>
        <w:pStyle w:val="Heading1"/>
        <w:numPr>
          <w:ilvl w:val="0"/>
          <w:numId w:val="8"/>
        </w:numPr>
        <w:spacing w:line="360" w:lineRule="auto"/>
        <w:jc w:val="both"/>
        <w:rPr>
          <w:rFonts w:ascii="Times New Roman" w:hAnsi="Times New Roman" w:cs="Times New Roman"/>
        </w:rPr>
      </w:pPr>
      <w:bookmarkStart w:id="40" w:name="_Toc158706291"/>
      <w:r w:rsidRPr="00694D5D">
        <w:rPr>
          <w:rFonts w:ascii="Times New Roman" w:hAnsi="Times New Roman" w:cs="Times New Roman"/>
        </w:rPr>
        <w:t>Analysis</w:t>
      </w:r>
      <w:bookmarkEnd w:id="40"/>
    </w:p>
    <w:p w14:paraId="10731301" w14:textId="306E1E85" w:rsidR="00ED28DB" w:rsidRPr="00694D5D" w:rsidRDefault="00ED28DB" w:rsidP="00694D5D">
      <w:pPr>
        <w:spacing w:line="360" w:lineRule="auto"/>
        <w:jc w:val="both"/>
        <w:rPr>
          <w:rFonts w:ascii="Times New Roman" w:hAnsi="Times New Roman" w:cs="Times New Roman"/>
        </w:rPr>
      </w:pPr>
      <w:r w:rsidRPr="00694D5D">
        <w:rPr>
          <w:rFonts w:ascii="Times New Roman" w:hAnsi="Times New Roman" w:cs="Times New Roman"/>
        </w:rPr>
        <w:t xml:space="preserve">This chapter begins with a description of the UK banking sector, which </w:t>
      </w:r>
      <w:r w:rsidR="00611006" w:rsidRPr="00694D5D">
        <w:rPr>
          <w:rFonts w:ascii="Times New Roman" w:hAnsi="Times New Roman" w:cs="Times New Roman"/>
        </w:rPr>
        <w:t>is set</w:t>
      </w:r>
      <w:r w:rsidRPr="00694D5D">
        <w:rPr>
          <w:rFonts w:ascii="Times New Roman" w:hAnsi="Times New Roman" w:cs="Times New Roman"/>
        </w:rPr>
        <w:t xml:space="preserve"> up for </w:t>
      </w:r>
      <w:r w:rsidR="00675DE9" w:rsidRPr="00694D5D">
        <w:rPr>
          <w:rFonts w:ascii="Times New Roman" w:hAnsi="Times New Roman" w:cs="Times New Roman"/>
        </w:rPr>
        <w:t>the following</w:t>
      </w:r>
      <w:r w:rsidRPr="00694D5D">
        <w:rPr>
          <w:rFonts w:ascii="Times New Roman" w:hAnsi="Times New Roman" w:cs="Times New Roman"/>
        </w:rPr>
        <w:t xml:space="preserve"> analysis. After this, the study goes further into discussing five of the most prominent banks and their unique profiles outlining technologies that are central to efforts aimed at digital transformation in these respective institutions. The identified entities to be assessed in detail are HSBC Holdings Plc, Lloyds Banking Group </w:t>
      </w:r>
      <w:r w:rsidR="005F2EAE" w:rsidRPr="00694D5D">
        <w:rPr>
          <w:rFonts w:ascii="Times New Roman" w:hAnsi="Times New Roman" w:cs="Times New Roman"/>
        </w:rPr>
        <w:t>Plc</w:t>
      </w:r>
      <w:r w:rsidR="00CC5856" w:rsidRPr="00694D5D">
        <w:rPr>
          <w:rFonts w:ascii="Times New Roman" w:hAnsi="Times New Roman" w:cs="Times New Roman"/>
        </w:rPr>
        <w:t>,</w:t>
      </w:r>
      <w:r w:rsidRPr="00694D5D">
        <w:rPr>
          <w:rFonts w:ascii="Times New Roman" w:hAnsi="Times New Roman" w:cs="Times New Roman"/>
        </w:rPr>
        <w:t xml:space="preserve"> Barclays </w:t>
      </w:r>
      <w:r w:rsidR="005F2EAE" w:rsidRPr="00694D5D">
        <w:rPr>
          <w:rFonts w:ascii="Times New Roman" w:hAnsi="Times New Roman" w:cs="Times New Roman"/>
        </w:rPr>
        <w:t>Plc</w:t>
      </w:r>
      <w:r w:rsidRPr="00694D5D">
        <w:rPr>
          <w:rFonts w:ascii="Times New Roman" w:hAnsi="Times New Roman" w:cs="Times New Roman"/>
        </w:rPr>
        <w:t xml:space="preserve">, </w:t>
      </w:r>
      <w:r w:rsidR="00BA30D2" w:rsidRPr="00694D5D">
        <w:rPr>
          <w:rFonts w:ascii="Times New Roman" w:hAnsi="Times New Roman" w:cs="Times New Roman"/>
        </w:rPr>
        <w:t>Santander</w:t>
      </w:r>
      <w:r w:rsidRPr="00694D5D">
        <w:rPr>
          <w:rFonts w:ascii="Times New Roman" w:hAnsi="Times New Roman" w:cs="Times New Roman"/>
        </w:rPr>
        <w:t xml:space="preserve"> </w:t>
      </w:r>
      <w:r w:rsidR="005F2EAE" w:rsidRPr="00694D5D">
        <w:rPr>
          <w:rFonts w:ascii="Times New Roman" w:hAnsi="Times New Roman" w:cs="Times New Roman"/>
        </w:rPr>
        <w:t>Plc,</w:t>
      </w:r>
      <w:r w:rsidRPr="00694D5D">
        <w:rPr>
          <w:rFonts w:ascii="Times New Roman" w:hAnsi="Times New Roman" w:cs="Times New Roman"/>
        </w:rPr>
        <w:t xml:space="preserve"> and NatWest Group </w:t>
      </w:r>
      <w:r w:rsidR="00CC5856" w:rsidRPr="00694D5D">
        <w:rPr>
          <w:rFonts w:ascii="Times New Roman" w:hAnsi="Times New Roman" w:cs="Times New Roman"/>
        </w:rPr>
        <w:t>Plc.</w:t>
      </w:r>
      <w:r w:rsidRPr="00694D5D">
        <w:rPr>
          <w:rFonts w:ascii="Times New Roman" w:hAnsi="Times New Roman" w:cs="Times New Roman"/>
        </w:rPr>
        <w:t xml:space="preserve"> reflecting the top five </w:t>
      </w:r>
      <w:r w:rsidR="005F2EAE" w:rsidRPr="00694D5D">
        <w:rPr>
          <w:rFonts w:ascii="Times New Roman" w:hAnsi="Times New Roman" w:cs="Times New Roman"/>
        </w:rPr>
        <w:t>UK-based</w:t>
      </w:r>
      <w:r w:rsidRPr="00694D5D">
        <w:rPr>
          <w:rFonts w:ascii="Times New Roman" w:hAnsi="Times New Roman" w:cs="Times New Roman"/>
        </w:rPr>
        <w:t xml:space="preserve"> banks from a revenue perspective.</w:t>
      </w:r>
    </w:p>
    <w:p w14:paraId="29ACDA17"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41" w:name="_Toc158706292"/>
      <w:r w:rsidRPr="00694D5D">
        <w:rPr>
          <w:rFonts w:ascii="Times New Roman" w:hAnsi="Times New Roman" w:cs="Times New Roman"/>
        </w:rPr>
        <w:t>HSBC Holdings Plc</w:t>
      </w:r>
      <w:bookmarkEnd w:id="41"/>
    </w:p>
    <w:p w14:paraId="6C22B481" w14:textId="0B5A2E73" w:rsidR="00D953A5" w:rsidRPr="00DA767F" w:rsidRDefault="00D953A5" w:rsidP="00DA767F">
      <w:pPr>
        <w:spacing w:line="360" w:lineRule="auto"/>
        <w:jc w:val="both"/>
        <w:rPr>
          <w:rFonts w:ascii="Times New Roman" w:hAnsi="Times New Roman" w:cs="Times New Roman"/>
        </w:rPr>
      </w:pPr>
      <w:r w:rsidRPr="00DA767F">
        <w:rPr>
          <w:rFonts w:ascii="Times New Roman" w:hAnsi="Times New Roman" w:cs="Times New Roman"/>
        </w:rPr>
        <w:t>HSBC Holdings plc is the parent company of one of the UK’s biggest banks – HSBC and with headquarters in London, it operates globally offering its customer services to people from 63 countries around Europe, Asia, North America, Latin America as well as Middle East Africa regions. In 2022, HSBC’s assets were US$2.985 billion, making it one of the biggest banking and financial services companies in the world</w:t>
      </w:r>
      <w:sdt>
        <w:sdtPr>
          <w:rPr>
            <w:rFonts w:ascii="Times New Roman" w:hAnsi="Times New Roman" w:cs="Times New Roman"/>
          </w:rPr>
          <w:id w:val="-1026090818"/>
          <w:citation/>
        </w:sdtPr>
        <w:sdtContent>
          <w:r w:rsidR="004A09E5">
            <w:rPr>
              <w:rFonts w:ascii="Times New Roman" w:hAnsi="Times New Roman" w:cs="Times New Roman"/>
            </w:rPr>
            <w:fldChar w:fldCharType="begin"/>
          </w:r>
          <w:r w:rsidR="00C5369B">
            <w:rPr>
              <w:rFonts w:ascii="Times New Roman" w:hAnsi="Times New Roman" w:cs="Times New Roman"/>
              <w:lang w:val="en-GB"/>
            </w:rPr>
            <w:instrText xml:space="preserve">CITATION HSB24 \l 2057 </w:instrText>
          </w:r>
          <w:r w:rsidR="004A09E5">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2024)</w:t>
          </w:r>
          <w:r w:rsidR="004A09E5">
            <w:rPr>
              <w:rFonts w:ascii="Times New Roman" w:hAnsi="Times New Roman" w:cs="Times New Roman"/>
            </w:rPr>
            <w:fldChar w:fldCharType="end"/>
          </w:r>
        </w:sdtContent>
      </w:sdt>
      <w:r w:rsidRPr="00DA767F">
        <w:rPr>
          <w:rFonts w:ascii="Times New Roman" w:hAnsi="Times New Roman" w:cs="Times New Roman"/>
        </w:rPr>
        <w:t>.</w:t>
      </w:r>
    </w:p>
    <w:p w14:paraId="0A73A464" w14:textId="1F862783" w:rsidR="00D953A5" w:rsidRPr="00DA767F" w:rsidRDefault="00D953A5" w:rsidP="00DA767F">
      <w:pPr>
        <w:spacing w:line="360" w:lineRule="auto"/>
        <w:jc w:val="both"/>
        <w:rPr>
          <w:rFonts w:ascii="Times New Roman" w:hAnsi="Times New Roman" w:cs="Times New Roman"/>
        </w:rPr>
      </w:pPr>
      <w:r w:rsidRPr="00DA767F">
        <w:rPr>
          <w:rFonts w:ascii="Times New Roman" w:hAnsi="Times New Roman" w:cs="Times New Roman"/>
        </w:rPr>
        <w:lastRenderedPageBreak/>
        <w:t>88% of HSBC’s trade transactions are now initiated digitally across multiple channels using digital solutions. Together with CGI</w:t>
      </w:r>
      <w:r w:rsidR="0097141C">
        <w:rPr>
          <w:rFonts w:ascii="Times New Roman" w:hAnsi="Times New Roman" w:cs="Times New Roman"/>
        </w:rPr>
        <w:t xml:space="preserve">, the largest independent IT and business consulting services </w:t>
      </w:r>
      <w:r w:rsidR="00C42337">
        <w:rPr>
          <w:rFonts w:ascii="Times New Roman" w:hAnsi="Times New Roman" w:cs="Times New Roman"/>
        </w:rPr>
        <w:t>firm</w:t>
      </w:r>
      <w:r w:rsidR="0097141C">
        <w:rPr>
          <w:rFonts w:ascii="Times New Roman" w:hAnsi="Times New Roman" w:cs="Times New Roman"/>
        </w:rPr>
        <w:t xml:space="preserve"> in the world</w:t>
      </w:r>
      <w:r w:rsidRPr="00DA767F">
        <w:rPr>
          <w:rFonts w:ascii="Times New Roman" w:hAnsi="Times New Roman" w:cs="Times New Roman"/>
        </w:rPr>
        <w:t xml:space="preserve">, the bank has rolled out a new platform called </w:t>
      </w:r>
      <w:r w:rsidR="007E1917">
        <w:rPr>
          <w:rFonts w:ascii="Times New Roman" w:hAnsi="Times New Roman" w:cs="Times New Roman"/>
        </w:rPr>
        <w:t>HS</w:t>
      </w:r>
      <w:r w:rsidR="00266527">
        <w:rPr>
          <w:rFonts w:ascii="Times New Roman" w:hAnsi="Times New Roman" w:cs="Times New Roman"/>
        </w:rPr>
        <w:t>BC Trade Solutions (</w:t>
      </w:r>
      <w:r w:rsidRPr="00DA767F">
        <w:rPr>
          <w:rFonts w:ascii="Times New Roman" w:hAnsi="Times New Roman" w:cs="Times New Roman"/>
        </w:rPr>
        <w:t>HTS</w:t>
      </w:r>
      <w:r w:rsidR="00266527">
        <w:rPr>
          <w:rFonts w:ascii="Times New Roman" w:hAnsi="Times New Roman" w:cs="Times New Roman"/>
        </w:rPr>
        <w:t>)</w:t>
      </w:r>
      <w:r w:rsidRPr="00DA767F">
        <w:rPr>
          <w:rFonts w:ascii="Times New Roman" w:hAnsi="Times New Roman" w:cs="Times New Roman"/>
        </w:rPr>
        <w:t xml:space="preserve"> whereby clients can now originate and manage their trade finance products online. Started in 2013, this API-native platform boasted a modular architecture and flexible tech stack that became the backbone for HSBC’s market-leading trade offering legitimate essay help supporting USD800 billion annually across every region around the globe</w:t>
      </w:r>
      <w:sdt>
        <w:sdtPr>
          <w:rPr>
            <w:rFonts w:ascii="Times New Roman" w:hAnsi="Times New Roman" w:cs="Times New Roman"/>
          </w:rPr>
          <w:id w:val="481664664"/>
          <w:citation/>
        </w:sdtPr>
        <w:sdtContent>
          <w:r w:rsidR="00CB3832">
            <w:rPr>
              <w:rFonts w:ascii="Times New Roman" w:hAnsi="Times New Roman" w:cs="Times New Roman"/>
            </w:rPr>
            <w:fldChar w:fldCharType="begin"/>
          </w:r>
          <w:r w:rsidR="00006AF7">
            <w:rPr>
              <w:rFonts w:ascii="Times New Roman" w:hAnsi="Times New Roman" w:cs="Times New Roman"/>
              <w:lang w:val="en-GB"/>
            </w:rPr>
            <w:instrText xml:space="preserve">CITATION PRN22 \l 2057 </w:instrText>
          </w:r>
          <w:r w:rsidR="00CB3832">
            <w:rPr>
              <w:rFonts w:ascii="Times New Roman" w:hAnsi="Times New Roman" w:cs="Times New Roman"/>
            </w:rPr>
            <w:fldChar w:fldCharType="separate"/>
          </w:r>
          <w:r w:rsidR="00006AF7">
            <w:rPr>
              <w:rFonts w:ascii="Times New Roman" w:hAnsi="Times New Roman" w:cs="Times New Roman"/>
              <w:noProof/>
              <w:lang w:val="en-GB"/>
            </w:rPr>
            <w:t xml:space="preserve"> </w:t>
          </w:r>
          <w:r w:rsidR="00006AF7" w:rsidRPr="00006AF7">
            <w:rPr>
              <w:rFonts w:ascii="Times New Roman" w:hAnsi="Times New Roman" w:cs="Times New Roman"/>
              <w:noProof/>
              <w:lang w:val="en-GB"/>
            </w:rPr>
            <w:t>(PR Newswire, 2022)</w:t>
          </w:r>
          <w:r w:rsidR="00CB3832">
            <w:rPr>
              <w:rFonts w:ascii="Times New Roman" w:hAnsi="Times New Roman" w:cs="Times New Roman"/>
            </w:rPr>
            <w:fldChar w:fldCharType="end"/>
          </w:r>
        </w:sdtContent>
      </w:sdt>
      <w:r w:rsidRPr="00DA767F">
        <w:rPr>
          <w:rFonts w:ascii="Times New Roman" w:hAnsi="Times New Roman" w:cs="Times New Roman"/>
        </w:rPr>
        <w:t>. 19</w:t>
      </w:r>
      <w:r w:rsidR="00F813B8">
        <w:rPr>
          <w:rFonts w:ascii="Times New Roman" w:hAnsi="Times New Roman" w:cs="Times New Roman"/>
        </w:rPr>
        <w:t>%</w:t>
      </w:r>
      <w:r w:rsidRPr="00DA767F">
        <w:rPr>
          <w:rFonts w:ascii="Times New Roman" w:hAnsi="Times New Roman" w:cs="Times New Roman"/>
        </w:rPr>
        <w:t xml:space="preserve"> of technology costs grew from 2019 to that of HSBC reinvested the cost savings fund strategically in tech-based enhancements</w:t>
      </w:r>
      <w:sdt>
        <w:sdtPr>
          <w:rPr>
            <w:rFonts w:ascii="Times New Roman" w:hAnsi="Times New Roman" w:cs="Times New Roman"/>
          </w:rPr>
          <w:id w:val="2093348162"/>
          <w:citation/>
        </w:sdtPr>
        <w:sdtContent>
          <w:r w:rsidR="0022428E">
            <w:rPr>
              <w:rFonts w:ascii="Times New Roman" w:hAnsi="Times New Roman" w:cs="Times New Roman"/>
            </w:rPr>
            <w:fldChar w:fldCharType="begin"/>
          </w:r>
          <w:r w:rsidR="006F4FCD">
            <w:rPr>
              <w:rFonts w:ascii="Times New Roman" w:hAnsi="Times New Roman" w:cs="Times New Roman"/>
              <w:lang w:val="en-GB"/>
            </w:rPr>
            <w:instrText xml:space="preserve">CITATION HSB22 \l 2057 </w:instrText>
          </w:r>
          <w:r w:rsidR="0022428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2022)</w:t>
          </w:r>
          <w:r w:rsidR="0022428E">
            <w:rPr>
              <w:rFonts w:ascii="Times New Roman" w:hAnsi="Times New Roman" w:cs="Times New Roman"/>
            </w:rPr>
            <w:fldChar w:fldCharType="end"/>
          </w:r>
        </w:sdtContent>
      </w:sdt>
      <w:r w:rsidRPr="00DA767F">
        <w:rPr>
          <w:rFonts w:ascii="Times New Roman" w:hAnsi="Times New Roman" w:cs="Times New Roman"/>
        </w:rPr>
        <w:t xml:space="preserve">. This investment is focused on rolling out upgraded platforms globally the mobile banking app, operating in 24 markets with around plus million active users, and a digital trade finance platform available only for a few markets led by Hong Kong and the UK to set HSBC into its next decade </w:t>
      </w:r>
      <w:sdt>
        <w:sdtPr>
          <w:rPr>
            <w:rFonts w:ascii="Times New Roman" w:hAnsi="Times New Roman" w:cs="Times New Roman"/>
          </w:rPr>
          <w:id w:val="-2011981148"/>
          <w:citation/>
        </w:sdtPr>
        <w:sdtContent>
          <w:r w:rsidR="00417BA8">
            <w:rPr>
              <w:rFonts w:ascii="Times New Roman" w:hAnsi="Times New Roman" w:cs="Times New Roman"/>
            </w:rPr>
            <w:fldChar w:fldCharType="begin"/>
          </w:r>
          <w:r w:rsidR="00417BA8">
            <w:rPr>
              <w:rFonts w:ascii="Times New Roman" w:hAnsi="Times New Roman" w:cs="Times New Roman"/>
              <w:lang w:val="en-GB"/>
            </w:rPr>
            <w:instrText xml:space="preserve"> CITATION HSB221 \l 2057 </w:instrText>
          </w:r>
          <w:r w:rsidR="00417BA8">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417BA8">
            <w:rPr>
              <w:rFonts w:ascii="Times New Roman" w:hAnsi="Times New Roman" w:cs="Times New Roman"/>
            </w:rPr>
            <w:fldChar w:fldCharType="end"/>
          </w:r>
        </w:sdtContent>
      </w:sdt>
      <w:r w:rsidRPr="00DA767F">
        <w:rPr>
          <w:rFonts w:ascii="Times New Roman" w:hAnsi="Times New Roman" w:cs="Times New Roman"/>
        </w:rPr>
        <w:t xml:space="preserve">.  </w:t>
      </w:r>
    </w:p>
    <w:p w14:paraId="1176369F"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6EE4B6D1" wp14:editId="574673F3">
            <wp:extent cx="2118544" cy="2667231"/>
            <wp:effectExtent l="0" t="0" r="0" b="0"/>
            <wp:docPr id="15" name="Picture 15"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white text&#10;&#10;Description automatically generated"/>
                    <pic:cNvPicPr/>
                  </pic:nvPicPr>
                  <pic:blipFill>
                    <a:blip r:embed="rId10"/>
                    <a:stretch>
                      <a:fillRect/>
                    </a:stretch>
                  </pic:blipFill>
                  <pic:spPr>
                    <a:xfrm>
                      <a:off x="0" y="0"/>
                      <a:ext cx="2118544" cy="2667231"/>
                    </a:xfrm>
                    <a:prstGeom prst="rect">
                      <a:avLst/>
                    </a:prstGeom>
                  </pic:spPr>
                </pic:pic>
              </a:graphicData>
            </a:graphic>
          </wp:inline>
        </w:drawing>
      </w:r>
      <w:r w:rsidRPr="00DA767F">
        <w:rPr>
          <w:rFonts w:ascii="Times New Roman" w:hAnsi="Times New Roman" w:cs="Times New Roman"/>
          <w:noProof/>
        </w:rPr>
        <w:drawing>
          <wp:inline distT="0" distB="0" distL="0" distR="0" wp14:anchorId="44DB0D37" wp14:editId="2296CBF4">
            <wp:extent cx="2065199" cy="1089754"/>
            <wp:effectExtent l="0" t="0" r="0" b="0"/>
            <wp:docPr id="16" name="Picture 16"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text on a white background&#10;&#10;Description automatically generated"/>
                    <pic:cNvPicPr/>
                  </pic:nvPicPr>
                  <pic:blipFill>
                    <a:blip r:embed="rId11"/>
                    <a:stretch>
                      <a:fillRect/>
                    </a:stretch>
                  </pic:blipFill>
                  <pic:spPr>
                    <a:xfrm>
                      <a:off x="0" y="0"/>
                      <a:ext cx="2065199" cy="1089754"/>
                    </a:xfrm>
                    <a:prstGeom prst="rect">
                      <a:avLst/>
                    </a:prstGeom>
                  </pic:spPr>
                </pic:pic>
              </a:graphicData>
            </a:graphic>
          </wp:inline>
        </w:drawing>
      </w:r>
    </w:p>
    <w:p w14:paraId="7F1A1E44" w14:textId="7A7E285E" w:rsidR="00D953A5" w:rsidRDefault="00000000" w:rsidP="00DA767F">
      <w:pPr>
        <w:spacing w:line="360" w:lineRule="auto"/>
        <w:jc w:val="both"/>
        <w:rPr>
          <w:rFonts w:ascii="Times New Roman" w:hAnsi="Times New Roman" w:cs="Times New Roman"/>
        </w:rPr>
      </w:pPr>
      <w:sdt>
        <w:sdtPr>
          <w:rPr>
            <w:rFonts w:ascii="Times New Roman" w:hAnsi="Times New Roman" w:cs="Times New Roman"/>
          </w:rPr>
          <w:id w:val="608638023"/>
          <w:citation/>
        </w:sdtPr>
        <w:sdtContent>
          <w:r w:rsidR="00C36648">
            <w:rPr>
              <w:rFonts w:ascii="Times New Roman" w:hAnsi="Times New Roman" w:cs="Times New Roman"/>
            </w:rPr>
            <w:fldChar w:fldCharType="begin"/>
          </w:r>
          <w:r w:rsidR="00C36648">
            <w:rPr>
              <w:rFonts w:ascii="Times New Roman" w:hAnsi="Times New Roman" w:cs="Times New Roman"/>
              <w:lang w:val="en-GB"/>
            </w:rPr>
            <w:instrText xml:space="preserve"> CITATION HSB221 \l 2057 </w:instrText>
          </w:r>
          <w:r w:rsidR="00C36648">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C36648">
            <w:rPr>
              <w:rFonts w:ascii="Times New Roman" w:hAnsi="Times New Roman" w:cs="Times New Roman"/>
            </w:rPr>
            <w:fldChar w:fldCharType="end"/>
          </w:r>
        </w:sdtContent>
      </w:sdt>
    </w:p>
    <w:p w14:paraId="04B16EFA" w14:textId="4DCF323E" w:rsidR="00E71C5E" w:rsidRDefault="00D953A5" w:rsidP="00DA767F">
      <w:pPr>
        <w:spacing w:line="360" w:lineRule="auto"/>
        <w:jc w:val="both"/>
        <w:rPr>
          <w:rFonts w:ascii="Times New Roman" w:hAnsi="Times New Roman" w:cs="Times New Roman"/>
          <w:noProof/>
        </w:rPr>
      </w:pPr>
      <w:r w:rsidRPr="00D953A5">
        <w:rPr>
          <w:rFonts w:ascii="Times New Roman" w:hAnsi="Times New Roman" w:cs="Times New Roman"/>
        </w:rPr>
        <w:t xml:space="preserve">The bank has boosted greatly with its digital propositions such as Global Money, and Pinnacle financial planning app among others, and went mobile. </w:t>
      </w:r>
      <w:r w:rsidR="009C4330">
        <w:rPr>
          <w:rFonts w:ascii="Times New Roman" w:hAnsi="Times New Roman" w:cs="Times New Roman"/>
        </w:rPr>
        <w:t>In 2022</w:t>
      </w:r>
      <w:r w:rsidRPr="00D953A5">
        <w:rPr>
          <w:rFonts w:ascii="Times New Roman" w:hAnsi="Times New Roman" w:cs="Times New Roman"/>
        </w:rPr>
        <w:t xml:space="preserve">, Global Money processed about $11 billion in transactions from clients across eight markets and provides cost-effective as well as faster international payments. Adoption has been strong for the Pinnacle financial planning app, with more than 1 million users. Nearly 62% more payments were processed via </w:t>
      </w:r>
      <w:proofErr w:type="spellStart"/>
      <w:r w:rsidRPr="00D953A5">
        <w:rPr>
          <w:rFonts w:ascii="Times New Roman" w:hAnsi="Times New Roman" w:cs="Times New Roman"/>
        </w:rPr>
        <w:t>HSBCnet</w:t>
      </w:r>
      <w:proofErr w:type="spellEnd"/>
      <w:r w:rsidRPr="00D953A5">
        <w:rPr>
          <w:rFonts w:ascii="Times New Roman" w:hAnsi="Times New Roman" w:cs="Times New Roman"/>
        </w:rPr>
        <w:t xml:space="preserve"> mobile during the year, marking a successful digital initiative. HSBC’s digital business banking account </w:t>
      </w:r>
      <w:r w:rsidRPr="00D953A5">
        <w:rPr>
          <w:rFonts w:ascii="Times New Roman" w:hAnsi="Times New Roman" w:cs="Times New Roman"/>
        </w:rPr>
        <w:lastRenderedPageBreak/>
        <w:t>for SMEs in the UK increased its customer base by about 2900 more people and reached a total of around 530K users</w:t>
      </w:r>
      <w:sdt>
        <w:sdtPr>
          <w:rPr>
            <w:rFonts w:ascii="Times New Roman" w:hAnsi="Times New Roman" w:cs="Times New Roman"/>
          </w:rPr>
          <w:id w:val="436255035"/>
          <w:citation/>
        </w:sdtPr>
        <w:sdtContent>
          <w:r w:rsidR="00F63531">
            <w:rPr>
              <w:rFonts w:ascii="Times New Roman" w:hAnsi="Times New Roman" w:cs="Times New Roman"/>
            </w:rPr>
            <w:fldChar w:fldCharType="begin"/>
          </w:r>
          <w:r w:rsidR="00F63531">
            <w:rPr>
              <w:rFonts w:ascii="Times New Roman" w:hAnsi="Times New Roman" w:cs="Times New Roman"/>
              <w:lang w:val="en-GB"/>
            </w:rPr>
            <w:instrText xml:space="preserve"> CITATION HSB22 \l 2057 </w:instrText>
          </w:r>
          <w:r w:rsidR="00F63531">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2022)</w:t>
          </w:r>
          <w:r w:rsidR="00F63531">
            <w:rPr>
              <w:rFonts w:ascii="Times New Roman" w:hAnsi="Times New Roman" w:cs="Times New Roman"/>
            </w:rPr>
            <w:fldChar w:fldCharType="end"/>
          </w:r>
        </w:sdtContent>
      </w:sdt>
      <w:r w:rsidRPr="00D953A5">
        <w:rPr>
          <w:rFonts w:ascii="Times New Roman" w:hAnsi="Times New Roman" w:cs="Times New Roman"/>
        </w:rPr>
        <w:t xml:space="preserve">. </w:t>
      </w:r>
    </w:p>
    <w:p w14:paraId="280812DC" w14:textId="05C8D574"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0E1B025F" wp14:editId="3D36A8DD">
            <wp:extent cx="2217612" cy="1356478"/>
            <wp:effectExtent l="0" t="0" r="0" b="0"/>
            <wp:docPr id="17" name="Picture 17"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white text on a black background&#10;&#10;Description automatically generated"/>
                    <pic:cNvPicPr/>
                  </pic:nvPicPr>
                  <pic:blipFill>
                    <a:blip r:embed="rId12"/>
                    <a:stretch>
                      <a:fillRect/>
                    </a:stretch>
                  </pic:blipFill>
                  <pic:spPr>
                    <a:xfrm>
                      <a:off x="0" y="0"/>
                      <a:ext cx="2217612" cy="1356478"/>
                    </a:xfrm>
                    <a:prstGeom prst="rect">
                      <a:avLst/>
                    </a:prstGeom>
                  </pic:spPr>
                </pic:pic>
              </a:graphicData>
            </a:graphic>
          </wp:inline>
        </w:drawing>
      </w:r>
    </w:p>
    <w:p w14:paraId="58C85B03" w14:textId="296CE701" w:rsidR="00D953A5" w:rsidRDefault="00000000" w:rsidP="00DA767F">
      <w:pPr>
        <w:spacing w:line="360" w:lineRule="auto"/>
        <w:jc w:val="both"/>
        <w:rPr>
          <w:rFonts w:ascii="Times New Roman" w:hAnsi="Times New Roman" w:cs="Times New Roman"/>
        </w:rPr>
      </w:pPr>
      <w:sdt>
        <w:sdtPr>
          <w:rPr>
            <w:rFonts w:ascii="Times New Roman" w:hAnsi="Times New Roman" w:cs="Times New Roman"/>
          </w:rPr>
          <w:id w:val="-1148432730"/>
          <w:citation/>
        </w:sdtPr>
        <w:sdtContent>
          <w:r w:rsidR="00125362">
            <w:rPr>
              <w:rFonts w:ascii="Times New Roman" w:hAnsi="Times New Roman" w:cs="Times New Roman"/>
            </w:rPr>
            <w:fldChar w:fldCharType="begin"/>
          </w:r>
          <w:r w:rsidR="00125362">
            <w:rPr>
              <w:rFonts w:ascii="Times New Roman" w:hAnsi="Times New Roman" w:cs="Times New Roman"/>
              <w:lang w:val="en-GB"/>
            </w:rPr>
            <w:instrText xml:space="preserve"> CITATION HSB22 \l 2057 </w:instrText>
          </w:r>
          <w:r w:rsidR="00125362">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125362">
            <w:rPr>
              <w:rFonts w:ascii="Times New Roman" w:hAnsi="Times New Roman" w:cs="Times New Roman"/>
            </w:rPr>
            <w:fldChar w:fldCharType="end"/>
          </w:r>
        </w:sdtContent>
      </w:sdt>
    </w:p>
    <w:p w14:paraId="19585ACF" w14:textId="4150C731"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The successful launch of HSBC’s innovative global digital platform for SMEs called Business Go; it attracted more than 95</w:t>
      </w:r>
      <w:r w:rsidR="00AF47EF">
        <w:rPr>
          <w:rFonts w:ascii="Times New Roman" w:hAnsi="Times New Roman" w:cs="Times New Roman"/>
        </w:rPr>
        <w:t>K</w:t>
      </w:r>
      <w:r w:rsidR="00846CC6">
        <w:rPr>
          <w:rFonts w:ascii="Times New Roman" w:hAnsi="Times New Roman" w:cs="Times New Roman"/>
        </w:rPr>
        <w:t xml:space="preserve"> digital customers</w:t>
      </w:r>
      <w:r w:rsidRPr="00D953A5">
        <w:rPr>
          <w:rFonts w:ascii="Times New Roman" w:hAnsi="Times New Roman" w:cs="Times New Roman"/>
        </w:rPr>
        <w:t xml:space="preserve"> in 2018, HSBC continues to invest in the technology and operational capabilities as far as improving productivity worldwide and elevating the customer’s experience is concerned. In 2022, HSBC’s total adjusted operating expenses </w:t>
      </w:r>
      <w:r w:rsidR="00C2282E" w:rsidRPr="00D953A5">
        <w:rPr>
          <w:rFonts w:ascii="Times New Roman" w:hAnsi="Times New Roman" w:cs="Times New Roman"/>
        </w:rPr>
        <w:t>allocated</w:t>
      </w:r>
      <w:r w:rsidRPr="00D953A5">
        <w:rPr>
          <w:rFonts w:ascii="Times New Roman" w:hAnsi="Times New Roman" w:cs="Times New Roman"/>
        </w:rPr>
        <w:t xml:space="preserve"> to technology was US$6.1 billion; up from last year’s FY</w:t>
      </w:r>
      <w:r w:rsidR="00C2282E">
        <w:rPr>
          <w:rFonts w:ascii="Times New Roman" w:hAnsi="Times New Roman" w:cs="Times New Roman"/>
        </w:rPr>
        <w:t xml:space="preserve"> </w:t>
      </w:r>
      <w:r w:rsidRPr="00D953A5">
        <w:rPr>
          <w:rFonts w:ascii="Times New Roman" w:hAnsi="Times New Roman" w:cs="Times New Roman"/>
        </w:rPr>
        <w:t>US$5</w:t>
      </w:r>
      <w:r w:rsidRPr="00DA767F">
        <w:rPr>
          <w:rFonts w:ascii="Times New Roman" w:hAnsi="Times New Roman" w:cs="Times New Roman"/>
        </w:rPr>
        <w:t xml:space="preserve"> </w:t>
      </w:r>
      <w:r w:rsidR="007D71E9">
        <w:rPr>
          <w:rFonts w:ascii="Times New Roman" w:hAnsi="Times New Roman" w:cs="Times New Roman"/>
        </w:rPr>
        <w:t>billion</w:t>
      </w:r>
      <w:sdt>
        <w:sdtPr>
          <w:rPr>
            <w:rFonts w:ascii="Times New Roman" w:hAnsi="Times New Roman" w:cs="Times New Roman"/>
          </w:rPr>
          <w:id w:val="325554132"/>
          <w:citation/>
        </w:sdtPr>
        <w:sdtContent>
          <w:r w:rsidR="00FA5A50">
            <w:rPr>
              <w:rFonts w:ascii="Times New Roman" w:hAnsi="Times New Roman" w:cs="Times New Roman"/>
            </w:rPr>
            <w:fldChar w:fldCharType="begin"/>
          </w:r>
          <w:r w:rsidR="00FA5A50">
            <w:rPr>
              <w:rFonts w:ascii="Times New Roman" w:hAnsi="Times New Roman" w:cs="Times New Roman"/>
              <w:lang w:val="en-GB"/>
            </w:rPr>
            <w:instrText xml:space="preserve"> CITATION HSB23 \l 2057 </w:instrText>
          </w:r>
          <w:r w:rsidR="00FA5A5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2023)</w:t>
          </w:r>
          <w:r w:rsidR="00FA5A50">
            <w:rPr>
              <w:rFonts w:ascii="Times New Roman" w:hAnsi="Times New Roman" w:cs="Times New Roman"/>
            </w:rPr>
            <w:fldChar w:fldCharType="end"/>
          </w:r>
        </w:sdtContent>
      </w:sdt>
      <w:r w:rsidRPr="00D953A5">
        <w:rPr>
          <w:rFonts w:ascii="Times New Roman" w:hAnsi="Times New Roman" w:cs="Times New Roman"/>
        </w:rPr>
        <w:t xml:space="preserve">. The bank focuses on improving its digital offerings to boost customer engagement and journeys. </w:t>
      </w:r>
    </w:p>
    <w:p w14:paraId="6DA06D12"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74F90285" wp14:editId="0FE29929">
            <wp:extent cx="2171888" cy="3711262"/>
            <wp:effectExtent l="0" t="0" r="0" b="3810"/>
            <wp:docPr id="18" name="Picture 18"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white text&#10;&#10;Description automatically generated"/>
                    <pic:cNvPicPr/>
                  </pic:nvPicPr>
                  <pic:blipFill>
                    <a:blip r:embed="rId13"/>
                    <a:stretch>
                      <a:fillRect/>
                    </a:stretch>
                  </pic:blipFill>
                  <pic:spPr>
                    <a:xfrm>
                      <a:off x="0" y="0"/>
                      <a:ext cx="2171888" cy="3711262"/>
                    </a:xfrm>
                    <a:prstGeom prst="rect">
                      <a:avLst/>
                    </a:prstGeom>
                  </pic:spPr>
                </pic:pic>
              </a:graphicData>
            </a:graphic>
          </wp:inline>
        </w:drawing>
      </w:r>
    </w:p>
    <w:p w14:paraId="3E853C62" w14:textId="2B30AE7E" w:rsidR="00D953A5" w:rsidRDefault="00000000" w:rsidP="00DA767F">
      <w:pPr>
        <w:spacing w:line="360" w:lineRule="auto"/>
        <w:jc w:val="both"/>
        <w:rPr>
          <w:rFonts w:ascii="Times New Roman" w:hAnsi="Times New Roman" w:cs="Times New Roman"/>
        </w:rPr>
      </w:pPr>
      <w:sdt>
        <w:sdtPr>
          <w:rPr>
            <w:rFonts w:ascii="Times New Roman" w:hAnsi="Times New Roman" w:cs="Times New Roman"/>
          </w:rPr>
          <w:id w:val="444660698"/>
          <w:citation/>
        </w:sdtPr>
        <w:sdtContent>
          <w:r w:rsidR="00771D0E">
            <w:rPr>
              <w:rFonts w:ascii="Times New Roman" w:hAnsi="Times New Roman" w:cs="Times New Roman"/>
            </w:rPr>
            <w:fldChar w:fldCharType="begin"/>
          </w:r>
          <w:r w:rsidR="00771D0E">
            <w:rPr>
              <w:rFonts w:ascii="Times New Roman" w:hAnsi="Times New Roman" w:cs="Times New Roman"/>
              <w:lang w:val="en-GB"/>
            </w:rPr>
            <w:instrText xml:space="preserve"> CITATION HSB22 \l 2057 </w:instrText>
          </w:r>
          <w:r w:rsidR="00771D0E">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771D0E">
            <w:rPr>
              <w:rFonts w:ascii="Times New Roman" w:hAnsi="Times New Roman" w:cs="Times New Roman"/>
            </w:rPr>
            <w:fldChar w:fldCharType="end"/>
          </w:r>
        </w:sdtContent>
      </w:sdt>
    </w:p>
    <w:p w14:paraId="186A445C" w14:textId="7C05AA62"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During the year</w:t>
      </w:r>
      <w:r w:rsidR="004B019A">
        <w:rPr>
          <w:rFonts w:ascii="Times New Roman" w:hAnsi="Times New Roman" w:cs="Times New Roman"/>
        </w:rPr>
        <w:t xml:space="preserve"> 2020</w:t>
      </w:r>
      <w:r w:rsidRPr="00D953A5">
        <w:rPr>
          <w:rFonts w:ascii="Times New Roman" w:hAnsi="Times New Roman" w:cs="Times New Roman"/>
        </w:rPr>
        <w:t xml:space="preserve">, almost half of HSBC Wealth and Personal Banking clients actively utilized mobile </w:t>
      </w:r>
      <w:r w:rsidR="009127FA" w:rsidRPr="00D953A5">
        <w:rPr>
          <w:rFonts w:ascii="Times New Roman" w:hAnsi="Times New Roman" w:cs="Times New Roman"/>
        </w:rPr>
        <w:t>applications,</w:t>
      </w:r>
      <w:r w:rsidRPr="00D953A5">
        <w:rPr>
          <w:rFonts w:ascii="Times New Roman" w:hAnsi="Times New Roman" w:cs="Times New Roman"/>
        </w:rPr>
        <w:t xml:space="preserve"> which were up from 42.7 percent. On the other hand, more than 75% of participants in HSBC Commercial Banking interacted with digital apps from the bank which increased compared to before at 70.2%</w:t>
      </w:r>
      <w:sdt>
        <w:sdtPr>
          <w:rPr>
            <w:rFonts w:ascii="Times New Roman" w:hAnsi="Times New Roman" w:cs="Times New Roman"/>
          </w:rPr>
          <w:id w:val="1186320449"/>
          <w:citation/>
        </w:sdtPr>
        <w:sdtContent>
          <w:r w:rsidR="00F15952">
            <w:rPr>
              <w:rFonts w:ascii="Times New Roman" w:hAnsi="Times New Roman" w:cs="Times New Roman"/>
            </w:rPr>
            <w:fldChar w:fldCharType="begin"/>
          </w:r>
          <w:r w:rsidR="00F15952">
            <w:rPr>
              <w:rFonts w:ascii="Times New Roman" w:hAnsi="Times New Roman" w:cs="Times New Roman"/>
              <w:lang w:val="en-GB"/>
            </w:rPr>
            <w:instrText xml:space="preserve">CITATION HSB00 \l 2057 </w:instrText>
          </w:r>
          <w:r w:rsidR="00F15952">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 PLC, 2020)</w:t>
          </w:r>
          <w:r w:rsidR="00F15952">
            <w:rPr>
              <w:rFonts w:ascii="Times New Roman" w:hAnsi="Times New Roman" w:cs="Times New Roman"/>
            </w:rPr>
            <w:fldChar w:fldCharType="end"/>
          </w:r>
        </w:sdtContent>
      </w:sdt>
      <w:r w:rsidRPr="00D953A5">
        <w:rPr>
          <w:rFonts w:ascii="Times New Roman" w:hAnsi="Times New Roman" w:cs="Times New Roman"/>
        </w:rPr>
        <w:t>. In Wealth and Personal Banking, nearly half of the sales were achieved digitally. HSBC has been streamlining customer journeys, with, for instance, customers of Wealth and Personal Bank in Singapore being able to open accounts via mobile phones while still outside their new country.</w:t>
      </w:r>
    </w:p>
    <w:p w14:paraId="3FCD3F36" w14:textId="717008F0"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 xml:space="preserve">HSBC implements, at scale within its organization, technologies that enhance operational efficiency to a considerable degree. The Cloud adoption rate – the proportion of HSBC’s technology services running on private or public in response to the financial issues facing its customers, HSBC announced a ‘Rising Cost of Living Hub’ on its public website that features helpful articles and tools for budgeting skills and managing money along with access to various support services. A recurring agenda item is HSBC’s long-term technology strategy, Vision 27, which intends to rework the bank as a digital frontline one in five years. Among these, one initiative toward Vision 27 is a project of digital applications and systems map – this specialized tool records all the Group’s apps as well as processes tracing their usage by businesses, regions, or entities providing useful details for further business development. The Board and the Technology Governance Working Group play an active role in aligning digital initiatives that promote resiliency, and efficiency for colleagues as well their customers </w:t>
      </w:r>
      <w:sdt>
        <w:sdtPr>
          <w:rPr>
            <w:rFonts w:ascii="Times New Roman" w:hAnsi="Times New Roman" w:cs="Times New Roman"/>
          </w:rPr>
          <w:id w:val="1187176480"/>
          <w:citation/>
        </w:sdtPr>
        <w:sdtContent>
          <w:r w:rsidR="000B4625">
            <w:rPr>
              <w:rFonts w:ascii="Times New Roman" w:hAnsi="Times New Roman" w:cs="Times New Roman"/>
            </w:rPr>
            <w:fldChar w:fldCharType="begin"/>
          </w:r>
          <w:r w:rsidR="000B4625">
            <w:rPr>
              <w:rFonts w:ascii="Times New Roman" w:hAnsi="Times New Roman" w:cs="Times New Roman"/>
              <w:lang w:val="en-GB"/>
            </w:rPr>
            <w:instrText xml:space="preserve"> CITATION HSB22 \l 2057 </w:instrText>
          </w:r>
          <w:r w:rsidR="000B4625">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0B4625">
            <w:rPr>
              <w:rFonts w:ascii="Times New Roman" w:hAnsi="Times New Roman" w:cs="Times New Roman"/>
            </w:rPr>
            <w:fldChar w:fldCharType="end"/>
          </w:r>
        </w:sdtContent>
      </w:sdt>
      <w:r w:rsidRPr="00D953A5">
        <w:rPr>
          <w:rFonts w:ascii="Times New Roman" w:hAnsi="Times New Roman" w:cs="Times New Roman"/>
        </w:rPr>
        <w:t>.</w:t>
      </w:r>
    </w:p>
    <w:p w14:paraId="3FFEC087"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lastRenderedPageBreak/>
        <w:drawing>
          <wp:inline distT="0" distB="0" distL="0" distR="0" wp14:anchorId="031A82A7" wp14:editId="2B130275">
            <wp:extent cx="2270957" cy="3063505"/>
            <wp:effectExtent l="0" t="0" r="0" b="3810"/>
            <wp:docPr id="19" name="Picture 19"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white text&#10;&#10;Description automatically generated"/>
                    <pic:cNvPicPr/>
                  </pic:nvPicPr>
                  <pic:blipFill>
                    <a:blip r:embed="rId14"/>
                    <a:stretch>
                      <a:fillRect/>
                    </a:stretch>
                  </pic:blipFill>
                  <pic:spPr>
                    <a:xfrm>
                      <a:off x="0" y="0"/>
                      <a:ext cx="2270957" cy="3063505"/>
                    </a:xfrm>
                    <a:prstGeom prst="rect">
                      <a:avLst/>
                    </a:prstGeom>
                  </pic:spPr>
                </pic:pic>
              </a:graphicData>
            </a:graphic>
          </wp:inline>
        </w:drawing>
      </w:r>
    </w:p>
    <w:p w14:paraId="2B2CC094" w14:textId="7C677082" w:rsidR="00D953A5" w:rsidRPr="00694D5D" w:rsidRDefault="00000000" w:rsidP="00DA767F">
      <w:pPr>
        <w:spacing w:line="360" w:lineRule="auto"/>
        <w:jc w:val="both"/>
        <w:rPr>
          <w:rFonts w:ascii="Times New Roman" w:hAnsi="Times New Roman" w:cs="Times New Roman"/>
        </w:rPr>
      </w:pPr>
      <w:sdt>
        <w:sdtPr>
          <w:rPr>
            <w:rFonts w:ascii="Times New Roman" w:hAnsi="Times New Roman" w:cs="Times New Roman"/>
          </w:rPr>
          <w:id w:val="219719445"/>
          <w:citation/>
        </w:sdtPr>
        <w:sdtContent>
          <w:r w:rsidR="00025BDE">
            <w:rPr>
              <w:rFonts w:ascii="Times New Roman" w:hAnsi="Times New Roman" w:cs="Times New Roman"/>
            </w:rPr>
            <w:fldChar w:fldCharType="begin"/>
          </w:r>
          <w:r w:rsidR="00025BDE">
            <w:rPr>
              <w:rFonts w:ascii="Times New Roman" w:hAnsi="Times New Roman" w:cs="Times New Roman"/>
              <w:lang w:val="en-GB"/>
            </w:rPr>
            <w:instrText xml:space="preserve"> CITATION HSB22 \l 2057 </w:instrText>
          </w:r>
          <w:r w:rsidR="00025BDE">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025BDE">
            <w:rPr>
              <w:rFonts w:ascii="Times New Roman" w:hAnsi="Times New Roman" w:cs="Times New Roman"/>
            </w:rPr>
            <w:fldChar w:fldCharType="end"/>
          </w:r>
        </w:sdtContent>
      </w:sdt>
    </w:p>
    <w:p w14:paraId="289EB8C2" w14:textId="77777777" w:rsidR="00D953A5" w:rsidRPr="00DA767F" w:rsidRDefault="00D953A5" w:rsidP="00DA767F">
      <w:pPr>
        <w:spacing w:line="360" w:lineRule="auto"/>
        <w:jc w:val="both"/>
        <w:rPr>
          <w:rFonts w:ascii="Times New Roman" w:hAnsi="Times New Roman" w:cs="Times New Roman"/>
        </w:rPr>
      </w:pPr>
    </w:p>
    <w:p w14:paraId="2BD87BFC"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42" w:name="_Toc158706293"/>
      <w:r w:rsidRPr="00694D5D">
        <w:rPr>
          <w:rFonts w:ascii="Times New Roman" w:hAnsi="Times New Roman" w:cs="Times New Roman"/>
        </w:rPr>
        <w:t>Lloyds Banking Group Plc</w:t>
      </w:r>
      <w:bookmarkEnd w:id="42"/>
    </w:p>
    <w:p w14:paraId="41A815D6" w14:textId="0DBD6F01"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t xml:space="preserve">Lloyds is the largest digital bank in the UK with an astounding count of approximately 18 million online customers after making investments amounting to more than £4 billion </w:t>
      </w:r>
      <w:r>
        <w:t>(Lloyds Banking Group 2022)</w:t>
      </w:r>
      <w:r w:rsidRPr="006108C3">
        <w:rPr>
          <w:rFonts w:ascii="Times New Roman" w:hAnsi="Times New Roman" w:cs="Times New Roman"/>
        </w:rPr>
        <w:t xml:space="preserve">. Lloyds continues to evolve digitally, offering talented </w:t>
      </w:r>
      <w:r w:rsidR="005D3019" w:rsidRPr="006108C3">
        <w:rPr>
          <w:rFonts w:ascii="Times New Roman" w:hAnsi="Times New Roman" w:cs="Times New Roman"/>
        </w:rPr>
        <w:t>individuals’</w:t>
      </w:r>
      <w:r w:rsidRPr="006108C3">
        <w:rPr>
          <w:rFonts w:ascii="Times New Roman" w:hAnsi="Times New Roman" w:cs="Times New Roman"/>
        </w:rPr>
        <w:t xml:space="preserve"> opportunities for projects that help shape a transformative future. Prominent is the extent of investment by Lloyds Bank into supporting digital trade as evidenced by its success in completing the UK’s first-ever Digital Trade Transaction under the Electronic Trade Documents Act (ETDA) </w:t>
      </w:r>
      <w:sdt>
        <w:sdtPr>
          <w:rPr>
            <w:rFonts w:ascii="Times New Roman" w:hAnsi="Times New Roman" w:cs="Times New Roman"/>
          </w:rPr>
          <w:id w:val="558986483"/>
          <w:citation/>
        </w:sdtPr>
        <w:sdtContent>
          <w:r w:rsidR="00C22969">
            <w:rPr>
              <w:rFonts w:ascii="Times New Roman" w:hAnsi="Times New Roman" w:cs="Times New Roman"/>
            </w:rPr>
            <w:fldChar w:fldCharType="begin"/>
          </w:r>
          <w:r w:rsidR="00C5369B">
            <w:rPr>
              <w:rFonts w:ascii="Times New Roman" w:hAnsi="Times New Roman" w:cs="Times New Roman"/>
              <w:lang w:val="en-GB"/>
            </w:rPr>
            <w:instrText xml:space="preserve">CITATION Llo23 \l 2057 </w:instrText>
          </w:r>
          <w:r w:rsidR="00C22969">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2023)</w:t>
          </w:r>
          <w:r w:rsidR="00C22969">
            <w:rPr>
              <w:rFonts w:ascii="Times New Roman" w:hAnsi="Times New Roman" w:cs="Times New Roman"/>
            </w:rPr>
            <w:fldChar w:fldCharType="end"/>
          </w:r>
        </w:sdtContent>
      </w:sdt>
      <w:r w:rsidRPr="006108C3">
        <w:rPr>
          <w:rFonts w:ascii="Times New Roman" w:hAnsi="Times New Roman" w:cs="Times New Roman"/>
        </w:rPr>
        <w:t xml:space="preserve">. In 2022, the bank also made history by being the first in the UK to perform a deal through digital promissory note purchases. In another way to promote digital documentation in trade, Lloyds has invested €3 million in a tech firm </w:t>
      </w:r>
      <w:sdt>
        <w:sdtPr>
          <w:rPr>
            <w:rFonts w:ascii="Times New Roman" w:hAnsi="Times New Roman" w:cs="Times New Roman"/>
          </w:rPr>
          <w:id w:val="-5825410"/>
          <w:citation/>
        </w:sdtPr>
        <w:sdtContent>
          <w:r w:rsidR="003228F3">
            <w:rPr>
              <w:rFonts w:ascii="Times New Roman" w:hAnsi="Times New Roman" w:cs="Times New Roman"/>
            </w:rPr>
            <w:fldChar w:fldCharType="begin"/>
          </w:r>
          <w:r w:rsidR="00C5369B">
            <w:rPr>
              <w:rFonts w:ascii="Times New Roman" w:hAnsi="Times New Roman" w:cs="Times New Roman"/>
              <w:lang w:val="en-GB"/>
            </w:rPr>
            <w:instrText xml:space="preserve">CITATION Llo231 \l 2057 </w:instrText>
          </w:r>
          <w:r w:rsidR="003228F3">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2023)</w:t>
          </w:r>
          <w:r w:rsidR="003228F3">
            <w:rPr>
              <w:rFonts w:ascii="Times New Roman" w:hAnsi="Times New Roman" w:cs="Times New Roman"/>
            </w:rPr>
            <w:fldChar w:fldCharType="end"/>
          </w:r>
        </w:sdtContent>
      </w:sdt>
      <w:r w:rsidRPr="006108C3">
        <w:rPr>
          <w:rFonts w:ascii="Times New Roman" w:hAnsi="Times New Roman" w:cs="Times New Roman"/>
        </w:rPr>
        <w:t>. Following its strategy to remain the UK’s biggest digital bank, Lloyds invested in personalization and digitization initiatives with good results</w:t>
      </w:r>
      <w:r w:rsidR="001F6875">
        <w:rPr>
          <w:rFonts w:ascii="Times New Roman" w:hAnsi="Times New Roman" w:cs="Times New Roman"/>
        </w:rPr>
        <w:t>.</w:t>
      </w:r>
      <w:r w:rsidRPr="006108C3">
        <w:rPr>
          <w:rFonts w:ascii="Times New Roman" w:hAnsi="Times New Roman" w:cs="Times New Roman"/>
        </w:rPr>
        <w:t xml:space="preserve"> It increased the number of daily logins by 15 percent as well and the growth rate of users who are actively using them grew from percent’s reaching now out to about DIGIT employees. </w:t>
      </w:r>
    </w:p>
    <w:p w14:paraId="051B73AD" w14:textId="77777777" w:rsidR="00D22A59" w:rsidRDefault="001452BD" w:rsidP="00D22A59">
      <w:pPr>
        <w:spacing w:line="360" w:lineRule="auto"/>
        <w:jc w:val="both"/>
      </w:pPr>
      <w:r w:rsidRPr="006673B9">
        <w:rPr>
          <w:noProof/>
        </w:rPr>
        <w:lastRenderedPageBreak/>
        <w:drawing>
          <wp:inline distT="0" distB="0" distL="0" distR="0" wp14:anchorId="11729AAD" wp14:editId="74A4A461">
            <wp:extent cx="2301439" cy="1341236"/>
            <wp:effectExtent l="0" t="0" r="3810"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5"/>
                    <a:stretch>
                      <a:fillRect/>
                    </a:stretch>
                  </pic:blipFill>
                  <pic:spPr>
                    <a:xfrm>
                      <a:off x="0" y="0"/>
                      <a:ext cx="2301439" cy="1341236"/>
                    </a:xfrm>
                    <a:prstGeom prst="rect">
                      <a:avLst/>
                    </a:prstGeom>
                  </pic:spPr>
                </pic:pic>
              </a:graphicData>
            </a:graphic>
          </wp:inline>
        </w:drawing>
      </w:r>
      <w:bookmarkStart w:id="43" w:name="_Toc155904523"/>
    </w:p>
    <w:p w14:paraId="7756C4B3" w14:textId="00F654AF" w:rsidR="001452BD" w:rsidRDefault="001452BD" w:rsidP="00D22A59">
      <w:pPr>
        <w:spacing w:line="360" w:lineRule="auto"/>
        <w:jc w:val="both"/>
        <w:rPr>
          <w:rFonts w:ascii="Times New Roman" w:hAnsi="Times New Roman" w:cs="Times New Roman"/>
        </w:rPr>
      </w:pPr>
      <w:r>
        <w:t xml:space="preserve"> </w:t>
      </w:r>
      <w:r w:rsidRPr="00EA426F">
        <w:t>(Lloyds Banking Group</w:t>
      </w:r>
      <w:r w:rsidR="00D22A59">
        <w:t>,</w:t>
      </w:r>
      <w:r w:rsidRPr="00EA426F">
        <w:t xml:space="preserve"> 2022)</w:t>
      </w:r>
      <w:bookmarkEnd w:id="43"/>
    </w:p>
    <w:p w14:paraId="56C50043" w14:textId="4553FAD9"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t>Lloyds has also strategically grown its footprint, especially in regions where the bank used to be less represented. For instance, Lloyds has broadened its protection market share by nearly 1 percentage point. Banking balances in the new mass affluent business segment increased by more than 5% at Lloyds</w:t>
      </w:r>
      <w:sdt>
        <w:sdtPr>
          <w:rPr>
            <w:rFonts w:ascii="Times New Roman" w:hAnsi="Times New Roman" w:cs="Times New Roman"/>
          </w:rPr>
          <w:id w:val="1424307429"/>
          <w:citation/>
        </w:sdtPr>
        <w:sdtContent>
          <w:r w:rsidR="00184582">
            <w:rPr>
              <w:rFonts w:ascii="Times New Roman" w:hAnsi="Times New Roman" w:cs="Times New Roman"/>
            </w:rPr>
            <w:fldChar w:fldCharType="begin"/>
          </w:r>
          <w:r w:rsidR="00184582">
            <w:rPr>
              <w:rFonts w:ascii="Times New Roman" w:hAnsi="Times New Roman" w:cs="Times New Roman"/>
              <w:lang w:val="en-GB"/>
            </w:rPr>
            <w:instrText xml:space="preserve"> CITATION Llo22 \l 2057 </w:instrText>
          </w:r>
          <w:r w:rsidR="00184582">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2022)</w:t>
          </w:r>
          <w:r w:rsidR="00184582">
            <w:rPr>
              <w:rFonts w:ascii="Times New Roman" w:hAnsi="Times New Roman" w:cs="Times New Roman"/>
            </w:rPr>
            <w:fldChar w:fldCharType="end"/>
          </w:r>
        </w:sdtContent>
      </w:sdt>
      <w:r>
        <w:t>.</w:t>
      </w:r>
      <w:r w:rsidRPr="006108C3">
        <w:rPr>
          <w:rFonts w:ascii="Times New Roman" w:hAnsi="Times New Roman" w:cs="Times New Roman"/>
        </w:rPr>
        <w:t xml:space="preserve"> The bank rolled out new tailored banking products such as packaged bank accounts and credit cards in line with its improved direct-to-consumer investments.</w:t>
      </w:r>
    </w:p>
    <w:p w14:paraId="2104E51A" w14:textId="77777777" w:rsidR="002A1FF9" w:rsidRDefault="001452BD" w:rsidP="002A1FF9">
      <w:pPr>
        <w:spacing w:line="360" w:lineRule="auto"/>
        <w:jc w:val="both"/>
      </w:pPr>
      <w:r w:rsidRPr="006673B9">
        <w:rPr>
          <w:noProof/>
        </w:rPr>
        <w:drawing>
          <wp:inline distT="0" distB="0" distL="0" distR="0" wp14:anchorId="6B430CA8" wp14:editId="064966C5">
            <wp:extent cx="3368332" cy="1463167"/>
            <wp:effectExtent l="0" t="0" r="3810" b="3810"/>
            <wp:docPr id="6" name="Picture 6" descr="A graph with a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with a green line&#10;&#10;Description automatically generated"/>
                    <pic:cNvPicPr/>
                  </pic:nvPicPr>
                  <pic:blipFill>
                    <a:blip r:embed="rId16"/>
                    <a:stretch>
                      <a:fillRect/>
                    </a:stretch>
                  </pic:blipFill>
                  <pic:spPr>
                    <a:xfrm>
                      <a:off x="0" y="0"/>
                      <a:ext cx="3368332" cy="1463167"/>
                    </a:xfrm>
                    <a:prstGeom prst="rect">
                      <a:avLst/>
                    </a:prstGeom>
                  </pic:spPr>
                </pic:pic>
              </a:graphicData>
            </a:graphic>
          </wp:inline>
        </w:drawing>
      </w:r>
      <w:bookmarkStart w:id="44" w:name="_Toc155904524"/>
    </w:p>
    <w:p w14:paraId="6954111B" w14:textId="7D6D2671" w:rsidR="001452BD" w:rsidRPr="00694D5D" w:rsidRDefault="00000000" w:rsidP="002A1FF9">
      <w:pPr>
        <w:spacing w:line="360" w:lineRule="auto"/>
        <w:jc w:val="both"/>
        <w:rPr>
          <w:rFonts w:ascii="Times New Roman" w:hAnsi="Times New Roman" w:cs="Times New Roman"/>
        </w:rPr>
      </w:pPr>
      <w:sdt>
        <w:sdtPr>
          <w:id w:val="-53001220"/>
          <w:citation/>
        </w:sdtPr>
        <w:sdtContent>
          <w:r w:rsidR="00FC5316">
            <w:fldChar w:fldCharType="begin"/>
          </w:r>
          <w:r w:rsidR="00FC5316">
            <w:rPr>
              <w:lang w:val="en-GB"/>
            </w:rPr>
            <w:instrText xml:space="preserve"> CITATION Llo22 \l 2057 </w:instrText>
          </w:r>
          <w:r w:rsidR="00FC5316">
            <w:fldChar w:fldCharType="separate"/>
          </w:r>
          <w:r w:rsidR="002C0313" w:rsidRPr="002C0313">
            <w:rPr>
              <w:noProof/>
              <w:lang w:val="en-GB"/>
            </w:rPr>
            <w:t>(Lloyds Banking Group, 2022)</w:t>
          </w:r>
          <w:r w:rsidR="00FC5316">
            <w:fldChar w:fldCharType="end"/>
          </w:r>
        </w:sdtContent>
      </w:sdt>
      <w:bookmarkEnd w:id="44"/>
    </w:p>
    <w:p w14:paraId="592128AD" w14:textId="10FEAC2C"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t xml:space="preserve">Lloyds is developing capacities to support the introduction of its differentiated, digital-only model later this year. </w:t>
      </w:r>
      <w:r w:rsidR="00EC4C28">
        <w:rPr>
          <w:rFonts w:ascii="Times New Roman" w:hAnsi="Times New Roman" w:cs="Times New Roman"/>
        </w:rPr>
        <w:t xml:space="preserve">In </w:t>
      </w:r>
      <w:r w:rsidRPr="006108C3">
        <w:rPr>
          <w:rFonts w:ascii="Times New Roman" w:hAnsi="Times New Roman" w:cs="Times New Roman"/>
        </w:rPr>
        <w:t>2023</w:t>
      </w:r>
      <w:r w:rsidR="0085742F">
        <w:rPr>
          <w:rFonts w:ascii="Times New Roman" w:hAnsi="Times New Roman" w:cs="Times New Roman"/>
        </w:rPr>
        <w:t>,</w:t>
      </w:r>
      <w:r w:rsidRPr="006108C3">
        <w:rPr>
          <w:rFonts w:ascii="Times New Roman" w:hAnsi="Times New Roman" w:cs="Times New Roman"/>
        </w:rPr>
        <w:t xml:space="preserve"> the Group t</w:t>
      </w:r>
      <w:r w:rsidR="0085742F">
        <w:rPr>
          <w:rFonts w:ascii="Times New Roman" w:hAnsi="Times New Roman" w:cs="Times New Roman"/>
        </w:rPr>
        <w:t>ook</w:t>
      </w:r>
      <w:r w:rsidRPr="006108C3">
        <w:rPr>
          <w:rFonts w:ascii="Times New Roman" w:hAnsi="Times New Roman" w:cs="Times New Roman"/>
        </w:rPr>
        <w:t xml:space="preserve"> a major leap with its acquisition of Tusker, an electric and low-emission vehicle management and leasing company. This strategic acquisition is in line with the overall vision and sustainability aspirations of Lloyds group, further strengthening its Motor business Lloyds is still a leader in the field of digital banking, ready to innovate and grow further from its current point in an ever-changing financial industry</w:t>
      </w:r>
      <w:sdt>
        <w:sdtPr>
          <w:rPr>
            <w:rFonts w:ascii="Times New Roman" w:hAnsi="Times New Roman" w:cs="Times New Roman"/>
          </w:rPr>
          <w:id w:val="1657798535"/>
          <w:citation/>
        </w:sdtPr>
        <w:sdtContent>
          <w:r w:rsidR="000705C6">
            <w:rPr>
              <w:rFonts w:ascii="Times New Roman" w:hAnsi="Times New Roman" w:cs="Times New Roman"/>
            </w:rPr>
            <w:fldChar w:fldCharType="begin"/>
          </w:r>
          <w:r w:rsidR="000705C6">
            <w:rPr>
              <w:rFonts w:ascii="Times New Roman" w:hAnsi="Times New Roman" w:cs="Times New Roman"/>
              <w:lang w:val="en-GB"/>
            </w:rPr>
            <w:instrText xml:space="preserve"> CITATION Llo221 \l 2057 </w:instrText>
          </w:r>
          <w:r w:rsidR="000705C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2022)</w:t>
          </w:r>
          <w:r w:rsidR="000705C6">
            <w:rPr>
              <w:rFonts w:ascii="Times New Roman" w:hAnsi="Times New Roman" w:cs="Times New Roman"/>
            </w:rPr>
            <w:fldChar w:fldCharType="end"/>
          </w:r>
        </w:sdtContent>
      </w:sdt>
      <w:r w:rsidRPr="006108C3">
        <w:rPr>
          <w:rFonts w:ascii="Times New Roman" w:hAnsi="Times New Roman" w:cs="Times New Roman"/>
        </w:rPr>
        <w:t>.</w:t>
      </w:r>
    </w:p>
    <w:p w14:paraId="05558EF5" w14:textId="77777777" w:rsidR="00BB4531" w:rsidRDefault="001452BD" w:rsidP="00BB4531">
      <w:pPr>
        <w:spacing w:line="360" w:lineRule="auto"/>
        <w:jc w:val="both"/>
      </w:pPr>
      <w:r w:rsidRPr="00A91ABD">
        <w:rPr>
          <w:noProof/>
        </w:rPr>
        <w:lastRenderedPageBreak/>
        <w:drawing>
          <wp:inline distT="0" distB="0" distL="0" distR="0" wp14:anchorId="48F85009" wp14:editId="79233325">
            <wp:extent cx="3330229" cy="1356478"/>
            <wp:effectExtent l="0" t="0" r="3810" b="0"/>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computer&#10;&#10;Description automatically generated"/>
                    <pic:cNvPicPr/>
                  </pic:nvPicPr>
                  <pic:blipFill>
                    <a:blip r:embed="rId17"/>
                    <a:stretch>
                      <a:fillRect/>
                    </a:stretch>
                  </pic:blipFill>
                  <pic:spPr>
                    <a:xfrm>
                      <a:off x="0" y="0"/>
                      <a:ext cx="3330229" cy="1356478"/>
                    </a:xfrm>
                    <a:prstGeom prst="rect">
                      <a:avLst/>
                    </a:prstGeom>
                  </pic:spPr>
                </pic:pic>
              </a:graphicData>
            </a:graphic>
          </wp:inline>
        </w:drawing>
      </w:r>
      <w:bookmarkStart w:id="45" w:name="_Toc155904525"/>
    </w:p>
    <w:p w14:paraId="08485B12" w14:textId="16C10124" w:rsidR="001452BD" w:rsidRPr="00694D5D" w:rsidRDefault="001452BD" w:rsidP="00BB4531">
      <w:pPr>
        <w:spacing w:line="360" w:lineRule="auto"/>
        <w:jc w:val="both"/>
        <w:rPr>
          <w:rFonts w:ascii="Times New Roman" w:hAnsi="Times New Roman" w:cs="Times New Roman"/>
        </w:rPr>
      </w:pPr>
      <w:r w:rsidRPr="001569D6">
        <w:t>(Lloyds Banking Group 2022)</w:t>
      </w:r>
      <w:bookmarkEnd w:id="45"/>
    </w:p>
    <w:p w14:paraId="5ADA6474" w14:textId="69B2475B" w:rsidR="001452BD" w:rsidRPr="00FA3D7E" w:rsidRDefault="001452BD" w:rsidP="006108C3">
      <w:pPr>
        <w:spacing w:line="360" w:lineRule="auto"/>
        <w:jc w:val="both"/>
        <w:rPr>
          <w:rFonts w:ascii="Times New Roman" w:hAnsi="Times New Roman" w:cs="Times New Roman"/>
        </w:rPr>
      </w:pPr>
      <w:r w:rsidRPr="00FA3D7E">
        <w:rPr>
          <w:rFonts w:ascii="Times New Roman" w:hAnsi="Times New Roman" w:cs="Times New Roman"/>
        </w:rPr>
        <w:t xml:space="preserve">Lloyds has played a critical role in helping over 18500 small businesses improve their digital capacities and technology adoption. With the conviction that its gender and ethnic diversity objectives will be realized by 2025, backed by a race education program delivered to employees of the bank. During supply chain disruptions and the impacts of global fiscal stimulus as well as inflationary pressure, Lloyds identifies a stabilization in digital acceleration observed over the previous two years since the COVID-19 pandemic began </w:t>
      </w:r>
      <w:sdt>
        <w:sdtPr>
          <w:rPr>
            <w:rFonts w:ascii="Times New Roman" w:hAnsi="Times New Roman" w:cs="Times New Roman"/>
          </w:rPr>
          <w:id w:val="2111706516"/>
          <w:citation/>
        </w:sdtPr>
        <w:sdtContent>
          <w:r w:rsidR="0043133E">
            <w:rPr>
              <w:rFonts w:ascii="Times New Roman" w:hAnsi="Times New Roman" w:cs="Times New Roman"/>
            </w:rPr>
            <w:fldChar w:fldCharType="begin"/>
          </w:r>
          <w:r w:rsidR="0043133E">
            <w:rPr>
              <w:rFonts w:ascii="Times New Roman" w:hAnsi="Times New Roman" w:cs="Times New Roman"/>
              <w:lang w:val="en-GB"/>
            </w:rPr>
            <w:instrText xml:space="preserve"> CITATION Llo222 \l 2057 </w:instrText>
          </w:r>
          <w:r w:rsidR="0043133E">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2022)</w:t>
          </w:r>
          <w:r w:rsidR="0043133E">
            <w:rPr>
              <w:rFonts w:ascii="Times New Roman" w:hAnsi="Times New Roman" w:cs="Times New Roman"/>
            </w:rPr>
            <w:fldChar w:fldCharType="end"/>
          </w:r>
        </w:sdtContent>
      </w:sdt>
      <w:r w:rsidRPr="00FA3D7E">
        <w:rPr>
          <w:rFonts w:ascii="Times New Roman" w:hAnsi="Times New Roman" w:cs="Times New Roman"/>
        </w:rPr>
        <w:t xml:space="preserve">. Even though digital channels are still more popular in terms of customer activity, demand for convenient and personalized experiences continues to prevail through these same channels. </w:t>
      </w:r>
    </w:p>
    <w:p w14:paraId="219F125A" w14:textId="04CF8EDB" w:rsidR="00896F92" w:rsidRDefault="001452BD" w:rsidP="00896F92">
      <w:pPr>
        <w:spacing w:line="360" w:lineRule="auto"/>
        <w:jc w:val="both"/>
      </w:pPr>
      <w:r w:rsidRPr="00A91ABD">
        <w:rPr>
          <w:noProof/>
        </w:rPr>
        <w:drawing>
          <wp:anchor distT="0" distB="0" distL="114300" distR="114300" simplePos="0" relativeHeight="251659264" behindDoc="0" locked="0" layoutInCell="1" allowOverlap="1" wp14:anchorId="566E1664" wp14:editId="1D9C0098">
            <wp:simplePos x="914400" y="914400"/>
            <wp:positionH relativeFrom="column">
              <wp:align>left</wp:align>
            </wp:positionH>
            <wp:positionV relativeFrom="paragraph">
              <wp:align>top</wp:align>
            </wp:positionV>
            <wp:extent cx="3391194" cy="3025402"/>
            <wp:effectExtent l="0" t="0" r="0" b="3810"/>
            <wp:wrapSquare wrapText="bothSides"/>
            <wp:docPr id="8" name="Picture 8" descr="A screen 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 shot of a cell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91194" cy="3025402"/>
                    </a:xfrm>
                    <a:prstGeom prst="rect">
                      <a:avLst/>
                    </a:prstGeom>
                  </pic:spPr>
                </pic:pic>
              </a:graphicData>
            </a:graphic>
          </wp:anchor>
        </w:drawing>
      </w:r>
      <w:bookmarkStart w:id="46" w:name="_Toc155904526"/>
      <w:r w:rsidR="00524FE3">
        <w:br w:type="textWrapping" w:clear="all"/>
      </w:r>
    </w:p>
    <w:p w14:paraId="22F0F72E" w14:textId="77C6D324" w:rsidR="001452BD" w:rsidRPr="00694D5D" w:rsidRDefault="001452BD" w:rsidP="00896F92">
      <w:pPr>
        <w:spacing w:line="360" w:lineRule="auto"/>
        <w:jc w:val="both"/>
        <w:rPr>
          <w:rFonts w:ascii="Times New Roman" w:hAnsi="Times New Roman" w:cs="Times New Roman"/>
        </w:rPr>
      </w:pPr>
      <w:r w:rsidRPr="00DA71B0">
        <w:t xml:space="preserve"> (Lloyds Banking Group 2022)</w:t>
      </w:r>
      <w:bookmarkEnd w:id="46"/>
    </w:p>
    <w:p w14:paraId="114767DF" w14:textId="63865D7C" w:rsidR="001452BD" w:rsidRPr="00FA3D7E" w:rsidRDefault="001452BD" w:rsidP="00FA3D7E">
      <w:pPr>
        <w:spacing w:line="360" w:lineRule="auto"/>
        <w:jc w:val="both"/>
        <w:rPr>
          <w:rFonts w:ascii="Times New Roman" w:hAnsi="Times New Roman" w:cs="Times New Roman"/>
        </w:rPr>
      </w:pPr>
      <w:r w:rsidRPr="00FA3D7E">
        <w:rPr>
          <w:rFonts w:ascii="Times New Roman" w:hAnsi="Times New Roman" w:cs="Times New Roman"/>
        </w:rPr>
        <w:lastRenderedPageBreak/>
        <w:t xml:space="preserve">Lloyds has managed to successfully increase its protection market share by about 1 percentage point, with growth in the relationship and intermediary channels. Lloyds could fully satisfy the need for the protection of a wider variety of clients with its new digital direct-to-customer proposition strengthened by the Cavendish Online acquisition. Going into the future, Lloyds marked 2023 as a year for adding further investments in technology and data capabilities </w:t>
      </w:r>
      <w:r>
        <w:t>(Lloyds Bank 2023)</w:t>
      </w:r>
      <w:r w:rsidRPr="00FA3D7E">
        <w:rPr>
          <w:rFonts w:ascii="Times New Roman" w:hAnsi="Times New Roman" w:cs="Times New Roman"/>
        </w:rPr>
        <w:t xml:space="preserve">. </w:t>
      </w:r>
    </w:p>
    <w:p w14:paraId="41DB8305" w14:textId="77777777" w:rsidR="000476DC" w:rsidRDefault="001452BD" w:rsidP="000476DC">
      <w:r w:rsidRPr="00A5618F">
        <w:rPr>
          <w:noProof/>
        </w:rPr>
        <w:drawing>
          <wp:inline distT="0" distB="0" distL="0" distR="0" wp14:anchorId="21E38FD5" wp14:editId="321194DA">
            <wp:extent cx="3254022" cy="2065199"/>
            <wp:effectExtent l="0" t="0" r="3810" b="0"/>
            <wp:docPr id="9" name="Picture 9" descr="A graph of a custom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customer&#10;&#10;Description automatically generated with medium confidence"/>
                    <pic:cNvPicPr/>
                  </pic:nvPicPr>
                  <pic:blipFill>
                    <a:blip r:embed="rId19"/>
                    <a:stretch>
                      <a:fillRect/>
                    </a:stretch>
                  </pic:blipFill>
                  <pic:spPr>
                    <a:xfrm>
                      <a:off x="0" y="0"/>
                      <a:ext cx="3254022" cy="2065199"/>
                    </a:xfrm>
                    <a:prstGeom prst="rect">
                      <a:avLst/>
                    </a:prstGeom>
                  </pic:spPr>
                </pic:pic>
              </a:graphicData>
            </a:graphic>
          </wp:inline>
        </w:drawing>
      </w:r>
      <w:bookmarkStart w:id="47" w:name="_Toc155904527"/>
    </w:p>
    <w:p w14:paraId="73F97762" w14:textId="253984E3" w:rsidR="001452BD" w:rsidRDefault="00000000" w:rsidP="000476DC">
      <w:pPr>
        <w:rPr>
          <w:rFonts w:ascii="Times New Roman" w:hAnsi="Times New Roman" w:cs="Times New Roman"/>
        </w:rPr>
      </w:pPr>
      <w:sdt>
        <w:sdtPr>
          <w:id w:val="210691231"/>
          <w:citation/>
        </w:sdtPr>
        <w:sdtContent>
          <w:r w:rsidR="00211E5D">
            <w:fldChar w:fldCharType="begin"/>
          </w:r>
          <w:r w:rsidR="00211E5D">
            <w:rPr>
              <w:lang w:val="en-GB"/>
            </w:rPr>
            <w:instrText xml:space="preserve"> CITATION Llo22 \l 2057 </w:instrText>
          </w:r>
          <w:r w:rsidR="00211E5D">
            <w:fldChar w:fldCharType="separate"/>
          </w:r>
          <w:r w:rsidR="002C0313" w:rsidRPr="002C0313">
            <w:rPr>
              <w:noProof/>
              <w:lang w:val="en-GB"/>
            </w:rPr>
            <w:t>(Lloyds Banking Group, 2022)</w:t>
          </w:r>
          <w:r w:rsidR="00211E5D">
            <w:fldChar w:fldCharType="end"/>
          </w:r>
        </w:sdtContent>
      </w:sdt>
      <w:bookmarkEnd w:id="47"/>
    </w:p>
    <w:p w14:paraId="4465D393" w14:textId="77777777" w:rsidR="001452BD" w:rsidRPr="00E26464" w:rsidRDefault="001452BD" w:rsidP="00E26464">
      <w:pPr>
        <w:spacing w:line="360" w:lineRule="auto"/>
        <w:jc w:val="both"/>
        <w:rPr>
          <w:rFonts w:ascii="Times New Roman" w:hAnsi="Times New Roman" w:cs="Times New Roman"/>
        </w:rPr>
      </w:pPr>
      <w:r w:rsidRPr="00E26464">
        <w:rPr>
          <w:rFonts w:ascii="Times New Roman" w:hAnsi="Times New Roman" w:cs="Times New Roman"/>
        </w:rPr>
        <w:t>The objective of this investment is to set up a digitally guided SME bank, promoting various sources of income and building more comprehensive customer relations gradually. Lloyds intends to launch a mobile-first onboarding proposition for clients and implement an end-to-end digital origination process of asset financing. This strategic approach is consistent with Lloyds’ objective of addressing all client needs while considering areas such as cash flow management and an emphasis on provision for future data advancements.</w:t>
      </w:r>
    </w:p>
    <w:p w14:paraId="71A8B4E2" w14:textId="47989A81" w:rsidR="00E670E0" w:rsidRDefault="009C30AF" w:rsidP="00E670E0">
      <w:r>
        <w:rPr>
          <w:noProof/>
        </w:rPr>
        <w:lastRenderedPageBreak/>
        <w:drawing>
          <wp:inline distT="0" distB="0" distL="0" distR="0" wp14:anchorId="3D664880" wp14:editId="38F09208">
            <wp:extent cx="5486400" cy="3200400"/>
            <wp:effectExtent l="0" t="0" r="0" b="0"/>
            <wp:docPr id="2363349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4B93959" w14:textId="502A31F5" w:rsidR="00E670E0" w:rsidRPr="00003842" w:rsidRDefault="00523A4D" w:rsidP="0071521C">
      <w:pPr>
        <w:spacing w:line="360" w:lineRule="auto"/>
        <w:jc w:val="both"/>
        <w:rPr>
          <w:rFonts w:ascii="Times New Roman" w:hAnsi="Times New Roman" w:cs="Times New Roman"/>
        </w:rPr>
      </w:pPr>
      <w:r w:rsidRPr="00003842">
        <w:rPr>
          <w:rFonts w:ascii="Times New Roman" w:hAnsi="Times New Roman" w:cs="Times New Roman"/>
        </w:rPr>
        <w:t xml:space="preserve">In the depicted graph, the author analyzes Lloyds Bank customer trends across three distinct years </w:t>
      </w:r>
      <w:r w:rsidR="00F26BD0" w:rsidRPr="00003842">
        <w:rPr>
          <w:rFonts w:ascii="Times New Roman" w:hAnsi="Times New Roman" w:cs="Times New Roman"/>
        </w:rPr>
        <w:t xml:space="preserve">within the sampled period. In 2013, Lloyds Bank had a customer base of 30 million, with 10.5 million </w:t>
      </w:r>
      <w:r w:rsidR="00D50919" w:rsidRPr="00003842">
        <w:rPr>
          <w:rFonts w:ascii="Times New Roman" w:hAnsi="Times New Roman" w:cs="Times New Roman"/>
        </w:rPr>
        <w:t xml:space="preserve">active online users and 4 million mobile banking users. By 2018, the total </w:t>
      </w:r>
      <w:r w:rsidR="00931251" w:rsidRPr="00003842">
        <w:rPr>
          <w:rFonts w:ascii="Times New Roman" w:hAnsi="Times New Roman" w:cs="Times New Roman"/>
        </w:rPr>
        <w:t>customer count decreased to 26 million, yet active online users and mobile banking users rose to 15.7 million</w:t>
      </w:r>
      <w:r w:rsidR="00EC343D" w:rsidRPr="00003842">
        <w:rPr>
          <w:rFonts w:ascii="Times New Roman" w:hAnsi="Times New Roman" w:cs="Times New Roman"/>
        </w:rPr>
        <w:t xml:space="preserve"> and 9.3 million, respectively. In 2022, despite maintaining a steady customer base, active </w:t>
      </w:r>
      <w:r w:rsidR="00ED4524" w:rsidRPr="00003842">
        <w:rPr>
          <w:rFonts w:ascii="Times New Roman" w:hAnsi="Times New Roman" w:cs="Times New Roman"/>
        </w:rPr>
        <w:t xml:space="preserve">online users and mobile banking users increased to 19.8 million and 17 million, signifying </w:t>
      </w:r>
      <w:r w:rsidR="00B46D69" w:rsidRPr="00003842">
        <w:rPr>
          <w:rFonts w:ascii="Times New Roman" w:hAnsi="Times New Roman" w:cs="Times New Roman"/>
        </w:rPr>
        <w:t xml:space="preserve">a notable shift towards digital platforms utilization among Lloyds Bank </w:t>
      </w:r>
      <w:r w:rsidR="00EB41D8" w:rsidRPr="00003842">
        <w:rPr>
          <w:rFonts w:ascii="Times New Roman" w:hAnsi="Times New Roman" w:cs="Times New Roman"/>
        </w:rPr>
        <w:t xml:space="preserve">customers. </w:t>
      </w:r>
      <w:r w:rsidR="009B25B1">
        <w:rPr>
          <w:rFonts w:ascii="Times New Roman" w:hAnsi="Times New Roman" w:cs="Times New Roman"/>
        </w:rPr>
        <w:t xml:space="preserve">The </w:t>
      </w:r>
      <w:r w:rsidR="00562A43">
        <w:rPr>
          <w:rFonts w:ascii="Times New Roman" w:hAnsi="Times New Roman" w:cs="Times New Roman"/>
        </w:rPr>
        <w:t>observed pattern underscores the bank’s successful adaptation to the digital era</w:t>
      </w:r>
      <w:r w:rsidR="009162C9">
        <w:rPr>
          <w:rFonts w:ascii="Times New Roman" w:hAnsi="Times New Roman" w:cs="Times New Roman"/>
        </w:rPr>
        <w:t xml:space="preserve">, demonstrating that the wave of digital transformation is rapidly gaining momentum among Lloyds Bank customers. </w:t>
      </w:r>
    </w:p>
    <w:p w14:paraId="177E2F5A" w14:textId="6E0C871F" w:rsidR="00ED28DB" w:rsidRDefault="00ED28DB" w:rsidP="002F4ADE">
      <w:pPr>
        <w:pStyle w:val="Heading1"/>
        <w:numPr>
          <w:ilvl w:val="1"/>
          <w:numId w:val="8"/>
        </w:numPr>
        <w:spacing w:line="360" w:lineRule="auto"/>
        <w:jc w:val="both"/>
        <w:rPr>
          <w:rFonts w:ascii="Times New Roman" w:hAnsi="Times New Roman" w:cs="Times New Roman"/>
        </w:rPr>
      </w:pPr>
      <w:bookmarkStart w:id="48" w:name="_Toc158706294"/>
      <w:r w:rsidRPr="00694D5D">
        <w:rPr>
          <w:rFonts w:ascii="Times New Roman" w:hAnsi="Times New Roman" w:cs="Times New Roman"/>
        </w:rPr>
        <w:t>Barclays Plc</w:t>
      </w:r>
      <w:bookmarkEnd w:id="48"/>
    </w:p>
    <w:p w14:paraId="0761F45A" w14:textId="41048B30" w:rsidR="00C1163B" w:rsidRDefault="00243934" w:rsidP="00EC349E">
      <w:pPr>
        <w:spacing w:line="360" w:lineRule="auto"/>
        <w:jc w:val="both"/>
        <w:rPr>
          <w:rFonts w:ascii="Times New Roman" w:hAnsi="Times New Roman" w:cs="Times New Roman"/>
        </w:rPr>
      </w:pPr>
      <w:r w:rsidRPr="00A07AF1">
        <w:rPr>
          <w:rFonts w:ascii="Times New Roman" w:hAnsi="Times New Roman" w:cs="Times New Roman"/>
        </w:rPr>
        <w:t>Barclays</w:t>
      </w:r>
      <w:r w:rsidR="008F310F">
        <w:rPr>
          <w:rFonts w:ascii="Times New Roman" w:hAnsi="Times New Roman" w:cs="Times New Roman"/>
        </w:rPr>
        <w:t xml:space="preserve"> has</w:t>
      </w:r>
      <w:r w:rsidR="00805085">
        <w:rPr>
          <w:rFonts w:ascii="Times New Roman" w:hAnsi="Times New Roman" w:cs="Times New Roman"/>
        </w:rPr>
        <w:t xml:space="preserve"> </w:t>
      </w:r>
      <w:r w:rsidRPr="00A07AF1">
        <w:rPr>
          <w:rFonts w:ascii="Times New Roman" w:hAnsi="Times New Roman" w:cs="Times New Roman"/>
        </w:rPr>
        <w:t>evolved through</w:t>
      </w:r>
      <w:r w:rsidR="00805085">
        <w:rPr>
          <w:rFonts w:ascii="Times New Roman" w:hAnsi="Times New Roman" w:cs="Times New Roman"/>
        </w:rPr>
        <w:t>out its history</w:t>
      </w:r>
      <w:r w:rsidRPr="00A07AF1">
        <w:rPr>
          <w:rFonts w:ascii="Times New Roman" w:hAnsi="Times New Roman" w:cs="Times New Roman"/>
        </w:rPr>
        <w:t>. Chinese Barclays is one of the leaders in digital transformation across its retail banking industry with over and above million customers worldwide. The bank’s strategy hinges on matching customer needs to the fact that we live in an increasingly digital societ</w:t>
      </w:r>
      <w:r w:rsidR="00D631FD">
        <w:rPr>
          <w:rFonts w:ascii="Times New Roman" w:hAnsi="Times New Roman" w:cs="Times New Roman"/>
        </w:rPr>
        <w:t>y</w:t>
      </w:r>
      <w:r w:rsidRPr="00A07AF1">
        <w:rPr>
          <w:rFonts w:ascii="Times New Roman" w:hAnsi="Times New Roman" w:cs="Times New Roman"/>
        </w:rPr>
        <w:t xml:space="preserve">. In the UK where smartphone penetration is predicted to touch 95% in by following the year, the Barclays Mobile app emerges as one of the most favored banking apps with figures more than reaching for quite some distance when it comes to customer interactions from over users. </w:t>
      </w:r>
      <w:r w:rsidR="00FE7F6C">
        <w:rPr>
          <w:rFonts w:ascii="Times New Roman" w:hAnsi="Times New Roman" w:cs="Times New Roman"/>
        </w:rPr>
        <w:t>Barclays</w:t>
      </w:r>
      <w:r w:rsidR="002566E9">
        <w:rPr>
          <w:rFonts w:ascii="Times New Roman" w:hAnsi="Times New Roman" w:cs="Times New Roman"/>
        </w:rPr>
        <w:t xml:space="preserve"> is the first UK high street bank</w:t>
      </w:r>
      <w:r w:rsidR="0006792B">
        <w:rPr>
          <w:rFonts w:ascii="Times New Roman" w:hAnsi="Times New Roman" w:cs="Times New Roman"/>
        </w:rPr>
        <w:t xml:space="preserve"> </w:t>
      </w:r>
      <w:r w:rsidR="00A02DEE">
        <w:rPr>
          <w:rFonts w:ascii="Times New Roman" w:hAnsi="Times New Roman" w:cs="Times New Roman"/>
        </w:rPr>
        <w:t xml:space="preserve">to enable customers to view their current accounts </w:t>
      </w:r>
      <w:r w:rsidR="00A02DEE">
        <w:rPr>
          <w:rFonts w:ascii="Times New Roman" w:hAnsi="Times New Roman" w:cs="Times New Roman"/>
        </w:rPr>
        <w:lastRenderedPageBreak/>
        <w:t xml:space="preserve">from several other UK banks safely and securely within its </w:t>
      </w:r>
      <w:r w:rsidR="00C42337">
        <w:rPr>
          <w:rFonts w:ascii="Times New Roman" w:hAnsi="Times New Roman" w:cs="Times New Roman"/>
        </w:rPr>
        <w:t>award-winning</w:t>
      </w:r>
      <w:r w:rsidR="00A02DEE">
        <w:rPr>
          <w:rFonts w:ascii="Times New Roman" w:hAnsi="Times New Roman" w:cs="Times New Roman"/>
        </w:rPr>
        <w:t xml:space="preserve"> </w:t>
      </w:r>
      <w:r w:rsidR="003A3408">
        <w:rPr>
          <w:rFonts w:ascii="Times New Roman" w:hAnsi="Times New Roman" w:cs="Times New Roman"/>
        </w:rPr>
        <w:t>mobile banking app</w:t>
      </w:r>
      <w:sdt>
        <w:sdtPr>
          <w:rPr>
            <w:rFonts w:ascii="Times New Roman" w:hAnsi="Times New Roman" w:cs="Times New Roman"/>
          </w:rPr>
          <w:id w:val="787397806"/>
          <w:citation/>
        </w:sdtPr>
        <w:sdtContent>
          <w:r w:rsidR="003A3408">
            <w:rPr>
              <w:rFonts w:ascii="Times New Roman" w:hAnsi="Times New Roman" w:cs="Times New Roman"/>
            </w:rPr>
            <w:fldChar w:fldCharType="begin"/>
          </w:r>
          <w:r w:rsidR="00DB4796">
            <w:rPr>
              <w:rFonts w:ascii="Times New Roman" w:hAnsi="Times New Roman" w:cs="Times New Roman"/>
              <w:lang w:val="en-GB"/>
            </w:rPr>
            <w:instrText xml:space="preserve">CITATION Bar18 \l 2057 </w:instrText>
          </w:r>
          <w:r w:rsidR="003A3408">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(Barclays PLC, 2018)</w:t>
          </w:r>
          <w:r w:rsidR="003A3408">
            <w:rPr>
              <w:rFonts w:ascii="Times New Roman" w:hAnsi="Times New Roman" w:cs="Times New Roman"/>
            </w:rPr>
            <w:fldChar w:fldCharType="end"/>
          </w:r>
        </w:sdtContent>
      </w:sdt>
      <w:r w:rsidR="003A3408">
        <w:rPr>
          <w:rFonts w:ascii="Times New Roman" w:hAnsi="Times New Roman" w:cs="Times New Roman"/>
        </w:rPr>
        <w:t xml:space="preserve">. </w:t>
      </w:r>
      <w:r w:rsidRPr="00A07AF1">
        <w:rPr>
          <w:rFonts w:ascii="Times New Roman" w:hAnsi="Times New Roman" w:cs="Times New Roman"/>
        </w:rPr>
        <w:t xml:space="preserve">Most notably, more than 90% of all Barclays transactions take place through mobile devices </w:t>
      </w:r>
      <w:r>
        <w:t>(Barclay</w:t>
      </w:r>
      <w:r w:rsidR="00F20849">
        <w:t>s</w:t>
      </w:r>
      <w:r>
        <w:t xml:space="preserve"> </w:t>
      </w:r>
      <w:r w:rsidR="005451F9">
        <w:t>p</w:t>
      </w:r>
      <w:r>
        <w:t>lc 2024)</w:t>
      </w:r>
      <w:r w:rsidRPr="00A07AF1">
        <w:rPr>
          <w:rFonts w:ascii="Times New Roman" w:hAnsi="Times New Roman" w:cs="Times New Roman"/>
        </w:rPr>
        <w:t xml:space="preserve">. The application provides common features like real-time transactions and movement of </w:t>
      </w:r>
      <w:r w:rsidR="00C42337" w:rsidRPr="00A07AF1">
        <w:rPr>
          <w:rFonts w:ascii="Times New Roman" w:hAnsi="Times New Roman" w:cs="Times New Roman"/>
        </w:rPr>
        <w:t>funds</w:t>
      </w:r>
      <w:r w:rsidR="00C42337">
        <w:rPr>
          <w:rFonts w:ascii="Times New Roman" w:hAnsi="Times New Roman" w:cs="Times New Roman"/>
        </w:rPr>
        <w:t>;</w:t>
      </w:r>
      <w:r w:rsidRPr="00A07AF1">
        <w:rPr>
          <w:rFonts w:ascii="Times New Roman" w:hAnsi="Times New Roman" w:cs="Times New Roman"/>
        </w:rPr>
        <w:t xml:space="preserve"> </w:t>
      </w:r>
      <w:r w:rsidR="00B82A85">
        <w:rPr>
          <w:rFonts w:ascii="Times New Roman" w:hAnsi="Times New Roman" w:cs="Times New Roman"/>
        </w:rPr>
        <w:t>b</w:t>
      </w:r>
      <w:r w:rsidRPr="00A07AF1">
        <w:rPr>
          <w:rFonts w:ascii="Times New Roman" w:hAnsi="Times New Roman" w:cs="Times New Roman"/>
        </w:rPr>
        <w:t>esides this it add</w:t>
      </w:r>
      <w:r w:rsidR="00B82A85">
        <w:rPr>
          <w:rFonts w:ascii="Times New Roman" w:hAnsi="Times New Roman" w:cs="Times New Roman"/>
        </w:rPr>
        <w:t>ed</w:t>
      </w:r>
      <w:r w:rsidRPr="00A07AF1">
        <w:rPr>
          <w:rFonts w:ascii="Times New Roman" w:hAnsi="Times New Roman" w:cs="Times New Roman"/>
        </w:rPr>
        <w:t xml:space="preserve"> new functionalities such as the capacity to freeze a debit card when lost or sto</w:t>
      </w:r>
      <w:r w:rsidR="00A84D15">
        <w:rPr>
          <w:rFonts w:ascii="Times New Roman" w:hAnsi="Times New Roman" w:cs="Times New Roman"/>
        </w:rPr>
        <w:t xml:space="preserve">len. </w:t>
      </w:r>
    </w:p>
    <w:p w14:paraId="365B13A8" w14:textId="77777777" w:rsidR="00404B6E" w:rsidRDefault="00243934" w:rsidP="00404B6E">
      <w:pPr>
        <w:spacing w:line="360" w:lineRule="auto"/>
        <w:jc w:val="both"/>
      </w:pPr>
      <w:r w:rsidRPr="001021E2">
        <w:rPr>
          <w:noProof/>
        </w:rPr>
        <w:drawing>
          <wp:inline distT="0" distB="0" distL="0" distR="0" wp14:anchorId="70385500" wp14:editId="3C21D224">
            <wp:extent cx="3360711" cy="1348857"/>
            <wp:effectExtent l="0" t="0" r="0" b="3810"/>
            <wp:docPr id="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Description automatically generated"/>
                    <pic:cNvPicPr/>
                  </pic:nvPicPr>
                  <pic:blipFill>
                    <a:blip r:embed="rId21"/>
                    <a:stretch>
                      <a:fillRect/>
                    </a:stretch>
                  </pic:blipFill>
                  <pic:spPr>
                    <a:xfrm>
                      <a:off x="0" y="0"/>
                      <a:ext cx="3360711" cy="1348857"/>
                    </a:xfrm>
                    <a:prstGeom prst="rect">
                      <a:avLst/>
                    </a:prstGeom>
                  </pic:spPr>
                </pic:pic>
              </a:graphicData>
            </a:graphic>
          </wp:inline>
        </w:drawing>
      </w:r>
      <w:bookmarkStart w:id="49" w:name="_Toc155904528"/>
    </w:p>
    <w:p w14:paraId="3C22B6B9" w14:textId="3AD91DDA" w:rsidR="00243934" w:rsidRPr="00694D5D" w:rsidRDefault="00243934" w:rsidP="00404B6E">
      <w:pPr>
        <w:spacing w:line="360" w:lineRule="auto"/>
        <w:jc w:val="both"/>
        <w:rPr>
          <w:rFonts w:ascii="Times New Roman" w:hAnsi="Times New Roman" w:cs="Times New Roman"/>
        </w:rPr>
      </w:pPr>
      <w:r w:rsidRPr="00E92163">
        <w:t>(Barclay P</w:t>
      </w:r>
      <w:r w:rsidR="00DB4796">
        <w:t>LC</w:t>
      </w:r>
      <w:r w:rsidRPr="00E92163">
        <w:t xml:space="preserve"> 202</w:t>
      </w:r>
      <w:r w:rsidR="00496423">
        <w:t>2</w:t>
      </w:r>
      <w:r w:rsidRPr="00E92163">
        <w:t>)</w:t>
      </w:r>
      <w:bookmarkEnd w:id="49"/>
    </w:p>
    <w:p w14:paraId="4642743A" w14:textId="043D997B" w:rsidR="00BA4CBF" w:rsidRDefault="00243934" w:rsidP="00492849">
      <w:pPr>
        <w:spacing w:line="360" w:lineRule="auto"/>
        <w:jc w:val="both"/>
        <w:rPr>
          <w:rFonts w:ascii="Times New Roman" w:hAnsi="Times New Roman" w:cs="Times New Roman"/>
        </w:rPr>
      </w:pPr>
      <w:r w:rsidRPr="00A07AF1">
        <w:rPr>
          <w:rFonts w:ascii="Times New Roman" w:hAnsi="Times New Roman" w:cs="Times New Roman"/>
        </w:rPr>
        <w:t xml:space="preserve">Barclays has been a pioneer in enabling use to guide their spending. In December 2018, it was the first big bank that allowed people to switch off payments on </w:t>
      </w:r>
      <w:proofErr w:type="gramStart"/>
      <w:r w:rsidRPr="00A07AF1">
        <w:rPr>
          <w:rFonts w:ascii="Times New Roman" w:hAnsi="Times New Roman" w:cs="Times New Roman"/>
        </w:rPr>
        <w:t>particular retailer</w:t>
      </w:r>
      <w:proofErr w:type="gramEnd"/>
      <w:r w:rsidRPr="00A07AF1">
        <w:rPr>
          <w:rFonts w:ascii="Times New Roman" w:hAnsi="Times New Roman" w:cs="Times New Roman"/>
        </w:rPr>
        <w:t xml:space="preserve"> types, which helps vulnerable customers especially those struggling with severe debt or gambling addiction. Also, Barclays’ bank app pioneered the use of the UK Open Banking platform allowing users a one-of-a-kind feature to see their accounts in 11 other banks including NatWest, Halifax, and HSBC </w:t>
      </w:r>
      <w:r>
        <w:t>(Barclay P</w:t>
      </w:r>
      <w:r w:rsidR="00C80249">
        <w:t>LC,</w:t>
      </w:r>
      <w:r>
        <w:t xml:space="preserve"> 2024)</w:t>
      </w:r>
      <w:r w:rsidRPr="00A07AF1">
        <w:rPr>
          <w:rFonts w:ascii="Times New Roman" w:hAnsi="Times New Roman" w:cs="Times New Roman"/>
        </w:rPr>
        <w:t xml:space="preserve">. This commitment to innovation makes Barclays a forerunner in adopting digital innovations towards improving customer experience and providing superior financial control. Barclays is a leader in digital innovation; it launches new features on its app that not only offer better products to customers but also improve the overall banking experience, helping people manage their finances more effectively </w:t>
      </w:r>
      <w:sdt>
        <w:sdtPr>
          <w:rPr>
            <w:rFonts w:ascii="Times New Roman" w:hAnsi="Times New Roman" w:cs="Times New Roman"/>
          </w:rPr>
          <w:id w:val="-587462954"/>
          <w:citation/>
        </w:sdtPr>
        <w:sdtContent>
          <w:r w:rsidR="005812DE">
            <w:rPr>
              <w:rFonts w:ascii="Times New Roman" w:hAnsi="Times New Roman" w:cs="Times New Roman"/>
            </w:rPr>
            <w:fldChar w:fldCharType="begin"/>
          </w:r>
          <w:r w:rsidR="00C5369B">
            <w:rPr>
              <w:rFonts w:ascii="Times New Roman" w:hAnsi="Times New Roman" w:cs="Times New Roman"/>
              <w:lang w:val="en-GB"/>
            </w:rPr>
            <w:instrText xml:space="preserve">CITATION Bar24 \l 2057 </w:instrText>
          </w:r>
          <w:r w:rsidR="005812DE">
            <w:rPr>
              <w:rFonts w:ascii="Times New Roman" w:hAnsi="Times New Roman" w:cs="Times New Roman"/>
            </w:rPr>
            <w:fldChar w:fldCharType="separate"/>
          </w:r>
          <w:r w:rsidR="002C0313" w:rsidRPr="002C0313">
            <w:rPr>
              <w:rFonts w:ascii="Times New Roman" w:hAnsi="Times New Roman" w:cs="Times New Roman"/>
              <w:noProof/>
              <w:lang w:val="en-GB"/>
            </w:rPr>
            <w:t>(Barclays PLC, 2024)</w:t>
          </w:r>
          <w:r w:rsidR="005812DE">
            <w:rPr>
              <w:rFonts w:ascii="Times New Roman" w:hAnsi="Times New Roman" w:cs="Times New Roman"/>
            </w:rPr>
            <w:fldChar w:fldCharType="end"/>
          </w:r>
        </w:sdtContent>
      </w:sdt>
      <w:r w:rsidRPr="00A07AF1">
        <w:rPr>
          <w:rFonts w:ascii="Times New Roman" w:hAnsi="Times New Roman" w:cs="Times New Roman"/>
        </w:rPr>
        <w:t xml:space="preserve">. For instance, mortgage customers can easily process their mortgages using the app, this includes switching to a new rate up to 180 days before they </w:t>
      </w:r>
      <w:r w:rsidR="00C42337" w:rsidRPr="00A07AF1">
        <w:rPr>
          <w:rFonts w:ascii="Times New Roman" w:hAnsi="Times New Roman" w:cs="Times New Roman"/>
        </w:rPr>
        <w:t>must</w:t>
      </w:r>
      <w:r w:rsidRPr="00A07AF1">
        <w:rPr>
          <w:rFonts w:ascii="Times New Roman" w:hAnsi="Times New Roman" w:cs="Times New Roman"/>
        </w:rPr>
        <w:t xml:space="preserve"> complete with the current one. The new addition of active mobile customers to 10.5 million and a record-breaking setup of 15.4 million logins in one day only shows how much Barclay's digital-first initiative has changed the situation positively</w:t>
      </w:r>
      <w:sdt>
        <w:sdtPr>
          <w:rPr>
            <w:rFonts w:ascii="Times New Roman" w:hAnsi="Times New Roman" w:cs="Times New Roman"/>
          </w:rPr>
          <w:id w:val="-758525400"/>
          <w:citation/>
        </w:sdtPr>
        <w:sdtContent>
          <w:r w:rsidR="00584B7A">
            <w:rPr>
              <w:rFonts w:ascii="Times New Roman" w:hAnsi="Times New Roman" w:cs="Times New Roman"/>
            </w:rPr>
            <w:fldChar w:fldCharType="begin"/>
          </w:r>
          <w:r w:rsidR="00584B7A">
            <w:rPr>
              <w:rFonts w:ascii="Times New Roman" w:hAnsi="Times New Roman" w:cs="Times New Roman"/>
              <w:lang w:val="en-GB"/>
            </w:rPr>
            <w:instrText xml:space="preserve"> CITATION Bar221 \l 2057 </w:instrText>
          </w:r>
          <w:r w:rsidR="00584B7A">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(Barclays PLC, 2022)</w:t>
          </w:r>
          <w:r w:rsidR="00584B7A">
            <w:rPr>
              <w:rFonts w:ascii="Times New Roman" w:hAnsi="Times New Roman" w:cs="Times New Roman"/>
            </w:rPr>
            <w:fldChar w:fldCharType="end"/>
          </w:r>
        </w:sdtContent>
      </w:sdt>
    </w:p>
    <w:p w14:paraId="0B6A6454" w14:textId="11E9828F" w:rsidR="00243934" w:rsidRDefault="00243934" w:rsidP="00492849">
      <w:pPr>
        <w:spacing w:line="360" w:lineRule="auto"/>
        <w:jc w:val="both"/>
        <w:rPr>
          <w:rFonts w:ascii="Times New Roman" w:hAnsi="Times New Roman" w:cs="Times New Roman"/>
        </w:rPr>
      </w:pPr>
      <w:r w:rsidRPr="001021E2">
        <w:rPr>
          <w:noProof/>
        </w:rPr>
        <w:lastRenderedPageBreak/>
        <w:drawing>
          <wp:inline distT="0" distB="0" distL="0" distR="0" wp14:anchorId="788793B4" wp14:editId="6CDEEA57">
            <wp:extent cx="5640779" cy="4772967"/>
            <wp:effectExtent l="0" t="0" r="0" b="8890"/>
            <wp:docPr id="2" name="Picture 2" descr="A page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age of a website&#10;&#10;Description automatically generated with medium confidence"/>
                    <pic:cNvPicPr/>
                  </pic:nvPicPr>
                  <pic:blipFill>
                    <a:blip r:embed="rId22"/>
                    <a:stretch>
                      <a:fillRect/>
                    </a:stretch>
                  </pic:blipFill>
                  <pic:spPr>
                    <a:xfrm>
                      <a:off x="0" y="0"/>
                      <a:ext cx="5645042" cy="4776574"/>
                    </a:xfrm>
                    <a:prstGeom prst="rect">
                      <a:avLst/>
                    </a:prstGeom>
                  </pic:spPr>
                </pic:pic>
              </a:graphicData>
            </a:graphic>
          </wp:inline>
        </w:drawing>
      </w:r>
    </w:p>
    <w:p w14:paraId="400AF5C5" w14:textId="30B96663" w:rsidR="00492849" w:rsidRPr="00694D5D" w:rsidRDefault="00000000" w:rsidP="00492849">
      <w:pPr>
        <w:spacing w:line="360" w:lineRule="auto"/>
        <w:jc w:val="both"/>
        <w:rPr>
          <w:rFonts w:ascii="Times New Roman" w:hAnsi="Times New Roman" w:cs="Times New Roman"/>
        </w:rPr>
      </w:pPr>
      <w:sdt>
        <w:sdtPr>
          <w:rPr>
            <w:rFonts w:ascii="Times New Roman" w:hAnsi="Times New Roman" w:cs="Times New Roman"/>
          </w:rPr>
          <w:id w:val="-1532094332"/>
          <w:citation/>
        </w:sdtPr>
        <w:sdtContent>
          <w:r w:rsidR="00492849">
            <w:rPr>
              <w:rFonts w:ascii="Times New Roman" w:hAnsi="Times New Roman" w:cs="Times New Roman"/>
            </w:rPr>
            <w:fldChar w:fldCharType="begin"/>
          </w:r>
          <w:r w:rsidR="00492849">
            <w:rPr>
              <w:rFonts w:ascii="Times New Roman" w:hAnsi="Times New Roman" w:cs="Times New Roman"/>
              <w:lang w:val="en-GB"/>
            </w:rPr>
            <w:instrText xml:space="preserve"> CITATION Bar23 \l 2057 </w:instrText>
          </w:r>
          <w:r w:rsidR="00492849">
            <w:rPr>
              <w:rFonts w:ascii="Times New Roman" w:hAnsi="Times New Roman" w:cs="Times New Roman"/>
            </w:rPr>
            <w:fldChar w:fldCharType="separate"/>
          </w:r>
          <w:r w:rsidR="002C0313" w:rsidRPr="002C0313">
            <w:rPr>
              <w:rFonts w:ascii="Times New Roman" w:hAnsi="Times New Roman" w:cs="Times New Roman"/>
              <w:noProof/>
              <w:lang w:val="en-GB"/>
            </w:rPr>
            <w:t>(Barclays PLC, 2023)</w:t>
          </w:r>
          <w:r w:rsidR="00492849">
            <w:rPr>
              <w:rFonts w:ascii="Times New Roman" w:hAnsi="Times New Roman" w:cs="Times New Roman"/>
            </w:rPr>
            <w:fldChar w:fldCharType="end"/>
          </w:r>
        </w:sdtContent>
      </w:sdt>
    </w:p>
    <w:p w14:paraId="0B97A783" w14:textId="40B0FA14" w:rsidR="00243934" w:rsidRPr="00243934" w:rsidRDefault="00243934" w:rsidP="00243934">
      <w:pPr>
        <w:spacing w:line="360" w:lineRule="auto"/>
        <w:jc w:val="both"/>
        <w:rPr>
          <w:rFonts w:ascii="Times New Roman" w:hAnsi="Times New Roman" w:cs="Times New Roman"/>
        </w:rPr>
      </w:pPr>
      <w:r w:rsidRPr="00243934">
        <w:rPr>
          <w:rFonts w:ascii="Times New Roman" w:hAnsi="Times New Roman" w:cs="Times New Roman"/>
        </w:rPr>
        <w:t xml:space="preserve">As the needs of customers are changing with </w:t>
      </w:r>
      <w:r w:rsidR="00A62BED" w:rsidRPr="00243934">
        <w:rPr>
          <w:rFonts w:ascii="Times New Roman" w:hAnsi="Times New Roman" w:cs="Times New Roman"/>
        </w:rPr>
        <w:t>technological</w:t>
      </w:r>
      <w:r w:rsidRPr="00243934">
        <w:rPr>
          <w:rFonts w:ascii="Times New Roman" w:hAnsi="Times New Roman" w:cs="Times New Roman"/>
        </w:rPr>
        <w:t xml:space="preserve"> innovation, Barclays is responding by enabling digitally assisted customer journeys. 76% of UK customer journeys are already digitally </w:t>
      </w:r>
      <w:r w:rsidR="00A62BED" w:rsidRPr="00243934">
        <w:rPr>
          <w:rFonts w:ascii="Times New Roman" w:hAnsi="Times New Roman" w:cs="Times New Roman"/>
        </w:rPr>
        <w:t>enabled,</w:t>
      </w:r>
      <w:r w:rsidRPr="00243934">
        <w:rPr>
          <w:rFonts w:ascii="Times New Roman" w:hAnsi="Times New Roman" w:cs="Times New Roman"/>
        </w:rPr>
        <w:t xml:space="preserve"> which shows the bank’s dedication to developing more accessible and easy alternatives for digital banking. The mobile app, which has more than 10.5 million active </w:t>
      </w:r>
      <w:r w:rsidR="00A62BED" w:rsidRPr="00243934">
        <w:rPr>
          <w:rFonts w:ascii="Times New Roman" w:hAnsi="Times New Roman" w:cs="Times New Roman"/>
        </w:rPr>
        <w:t>users,</w:t>
      </w:r>
      <w:r w:rsidRPr="00243934">
        <w:rPr>
          <w:rFonts w:ascii="Times New Roman" w:hAnsi="Times New Roman" w:cs="Times New Roman"/>
        </w:rPr>
        <w:t xml:space="preserve"> is critical in providing these solutions. Barclays wants its digital services to be easy for all customers, including those with disabilities, in line with the Web Content Accessibility Guidelines 2.1 AA level</w:t>
      </w:r>
      <w:sdt>
        <w:sdtPr>
          <w:rPr>
            <w:rFonts w:ascii="Times New Roman" w:hAnsi="Times New Roman" w:cs="Times New Roman"/>
          </w:rPr>
          <w:id w:val="-1191457475"/>
          <w:citation/>
        </w:sdtPr>
        <w:sdtContent>
          <w:r w:rsidR="0081299A">
            <w:rPr>
              <w:rFonts w:ascii="Times New Roman" w:hAnsi="Times New Roman" w:cs="Times New Roman"/>
            </w:rPr>
            <w:fldChar w:fldCharType="begin"/>
          </w:r>
          <w:r w:rsidR="00B21526">
            <w:rPr>
              <w:lang w:val="en-GB"/>
            </w:rPr>
            <w:instrText xml:space="preserve">CITATION Bar241 \l 2057 </w:instrText>
          </w:r>
          <w:r w:rsidR="0081299A">
            <w:rPr>
              <w:rFonts w:ascii="Times New Roman" w:hAnsi="Times New Roman" w:cs="Times New Roman"/>
            </w:rPr>
            <w:fldChar w:fldCharType="separate"/>
          </w:r>
          <w:r w:rsidR="002C0313">
            <w:rPr>
              <w:noProof/>
              <w:lang w:val="en-GB"/>
            </w:rPr>
            <w:t xml:space="preserve"> </w:t>
          </w:r>
          <w:r w:rsidR="002C0313" w:rsidRPr="002C0313">
            <w:rPr>
              <w:noProof/>
              <w:lang w:val="en-GB"/>
            </w:rPr>
            <w:t>(Barclays PLC, 2024)</w:t>
          </w:r>
          <w:r w:rsidR="0081299A">
            <w:rPr>
              <w:rFonts w:ascii="Times New Roman" w:hAnsi="Times New Roman" w:cs="Times New Roman"/>
            </w:rPr>
            <w:fldChar w:fldCharType="end"/>
          </w:r>
        </w:sdtContent>
      </w:sdt>
      <w:r w:rsidRPr="00243934">
        <w:rPr>
          <w:rFonts w:ascii="Times New Roman" w:hAnsi="Times New Roman" w:cs="Times New Roman"/>
        </w:rPr>
        <w:t>.</w:t>
      </w:r>
    </w:p>
    <w:p w14:paraId="6AF4A76A" w14:textId="2BAE1B9E" w:rsidR="00243934" w:rsidRDefault="00243934" w:rsidP="008D74A8">
      <w:pPr>
        <w:spacing w:line="360" w:lineRule="auto"/>
        <w:jc w:val="both"/>
        <w:rPr>
          <w:rFonts w:ascii="Times New Roman" w:hAnsi="Times New Roman" w:cs="Times New Roman"/>
        </w:rPr>
      </w:pPr>
      <w:r w:rsidRPr="00321A73">
        <w:rPr>
          <w:noProof/>
        </w:rPr>
        <w:lastRenderedPageBreak/>
        <w:drawing>
          <wp:inline distT="0" distB="0" distL="0" distR="0" wp14:anchorId="4E451CCA" wp14:editId="4C6E5D21">
            <wp:extent cx="2751058" cy="2027096"/>
            <wp:effectExtent l="0" t="0" r="0" b="0"/>
            <wp:docPr id="3" name="Picture 3"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black text on a white background&#10;&#10;Description automatically generated"/>
                    <pic:cNvPicPr/>
                  </pic:nvPicPr>
                  <pic:blipFill>
                    <a:blip r:embed="rId23"/>
                    <a:stretch>
                      <a:fillRect/>
                    </a:stretch>
                  </pic:blipFill>
                  <pic:spPr>
                    <a:xfrm>
                      <a:off x="0" y="0"/>
                      <a:ext cx="2751058" cy="2027096"/>
                    </a:xfrm>
                    <a:prstGeom prst="rect">
                      <a:avLst/>
                    </a:prstGeom>
                  </pic:spPr>
                </pic:pic>
              </a:graphicData>
            </a:graphic>
          </wp:inline>
        </w:drawing>
      </w:r>
    </w:p>
    <w:p w14:paraId="5C2A094C" w14:textId="5DF82542" w:rsidR="008D74A8" w:rsidRPr="00694D5D" w:rsidRDefault="00000000" w:rsidP="008D74A8">
      <w:pPr>
        <w:spacing w:line="360" w:lineRule="auto"/>
        <w:jc w:val="both"/>
        <w:rPr>
          <w:rFonts w:ascii="Times New Roman" w:hAnsi="Times New Roman" w:cs="Times New Roman"/>
        </w:rPr>
      </w:pPr>
      <w:sdt>
        <w:sdtPr>
          <w:rPr>
            <w:rFonts w:ascii="Times New Roman" w:hAnsi="Times New Roman" w:cs="Times New Roman"/>
          </w:rPr>
          <w:id w:val="-1769618427"/>
          <w:citation/>
        </w:sdtPr>
        <w:sdtContent>
          <w:r w:rsidR="00E925F2">
            <w:rPr>
              <w:rFonts w:ascii="Times New Roman" w:hAnsi="Times New Roman" w:cs="Times New Roman"/>
            </w:rPr>
            <w:fldChar w:fldCharType="begin"/>
          </w:r>
          <w:r w:rsidR="00E925F2">
            <w:rPr>
              <w:rFonts w:ascii="Times New Roman" w:hAnsi="Times New Roman" w:cs="Times New Roman"/>
              <w:lang w:val="en-GB"/>
            </w:rPr>
            <w:instrText xml:space="preserve"> CITATION Bar221 \l 2057 </w:instrText>
          </w:r>
          <w:r w:rsidR="00E925F2">
            <w:rPr>
              <w:rFonts w:ascii="Times New Roman" w:hAnsi="Times New Roman" w:cs="Times New Roman"/>
            </w:rPr>
            <w:fldChar w:fldCharType="separate"/>
          </w:r>
          <w:r w:rsidR="002C0313" w:rsidRPr="002C0313">
            <w:rPr>
              <w:rFonts w:ascii="Times New Roman" w:hAnsi="Times New Roman" w:cs="Times New Roman"/>
              <w:noProof/>
              <w:lang w:val="en-GB"/>
            </w:rPr>
            <w:t>(Barclays PLC, 2022)</w:t>
          </w:r>
          <w:r w:rsidR="00E925F2">
            <w:rPr>
              <w:rFonts w:ascii="Times New Roman" w:hAnsi="Times New Roman" w:cs="Times New Roman"/>
            </w:rPr>
            <w:fldChar w:fldCharType="end"/>
          </w:r>
        </w:sdtContent>
      </w:sdt>
    </w:p>
    <w:p w14:paraId="46C78B50" w14:textId="5D861B0C" w:rsidR="00243934" w:rsidRPr="00243934" w:rsidRDefault="00243934" w:rsidP="00243934">
      <w:pPr>
        <w:spacing w:line="360" w:lineRule="auto"/>
        <w:jc w:val="both"/>
        <w:rPr>
          <w:rFonts w:ascii="Times New Roman" w:hAnsi="Times New Roman" w:cs="Times New Roman"/>
        </w:rPr>
      </w:pPr>
      <w:r w:rsidRPr="00243934">
        <w:rPr>
          <w:rFonts w:ascii="Times New Roman" w:hAnsi="Times New Roman" w:cs="Times New Roman"/>
        </w:rPr>
        <w:t xml:space="preserve">Barclays showed commitment to innovation with the launch of ‘Authorized Users’ in June 2022. This feature enables customers to digitally and immediately add a trusted person to their current account, which allows them to receive assistance with the way they spend or monitor an account. This is especially good for vulnerable yet competent customers, helping them to have effective money management with the backup of another while they still fully control their account. Barclays is focusing on investing in smarter technologies to improve customer and colleague experiences, particularly related to digital journeys. For instance, mortgage customers are now able to handle their mortgages with the application providing them enough lead time to get new rates </w:t>
      </w:r>
      <w:sdt>
        <w:sdtPr>
          <w:rPr>
            <w:rFonts w:ascii="Times New Roman" w:hAnsi="Times New Roman" w:cs="Times New Roman"/>
          </w:rPr>
          <w:id w:val="-119992157"/>
          <w:citation/>
        </w:sdtPr>
        <w:sdtContent>
          <w:r w:rsidR="00F26D54">
            <w:rPr>
              <w:rFonts w:ascii="Times New Roman" w:hAnsi="Times New Roman" w:cs="Times New Roman"/>
            </w:rPr>
            <w:fldChar w:fldCharType="begin"/>
          </w:r>
          <w:r w:rsidR="00F26D54">
            <w:rPr>
              <w:lang w:val="en-GB"/>
            </w:rPr>
            <w:instrText xml:space="preserve"> CITATION Bar242 \l 2057 </w:instrText>
          </w:r>
          <w:r w:rsidR="00F26D54">
            <w:rPr>
              <w:rFonts w:ascii="Times New Roman" w:hAnsi="Times New Roman" w:cs="Times New Roman"/>
            </w:rPr>
            <w:fldChar w:fldCharType="separate"/>
          </w:r>
          <w:r w:rsidR="002C0313" w:rsidRPr="002C0313">
            <w:rPr>
              <w:noProof/>
              <w:lang w:val="en-GB"/>
            </w:rPr>
            <w:t>(Barclays PLC, 2024)</w:t>
          </w:r>
          <w:r w:rsidR="00F26D54">
            <w:rPr>
              <w:rFonts w:ascii="Times New Roman" w:hAnsi="Times New Roman" w:cs="Times New Roman"/>
            </w:rPr>
            <w:fldChar w:fldCharType="end"/>
          </w:r>
        </w:sdtContent>
      </w:sdt>
      <w:r w:rsidRPr="00243934">
        <w:rPr>
          <w:rFonts w:ascii="Times New Roman" w:hAnsi="Times New Roman" w:cs="Times New Roman"/>
        </w:rPr>
        <w:t xml:space="preserve">. The focus on a digital-first approach by the bank reflects </w:t>
      </w:r>
      <w:r w:rsidR="0015103A" w:rsidRPr="00243934">
        <w:rPr>
          <w:rFonts w:ascii="Times New Roman" w:hAnsi="Times New Roman" w:cs="Times New Roman"/>
        </w:rPr>
        <w:t>strongly</w:t>
      </w:r>
      <w:r w:rsidRPr="00243934">
        <w:rPr>
          <w:rFonts w:ascii="Times New Roman" w:hAnsi="Times New Roman" w:cs="Times New Roman"/>
        </w:rPr>
        <w:t xml:space="preserve"> how active mobile customers have grown, as well as logins hitting record highs showing that embracing advancements of these technologies can be transformational. </w:t>
      </w:r>
      <w:r w:rsidR="00797108">
        <w:rPr>
          <w:rFonts w:ascii="Times New Roman" w:hAnsi="Times New Roman" w:cs="Times New Roman"/>
        </w:rPr>
        <w:t xml:space="preserve">Barclays has spent an estimated £10m on a nationwide digital safety drive to warn customers of cyber fraud risks; striving to create a bond that goes beyond gains for the bank. </w:t>
      </w:r>
      <w:r w:rsidRPr="00243934">
        <w:rPr>
          <w:rFonts w:ascii="Times New Roman" w:hAnsi="Times New Roman" w:cs="Times New Roman"/>
        </w:rPr>
        <w:t xml:space="preserve">74.1% of the digital active user rate indicates that Barclays is continuously investing in its servicing model for being digitized </w:t>
      </w:r>
      <w:sdt>
        <w:sdtPr>
          <w:rPr>
            <w:rFonts w:ascii="Times New Roman" w:hAnsi="Times New Roman" w:cs="Times New Roman"/>
          </w:rPr>
          <w:id w:val="-437297275"/>
          <w:citation/>
        </w:sdtPr>
        <w:sdtContent>
          <w:r w:rsidR="00142E60">
            <w:rPr>
              <w:rFonts w:ascii="Times New Roman" w:hAnsi="Times New Roman" w:cs="Times New Roman"/>
            </w:rPr>
            <w:fldChar w:fldCharType="begin"/>
          </w:r>
          <w:r w:rsidR="00142E60">
            <w:rPr>
              <w:lang w:val="en-GB"/>
            </w:rPr>
            <w:instrText xml:space="preserve"> CITATION Bar22 \l 2057 </w:instrText>
          </w:r>
          <w:r w:rsidR="00142E60">
            <w:rPr>
              <w:rFonts w:ascii="Times New Roman" w:hAnsi="Times New Roman" w:cs="Times New Roman"/>
            </w:rPr>
            <w:fldChar w:fldCharType="separate"/>
          </w:r>
          <w:r w:rsidR="002C0313" w:rsidRPr="002C0313">
            <w:rPr>
              <w:noProof/>
              <w:lang w:val="en-GB"/>
            </w:rPr>
            <w:t>(Barclays PLC, 2022)</w:t>
          </w:r>
          <w:r w:rsidR="00142E60">
            <w:rPr>
              <w:rFonts w:ascii="Times New Roman" w:hAnsi="Times New Roman" w:cs="Times New Roman"/>
            </w:rPr>
            <w:fldChar w:fldCharType="end"/>
          </w:r>
        </w:sdtContent>
      </w:sdt>
      <w:r w:rsidRPr="00243934">
        <w:rPr>
          <w:rFonts w:ascii="Times New Roman" w:hAnsi="Times New Roman" w:cs="Times New Roman"/>
        </w:rPr>
        <w:t>.</w:t>
      </w:r>
      <w:r w:rsidR="0066539A">
        <w:rPr>
          <w:rFonts w:ascii="Times New Roman" w:hAnsi="Times New Roman" w:cs="Times New Roman"/>
        </w:rPr>
        <w:t xml:space="preserve"> </w:t>
      </w:r>
    </w:p>
    <w:p w14:paraId="58CC9167" w14:textId="77777777" w:rsidR="00243934" w:rsidRPr="00243934" w:rsidRDefault="00243934" w:rsidP="00243934"/>
    <w:p w14:paraId="4C8BCF0E" w14:textId="77777777" w:rsidR="00E1524A" w:rsidRDefault="00E1524A" w:rsidP="002F4ADE">
      <w:pPr>
        <w:pStyle w:val="Heading1"/>
        <w:numPr>
          <w:ilvl w:val="1"/>
          <w:numId w:val="8"/>
        </w:numPr>
        <w:spacing w:line="360" w:lineRule="auto"/>
        <w:jc w:val="both"/>
        <w:rPr>
          <w:rFonts w:ascii="Times New Roman" w:hAnsi="Times New Roman" w:cs="Times New Roman"/>
        </w:rPr>
      </w:pPr>
      <w:bookmarkStart w:id="50" w:name="_Toc158706295"/>
      <w:r w:rsidRPr="00694D5D">
        <w:rPr>
          <w:rFonts w:ascii="Times New Roman" w:hAnsi="Times New Roman" w:cs="Times New Roman"/>
        </w:rPr>
        <w:t>Santander UK Plc</w:t>
      </w:r>
      <w:bookmarkEnd w:id="50"/>
    </w:p>
    <w:p w14:paraId="768D8985" w14:textId="49CB9019" w:rsidR="001872E1" w:rsidRPr="001872E1" w:rsidRDefault="001872E1" w:rsidP="001872E1">
      <w:pPr>
        <w:spacing w:line="360" w:lineRule="auto"/>
        <w:jc w:val="both"/>
        <w:rPr>
          <w:rFonts w:ascii="Times New Roman" w:hAnsi="Times New Roman" w:cs="Times New Roman"/>
        </w:rPr>
      </w:pPr>
      <w:r w:rsidRPr="001872E1">
        <w:rPr>
          <w:rFonts w:ascii="Times New Roman" w:hAnsi="Times New Roman" w:cs="Times New Roman"/>
        </w:rPr>
        <w:t>Santander UK is now leading the way forward using blockchain technology for international payments with a new app that undergoes staff pilot now in place. Santander is positioned as the first UK bank to use blockchain technology for international payments with this initiative</w:t>
      </w:r>
      <w:sdt>
        <w:sdtPr>
          <w:rPr>
            <w:rFonts w:ascii="Times New Roman" w:hAnsi="Times New Roman" w:cs="Times New Roman"/>
          </w:rPr>
          <w:id w:val="1750916942"/>
          <w:citation/>
        </w:sdtPr>
        <w:sdtContent>
          <w:r w:rsidR="00731FD1">
            <w:rPr>
              <w:rFonts w:ascii="Times New Roman" w:hAnsi="Times New Roman" w:cs="Times New Roman"/>
            </w:rPr>
            <w:fldChar w:fldCharType="begin"/>
          </w:r>
          <w:r w:rsidR="00C5369B">
            <w:rPr>
              <w:rFonts w:ascii="Times New Roman" w:hAnsi="Times New Roman" w:cs="Times New Roman"/>
              <w:lang w:val="en-GB"/>
            </w:rPr>
            <w:instrText xml:space="preserve">CITATION San18 \l 2057 </w:instrText>
          </w:r>
          <w:r w:rsidR="00731FD1">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2018)</w:t>
          </w:r>
          <w:r w:rsidR="00731FD1">
            <w:rPr>
              <w:rFonts w:ascii="Times New Roman" w:hAnsi="Times New Roman" w:cs="Times New Roman"/>
            </w:rPr>
            <w:fldChar w:fldCharType="end"/>
          </w:r>
        </w:sdtContent>
      </w:sdt>
      <w:r w:rsidRPr="001872E1">
        <w:rPr>
          <w:rFonts w:ascii="Times New Roman" w:hAnsi="Times New Roman" w:cs="Times New Roman"/>
        </w:rPr>
        <w:t xml:space="preserve">. The innovative Santander app is integrated with Apple Pay and enables users </w:t>
      </w:r>
      <w:r w:rsidRPr="001872E1">
        <w:rPr>
          <w:rFonts w:ascii="Times New Roman" w:hAnsi="Times New Roman" w:cs="Times New Roman"/>
        </w:rPr>
        <w:lastRenderedPageBreak/>
        <w:t xml:space="preserve">to confirm payments without compromising security through Touch ID. The app allows payments from British pounds to euros and U.S.$ from £ 10 – £ 10,256 for transfers. </w:t>
      </w:r>
    </w:p>
    <w:p w14:paraId="55863D5C" w14:textId="0B2201AA" w:rsidR="001872E1" w:rsidRPr="001872E1" w:rsidRDefault="004372CB" w:rsidP="001872E1">
      <w:pPr>
        <w:spacing w:line="360" w:lineRule="auto"/>
        <w:jc w:val="both"/>
        <w:rPr>
          <w:rFonts w:ascii="Times New Roman" w:hAnsi="Times New Roman" w:cs="Times New Roman"/>
        </w:rPr>
      </w:pPr>
      <w:r>
        <w:rPr>
          <w:rFonts w:ascii="Times New Roman" w:hAnsi="Times New Roman" w:cs="Times New Roman"/>
        </w:rPr>
        <w:t xml:space="preserve">In 2019, </w:t>
      </w:r>
      <w:r w:rsidR="00DC6019">
        <w:rPr>
          <w:rFonts w:ascii="Times New Roman" w:hAnsi="Times New Roman" w:cs="Times New Roman"/>
        </w:rPr>
        <w:t xml:space="preserve">Santander </w:t>
      </w:r>
      <w:r w:rsidR="00B363E4">
        <w:rPr>
          <w:rFonts w:ascii="Times New Roman" w:hAnsi="Times New Roman" w:cs="Times New Roman"/>
        </w:rPr>
        <w:t xml:space="preserve">presented its new road map, </w:t>
      </w:r>
      <w:r w:rsidR="004B6FF0">
        <w:rPr>
          <w:rFonts w:ascii="Times New Roman" w:hAnsi="Times New Roman" w:cs="Times New Roman"/>
        </w:rPr>
        <w:t>which included the allocation of more tha</w:t>
      </w:r>
      <w:r w:rsidR="002A34DB">
        <w:rPr>
          <w:rFonts w:ascii="Times New Roman" w:hAnsi="Times New Roman" w:cs="Times New Roman"/>
        </w:rPr>
        <w:t xml:space="preserve">n €20 billion to digital transformation and technology </w:t>
      </w:r>
      <w:r w:rsidR="001D121A">
        <w:rPr>
          <w:rFonts w:ascii="Times New Roman" w:hAnsi="Times New Roman" w:cs="Times New Roman"/>
        </w:rPr>
        <w:t xml:space="preserve">to improve customer experience and increase trust and loyalty, in addition to reduce cost. </w:t>
      </w:r>
      <w:r w:rsidR="001872E1" w:rsidRPr="001872E1">
        <w:rPr>
          <w:rFonts w:ascii="Times New Roman" w:hAnsi="Times New Roman" w:cs="Times New Roman"/>
        </w:rPr>
        <w:t xml:space="preserve">The bank restates important financial goals such as an underlying return on tangible equity i.e. </w:t>
      </w:r>
      <w:proofErr w:type="spellStart"/>
      <w:r w:rsidR="001872E1" w:rsidRPr="001872E1">
        <w:rPr>
          <w:rFonts w:ascii="Times New Roman" w:hAnsi="Times New Roman" w:cs="Times New Roman"/>
        </w:rPr>
        <w:t>RoTE</w:t>
      </w:r>
      <w:proofErr w:type="spellEnd"/>
      <w:r w:rsidR="001872E1" w:rsidRPr="001872E1">
        <w:rPr>
          <w:rFonts w:ascii="Times New Roman" w:hAnsi="Times New Roman" w:cs="Times New Roman"/>
        </w:rPr>
        <w:t xml:space="preserve"> of 13-15% and a fully loaded CET1 ratio ranging from Santander also target an efficiency ratio of less than 45% and hikes in its cash payout as dividend to Santander’s strong capabilities in digital and remote services are proof that the ongoing evolution of customer interactions is moving toward this direction, with an extra 370 Digital customers having joined them last year. 92% of current accounts and 99% of credit card openings happened in digital channels</w:t>
      </w:r>
      <w:sdt>
        <w:sdtPr>
          <w:rPr>
            <w:rFonts w:ascii="Times New Roman" w:hAnsi="Times New Roman" w:cs="Times New Roman"/>
          </w:rPr>
          <w:id w:val="958608003"/>
          <w:citation/>
        </w:sdtPr>
        <w:sdtContent>
          <w:r w:rsidR="00FD602D">
            <w:rPr>
              <w:rFonts w:ascii="Times New Roman" w:hAnsi="Times New Roman" w:cs="Times New Roman"/>
            </w:rPr>
            <w:fldChar w:fldCharType="begin"/>
          </w:r>
          <w:r w:rsidR="00C5369B">
            <w:rPr>
              <w:rFonts w:ascii="Times New Roman" w:hAnsi="Times New Roman" w:cs="Times New Roman"/>
              <w:lang w:val="en-GB"/>
            </w:rPr>
            <w:instrText xml:space="preserve">CITATION San19 \l 2057 </w:instrText>
          </w:r>
          <w:r w:rsidR="00FD602D">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2019)</w:t>
          </w:r>
          <w:r w:rsidR="00FD602D">
            <w:rPr>
              <w:rFonts w:ascii="Times New Roman" w:hAnsi="Times New Roman" w:cs="Times New Roman"/>
            </w:rPr>
            <w:fldChar w:fldCharType="end"/>
          </w:r>
        </w:sdtContent>
      </w:sdt>
      <w:r w:rsidR="001872E1" w:rsidRPr="001872E1">
        <w:rPr>
          <w:rFonts w:ascii="Times New Roman" w:hAnsi="Times New Roman" w:cs="Times New Roman"/>
        </w:rPr>
        <w:t xml:space="preserve">. In the mortgage market, Santander notes an increasing role of distributor intermediation and other products mainly remain in digital channels – for </w:t>
      </w:r>
      <w:r w:rsidR="00C42337" w:rsidRPr="001872E1">
        <w:rPr>
          <w:rFonts w:ascii="Times New Roman" w:hAnsi="Times New Roman" w:cs="Times New Roman"/>
        </w:rPr>
        <w:t>example,</w:t>
      </w:r>
      <w:r w:rsidR="001872E1" w:rsidRPr="001872E1">
        <w:rPr>
          <w:rFonts w:ascii="Times New Roman" w:hAnsi="Times New Roman" w:cs="Times New Roman"/>
        </w:rPr>
        <w:t xml:space="preserve"> 76% of refinanced mortgages were kept online within the last year </w:t>
      </w:r>
      <w:sdt>
        <w:sdtPr>
          <w:rPr>
            <w:rFonts w:ascii="Times New Roman" w:hAnsi="Times New Roman" w:cs="Times New Roman"/>
          </w:rPr>
          <w:id w:val="-1314946510"/>
          <w:citation/>
        </w:sdtPr>
        <w:sdtContent>
          <w:r w:rsidR="00F45A61">
            <w:rPr>
              <w:rFonts w:ascii="Times New Roman" w:hAnsi="Times New Roman" w:cs="Times New Roman"/>
            </w:rPr>
            <w:fldChar w:fldCharType="begin"/>
          </w:r>
          <w:r w:rsidR="00F45A61">
            <w:rPr>
              <w:rFonts w:ascii="Times New Roman" w:hAnsi="Times New Roman" w:cs="Times New Roman"/>
              <w:lang w:val="en-GB"/>
            </w:rPr>
            <w:instrText xml:space="preserve"> CITATION San22 \l 2057 </w:instrText>
          </w:r>
          <w:r w:rsidR="00F45A61">
            <w:rPr>
              <w:rFonts w:ascii="Times New Roman" w:hAnsi="Times New Roman" w:cs="Times New Roman"/>
            </w:rPr>
            <w:fldChar w:fldCharType="separate"/>
          </w:r>
          <w:r w:rsidR="002C0313" w:rsidRPr="002C0313">
            <w:rPr>
              <w:rFonts w:ascii="Times New Roman" w:hAnsi="Times New Roman" w:cs="Times New Roman"/>
              <w:noProof/>
              <w:lang w:val="en-GB"/>
            </w:rPr>
            <w:t>(Santander UK plc, 2022)</w:t>
          </w:r>
          <w:r w:rsidR="00F45A61">
            <w:rPr>
              <w:rFonts w:ascii="Times New Roman" w:hAnsi="Times New Roman" w:cs="Times New Roman"/>
            </w:rPr>
            <w:fldChar w:fldCharType="end"/>
          </w:r>
        </w:sdtContent>
      </w:sdt>
      <w:r w:rsidR="001872E1" w:rsidRPr="001872E1">
        <w:rPr>
          <w:rFonts w:ascii="Times New Roman" w:hAnsi="Times New Roman" w:cs="Times New Roman"/>
        </w:rPr>
        <w:t xml:space="preserve">. </w:t>
      </w:r>
    </w:p>
    <w:p w14:paraId="30198D56" w14:textId="6063CD97" w:rsidR="001872E1" w:rsidRDefault="001872E1" w:rsidP="007A10F0">
      <w:pPr>
        <w:spacing w:line="360" w:lineRule="auto"/>
        <w:jc w:val="both"/>
        <w:rPr>
          <w:rFonts w:ascii="Times New Roman" w:hAnsi="Times New Roman" w:cs="Times New Roman"/>
        </w:rPr>
      </w:pPr>
      <w:r w:rsidRPr="00951B4F">
        <w:rPr>
          <w:noProof/>
        </w:rPr>
        <w:drawing>
          <wp:inline distT="0" distB="0" distL="0" distR="0" wp14:anchorId="6FF28228" wp14:editId="1A94FAEA">
            <wp:extent cx="6288405" cy="855023"/>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66159" cy="879192"/>
                    </a:xfrm>
                    <a:prstGeom prst="rect">
                      <a:avLst/>
                    </a:prstGeom>
                  </pic:spPr>
                </pic:pic>
              </a:graphicData>
            </a:graphic>
          </wp:inline>
        </w:drawing>
      </w:r>
      <w:bookmarkStart w:id="51" w:name="_Toc155904532"/>
      <w:r w:rsidRPr="001F3F37">
        <w:t xml:space="preserve"> </w:t>
      </w:r>
      <w:sdt>
        <w:sdtPr>
          <w:id w:val="-1966810720"/>
          <w:citation/>
        </w:sdtPr>
        <w:sdtContent>
          <w:r w:rsidR="00CD2A88">
            <w:fldChar w:fldCharType="begin"/>
          </w:r>
          <w:r w:rsidR="00CD2A88">
            <w:rPr>
              <w:lang w:val="en-GB"/>
            </w:rPr>
            <w:instrText xml:space="preserve"> CITATION San22 \l 2057 </w:instrText>
          </w:r>
          <w:r w:rsidR="00CD2A88">
            <w:fldChar w:fldCharType="separate"/>
          </w:r>
          <w:r w:rsidR="002C0313" w:rsidRPr="002C0313">
            <w:rPr>
              <w:noProof/>
              <w:lang w:val="en-GB"/>
            </w:rPr>
            <w:t>(Santander UK plc, 2022)</w:t>
          </w:r>
          <w:r w:rsidR="00CD2A88">
            <w:fldChar w:fldCharType="end"/>
          </w:r>
        </w:sdtContent>
      </w:sdt>
      <w:bookmarkEnd w:id="51"/>
    </w:p>
    <w:p w14:paraId="5F4FE466" w14:textId="77777777" w:rsidR="001872E1" w:rsidRPr="001872E1" w:rsidRDefault="001872E1" w:rsidP="001872E1">
      <w:pPr>
        <w:spacing w:line="360" w:lineRule="auto"/>
        <w:jc w:val="both"/>
        <w:rPr>
          <w:rFonts w:ascii="Times New Roman" w:hAnsi="Times New Roman" w:cs="Times New Roman"/>
        </w:rPr>
      </w:pPr>
      <w:r w:rsidRPr="001872E1">
        <w:rPr>
          <w:rFonts w:ascii="Times New Roman" w:hAnsi="Times New Roman" w:cs="Times New Roman"/>
        </w:rPr>
        <w:t>These initiatives show that Santander is committed to innovation and digital transformation within the banking environment.</w:t>
      </w:r>
    </w:p>
    <w:p w14:paraId="235D3EF9" w14:textId="77777777" w:rsidR="00433EFC" w:rsidRPr="00433EFC" w:rsidRDefault="00433EFC" w:rsidP="00433EFC"/>
    <w:p w14:paraId="3689CC3B" w14:textId="77777777" w:rsidR="00E1524A" w:rsidRDefault="00E1524A" w:rsidP="002F4ADE">
      <w:pPr>
        <w:pStyle w:val="Heading1"/>
        <w:numPr>
          <w:ilvl w:val="1"/>
          <w:numId w:val="8"/>
        </w:numPr>
        <w:spacing w:line="360" w:lineRule="auto"/>
        <w:jc w:val="both"/>
        <w:rPr>
          <w:rFonts w:ascii="Times New Roman" w:hAnsi="Times New Roman" w:cs="Times New Roman"/>
        </w:rPr>
      </w:pPr>
      <w:bookmarkStart w:id="52" w:name="_Toc158706296"/>
      <w:r w:rsidRPr="00694D5D">
        <w:rPr>
          <w:rFonts w:ascii="Times New Roman" w:hAnsi="Times New Roman" w:cs="Times New Roman"/>
        </w:rPr>
        <w:t>NatWest Plc</w:t>
      </w:r>
      <w:bookmarkEnd w:id="52"/>
    </w:p>
    <w:p w14:paraId="3412D741" w14:textId="5883F6CE" w:rsidR="001F30D6" w:rsidRPr="00715990" w:rsidRDefault="001F30D6" w:rsidP="00715990">
      <w:pPr>
        <w:spacing w:line="360" w:lineRule="auto"/>
        <w:jc w:val="both"/>
        <w:rPr>
          <w:rFonts w:ascii="Times New Roman" w:hAnsi="Times New Roman" w:cs="Times New Roman"/>
        </w:rPr>
      </w:pPr>
      <w:r w:rsidRPr="00715990">
        <w:rPr>
          <w:rFonts w:ascii="Times New Roman" w:hAnsi="Times New Roman" w:cs="Times New Roman"/>
        </w:rPr>
        <w:t xml:space="preserve">NatWest Group’s success is dependent on the good fortune of its customers. NatWest Group has 10.1 million active digital users, underscoring a robust adoption of the digital </w:t>
      </w:r>
      <w:proofErr w:type="gramStart"/>
      <w:r w:rsidRPr="00715990">
        <w:rPr>
          <w:rFonts w:ascii="Times New Roman" w:hAnsi="Times New Roman" w:cs="Times New Roman"/>
        </w:rPr>
        <w:t>channels in particular, 63%</w:t>
      </w:r>
      <w:proofErr w:type="gramEnd"/>
      <w:r w:rsidRPr="00715990">
        <w:rPr>
          <w:rFonts w:ascii="Times New Roman" w:hAnsi="Times New Roman" w:cs="Times New Roman"/>
        </w:rPr>
        <w:t xml:space="preserve"> of customers using only digital channels frequently interact with the mobile app</w:t>
      </w:r>
      <w:sdt>
        <w:sdtPr>
          <w:rPr>
            <w:rFonts w:ascii="Times New Roman" w:hAnsi="Times New Roman" w:cs="Times New Roman"/>
          </w:rPr>
          <w:id w:val="-1003353065"/>
          <w:citation/>
        </w:sdtPr>
        <w:sdtContent>
          <w:r w:rsidR="00EC4E09">
            <w:rPr>
              <w:rFonts w:ascii="Times New Roman" w:hAnsi="Times New Roman" w:cs="Times New Roman"/>
            </w:rPr>
            <w:fldChar w:fldCharType="begin"/>
          </w:r>
          <w:r w:rsidR="00C5369B">
            <w:rPr>
              <w:rFonts w:ascii="Times New Roman" w:hAnsi="Times New Roman" w:cs="Times New Roman"/>
              <w:lang w:val="en-GB"/>
            </w:rPr>
            <w:instrText xml:space="preserve">CITATION Nat23 \l 2057 </w:instrText>
          </w:r>
          <w:r w:rsidR="00EC4E0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EC4E09">
            <w:rPr>
              <w:rFonts w:ascii="Times New Roman" w:hAnsi="Times New Roman" w:cs="Times New Roman"/>
            </w:rPr>
            <w:fldChar w:fldCharType="end"/>
          </w:r>
        </w:sdtContent>
      </w:sdt>
      <w:r w:rsidRPr="00715990">
        <w:rPr>
          <w:rFonts w:ascii="Times New Roman" w:hAnsi="Times New Roman" w:cs="Times New Roman"/>
        </w:rPr>
        <w:t>. The arrival of Cora, the AI virtual assistant, announced in 2018 signals a major advancement in customer dialogues managing</w:t>
      </w:r>
      <w:r w:rsidR="006A300F">
        <w:rPr>
          <w:rFonts w:ascii="Times New Roman" w:hAnsi="Times New Roman" w:cs="Times New Roman"/>
        </w:rPr>
        <w:t xml:space="preserve"> over</w:t>
      </w:r>
      <w:r w:rsidRPr="00715990">
        <w:rPr>
          <w:rFonts w:ascii="Times New Roman" w:hAnsi="Times New Roman" w:cs="Times New Roman"/>
        </w:rPr>
        <w:t xml:space="preserve"> four million Retail Banking conversations with fewer than half not requiring any human response</w:t>
      </w:r>
      <w:r w:rsidR="004221DE">
        <w:rPr>
          <w:rFonts w:ascii="Times New Roman" w:hAnsi="Times New Roman" w:cs="Times New Roman"/>
        </w:rPr>
        <w:t>.</w:t>
      </w:r>
      <w:r w:rsidRPr="00715990">
        <w:rPr>
          <w:rFonts w:ascii="Times New Roman" w:hAnsi="Times New Roman" w:cs="Times New Roman"/>
        </w:rPr>
        <w:t xml:space="preserve"> Moreover, about 90 </w:t>
      </w:r>
      <w:r w:rsidRPr="00715990">
        <w:rPr>
          <w:rFonts w:ascii="Times New Roman" w:hAnsi="Times New Roman" w:cs="Times New Roman"/>
        </w:rPr>
        <w:lastRenderedPageBreak/>
        <w:t>thousand customers have opted to invest using the digital investment platform monitored through Coutts Investment Centre of Excellence. 48.4% of customer queries were resolved by Cora without human intervention, proving that advanced technology can ensure a smooth service delivery process</w:t>
      </w:r>
      <w:sdt>
        <w:sdtPr>
          <w:rPr>
            <w:rFonts w:ascii="Times New Roman" w:hAnsi="Times New Roman" w:cs="Times New Roman"/>
          </w:rPr>
          <w:id w:val="-88460475"/>
          <w:citation/>
        </w:sdtPr>
        <w:sdtContent>
          <w:r w:rsidR="004221DE">
            <w:rPr>
              <w:rFonts w:ascii="Times New Roman" w:hAnsi="Times New Roman" w:cs="Times New Roman"/>
            </w:rPr>
            <w:fldChar w:fldCharType="begin"/>
          </w:r>
          <w:r w:rsidR="00C5369B">
            <w:rPr>
              <w:rFonts w:ascii="Times New Roman" w:hAnsi="Times New Roman" w:cs="Times New Roman"/>
              <w:lang w:val="en-GB"/>
            </w:rPr>
            <w:instrText xml:space="preserve">CITATION Nat231 \l 2057 </w:instrText>
          </w:r>
          <w:r w:rsidR="004221D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4221DE">
            <w:rPr>
              <w:rFonts w:ascii="Times New Roman" w:hAnsi="Times New Roman" w:cs="Times New Roman"/>
            </w:rPr>
            <w:fldChar w:fldCharType="end"/>
          </w:r>
        </w:sdtContent>
      </w:sdt>
      <w:r w:rsidRPr="00715990">
        <w:rPr>
          <w:rFonts w:ascii="Times New Roman" w:hAnsi="Times New Roman" w:cs="Times New Roman"/>
        </w:rPr>
        <w:t>.</w:t>
      </w:r>
    </w:p>
    <w:p w14:paraId="027F0F97" w14:textId="5FACDF31" w:rsidR="001F30D6" w:rsidRPr="00694D5D" w:rsidRDefault="001F30D6" w:rsidP="001D56B0">
      <w:pPr>
        <w:spacing w:line="360" w:lineRule="auto"/>
        <w:jc w:val="both"/>
        <w:rPr>
          <w:rFonts w:ascii="Times New Roman" w:hAnsi="Times New Roman" w:cs="Times New Roman"/>
        </w:rPr>
      </w:pPr>
      <w:r w:rsidRPr="004123AF">
        <w:rPr>
          <w:noProof/>
        </w:rPr>
        <w:drawing>
          <wp:anchor distT="0" distB="0" distL="114300" distR="114300" simplePos="0" relativeHeight="251658240" behindDoc="0" locked="0" layoutInCell="1" allowOverlap="1" wp14:anchorId="3F05E36C" wp14:editId="32CF0B7D">
            <wp:simplePos x="914400" y="5082639"/>
            <wp:positionH relativeFrom="column">
              <wp:align>left</wp:align>
            </wp:positionH>
            <wp:positionV relativeFrom="paragraph">
              <wp:align>top</wp:align>
            </wp:positionV>
            <wp:extent cx="4016088" cy="2118544"/>
            <wp:effectExtent l="0" t="0" r="3810" b="0"/>
            <wp:wrapSquare wrapText="bothSides"/>
            <wp:docPr id="10" name="Picture 10"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016088" cy="2118544"/>
                    </a:xfrm>
                    <a:prstGeom prst="rect">
                      <a:avLst/>
                    </a:prstGeom>
                  </pic:spPr>
                </pic:pic>
              </a:graphicData>
            </a:graphic>
          </wp:anchor>
        </w:drawing>
      </w:r>
      <w:r w:rsidR="003D1432">
        <w:rPr>
          <w:rFonts w:ascii="Times New Roman" w:hAnsi="Times New Roman" w:cs="Times New Roman"/>
        </w:rPr>
        <w:br w:type="textWrapping" w:clear="all"/>
      </w:r>
      <w:bookmarkStart w:id="53" w:name="_Toc155904533"/>
      <w:sdt>
        <w:sdtPr>
          <w:id w:val="444822464"/>
          <w:citation/>
        </w:sdtPr>
        <w:sdtContent>
          <w:r w:rsidR="001D56B0">
            <w:fldChar w:fldCharType="begin"/>
          </w:r>
          <w:r w:rsidR="001D56B0">
            <w:rPr>
              <w:lang w:val="en-GB"/>
            </w:rPr>
            <w:instrText xml:space="preserve"> CITATION Nat22 \l 2057 </w:instrText>
          </w:r>
          <w:r w:rsidR="001D56B0">
            <w:fldChar w:fldCharType="separate"/>
          </w:r>
          <w:r w:rsidR="002C0313" w:rsidRPr="002C0313">
            <w:rPr>
              <w:noProof/>
              <w:lang w:val="en-GB"/>
            </w:rPr>
            <w:t>(Natwest Group plc, 2022)</w:t>
          </w:r>
          <w:r w:rsidR="001D56B0">
            <w:fldChar w:fldCharType="end"/>
          </w:r>
        </w:sdtContent>
      </w:sdt>
      <w:bookmarkEnd w:id="53"/>
    </w:p>
    <w:p w14:paraId="5F85CDEC" w14:textId="3D2C4597"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t>Almost 77% of all new Current and Savings Account openings in Retail Banking were digitized without any need for human intervention in 2022. The bank’s vision is about offering the most superior digital experience and accessibility to the best people. 88% of customer needs are filled digitally, emphasizing the NatWest Group’s commitment to satisfying its customers</w:t>
      </w:r>
      <w:sdt>
        <w:sdtPr>
          <w:rPr>
            <w:rFonts w:ascii="Times New Roman" w:hAnsi="Times New Roman" w:cs="Times New Roman"/>
          </w:rPr>
          <w:id w:val="-653919413"/>
          <w:citation/>
        </w:sdtPr>
        <w:sdtContent>
          <w:r w:rsidR="008C6019">
            <w:rPr>
              <w:rFonts w:ascii="Times New Roman" w:hAnsi="Times New Roman" w:cs="Times New Roman"/>
            </w:rPr>
            <w:fldChar w:fldCharType="begin"/>
          </w:r>
          <w:r w:rsidR="00B21526">
            <w:rPr>
              <w:rFonts w:ascii="Times New Roman" w:hAnsi="Times New Roman" w:cs="Times New Roman"/>
              <w:lang w:val="en-GB"/>
            </w:rPr>
            <w:instrText xml:space="preserve">CITATION Nat232 \l 2057 </w:instrText>
          </w:r>
          <w:r w:rsidR="008C601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8C6019">
            <w:rPr>
              <w:rFonts w:ascii="Times New Roman" w:hAnsi="Times New Roman" w:cs="Times New Roman"/>
            </w:rPr>
            <w:fldChar w:fldCharType="end"/>
          </w:r>
        </w:sdtContent>
      </w:sdt>
      <w:r w:rsidRPr="001F30D6">
        <w:rPr>
          <w:rFonts w:ascii="Times New Roman" w:hAnsi="Times New Roman" w:cs="Times New Roman"/>
        </w:rPr>
        <w:t xml:space="preserve">. NatWest Group has established customer satisfaction at record highs, which indicates that more customers are choosing the bank for their primary banking needs. 48.4% of queries are fully </w:t>
      </w:r>
      <w:r w:rsidR="006A24C9" w:rsidRPr="001F30D6">
        <w:rPr>
          <w:rFonts w:ascii="Times New Roman" w:hAnsi="Times New Roman" w:cs="Times New Roman"/>
        </w:rPr>
        <w:t>supported</w:t>
      </w:r>
      <w:r w:rsidRPr="001F30D6">
        <w:rPr>
          <w:rFonts w:ascii="Times New Roman" w:hAnsi="Times New Roman" w:cs="Times New Roman"/>
        </w:rPr>
        <w:t xml:space="preserve"> by the AI virtual assistant, </w:t>
      </w:r>
      <w:r w:rsidR="003B0F45" w:rsidRPr="001F30D6">
        <w:rPr>
          <w:rFonts w:ascii="Times New Roman" w:hAnsi="Times New Roman" w:cs="Times New Roman"/>
        </w:rPr>
        <w:t>Cora,</w:t>
      </w:r>
      <w:r w:rsidRPr="001F30D6">
        <w:rPr>
          <w:rFonts w:ascii="Times New Roman" w:hAnsi="Times New Roman" w:cs="Times New Roman"/>
        </w:rPr>
        <w:t xml:space="preserve"> without any human intervention in customer service. </w:t>
      </w:r>
    </w:p>
    <w:p w14:paraId="6249EE36" w14:textId="77777777" w:rsidR="005761D1" w:rsidRDefault="001F30D6" w:rsidP="005761D1">
      <w:pPr>
        <w:spacing w:line="360" w:lineRule="auto"/>
        <w:jc w:val="both"/>
      </w:pPr>
      <w:r w:rsidRPr="004123AF">
        <w:rPr>
          <w:noProof/>
        </w:rPr>
        <w:drawing>
          <wp:inline distT="0" distB="0" distL="0" distR="0" wp14:anchorId="76309EAC" wp14:editId="424430BC">
            <wp:extent cx="2263336" cy="1600339"/>
            <wp:effectExtent l="0" t="0" r="3810" b="0"/>
            <wp:docPr id="11" name="Picture 11" descr="A white cell phone with a fac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cell phone with a face on it&#10;&#10;Description automatically generated"/>
                    <pic:cNvPicPr/>
                  </pic:nvPicPr>
                  <pic:blipFill>
                    <a:blip r:embed="rId26"/>
                    <a:stretch>
                      <a:fillRect/>
                    </a:stretch>
                  </pic:blipFill>
                  <pic:spPr>
                    <a:xfrm>
                      <a:off x="0" y="0"/>
                      <a:ext cx="2263336" cy="1600339"/>
                    </a:xfrm>
                    <a:prstGeom prst="rect">
                      <a:avLst/>
                    </a:prstGeom>
                  </pic:spPr>
                </pic:pic>
              </a:graphicData>
            </a:graphic>
          </wp:inline>
        </w:drawing>
      </w:r>
      <w:r w:rsidRPr="004123AF">
        <w:rPr>
          <w:noProof/>
        </w:rPr>
        <w:drawing>
          <wp:inline distT="0" distB="0" distL="0" distR="0" wp14:anchorId="4D0E66B3" wp14:editId="3C86C907">
            <wp:extent cx="1265030" cy="1112616"/>
            <wp:effectExtent l="0" t="0" r="0" b="0"/>
            <wp:docPr id="12" name="Picture 12" descr="A pink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nk background with purple text&#10;&#10;Description automatically generated"/>
                    <pic:cNvPicPr/>
                  </pic:nvPicPr>
                  <pic:blipFill>
                    <a:blip r:embed="rId27"/>
                    <a:stretch>
                      <a:fillRect/>
                    </a:stretch>
                  </pic:blipFill>
                  <pic:spPr>
                    <a:xfrm>
                      <a:off x="0" y="0"/>
                      <a:ext cx="1265030" cy="1112616"/>
                    </a:xfrm>
                    <a:prstGeom prst="rect">
                      <a:avLst/>
                    </a:prstGeom>
                  </pic:spPr>
                </pic:pic>
              </a:graphicData>
            </a:graphic>
          </wp:inline>
        </w:drawing>
      </w:r>
      <w:bookmarkStart w:id="54" w:name="_Toc155904534"/>
    </w:p>
    <w:p w14:paraId="63A74CFE" w14:textId="49447219" w:rsidR="001F30D6" w:rsidRDefault="001F30D6" w:rsidP="005761D1">
      <w:pPr>
        <w:spacing w:line="360" w:lineRule="auto"/>
        <w:jc w:val="both"/>
        <w:rPr>
          <w:rFonts w:ascii="Times New Roman" w:hAnsi="Times New Roman" w:cs="Times New Roman"/>
        </w:rPr>
      </w:pPr>
      <w:r w:rsidRPr="00DD2400">
        <w:t xml:space="preserve"> (NatWest Group plc</w:t>
      </w:r>
      <w:r w:rsidR="005761D1">
        <w:t>,</w:t>
      </w:r>
      <w:r w:rsidRPr="00DD2400">
        <w:t xml:space="preserve"> 2023)</w:t>
      </w:r>
      <w:bookmarkEnd w:id="54"/>
    </w:p>
    <w:p w14:paraId="24419267" w14:textId="1D1B8DF0"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lastRenderedPageBreak/>
        <w:t>As NatWest Group shifted its focus on providing accessible and convenient services to its vast pool of customers, the bank has simplified appointment booking processes with over 330k video appointments held. NatWest Group is steadfast in its quest to provide the best digital experience coupled with access to A-grade human talent. The emphasis is still on improving the digital experience for customers, where currently 88% of their needs are met through these channels. This commitment has led to the fact that the bank reached its highest levels of customer satisfaction in history, as more and more customers choose NatWest Group as their primary partner for banking services</w:t>
      </w:r>
      <w:sdt>
        <w:sdtPr>
          <w:rPr>
            <w:rFonts w:ascii="Times New Roman" w:hAnsi="Times New Roman" w:cs="Times New Roman"/>
          </w:rPr>
          <w:id w:val="1123341078"/>
          <w:citation/>
        </w:sdtPr>
        <w:sdtContent>
          <w:r w:rsidR="00475187">
            <w:rPr>
              <w:rFonts w:ascii="Times New Roman" w:hAnsi="Times New Roman" w:cs="Times New Roman"/>
            </w:rPr>
            <w:fldChar w:fldCharType="begin"/>
          </w:r>
          <w:r w:rsidR="00C5369B">
            <w:rPr>
              <w:rFonts w:ascii="Times New Roman" w:hAnsi="Times New Roman" w:cs="Times New Roman"/>
              <w:lang w:val="en-GB"/>
            </w:rPr>
            <w:instrText xml:space="preserve">CITATION Nat233 \l 2057 </w:instrText>
          </w:r>
          <w:r w:rsidR="00475187">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475187">
            <w:rPr>
              <w:rFonts w:ascii="Times New Roman" w:hAnsi="Times New Roman" w:cs="Times New Roman"/>
            </w:rPr>
            <w:fldChar w:fldCharType="end"/>
          </w:r>
        </w:sdtContent>
      </w:sdt>
      <w:r w:rsidRPr="001F30D6">
        <w:rPr>
          <w:rFonts w:ascii="Times New Roman" w:hAnsi="Times New Roman" w:cs="Times New Roman"/>
        </w:rPr>
        <w:t>. Importantly, the digital platforms of NatWest Group are designed to ensure safe and convenient banking experiences. The digital account opening journey has driven the cost of fraud to unprecedented lows and customer satisfaction levels not seen before. It has introduced a payment hub in the app which helped to simplify and secure payments, with 46% of all transactions being authenticated through biometrics. Innovative functions such as “Card reveal” which allows for quick access to card details, and a similar function in the app called ‘PIN reveal’, which enables viewing PINs to help sustainability by reducing the need for physical reminders.</w:t>
      </w:r>
    </w:p>
    <w:p w14:paraId="029A4300" w14:textId="64B76601"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t xml:space="preserve">NatWest Group assists around 0.5 million customers in starting their savings journey to ensure financial preparedness ahead of time in 2022 </w:t>
      </w:r>
      <w:r>
        <w:t>(NatWest Group</w:t>
      </w:r>
      <w:r w:rsidR="0093234D">
        <w:t>,</w:t>
      </w:r>
      <w:r>
        <w:t xml:space="preserve"> 2023)</w:t>
      </w:r>
      <w:r w:rsidRPr="001F30D6">
        <w:rPr>
          <w:rFonts w:ascii="Times New Roman" w:hAnsi="Times New Roman" w:cs="Times New Roman"/>
        </w:rPr>
        <w:t>. The bank has increased the interest rate for digital regular savers and has launched ‘Round Ups’ to make it easy for small, frequent savings that attracted over 1.25 million customers who collectively managed Initiatives such as Rooster Money, with 89k new cards opened show that they intend to teach good financial habits in future generations</w:t>
      </w:r>
      <w:sdt>
        <w:sdtPr>
          <w:rPr>
            <w:rFonts w:ascii="Times New Roman" w:hAnsi="Times New Roman" w:cs="Times New Roman"/>
          </w:rPr>
          <w:id w:val="1156028491"/>
          <w:citation/>
        </w:sdtPr>
        <w:sdtContent>
          <w:r w:rsidR="00A03CE0">
            <w:rPr>
              <w:rFonts w:ascii="Times New Roman" w:hAnsi="Times New Roman" w:cs="Times New Roman"/>
            </w:rPr>
            <w:fldChar w:fldCharType="begin"/>
          </w:r>
          <w:r w:rsidR="00C5369B">
            <w:rPr>
              <w:rFonts w:ascii="Times New Roman" w:hAnsi="Times New Roman" w:cs="Times New Roman"/>
              <w:lang w:val="en-GB"/>
            </w:rPr>
            <w:instrText xml:space="preserve">CITATION Nat234 \l 2057 </w:instrText>
          </w:r>
          <w:r w:rsidR="00A03CE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A03CE0">
            <w:rPr>
              <w:rFonts w:ascii="Times New Roman" w:hAnsi="Times New Roman" w:cs="Times New Roman"/>
            </w:rPr>
            <w:fldChar w:fldCharType="end"/>
          </w:r>
        </w:sdtContent>
      </w:sdt>
      <w:r w:rsidRPr="001F30D6">
        <w:rPr>
          <w:rFonts w:ascii="Times New Roman" w:hAnsi="Times New Roman" w:cs="Times New Roman"/>
        </w:rPr>
        <w:t xml:space="preserve">. For customers who are interested in long-term growth, NatWest Group provides such digital investing platforms as Nat West Invest and Royal Bank Invest. 31,000 new investment accounts opened </w:t>
      </w:r>
      <w:r w:rsidR="00A03CE0" w:rsidRPr="001F30D6">
        <w:rPr>
          <w:rFonts w:ascii="Times New Roman" w:hAnsi="Times New Roman" w:cs="Times New Roman"/>
        </w:rPr>
        <w:t>on</w:t>
      </w:r>
      <w:r w:rsidRPr="001F30D6">
        <w:rPr>
          <w:rFonts w:ascii="Times New Roman" w:hAnsi="Times New Roman" w:cs="Times New Roman"/>
        </w:rPr>
        <w:t xml:space="preserve"> these platforms allow customers to invest £50 into a choice of five funds based on their risk and time profile. With these efforts, NatWest Group contributes to empowering customers to maximize their money and reach their financial aspirations</w:t>
      </w:r>
      <w:sdt>
        <w:sdtPr>
          <w:rPr>
            <w:rFonts w:ascii="Times New Roman" w:hAnsi="Times New Roman" w:cs="Times New Roman"/>
          </w:rPr>
          <w:id w:val="977351051"/>
          <w:citation/>
        </w:sdtPr>
        <w:sdtContent>
          <w:r w:rsidR="001E1647">
            <w:rPr>
              <w:rFonts w:ascii="Times New Roman" w:hAnsi="Times New Roman" w:cs="Times New Roman"/>
            </w:rPr>
            <w:fldChar w:fldCharType="begin"/>
          </w:r>
          <w:r w:rsidR="001E1647">
            <w:rPr>
              <w:rFonts w:ascii="Times New Roman" w:hAnsi="Times New Roman" w:cs="Times New Roman"/>
              <w:lang w:val="en-GB"/>
            </w:rPr>
            <w:instrText xml:space="preserve"> CITATION Nat22 \l 2057 </w:instrText>
          </w:r>
          <w:r w:rsidR="001E1647">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2022)</w:t>
          </w:r>
          <w:r w:rsidR="001E1647">
            <w:rPr>
              <w:rFonts w:ascii="Times New Roman" w:hAnsi="Times New Roman" w:cs="Times New Roman"/>
            </w:rPr>
            <w:fldChar w:fldCharType="end"/>
          </w:r>
        </w:sdtContent>
      </w:sdt>
      <w:r w:rsidRPr="001F30D6">
        <w:rPr>
          <w:rFonts w:ascii="Times New Roman" w:hAnsi="Times New Roman" w:cs="Times New Roman"/>
        </w:rPr>
        <w:t>.</w:t>
      </w:r>
    </w:p>
    <w:p w14:paraId="4B8B24E2" w14:textId="5574E3D6" w:rsidR="001F30D6" w:rsidRPr="001E7418" w:rsidRDefault="001F30D6" w:rsidP="001E7418">
      <w:pPr>
        <w:pStyle w:val="ListParagraph"/>
        <w:spacing w:line="360" w:lineRule="auto"/>
        <w:jc w:val="both"/>
        <w:rPr>
          <w:rFonts w:ascii="Times New Roman" w:hAnsi="Times New Roman" w:cs="Times New Roman"/>
        </w:rPr>
      </w:pPr>
      <w:r w:rsidRPr="001F30D6">
        <w:rPr>
          <w:rFonts w:ascii="Times New Roman" w:hAnsi="Times New Roman" w:cs="Times New Roman"/>
        </w:rPr>
        <w:br w:type="page"/>
      </w:r>
    </w:p>
    <w:p w14:paraId="247DC634" w14:textId="77777777" w:rsidR="00493394" w:rsidRPr="00694D5D" w:rsidRDefault="00493394" w:rsidP="002F4ADE">
      <w:pPr>
        <w:pStyle w:val="Heading1"/>
        <w:numPr>
          <w:ilvl w:val="0"/>
          <w:numId w:val="8"/>
        </w:numPr>
        <w:spacing w:line="360" w:lineRule="auto"/>
        <w:jc w:val="both"/>
        <w:rPr>
          <w:rFonts w:ascii="Times New Roman" w:hAnsi="Times New Roman" w:cs="Times New Roman"/>
        </w:rPr>
      </w:pPr>
      <w:bookmarkStart w:id="55" w:name="_Toc158706297"/>
      <w:r w:rsidRPr="00694D5D">
        <w:rPr>
          <w:rFonts w:ascii="Times New Roman" w:hAnsi="Times New Roman" w:cs="Times New Roman"/>
        </w:rPr>
        <w:lastRenderedPageBreak/>
        <w:t>Discussion</w:t>
      </w:r>
      <w:bookmarkEnd w:id="55"/>
    </w:p>
    <w:p w14:paraId="08297057" w14:textId="77777777" w:rsidR="00493394" w:rsidRDefault="00493394" w:rsidP="002F4ADE">
      <w:pPr>
        <w:pStyle w:val="Heading1"/>
        <w:numPr>
          <w:ilvl w:val="1"/>
          <w:numId w:val="8"/>
        </w:numPr>
        <w:spacing w:line="360" w:lineRule="auto"/>
        <w:jc w:val="both"/>
        <w:rPr>
          <w:rFonts w:ascii="Times New Roman" w:hAnsi="Times New Roman" w:cs="Times New Roman"/>
        </w:rPr>
      </w:pPr>
      <w:bookmarkStart w:id="56" w:name="_Toc158706298"/>
      <w:r w:rsidRPr="00694D5D">
        <w:rPr>
          <w:rFonts w:ascii="Times New Roman" w:hAnsi="Times New Roman" w:cs="Times New Roman"/>
        </w:rPr>
        <w:t>Interpretation of Findings</w:t>
      </w:r>
      <w:bookmarkEnd w:id="56"/>
    </w:p>
    <w:p w14:paraId="5B990317" w14:textId="1733C6A3"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Traditional banks including such banking giants as HSBC Holdings, Lloyds Banking Group, Barclays, Santander, and NatWest Group are making significant investments in digital technologies to help them undergo their strategic transformation initiatives. These include many-sided investments in the latest solutions like blockchain for cross-border payments, new trading platforms to allow trade finance products online, and creating popular banking apps available on all mobile device</w:t>
      </w:r>
      <w:r w:rsidR="009238BA">
        <w:rPr>
          <w:rFonts w:ascii="Times New Roman" w:hAnsi="Times New Roman" w:cs="Times New Roman"/>
        </w:rPr>
        <w:t>s</w:t>
      </w:r>
      <w:r w:rsidRPr="00ED5AC7">
        <w:rPr>
          <w:rFonts w:ascii="Times New Roman" w:hAnsi="Times New Roman" w:cs="Times New Roman"/>
        </w:rPr>
        <w:t>. Notably, at HSBC technology spending increased by 19% and Lloyds focusing on becoming the UK's largest digital bank with its investment of more than £4 billion aimed at making these traditional banks, leaders in the digital age.</w:t>
      </w:r>
    </w:p>
    <w:p w14:paraId="1818702A" w14:textId="42EB34C5"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 xml:space="preserve">With the digitalization of banking services, it is easy to see how they </w:t>
      </w:r>
      <w:r w:rsidR="00543C7F" w:rsidRPr="00ED5AC7">
        <w:rPr>
          <w:rFonts w:ascii="Times New Roman" w:hAnsi="Times New Roman" w:cs="Times New Roman"/>
        </w:rPr>
        <w:t>have changed</w:t>
      </w:r>
      <w:r w:rsidRPr="00ED5AC7">
        <w:rPr>
          <w:rFonts w:ascii="Times New Roman" w:hAnsi="Times New Roman" w:cs="Times New Roman"/>
        </w:rPr>
        <w:t xml:space="preserve"> dramatically as more customers now use virtual channels and fewer prefer physical branches. Modernization of account openings that do not require human intervention, AI-powered virtual assistants like Cora in the NatWest Group, and implementation of the first digital trade transaction by Lloyds highlight how transformational this trend is when it comes to customer service as well as product offerings. Branch networks are transforming to accommodate changing customer needs, focusing on inclusive and sustainable services that can be tailored for every individual user. First, traditional banks are strategically responding to </w:t>
      </w:r>
      <w:r w:rsidR="003B0F45" w:rsidRPr="00ED5AC7">
        <w:rPr>
          <w:rFonts w:ascii="Times New Roman" w:hAnsi="Times New Roman" w:cs="Times New Roman"/>
        </w:rPr>
        <w:t>offering</w:t>
      </w:r>
      <w:r w:rsidRPr="00ED5AC7">
        <w:rPr>
          <w:rFonts w:ascii="Times New Roman" w:hAnsi="Times New Roman" w:cs="Times New Roman"/>
        </w:rPr>
        <w:t xml:space="preserve"> innovative solutions such as freezing debit cards, introducing mobile-first onboarding propositions, and simplifying digital account opening processes. This involves adhering to UK data protection and finance laws as traditional banks implement digital transformation. Their dedication to mastering the legal landscape during digitalization is seen in their commitment to accessibility and user-friendliness, compliance with data protection laws, and initiatives aimed at overcoming financial challenges </w:t>
      </w:r>
      <w:r>
        <w:t>(Gogia &amp; Chakraborty 2022)</w:t>
      </w:r>
      <w:r w:rsidRPr="00ED5AC7">
        <w:rPr>
          <w:rFonts w:ascii="Times New Roman" w:hAnsi="Times New Roman" w:cs="Times New Roman"/>
        </w:rPr>
        <w:t>. Continuous investments in technology and capabilities related to business operations, such as the implementation of HSBC’s ‘Rising Cost of Living Hub’, suggest a comprehensive consideration of dealing with changing customer requirements coupled with the need for meeting regulatory guidelines.</w:t>
      </w:r>
    </w:p>
    <w:p w14:paraId="7C93A776" w14:textId="77777777"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 xml:space="preserve">In analyzing present data and trends, it’s possible to understand what the future is going to be like for traditional banks in this digital age. Powerful patterns are fullness in mobile apps, AI-driven </w:t>
      </w:r>
      <w:r w:rsidRPr="00ED5AC7">
        <w:rPr>
          <w:rFonts w:ascii="Times New Roman" w:hAnsi="Times New Roman" w:cs="Times New Roman"/>
        </w:rPr>
        <w:lastRenderedPageBreak/>
        <w:t xml:space="preserve">services, and blockchain technology and a clear preference for digital channels from the customers’ side </w:t>
      </w:r>
      <w:r>
        <w:t>(Khadka 2023)</w:t>
      </w:r>
      <w:r w:rsidRPr="00ED5AC7">
        <w:rPr>
          <w:rFonts w:ascii="Times New Roman" w:hAnsi="Times New Roman" w:cs="Times New Roman"/>
        </w:rPr>
        <w:t>. Trends also show the focus on inclusivity, sustainability, and continuous innovation as major factors that will shape the future environment.</w:t>
      </w:r>
    </w:p>
    <w:p w14:paraId="5403838B" w14:textId="29AB7A99" w:rsidR="00DA7507" w:rsidRPr="00DC6128" w:rsidRDefault="00DC6128" w:rsidP="00DC6128">
      <w:pPr>
        <w:pStyle w:val="Heading1"/>
        <w:numPr>
          <w:ilvl w:val="1"/>
          <w:numId w:val="8"/>
        </w:numPr>
        <w:spacing w:line="360" w:lineRule="auto"/>
        <w:jc w:val="both"/>
        <w:rPr>
          <w:rFonts w:ascii="Times New Roman" w:hAnsi="Times New Roman" w:cs="Times New Roman"/>
        </w:rPr>
      </w:pPr>
      <w:bookmarkStart w:id="57" w:name="_Toc155903017"/>
      <w:r w:rsidRPr="00DC6128">
        <w:rPr>
          <w:rFonts w:ascii="Times New Roman" w:hAnsi="Times New Roman" w:cs="Times New Roman"/>
        </w:rPr>
        <w:t xml:space="preserve"> </w:t>
      </w:r>
      <w:bookmarkStart w:id="58" w:name="_Toc158706299"/>
      <w:r w:rsidR="00DA7507" w:rsidRPr="00DC6128">
        <w:rPr>
          <w:rFonts w:ascii="Times New Roman" w:hAnsi="Times New Roman" w:cs="Times New Roman"/>
        </w:rPr>
        <w:t>Link with Research Questions</w:t>
      </w:r>
      <w:bookmarkEnd w:id="57"/>
      <w:bookmarkEnd w:id="58"/>
    </w:p>
    <w:p w14:paraId="25DA51DA" w14:textId="77777777" w:rsidR="00DA7507" w:rsidRPr="00694D5D" w:rsidRDefault="00DA7507" w:rsidP="00DA7507">
      <w:pPr>
        <w:spacing w:line="360" w:lineRule="auto"/>
        <w:jc w:val="both"/>
        <w:rPr>
          <w:rFonts w:ascii="Times New Roman" w:hAnsi="Times New Roman" w:cs="Times New Roman"/>
          <w:b/>
        </w:rPr>
      </w:pPr>
      <w:r w:rsidRPr="00694D5D">
        <w:rPr>
          <w:rFonts w:ascii="Times New Roman" w:hAnsi="Times New Roman" w:cs="Times New Roman"/>
          <w:b/>
        </w:rPr>
        <w:t>How much has the traditional bank invested in digital technologies, and what specific technologies are prioritized in the digital transformation strategy?</w:t>
      </w:r>
    </w:p>
    <w:p w14:paraId="4382D051" w14:textId="16DB47F4" w:rsidR="00DA7507" w:rsidRPr="00BB168E" w:rsidRDefault="00DA7507" w:rsidP="00DA7507">
      <w:pPr>
        <w:spacing w:line="360" w:lineRule="auto"/>
        <w:jc w:val="both"/>
        <w:rPr>
          <w:rFonts w:ascii="Times New Roman" w:hAnsi="Times New Roman" w:cs="Times New Roman"/>
        </w:rPr>
      </w:pPr>
      <w:r w:rsidRPr="00694D5D">
        <w:rPr>
          <w:rFonts w:ascii="Times New Roman" w:hAnsi="Times New Roman" w:cs="Times New Roman"/>
        </w:rPr>
        <w:t xml:space="preserve">In the UK, there is a radically changing landscape of traditional banking as large financial establishments such </w:t>
      </w:r>
      <w:r>
        <w:rPr>
          <w:rFonts w:ascii="Times New Roman" w:hAnsi="Times New Roman" w:cs="Times New Roman"/>
        </w:rPr>
        <w:t xml:space="preserve">as </w:t>
      </w:r>
      <w:r w:rsidRPr="00694D5D">
        <w:rPr>
          <w:rFonts w:ascii="Times New Roman" w:hAnsi="Times New Roman" w:cs="Times New Roman"/>
        </w:rPr>
        <w:t>HSBC Holdings Ltd., Lloyds Banking Group, Barclays</w:t>
      </w:r>
      <w:r>
        <w:rPr>
          <w:rFonts w:ascii="Times New Roman" w:hAnsi="Times New Roman" w:cs="Times New Roman"/>
        </w:rPr>
        <w:t>,</w:t>
      </w:r>
      <w:r w:rsidRPr="00694D5D">
        <w:rPr>
          <w:rFonts w:ascii="Times New Roman" w:hAnsi="Times New Roman" w:cs="Times New Roman"/>
        </w:rPr>
        <w:t xml:space="preserve"> and Santander show tremendous commitments to digital initiatives which drive this metamorphosis. The most recent data available makes it clear that traditional banks have a strong collective drive behind them with figures in the realm of billions of pounds committed to their technological advancements. </w:t>
      </w:r>
      <w:r w:rsidR="002500F3" w:rsidRPr="00694D5D">
        <w:rPr>
          <w:rFonts w:ascii="Times New Roman" w:hAnsi="Times New Roman" w:cs="Times New Roman"/>
        </w:rPr>
        <w:t>This</w:t>
      </w:r>
      <w:r w:rsidRPr="00694D5D">
        <w:rPr>
          <w:rFonts w:ascii="Times New Roman" w:hAnsi="Times New Roman" w:cs="Times New Roman"/>
        </w:rPr>
        <w:t xml:space="preserve"> subtle view reveals certain patterns and approaches embraced by these bodies, emphasizing their consistent determination to stay ahead in the digital transformation that redefines the financial world</w:t>
      </w:r>
      <w:r>
        <w:t>.</w:t>
      </w:r>
      <w:r w:rsidR="00710747">
        <w:t xml:space="preserve"> </w:t>
      </w:r>
      <w:r w:rsidR="00710747" w:rsidRPr="00BB168E">
        <w:rPr>
          <w:rFonts w:ascii="Times New Roman" w:hAnsi="Times New Roman" w:cs="Times New Roman"/>
        </w:rPr>
        <w:t xml:space="preserve">The </w:t>
      </w:r>
      <w:r w:rsidR="003356B3" w:rsidRPr="00BB168E">
        <w:rPr>
          <w:rFonts w:ascii="Times New Roman" w:hAnsi="Times New Roman" w:cs="Times New Roman"/>
        </w:rPr>
        <w:t>investments in digital technolo</w:t>
      </w:r>
      <w:r w:rsidR="00717B34" w:rsidRPr="00BB168E">
        <w:rPr>
          <w:rFonts w:ascii="Times New Roman" w:hAnsi="Times New Roman" w:cs="Times New Roman"/>
        </w:rPr>
        <w:t>gies</w:t>
      </w:r>
      <w:r w:rsidR="00552926" w:rsidRPr="00BB168E">
        <w:rPr>
          <w:rFonts w:ascii="Times New Roman" w:hAnsi="Times New Roman" w:cs="Times New Roman"/>
        </w:rPr>
        <w:t xml:space="preserve"> and technology initiatives</w:t>
      </w:r>
      <w:r w:rsidR="000D7EA9" w:rsidRPr="00BB168E">
        <w:rPr>
          <w:rFonts w:ascii="Times New Roman" w:hAnsi="Times New Roman" w:cs="Times New Roman"/>
        </w:rPr>
        <w:t xml:space="preserve"> prioritized</w:t>
      </w:r>
      <w:r w:rsidR="00717B34" w:rsidRPr="00BB168E">
        <w:rPr>
          <w:rFonts w:ascii="Times New Roman" w:hAnsi="Times New Roman" w:cs="Times New Roman"/>
        </w:rPr>
        <w:t xml:space="preserve"> by sampled </w:t>
      </w:r>
      <w:r w:rsidR="00C73566" w:rsidRPr="00BB168E">
        <w:rPr>
          <w:rFonts w:ascii="Times New Roman" w:hAnsi="Times New Roman" w:cs="Times New Roman"/>
        </w:rPr>
        <w:t xml:space="preserve">banks </w:t>
      </w:r>
      <w:r w:rsidR="000D7EA9" w:rsidRPr="00BB168E">
        <w:rPr>
          <w:rFonts w:ascii="Times New Roman" w:hAnsi="Times New Roman" w:cs="Times New Roman"/>
        </w:rPr>
        <w:t xml:space="preserve">in the digital transformation strategy </w:t>
      </w:r>
      <w:r w:rsidR="00C73566" w:rsidRPr="00BB168E">
        <w:rPr>
          <w:rFonts w:ascii="Times New Roman" w:hAnsi="Times New Roman" w:cs="Times New Roman"/>
        </w:rPr>
        <w:t>are</w:t>
      </w:r>
      <w:r w:rsidR="00A75DF7" w:rsidRPr="00BB168E">
        <w:rPr>
          <w:rFonts w:ascii="Times New Roman" w:hAnsi="Times New Roman" w:cs="Times New Roman"/>
        </w:rPr>
        <w:t xml:space="preserve"> as follows:</w:t>
      </w:r>
    </w:p>
    <w:p w14:paraId="7B552437" w14:textId="65EDF90E" w:rsidR="00804DD9" w:rsidRPr="00BB168E" w:rsidRDefault="00804DD9" w:rsidP="00DA7507">
      <w:pPr>
        <w:spacing w:line="360" w:lineRule="auto"/>
        <w:jc w:val="both"/>
        <w:rPr>
          <w:rFonts w:ascii="Times New Roman" w:hAnsi="Times New Roman" w:cs="Times New Roman"/>
          <w:b/>
          <w:bCs/>
        </w:rPr>
      </w:pPr>
      <w:r w:rsidRPr="00BB168E">
        <w:rPr>
          <w:rFonts w:ascii="Times New Roman" w:hAnsi="Times New Roman" w:cs="Times New Roman"/>
          <w:b/>
          <w:bCs/>
        </w:rPr>
        <w:t>HS</w:t>
      </w:r>
      <w:r w:rsidR="0079013C" w:rsidRPr="00BB168E">
        <w:rPr>
          <w:rFonts w:ascii="Times New Roman" w:hAnsi="Times New Roman" w:cs="Times New Roman"/>
          <w:b/>
          <w:bCs/>
        </w:rPr>
        <w:t>DC Holding PLC</w:t>
      </w:r>
    </w:p>
    <w:p w14:paraId="3E778CAC" w14:textId="328AE769" w:rsidR="004B1E6A" w:rsidRPr="00702837" w:rsidRDefault="00836B2C" w:rsidP="00FB2A54">
      <w:pPr>
        <w:pStyle w:val="Caption"/>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bookmarkStart w:id="59" w:name="_Toc158706225"/>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\s 1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E65D9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5D98" w:rsidRPr="009E3DE9">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HSBC Holding PLC</w:t>
      </w:r>
      <w:bookmarkEnd w:id="59"/>
    </w:p>
    <w:tbl>
      <w:tblPr>
        <w:tblStyle w:val="TableGrid"/>
        <w:tblW w:w="9380" w:type="dxa"/>
        <w:tblLook w:val="04A0" w:firstRow="1" w:lastRow="0" w:firstColumn="1" w:lastColumn="0" w:noHBand="0" w:noVBand="1"/>
      </w:tblPr>
      <w:tblGrid>
        <w:gridCol w:w="846"/>
        <w:gridCol w:w="2551"/>
        <w:gridCol w:w="2835"/>
        <w:gridCol w:w="3148"/>
      </w:tblGrid>
      <w:tr w:rsidR="00DD5975" w14:paraId="24DD6F3C" w14:textId="77777777" w:rsidTr="00047EAE">
        <w:trPr>
          <w:trHeight w:val="400"/>
        </w:trPr>
        <w:tc>
          <w:tcPr>
            <w:tcW w:w="846" w:type="dxa"/>
          </w:tcPr>
          <w:p w14:paraId="20A0E0AD"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551" w:type="dxa"/>
          </w:tcPr>
          <w:p w14:paraId="56D81BAC"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3BAA729F"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14FC0F23"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DD5975" w14:paraId="3277A4E8" w14:textId="77777777" w:rsidTr="00047EAE">
        <w:trPr>
          <w:trHeight w:val="788"/>
        </w:trPr>
        <w:tc>
          <w:tcPr>
            <w:tcW w:w="846" w:type="dxa"/>
          </w:tcPr>
          <w:p w14:paraId="5E010924"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68C89AB1"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72E378B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AI- powered index investment product</w:t>
            </w:r>
          </w:p>
        </w:tc>
        <w:tc>
          <w:tcPr>
            <w:tcW w:w="3148" w:type="dxa"/>
          </w:tcPr>
          <w:p w14:paraId="1B9B5E26"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HSBC AI Global Tactical Index (HSBC AIGT)</w:t>
            </w:r>
          </w:p>
        </w:tc>
      </w:tr>
      <w:tr w:rsidR="00DD5975" w14:paraId="0BDE28AB" w14:textId="77777777" w:rsidTr="00047EAE">
        <w:trPr>
          <w:trHeight w:val="400"/>
        </w:trPr>
        <w:tc>
          <w:tcPr>
            <w:tcW w:w="846" w:type="dxa"/>
          </w:tcPr>
          <w:p w14:paraId="32FE2E9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2022</w:t>
            </w:r>
          </w:p>
        </w:tc>
        <w:tc>
          <w:tcPr>
            <w:tcW w:w="2551" w:type="dxa"/>
          </w:tcPr>
          <w:p w14:paraId="5C4E870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Digitalization</w:t>
            </w:r>
          </w:p>
        </w:tc>
        <w:tc>
          <w:tcPr>
            <w:tcW w:w="2835" w:type="dxa"/>
          </w:tcPr>
          <w:p w14:paraId="4B9E595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Credit Passport</w:t>
            </w:r>
          </w:p>
        </w:tc>
        <w:tc>
          <w:tcPr>
            <w:tcW w:w="3148" w:type="dxa"/>
          </w:tcPr>
          <w:p w14:paraId="14D6B4AE"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Nova Credit</w:t>
            </w:r>
          </w:p>
        </w:tc>
      </w:tr>
      <w:tr w:rsidR="00DD5975" w14:paraId="1239AB79" w14:textId="77777777" w:rsidTr="00047EAE">
        <w:trPr>
          <w:trHeight w:val="372"/>
        </w:trPr>
        <w:tc>
          <w:tcPr>
            <w:tcW w:w="846" w:type="dxa"/>
          </w:tcPr>
          <w:p w14:paraId="64CAD719"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2020</w:t>
            </w:r>
          </w:p>
        </w:tc>
        <w:tc>
          <w:tcPr>
            <w:tcW w:w="2551" w:type="dxa"/>
          </w:tcPr>
          <w:p w14:paraId="54AAD60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Digital Development</w:t>
            </w:r>
          </w:p>
        </w:tc>
        <w:tc>
          <w:tcPr>
            <w:tcW w:w="2835" w:type="dxa"/>
          </w:tcPr>
          <w:p w14:paraId="38E11B90"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Online community</w:t>
            </w:r>
          </w:p>
        </w:tc>
        <w:tc>
          <w:tcPr>
            <w:tcW w:w="3148" w:type="dxa"/>
          </w:tcPr>
          <w:p w14:paraId="2EEB416C" w14:textId="77777777" w:rsidR="00DD5975" w:rsidRDefault="00DD5975" w:rsidP="00047EAE">
            <w:pPr>
              <w:spacing w:line="360" w:lineRule="auto"/>
              <w:jc w:val="both"/>
              <w:rPr>
                <w:rFonts w:ascii="Times New Roman" w:hAnsi="Times New Roman" w:cs="Times New Roman"/>
              </w:rPr>
            </w:pPr>
            <w:proofErr w:type="spellStart"/>
            <w:r>
              <w:rPr>
                <w:rFonts w:ascii="Times New Roman" w:hAnsi="Times New Roman" w:cs="Times New Roman"/>
              </w:rPr>
              <w:t>VisionGO</w:t>
            </w:r>
            <w:proofErr w:type="spellEnd"/>
          </w:p>
        </w:tc>
      </w:tr>
      <w:tr w:rsidR="00DD5975" w14:paraId="235D79EF" w14:textId="77777777" w:rsidTr="00047EAE">
        <w:trPr>
          <w:trHeight w:val="379"/>
        </w:trPr>
        <w:tc>
          <w:tcPr>
            <w:tcW w:w="846" w:type="dxa"/>
          </w:tcPr>
          <w:p w14:paraId="4973EF4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2019</w:t>
            </w:r>
          </w:p>
        </w:tc>
        <w:tc>
          <w:tcPr>
            <w:tcW w:w="2551" w:type="dxa"/>
          </w:tcPr>
          <w:p w14:paraId="7FAEC0E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6E2BE091"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Fraud Prevention</w:t>
            </w:r>
          </w:p>
        </w:tc>
        <w:tc>
          <w:tcPr>
            <w:tcW w:w="3148" w:type="dxa"/>
          </w:tcPr>
          <w:p w14:paraId="24531BC7"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Element AI</w:t>
            </w:r>
          </w:p>
        </w:tc>
      </w:tr>
      <w:tr w:rsidR="00DD5975" w14:paraId="0E0BBD0E" w14:textId="77777777" w:rsidTr="00047EAE">
        <w:trPr>
          <w:trHeight w:val="810"/>
        </w:trPr>
        <w:tc>
          <w:tcPr>
            <w:tcW w:w="846" w:type="dxa"/>
          </w:tcPr>
          <w:p w14:paraId="541B9B17"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4219B652"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Blockchain</w:t>
            </w:r>
          </w:p>
        </w:tc>
        <w:tc>
          <w:tcPr>
            <w:tcW w:w="2835" w:type="dxa"/>
          </w:tcPr>
          <w:p w14:paraId="6F743004"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Distributed Ledger Technology</w:t>
            </w:r>
          </w:p>
        </w:tc>
        <w:tc>
          <w:tcPr>
            <w:tcW w:w="3148" w:type="dxa"/>
          </w:tcPr>
          <w:p w14:paraId="57630D8D" w14:textId="77777777" w:rsidR="00DD5975" w:rsidRDefault="00DD5975" w:rsidP="00047EAE">
            <w:pPr>
              <w:spacing w:line="360" w:lineRule="auto"/>
              <w:jc w:val="both"/>
              <w:rPr>
                <w:rFonts w:ascii="Times New Roman" w:hAnsi="Times New Roman" w:cs="Times New Roman"/>
              </w:rPr>
            </w:pPr>
            <w:proofErr w:type="spellStart"/>
            <w:r>
              <w:rPr>
                <w:rFonts w:ascii="Times New Roman" w:hAnsi="Times New Roman" w:cs="Times New Roman"/>
              </w:rPr>
              <w:t>Axoni</w:t>
            </w:r>
            <w:proofErr w:type="spellEnd"/>
          </w:p>
        </w:tc>
      </w:tr>
    </w:tbl>
    <w:p w14:paraId="390B5DC3" w14:textId="77777777" w:rsidR="005937A4" w:rsidRDefault="005937A4" w:rsidP="00DA7507">
      <w:pPr>
        <w:spacing w:line="360" w:lineRule="auto"/>
        <w:jc w:val="both"/>
        <w:rPr>
          <w:rFonts w:ascii="Times New Roman" w:hAnsi="Times New Roman" w:cs="Times New Roman"/>
        </w:rPr>
      </w:pPr>
    </w:p>
    <w:p w14:paraId="6578E3D0" w14:textId="3305581E" w:rsidR="009460AF" w:rsidRDefault="00B27414" w:rsidP="00DA7507">
      <w:pPr>
        <w:spacing w:line="360" w:lineRule="auto"/>
        <w:jc w:val="both"/>
        <w:rPr>
          <w:rFonts w:ascii="Times New Roman" w:hAnsi="Times New Roman" w:cs="Times New Roman"/>
        </w:rPr>
      </w:pPr>
      <w:r>
        <w:rPr>
          <w:rFonts w:ascii="Times New Roman" w:hAnsi="Times New Roman" w:cs="Times New Roman"/>
        </w:rPr>
        <w:t xml:space="preserve">In 2018, </w:t>
      </w:r>
      <w:r w:rsidR="00CB504A">
        <w:rPr>
          <w:rFonts w:ascii="Times New Roman" w:hAnsi="Times New Roman" w:cs="Times New Roman"/>
        </w:rPr>
        <w:t xml:space="preserve">HSBC </w:t>
      </w:r>
      <w:r w:rsidR="00F0238E">
        <w:rPr>
          <w:rFonts w:ascii="Times New Roman" w:hAnsi="Times New Roman" w:cs="Times New Roman"/>
        </w:rPr>
        <w:t xml:space="preserve">made a significant </w:t>
      </w:r>
      <w:r w:rsidR="0094341E">
        <w:rPr>
          <w:rFonts w:ascii="Times New Roman" w:hAnsi="Times New Roman" w:cs="Times New Roman"/>
        </w:rPr>
        <w:t>contribu</w:t>
      </w:r>
      <w:r w:rsidR="00F0238E">
        <w:rPr>
          <w:rFonts w:ascii="Times New Roman" w:hAnsi="Times New Roman" w:cs="Times New Roman"/>
        </w:rPr>
        <w:t>tion of</w:t>
      </w:r>
      <w:r w:rsidR="0094341E">
        <w:rPr>
          <w:rFonts w:ascii="Times New Roman" w:hAnsi="Times New Roman" w:cs="Times New Roman"/>
        </w:rPr>
        <w:t xml:space="preserve"> $36 million</w:t>
      </w:r>
      <w:r w:rsidR="00F61B20">
        <w:rPr>
          <w:rFonts w:ascii="Times New Roman" w:hAnsi="Times New Roman" w:cs="Times New Roman"/>
        </w:rPr>
        <w:t xml:space="preserve"> </w:t>
      </w:r>
      <w:r w:rsidR="00C678B3">
        <w:rPr>
          <w:rFonts w:ascii="Times New Roman" w:hAnsi="Times New Roman" w:cs="Times New Roman"/>
        </w:rPr>
        <w:t xml:space="preserve">in the funding round </w:t>
      </w:r>
      <w:r w:rsidR="0094341E">
        <w:rPr>
          <w:rFonts w:ascii="Times New Roman" w:hAnsi="Times New Roman" w:cs="Times New Roman"/>
        </w:rPr>
        <w:t xml:space="preserve">for </w:t>
      </w:r>
      <w:proofErr w:type="spellStart"/>
      <w:r w:rsidR="00C678B3">
        <w:rPr>
          <w:rFonts w:ascii="Times New Roman" w:hAnsi="Times New Roman" w:cs="Times New Roman"/>
        </w:rPr>
        <w:t>Axon</w:t>
      </w:r>
      <w:r w:rsidR="00734912">
        <w:rPr>
          <w:rFonts w:ascii="Times New Roman" w:hAnsi="Times New Roman" w:cs="Times New Roman"/>
        </w:rPr>
        <w:t>i</w:t>
      </w:r>
      <w:proofErr w:type="spellEnd"/>
      <w:r w:rsidR="00CE07DC">
        <w:rPr>
          <w:rFonts w:ascii="Times New Roman" w:hAnsi="Times New Roman" w:cs="Times New Roman"/>
        </w:rPr>
        <w:t>, a blockchain specialist company offering distributed</w:t>
      </w:r>
      <w:r w:rsidR="00F37D27">
        <w:rPr>
          <w:rFonts w:ascii="Times New Roman" w:hAnsi="Times New Roman" w:cs="Times New Roman"/>
        </w:rPr>
        <w:t xml:space="preserve"> </w:t>
      </w:r>
      <w:r w:rsidR="00734912">
        <w:rPr>
          <w:rFonts w:ascii="Times New Roman" w:hAnsi="Times New Roman" w:cs="Times New Roman"/>
        </w:rPr>
        <w:t>ledger technology</w:t>
      </w:r>
      <w:r w:rsidR="00772A73">
        <w:rPr>
          <w:rFonts w:ascii="Times New Roman" w:hAnsi="Times New Roman" w:cs="Times New Roman"/>
        </w:rPr>
        <w:t xml:space="preserve"> (DTL) </w:t>
      </w:r>
      <w:r w:rsidR="00740B64">
        <w:rPr>
          <w:rFonts w:ascii="Times New Roman" w:hAnsi="Times New Roman" w:cs="Times New Roman"/>
        </w:rPr>
        <w:t xml:space="preserve">solutions to financial </w:t>
      </w:r>
      <w:r w:rsidR="00740B64">
        <w:rPr>
          <w:rFonts w:ascii="Times New Roman" w:hAnsi="Times New Roman" w:cs="Times New Roman"/>
        </w:rPr>
        <w:lastRenderedPageBreak/>
        <w:t>institution</w:t>
      </w:r>
      <w:r w:rsidR="00CD4527">
        <w:rPr>
          <w:rFonts w:ascii="Times New Roman" w:hAnsi="Times New Roman" w:cs="Times New Roman"/>
        </w:rPr>
        <w:t>s</w:t>
      </w:r>
      <w:r w:rsidR="00740B64">
        <w:rPr>
          <w:rFonts w:ascii="Times New Roman" w:hAnsi="Times New Roman" w:cs="Times New Roman"/>
        </w:rPr>
        <w:t xml:space="preserve"> and corporation</w:t>
      </w:r>
      <w:r w:rsidR="00CD4527">
        <w:rPr>
          <w:rFonts w:ascii="Times New Roman" w:hAnsi="Times New Roman" w:cs="Times New Roman"/>
        </w:rPr>
        <w:t>s</w:t>
      </w:r>
      <w:r w:rsidR="00740B64">
        <w:rPr>
          <w:rFonts w:ascii="Times New Roman" w:hAnsi="Times New Roman" w:cs="Times New Roman"/>
        </w:rPr>
        <w:t xml:space="preserve">, </w:t>
      </w:r>
      <w:proofErr w:type="spellStart"/>
      <w:r w:rsidR="005751E9">
        <w:rPr>
          <w:rFonts w:ascii="Times New Roman" w:hAnsi="Times New Roman" w:cs="Times New Roman"/>
        </w:rPr>
        <w:t>Axoni’s</w:t>
      </w:r>
      <w:proofErr w:type="spellEnd"/>
      <w:r w:rsidR="005751E9">
        <w:rPr>
          <w:rFonts w:ascii="Times New Roman" w:hAnsi="Times New Roman" w:cs="Times New Roman"/>
        </w:rPr>
        <w:t xml:space="preserve"> blockchain solutions </w:t>
      </w:r>
      <w:r w:rsidR="00740B64">
        <w:rPr>
          <w:rFonts w:ascii="Times New Roman" w:hAnsi="Times New Roman" w:cs="Times New Roman"/>
        </w:rPr>
        <w:t>enabl</w:t>
      </w:r>
      <w:r w:rsidR="005751E9">
        <w:rPr>
          <w:rFonts w:ascii="Times New Roman" w:hAnsi="Times New Roman" w:cs="Times New Roman"/>
        </w:rPr>
        <w:t xml:space="preserve">e secure and accessible storage and transfer </w:t>
      </w:r>
      <w:r w:rsidR="009569AE">
        <w:rPr>
          <w:rFonts w:ascii="Times New Roman" w:hAnsi="Times New Roman" w:cs="Times New Roman"/>
        </w:rPr>
        <w:t>of</w:t>
      </w:r>
      <w:r w:rsidR="00CD4527">
        <w:rPr>
          <w:rFonts w:ascii="Times New Roman" w:hAnsi="Times New Roman" w:cs="Times New Roman"/>
        </w:rPr>
        <w:t xml:space="preserve"> sensitive information </w:t>
      </w:r>
      <w:r w:rsidR="009569AE">
        <w:rPr>
          <w:rFonts w:ascii="Times New Roman" w:hAnsi="Times New Roman" w:cs="Times New Roman"/>
        </w:rPr>
        <w:t xml:space="preserve">for financial services </w:t>
      </w:r>
      <w:r w:rsidR="00720563">
        <w:rPr>
          <w:rFonts w:ascii="Times New Roman" w:hAnsi="Times New Roman" w:cs="Times New Roman"/>
        </w:rPr>
        <w:t>industry</w:t>
      </w:r>
      <w:r w:rsidR="00451D05">
        <w:rPr>
          <w:rFonts w:ascii="Times New Roman" w:hAnsi="Times New Roman" w:cs="Times New Roman"/>
        </w:rPr>
        <w:t xml:space="preserve"> </w:t>
      </w:r>
      <w:sdt>
        <w:sdtPr>
          <w:rPr>
            <w:rFonts w:ascii="Times New Roman" w:hAnsi="Times New Roman" w:cs="Times New Roman"/>
          </w:rPr>
          <w:id w:val="1841969164"/>
          <w:citation/>
        </w:sdtPr>
        <w:sdtContent>
          <w:r w:rsidR="00451D05">
            <w:rPr>
              <w:rFonts w:ascii="Times New Roman" w:hAnsi="Times New Roman" w:cs="Times New Roman"/>
            </w:rPr>
            <w:fldChar w:fldCharType="begin"/>
          </w:r>
          <w:r w:rsidR="00451D05">
            <w:rPr>
              <w:rFonts w:ascii="Times New Roman" w:hAnsi="Times New Roman" w:cs="Times New Roman"/>
              <w:lang w:val="en-GB"/>
            </w:rPr>
            <w:instrText xml:space="preserve"> CITATION The18 \l 2057 </w:instrText>
          </w:r>
          <w:r w:rsidR="00451D05">
            <w:rPr>
              <w:rFonts w:ascii="Times New Roman" w:hAnsi="Times New Roman" w:cs="Times New Roman"/>
            </w:rPr>
            <w:fldChar w:fldCharType="separate"/>
          </w:r>
          <w:r w:rsidR="002C0313" w:rsidRPr="002C0313">
            <w:rPr>
              <w:rFonts w:ascii="Times New Roman" w:hAnsi="Times New Roman" w:cs="Times New Roman"/>
              <w:noProof/>
              <w:lang w:val="en-GB"/>
            </w:rPr>
            <w:t>(The trade news, 2018)</w:t>
          </w:r>
          <w:r w:rsidR="00451D05">
            <w:rPr>
              <w:rFonts w:ascii="Times New Roman" w:hAnsi="Times New Roman" w:cs="Times New Roman"/>
            </w:rPr>
            <w:fldChar w:fldCharType="end"/>
          </w:r>
        </w:sdtContent>
      </w:sdt>
      <w:r w:rsidR="00CD4527">
        <w:rPr>
          <w:rFonts w:ascii="Times New Roman" w:hAnsi="Times New Roman" w:cs="Times New Roman"/>
        </w:rPr>
        <w:t>.</w:t>
      </w:r>
      <w:r w:rsidR="00720563">
        <w:rPr>
          <w:rFonts w:ascii="Times New Roman" w:hAnsi="Times New Roman" w:cs="Times New Roman"/>
        </w:rPr>
        <w:t xml:space="preserve"> </w:t>
      </w:r>
      <w:proofErr w:type="gramStart"/>
      <w:r w:rsidR="003B0F45">
        <w:rPr>
          <w:rFonts w:ascii="Times New Roman" w:hAnsi="Times New Roman" w:cs="Times New Roman"/>
        </w:rPr>
        <w:t xml:space="preserve">This </w:t>
      </w:r>
      <w:r w:rsidR="00E20E60">
        <w:rPr>
          <w:rFonts w:ascii="Times New Roman" w:hAnsi="Times New Roman" w:cs="Times New Roman"/>
        </w:rPr>
        <w:t>moves</w:t>
      </w:r>
      <w:proofErr w:type="gramEnd"/>
      <w:r w:rsidR="00720563">
        <w:rPr>
          <w:rFonts w:ascii="Times New Roman" w:hAnsi="Times New Roman" w:cs="Times New Roman"/>
        </w:rPr>
        <w:t xml:space="preserve"> reflected HSBC’s increasing investment in technology, with a notable 19% growth compared to the previous year, showcasing a strong commitment to digital innovation in line with industry trends. </w:t>
      </w:r>
    </w:p>
    <w:p w14:paraId="422F3918" w14:textId="77777777" w:rsidR="00A94731" w:rsidRDefault="00840BA9" w:rsidP="00DA7507">
      <w:pPr>
        <w:spacing w:line="360" w:lineRule="auto"/>
        <w:jc w:val="both"/>
        <w:rPr>
          <w:rFonts w:ascii="Times New Roman" w:hAnsi="Times New Roman" w:cs="Times New Roman"/>
        </w:rPr>
      </w:pPr>
      <w:r>
        <w:rPr>
          <w:rFonts w:ascii="Times New Roman" w:hAnsi="Times New Roman" w:cs="Times New Roman"/>
        </w:rPr>
        <w:t>HSBC, being the European bank with the highest number of AI initiatives, accounting for 1</w:t>
      </w:r>
      <w:r w:rsidR="007B03EF">
        <w:rPr>
          <w:rFonts w:ascii="Times New Roman" w:hAnsi="Times New Roman" w:cs="Times New Roman"/>
        </w:rPr>
        <w:t>2</w:t>
      </w:r>
      <w:r>
        <w:rPr>
          <w:rFonts w:ascii="Times New Roman" w:hAnsi="Times New Roman" w:cs="Times New Roman"/>
        </w:rPr>
        <w:t>.5</w:t>
      </w:r>
      <w:r w:rsidR="00644086">
        <w:rPr>
          <w:rFonts w:ascii="Times New Roman" w:hAnsi="Times New Roman" w:cs="Times New Roman"/>
        </w:rPr>
        <w:t xml:space="preserve">% of such initiatives in the region, continued to bolster its technological advancements. In 2018, HSBC partnered with </w:t>
      </w:r>
      <w:proofErr w:type="spellStart"/>
      <w:r w:rsidR="00644086">
        <w:rPr>
          <w:rFonts w:ascii="Times New Roman" w:hAnsi="Times New Roman" w:cs="Times New Roman"/>
        </w:rPr>
        <w:t>Ayasdi</w:t>
      </w:r>
      <w:proofErr w:type="spellEnd"/>
      <w:r w:rsidR="00644086">
        <w:rPr>
          <w:rFonts w:ascii="Times New Roman" w:hAnsi="Times New Roman" w:cs="Times New Roman"/>
        </w:rPr>
        <w:t xml:space="preserve"> to develop an AI-enabled anti-money laundering solution. Su</w:t>
      </w:r>
      <w:r w:rsidR="00AC5C1F">
        <w:rPr>
          <w:rFonts w:ascii="Times New Roman" w:hAnsi="Times New Roman" w:cs="Times New Roman"/>
        </w:rPr>
        <w:t>bsequently, in 2019, it collaborated with Element AI to analyze data from its Global Banking and Markets division, aiding compliance, regulatory requirements, and anticipating future client needs</w:t>
      </w:r>
      <w:sdt>
        <w:sdtPr>
          <w:rPr>
            <w:rFonts w:ascii="Times New Roman" w:hAnsi="Times New Roman" w:cs="Times New Roman"/>
          </w:rPr>
          <w:id w:val="-1793204998"/>
          <w:citation/>
        </w:sdtPr>
        <w:sdtContent>
          <w:r w:rsidR="006A3BE6">
            <w:rPr>
              <w:rFonts w:ascii="Times New Roman" w:hAnsi="Times New Roman" w:cs="Times New Roman"/>
            </w:rPr>
            <w:fldChar w:fldCharType="begin"/>
          </w:r>
          <w:r w:rsidR="006A3BE6">
            <w:rPr>
              <w:rFonts w:ascii="Times New Roman" w:hAnsi="Times New Roman" w:cs="Times New Roman"/>
              <w:lang w:val="en-GB"/>
            </w:rPr>
            <w:instrText xml:space="preserve"> CITATION Fin19 \l 2057 </w:instrText>
          </w:r>
          <w:r w:rsidR="006A3BE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(Fintech futures, 2019)</w:t>
          </w:r>
          <w:r w:rsidR="006A3BE6">
            <w:rPr>
              <w:rFonts w:ascii="Times New Roman" w:hAnsi="Times New Roman" w:cs="Times New Roman"/>
            </w:rPr>
            <w:fldChar w:fldCharType="end"/>
          </w:r>
        </w:sdtContent>
      </w:sdt>
      <w:r w:rsidR="00430EC7">
        <w:rPr>
          <w:rFonts w:ascii="Times New Roman" w:hAnsi="Times New Roman" w:cs="Times New Roman"/>
        </w:rPr>
        <w:t xml:space="preserve">. </w:t>
      </w:r>
    </w:p>
    <w:p w14:paraId="2F2E98D7" w14:textId="77777777" w:rsidR="00B071CA" w:rsidRDefault="00EE5950" w:rsidP="00DA7507">
      <w:pPr>
        <w:spacing w:line="360" w:lineRule="auto"/>
        <w:jc w:val="both"/>
        <w:rPr>
          <w:rFonts w:ascii="Times New Roman" w:hAnsi="Times New Roman" w:cs="Times New Roman"/>
        </w:rPr>
      </w:pPr>
      <w:r>
        <w:rPr>
          <w:rFonts w:ascii="Times New Roman" w:hAnsi="Times New Roman" w:cs="Times New Roman"/>
        </w:rPr>
        <w:t xml:space="preserve">As a part of the digital strategy, HSBC </w:t>
      </w:r>
      <w:r w:rsidR="00A94731">
        <w:rPr>
          <w:rFonts w:ascii="Times New Roman" w:hAnsi="Times New Roman" w:cs="Times New Roman"/>
        </w:rPr>
        <w:t>joined forces with NetSuite to launch an Accounts Payable (AP) Automation solution, stream</w:t>
      </w:r>
      <w:r w:rsidR="003B4E0A">
        <w:rPr>
          <w:rFonts w:ascii="Times New Roman" w:hAnsi="Times New Roman" w:cs="Times New Roman"/>
        </w:rPr>
        <w:t xml:space="preserve">lining payment processes for businesses. This solution imports bank and card data into NetSuite, enhancing visibility and </w:t>
      </w:r>
      <w:r w:rsidR="003942C6">
        <w:rPr>
          <w:rFonts w:ascii="Times New Roman" w:hAnsi="Times New Roman" w:cs="Times New Roman"/>
        </w:rPr>
        <w:t>facilitating easier reconciliation. In 2022, HSBC Ventures invested $10 million in Nova Credit, aiming to expedite the global rollo</w:t>
      </w:r>
      <w:r w:rsidR="00C2151C">
        <w:rPr>
          <w:rFonts w:ascii="Times New Roman" w:hAnsi="Times New Roman" w:cs="Times New Roman"/>
        </w:rPr>
        <w:t>ut of Credit Passport</w:t>
      </w:r>
      <w:r w:rsidR="00A34FE7">
        <w:rPr>
          <w:rFonts w:ascii="Times New Roman" w:hAnsi="Times New Roman" w:cs="Times New Roman"/>
        </w:rPr>
        <w:t xml:space="preserve"> </w:t>
      </w:r>
      <w:sdt>
        <w:sdtPr>
          <w:rPr>
            <w:rFonts w:ascii="Times New Roman" w:hAnsi="Times New Roman" w:cs="Times New Roman"/>
          </w:rPr>
          <w:id w:val="271218658"/>
          <w:citation/>
        </w:sdtPr>
        <w:sdtContent>
          <w:r w:rsidR="00190932">
            <w:rPr>
              <w:rFonts w:ascii="Times New Roman" w:hAnsi="Times New Roman" w:cs="Times New Roman"/>
            </w:rPr>
            <w:fldChar w:fldCharType="begin"/>
          </w:r>
          <w:r w:rsidR="00190932">
            <w:rPr>
              <w:rFonts w:ascii="Times New Roman" w:hAnsi="Times New Roman" w:cs="Times New Roman"/>
              <w:lang w:val="en-GB"/>
            </w:rPr>
            <w:instrText xml:space="preserve"> CITATION cor23 \l 2057 </w:instrText>
          </w:r>
          <w:r w:rsidR="00190932">
            <w:rPr>
              <w:rFonts w:ascii="Times New Roman" w:hAnsi="Times New Roman" w:cs="Times New Roman"/>
            </w:rPr>
            <w:fldChar w:fldCharType="separate"/>
          </w:r>
          <w:r w:rsidR="002C0313" w:rsidRPr="002C0313">
            <w:rPr>
              <w:rFonts w:ascii="Times New Roman" w:hAnsi="Times New Roman" w:cs="Times New Roman"/>
              <w:noProof/>
              <w:lang w:val="en-GB"/>
            </w:rPr>
            <w:t>(corporate blog, 2023)</w:t>
          </w:r>
          <w:r w:rsidR="00190932">
            <w:rPr>
              <w:rFonts w:ascii="Times New Roman" w:hAnsi="Times New Roman" w:cs="Times New Roman"/>
            </w:rPr>
            <w:fldChar w:fldCharType="end"/>
          </w:r>
        </w:sdtContent>
      </w:sdt>
      <w:r w:rsidR="003F3C8A">
        <w:rPr>
          <w:rFonts w:ascii="Times New Roman" w:hAnsi="Times New Roman" w:cs="Times New Roman"/>
        </w:rPr>
        <w:t>.</w:t>
      </w:r>
    </w:p>
    <w:p w14:paraId="08C92505" w14:textId="46EDF01A" w:rsidR="00CF5E59" w:rsidRDefault="0021251C" w:rsidP="00DA7507">
      <w:pPr>
        <w:spacing w:line="360" w:lineRule="auto"/>
        <w:jc w:val="both"/>
        <w:rPr>
          <w:rFonts w:ascii="Times New Roman" w:hAnsi="Times New Roman" w:cs="Times New Roman"/>
        </w:rPr>
      </w:pPr>
      <w:r>
        <w:rPr>
          <w:rFonts w:ascii="Times New Roman" w:hAnsi="Times New Roman" w:cs="Times New Roman"/>
        </w:rPr>
        <w:t xml:space="preserve"> In 2023, </w:t>
      </w:r>
      <w:r w:rsidR="00976D03">
        <w:rPr>
          <w:rFonts w:ascii="Times New Roman" w:hAnsi="Times New Roman" w:cs="Times New Roman"/>
        </w:rPr>
        <w:t xml:space="preserve">HSBC introduced the HSBC AL Global Tactical Index (HSBC AIGT), </w:t>
      </w:r>
      <w:r w:rsidR="001372D4">
        <w:rPr>
          <w:rFonts w:ascii="Times New Roman" w:hAnsi="Times New Roman" w:cs="Times New Roman"/>
        </w:rPr>
        <w:t>an innovative index investment product incorporating machine learning powered by Amazon Web Services (AWS)</w:t>
      </w:r>
      <w:r w:rsidR="00B15E59">
        <w:rPr>
          <w:rFonts w:ascii="Times New Roman" w:hAnsi="Times New Roman" w:cs="Times New Roman"/>
        </w:rPr>
        <w:t xml:space="preserve">. The index utilizes AWS AI services to analyze and learn from data at an accelerated pace, adapting </w:t>
      </w:r>
      <w:r w:rsidR="001E6ADF">
        <w:rPr>
          <w:rFonts w:ascii="Times New Roman" w:hAnsi="Times New Roman" w:cs="Times New Roman"/>
        </w:rPr>
        <w:t>its approach to changing market dynamics</w:t>
      </w:r>
      <w:sdt>
        <w:sdtPr>
          <w:rPr>
            <w:rFonts w:ascii="Times New Roman" w:hAnsi="Times New Roman" w:cs="Times New Roman"/>
          </w:rPr>
          <w:id w:val="760495105"/>
          <w:citation/>
        </w:sdtPr>
        <w:sdtContent>
          <w:r w:rsidR="00A101FA">
            <w:rPr>
              <w:rFonts w:ascii="Times New Roman" w:hAnsi="Times New Roman" w:cs="Times New Roman"/>
            </w:rPr>
            <w:fldChar w:fldCharType="begin"/>
          </w:r>
          <w:r w:rsidR="00A101FA">
            <w:rPr>
              <w:rFonts w:ascii="Times New Roman" w:hAnsi="Times New Roman" w:cs="Times New Roman"/>
              <w:lang w:val="en-GB"/>
            </w:rPr>
            <w:instrText xml:space="preserve"> CITATION HSB231 \l 2057 </w:instrText>
          </w:r>
          <w:r w:rsidR="00A101FA">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2023)</w:t>
          </w:r>
          <w:r w:rsidR="00A101FA">
            <w:rPr>
              <w:rFonts w:ascii="Times New Roman" w:hAnsi="Times New Roman" w:cs="Times New Roman"/>
            </w:rPr>
            <w:fldChar w:fldCharType="end"/>
          </w:r>
        </w:sdtContent>
      </w:sdt>
      <w:r w:rsidR="006561C5">
        <w:rPr>
          <w:rFonts w:ascii="Times New Roman" w:hAnsi="Times New Roman" w:cs="Times New Roman"/>
        </w:rPr>
        <w:t>.</w:t>
      </w:r>
      <w:r w:rsidR="00E844DF">
        <w:rPr>
          <w:rFonts w:ascii="Times New Roman" w:hAnsi="Times New Roman" w:cs="Times New Roman"/>
        </w:rPr>
        <w:t xml:space="preserve"> </w:t>
      </w:r>
      <w:r w:rsidR="00CF5E59">
        <w:rPr>
          <w:rFonts w:ascii="Times New Roman" w:hAnsi="Times New Roman" w:cs="Times New Roman"/>
        </w:rPr>
        <w:t>Reflecting the growing demand for personalized services, intuitive interfaces, and robust security in financial services, HSBC allocated $3.6 billion to technology initiatives in the first half of</w:t>
      </w:r>
      <w:r w:rsidR="00FE38D6">
        <w:rPr>
          <w:rFonts w:ascii="Times New Roman" w:hAnsi="Times New Roman" w:cs="Times New Roman"/>
        </w:rPr>
        <w:t xml:space="preserve"> 2023.</w:t>
      </w:r>
    </w:p>
    <w:p w14:paraId="558D92D8" w14:textId="77777777" w:rsidR="00FE38D6" w:rsidRDefault="00FE38D6" w:rsidP="00DA7507">
      <w:pPr>
        <w:spacing w:line="360" w:lineRule="auto"/>
        <w:jc w:val="both"/>
        <w:rPr>
          <w:rFonts w:ascii="Times New Roman" w:hAnsi="Times New Roman" w:cs="Times New Roman"/>
        </w:rPr>
      </w:pPr>
    </w:p>
    <w:p w14:paraId="1E810F90" w14:textId="2DEF6F4C" w:rsidR="00B97664" w:rsidRPr="00E0605C" w:rsidRDefault="004F4123" w:rsidP="00DA7507">
      <w:pPr>
        <w:spacing w:line="360" w:lineRule="auto"/>
        <w:jc w:val="both"/>
        <w:rPr>
          <w:rFonts w:ascii="Times New Roman" w:hAnsi="Times New Roman" w:cs="Times New Roman"/>
          <w:b/>
          <w:bCs/>
        </w:rPr>
      </w:pPr>
      <w:r w:rsidRPr="00E0605C">
        <w:rPr>
          <w:rFonts w:ascii="Times New Roman" w:hAnsi="Times New Roman" w:cs="Times New Roman"/>
          <w:b/>
          <w:bCs/>
        </w:rPr>
        <w:t>Lloyds Banking Group</w:t>
      </w:r>
    </w:p>
    <w:p w14:paraId="79C3D927" w14:textId="755C7987" w:rsidR="00702837" w:rsidRPr="00702837" w:rsidRDefault="00836B2C" w:rsidP="00FB2A54">
      <w:pPr>
        <w:pStyle w:val="Caption"/>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bookmarkStart w:id="60" w:name="_Toc158706226"/>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\s 1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E65D98" w:rsidRPr="00836B2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Technology initiatives and investments made by Lloyds Banking Group</w:t>
      </w:r>
      <w:bookmarkEnd w:id="60"/>
    </w:p>
    <w:tbl>
      <w:tblPr>
        <w:tblStyle w:val="TableGrid"/>
        <w:tblW w:w="9380" w:type="dxa"/>
        <w:tblLook w:val="04A0" w:firstRow="1" w:lastRow="0" w:firstColumn="1" w:lastColumn="0" w:noHBand="0" w:noVBand="1"/>
      </w:tblPr>
      <w:tblGrid>
        <w:gridCol w:w="846"/>
        <w:gridCol w:w="2551"/>
        <w:gridCol w:w="2835"/>
        <w:gridCol w:w="3148"/>
      </w:tblGrid>
      <w:tr w:rsidR="00F27F9E" w14:paraId="50FAD367" w14:textId="77777777" w:rsidTr="00047EAE">
        <w:trPr>
          <w:trHeight w:val="400"/>
        </w:trPr>
        <w:tc>
          <w:tcPr>
            <w:tcW w:w="846" w:type="dxa"/>
          </w:tcPr>
          <w:p w14:paraId="7596FA50"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551" w:type="dxa"/>
          </w:tcPr>
          <w:p w14:paraId="3C0DC407"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772608D9"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092E518A"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F27F9E" w14:paraId="2BE8F55A" w14:textId="77777777" w:rsidTr="00047EAE">
        <w:trPr>
          <w:trHeight w:val="400"/>
        </w:trPr>
        <w:tc>
          <w:tcPr>
            <w:tcW w:w="846" w:type="dxa"/>
          </w:tcPr>
          <w:p w14:paraId="28E08571" w14:textId="5EDF0253" w:rsidR="00F27F9E" w:rsidRDefault="001F5703"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486BFF5D" w14:textId="479C1774" w:rsidR="00F27F9E" w:rsidRDefault="003F3B19" w:rsidP="00047EAE">
            <w:pPr>
              <w:spacing w:line="360" w:lineRule="auto"/>
              <w:jc w:val="both"/>
              <w:rPr>
                <w:rFonts w:ascii="Times New Roman" w:hAnsi="Times New Roman" w:cs="Times New Roman"/>
              </w:rPr>
            </w:pPr>
            <w:r>
              <w:rPr>
                <w:rFonts w:ascii="Times New Roman" w:hAnsi="Times New Roman" w:cs="Times New Roman"/>
              </w:rPr>
              <w:t>Digital technology</w:t>
            </w:r>
          </w:p>
        </w:tc>
        <w:tc>
          <w:tcPr>
            <w:tcW w:w="2835" w:type="dxa"/>
          </w:tcPr>
          <w:p w14:paraId="72307F47" w14:textId="6B6157EB" w:rsidR="00F27F9E" w:rsidRDefault="002404DE" w:rsidP="00047EAE">
            <w:pPr>
              <w:spacing w:line="360" w:lineRule="auto"/>
              <w:jc w:val="both"/>
              <w:rPr>
                <w:rFonts w:ascii="Times New Roman" w:hAnsi="Times New Roman" w:cs="Times New Roman"/>
              </w:rPr>
            </w:pPr>
            <w:r>
              <w:rPr>
                <w:rFonts w:ascii="Times New Roman" w:hAnsi="Times New Roman" w:cs="Times New Roman"/>
              </w:rPr>
              <w:t>Digital Identity</w:t>
            </w:r>
          </w:p>
        </w:tc>
        <w:tc>
          <w:tcPr>
            <w:tcW w:w="3148" w:type="dxa"/>
          </w:tcPr>
          <w:p w14:paraId="498FC798" w14:textId="32441026" w:rsidR="00F27F9E" w:rsidRDefault="00B106CA" w:rsidP="00047EAE">
            <w:pPr>
              <w:spacing w:line="360" w:lineRule="auto"/>
              <w:jc w:val="both"/>
              <w:rPr>
                <w:rFonts w:ascii="Times New Roman" w:hAnsi="Times New Roman" w:cs="Times New Roman"/>
              </w:rPr>
            </w:pPr>
            <w:proofErr w:type="spellStart"/>
            <w:r>
              <w:rPr>
                <w:rFonts w:ascii="Times New Roman" w:hAnsi="Times New Roman" w:cs="Times New Roman"/>
              </w:rPr>
              <w:t>Yoti</w:t>
            </w:r>
            <w:proofErr w:type="spellEnd"/>
          </w:p>
        </w:tc>
      </w:tr>
      <w:tr w:rsidR="004E6CE2" w14:paraId="5905F367" w14:textId="77777777" w:rsidTr="00047EAE">
        <w:trPr>
          <w:trHeight w:val="400"/>
        </w:trPr>
        <w:tc>
          <w:tcPr>
            <w:tcW w:w="846" w:type="dxa"/>
          </w:tcPr>
          <w:p w14:paraId="36132005" w14:textId="489A1B44" w:rsidR="004E6CE2" w:rsidRDefault="004E6CE2"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16C0425A" w14:textId="69F3FE74" w:rsidR="004E6CE2" w:rsidRDefault="00262C70" w:rsidP="00047EAE">
            <w:pPr>
              <w:spacing w:line="360" w:lineRule="auto"/>
              <w:jc w:val="both"/>
              <w:rPr>
                <w:rFonts w:ascii="Times New Roman" w:hAnsi="Times New Roman" w:cs="Times New Roman"/>
              </w:rPr>
            </w:pPr>
            <w:r>
              <w:rPr>
                <w:rFonts w:ascii="Times New Roman" w:hAnsi="Times New Roman" w:cs="Times New Roman"/>
              </w:rPr>
              <w:t>Network Security</w:t>
            </w:r>
          </w:p>
        </w:tc>
        <w:tc>
          <w:tcPr>
            <w:tcW w:w="2835" w:type="dxa"/>
          </w:tcPr>
          <w:p w14:paraId="68BE24B3" w14:textId="60F1F1EA" w:rsidR="004E6CE2" w:rsidRDefault="000F14B6" w:rsidP="00047EAE">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6192D518" w14:textId="2978AC30" w:rsidR="004E6CE2" w:rsidRDefault="00A934C3" w:rsidP="00047EAE">
            <w:pPr>
              <w:spacing w:line="360" w:lineRule="auto"/>
              <w:jc w:val="both"/>
              <w:rPr>
                <w:rFonts w:ascii="Times New Roman" w:hAnsi="Times New Roman" w:cs="Times New Roman"/>
              </w:rPr>
            </w:pPr>
            <w:r>
              <w:rPr>
                <w:rFonts w:ascii="Times New Roman" w:hAnsi="Times New Roman" w:cs="Times New Roman"/>
              </w:rPr>
              <w:t>Phoenix</w:t>
            </w:r>
          </w:p>
        </w:tc>
      </w:tr>
      <w:tr w:rsidR="00787580" w14:paraId="192EBF2C" w14:textId="77777777" w:rsidTr="00047EAE">
        <w:trPr>
          <w:trHeight w:val="400"/>
        </w:trPr>
        <w:tc>
          <w:tcPr>
            <w:tcW w:w="846" w:type="dxa"/>
          </w:tcPr>
          <w:p w14:paraId="3FA92B2C" w14:textId="5B959318" w:rsidR="00787580" w:rsidRDefault="00787580" w:rsidP="00047EAE">
            <w:pPr>
              <w:spacing w:line="360" w:lineRule="auto"/>
              <w:jc w:val="both"/>
              <w:rPr>
                <w:rFonts w:ascii="Times New Roman" w:hAnsi="Times New Roman" w:cs="Times New Roman"/>
              </w:rPr>
            </w:pPr>
            <w:r>
              <w:rPr>
                <w:rFonts w:ascii="Times New Roman" w:hAnsi="Times New Roman" w:cs="Times New Roman"/>
              </w:rPr>
              <w:lastRenderedPageBreak/>
              <w:t>2023</w:t>
            </w:r>
          </w:p>
        </w:tc>
        <w:tc>
          <w:tcPr>
            <w:tcW w:w="2551" w:type="dxa"/>
          </w:tcPr>
          <w:p w14:paraId="57EA01D6" w14:textId="516F7736" w:rsidR="00787580" w:rsidRDefault="00787580"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47555A30" w14:textId="3507DF01" w:rsidR="00787580" w:rsidRDefault="004973AE" w:rsidP="00047EAE">
            <w:pPr>
              <w:spacing w:line="360" w:lineRule="auto"/>
              <w:jc w:val="both"/>
              <w:rPr>
                <w:rFonts w:ascii="Times New Roman" w:hAnsi="Times New Roman" w:cs="Times New Roman"/>
              </w:rPr>
            </w:pPr>
            <w:r>
              <w:rPr>
                <w:rFonts w:ascii="Times New Roman" w:hAnsi="Times New Roman" w:cs="Times New Roman"/>
              </w:rPr>
              <w:t>Digital Documentation</w:t>
            </w:r>
          </w:p>
        </w:tc>
        <w:tc>
          <w:tcPr>
            <w:tcW w:w="3148" w:type="dxa"/>
          </w:tcPr>
          <w:p w14:paraId="3071CF69" w14:textId="2CF1697B" w:rsidR="00787580" w:rsidRDefault="003C03F4" w:rsidP="00047EAE">
            <w:pPr>
              <w:spacing w:line="360" w:lineRule="auto"/>
              <w:jc w:val="both"/>
              <w:rPr>
                <w:rFonts w:ascii="Times New Roman" w:hAnsi="Times New Roman" w:cs="Times New Roman"/>
              </w:rPr>
            </w:pPr>
            <w:proofErr w:type="spellStart"/>
            <w:r>
              <w:rPr>
                <w:rFonts w:ascii="Times New Roman" w:hAnsi="Times New Roman" w:cs="Times New Roman"/>
              </w:rPr>
              <w:t>Enigio</w:t>
            </w:r>
            <w:proofErr w:type="spellEnd"/>
          </w:p>
        </w:tc>
      </w:tr>
      <w:tr w:rsidR="00F27F9E" w14:paraId="615B983D" w14:textId="77777777" w:rsidTr="00047EAE">
        <w:trPr>
          <w:trHeight w:val="400"/>
        </w:trPr>
        <w:tc>
          <w:tcPr>
            <w:tcW w:w="846" w:type="dxa"/>
          </w:tcPr>
          <w:p w14:paraId="3AE1D93E" w14:textId="2AD3388C" w:rsidR="00F27F9E" w:rsidRDefault="005A4FFA" w:rsidP="00047EAE">
            <w:pPr>
              <w:spacing w:line="360" w:lineRule="auto"/>
              <w:jc w:val="both"/>
              <w:rPr>
                <w:rFonts w:ascii="Times New Roman" w:hAnsi="Times New Roman" w:cs="Times New Roman"/>
              </w:rPr>
            </w:pPr>
            <w:r>
              <w:rPr>
                <w:rFonts w:ascii="Times New Roman" w:hAnsi="Times New Roman" w:cs="Times New Roman"/>
              </w:rPr>
              <w:t>2022</w:t>
            </w:r>
          </w:p>
        </w:tc>
        <w:tc>
          <w:tcPr>
            <w:tcW w:w="2551" w:type="dxa"/>
          </w:tcPr>
          <w:p w14:paraId="0557E9C8" w14:textId="33E08533" w:rsidR="00F27F9E" w:rsidRDefault="005A4FFA"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18B0515C" w14:textId="3677E581" w:rsidR="00F27F9E" w:rsidRDefault="005A4FFA" w:rsidP="00047EAE">
            <w:pPr>
              <w:spacing w:line="360" w:lineRule="auto"/>
              <w:jc w:val="both"/>
              <w:rPr>
                <w:rFonts w:ascii="Times New Roman" w:hAnsi="Times New Roman" w:cs="Times New Roman"/>
              </w:rPr>
            </w:pPr>
            <w:r>
              <w:rPr>
                <w:rFonts w:ascii="Times New Roman" w:hAnsi="Times New Roman" w:cs="Times New Roman"/>
              </w:rPr>
              <w:t>Digital Service</w:t>
            </w:r>
          </w:p>
        </w:tc>
        <w:tc>
          <w:tcPr>
            <w:tcW w:w="3148" w:type="dxa"/>
          </w:tcPr>
          <w:p w14:paraId="3F2DF6A3" w14:textId="6354FEFD" w:rsidR="00F27F9E" w:rsidRDefault="005909D9" w:rsidP="00047EAE">
            <w:pPr>
              <w:spacing w:line="360" w:lineRule="auto"/>
              <w:jc w:val="both"/>
              <w:rPr>
                <w:rFonts w:ascii="Times New Roman" w:hAnsi="Times New Roman" w:cs="Times New Roman"/>
              </w:rPr>
            </w:pPr>
            <w:r>
              <w:rPr>
                <w:rFonts w:ascii="Times New Roman" w:hAnsi="Times New Roman" w:cs="Times New Roman"/>
              </w:rPr>
              <w:t>Partnered with Bink</w:t>
            </w:r>
          </w:p>
        </w:tc>
      </w:tr>
      <w:tr w:rsidR="00F27F9E" w14:paraId="4C81F6EB" w14:textId="77777777" w:rsidTr="00047EAE">
        <w:trPr>
          <w:trHeight w:val="400"/>
        </w:trPr>
        <w:tc>
          <w:tcPr>
            <w:tcW w:w="846" w:type="dxa"/>
          </w:tcPr>
          <w:p w14:paraId="2E26A738" w14:textId="0E5CEDEE" w:rsidR="00F27F9E" w:rsidRDefault="00286408" w:rsidP="00047EAE">
            <w:pPr>
              <w:spacing w:line="360" w:lineRule="auto"/>
              <w:jc w:val="both"/>
              <w:rPr>
                <w:rFonts w:ascii="Times New Roman" w:hAnsi="Times New Roman" w:cs="Times New Roman"/>
              </w:rPr>
            </w:pPr>
            <w:r>
              <w:rPr>
                <w:rFonts w:ascii="Times New Roman" w:hAnsi="Times New Roman" w:cs="Times New Roman"/>
              </w:rPr>
              <w:t>2020</w:t>
            </w:r>
          </w:p>
        </w:tc>
        <w:tc>
          <w:tcPr>
            <w:tcW w:w="2551" w:type="dxa"/>
          </w:tcPr>
          <w:p w14:paraId="1BE9D388" w14:textId="27EDA657" w:rsidR="00F27F9E" w:rsidRDefault="007479BA" w:rsidP="00047EAE">
            <w:pPr>
              <w:spacing w:line="360" w:lineRule="auto"/>
              <w:jc w:val="both"/>
              <w:rPr>
                <w:rFonts w:ascii="Times New Roman" w:hAnsi="Times New Roman" w:cs="Times New Roman"/>
              </w:rPr>
            </w:pPr>
            <w:r>
              <w:rPr>
                <w:rFonts w:ascii="Times New Roman" w:hAnsi="Times New Roman" w:cs="Times New Roman"/>
              </w:rPr>
              <w:t>Cloud</w:t>
            </w:r>
          </w:p>
        </w:tc>
        <w:tc>
          <w:tcPr>
            <w:tcW w:w="2835" w:type="dxa"/>
          </w:tcPr>
          <w:p w14:paraId="7464C71E" w14:textId="6673C729" w:rsidR="00F27F9E" w:rsidRDefault="007479BA" w:rsidP="00047EAE">
            <w:pPr>
              <w:spacing w:line="360" w:lineRule="auto"/>
              <w:jc w:val="both"/>
              <w:rPr>
                <w:rFonts w:ascii="Times New Roman" w:hAnsi="Times New Roman" w:cs="Times New Roman"/>
              </w:rPr>
            </w:pPr>
            <w:r>
              <w:rPr>
                <w:rFonts w:ascii="Times New Roman" w:hAnsi="Times New Roman" w:cs="Times New Roman"/>
              </w:rPr>
              <w:t>Payment</w:t>
            </w:r>
            <w:r w:rsidR="00511795">
              <w:rPr>
                <w:rFonts w:ascii="Times New Roman" w:hAnsi="Times New Roman" w:cs="Times New Roman"/>
              </w:rPr>
              <w:t xml:space="preserve"> Technology</w:t>
            </w:r>
          </w:p>
        </w:tc>
        <w:tc>
          <w:tcPr>
            <w:tcW w:w="3148" w:type="dxa"/>
          </w:tcPr>
          <w:p w14:paraId="5937CB60" w14:textId="51504BBF" w:rsidR="00F27F9E" w:rsidRDefault="0085004A" w:rsidP="00047EAE">
            <w:pPr>
              <w:spacing w:line="360" w:lineRule="auto"/>
              <w:jc w:val="both"/>
              <w:rPr>
                <w:rFonts w:ascii="Times New Roman" w:hAnsi="Times New Roman" w:cs="Times New Roman"/>
              </w:rPr>
            </w:pPr>
            <w:r>
              <w:rPr>
                <w:rFonts w:ascii="Times New Roman" w:hAnsi="Times New Roman" w:cs="Times New Roman"/>
              </w:rPr>
              <w:t>Partnered with Form3</w:t>
            </w:r>
          </w:p>
        </w:tc>
      </w:tr>
      <w:tr w:rsidR="00F27F9E" w14:paraId="4BC69265" w14:textId="77777777" w:rsidTr="00047EAE">
        <w:trPr>
          <w:trHeight w:val="400"/>
        </w:trPr>
        <w:tc>
          <w:tcPr>
            <w:tcW w:w="846" w:type="dxa"/>
          </w:tcPr>
          <w:p w14:paraId="04F330D9" w14:textId="1999D5A8" w:rsidR="00F27F9E" w:rsidRDefault="00FA4D9D"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00A5A5FD" w14:textId="3F7A8313" w:rsidR="00F27F9E" w:rsidRDefault="00FA4D9D" w:rsidP="00047EAE">
            <w:pPr>
              <w:spacing w:line="360" w:lineRule="auto"/>
              <w:jc w:val="both"/>
              <w:rPr>
                <w:rFonts w:ascii="Times New Roman" w:hAnsi="Times New Roman" w:cs="Times New Roman"/>
              </w:rPr>
            </w:pPr>
            <w:r>
              <w:rPr>
                <w:rFonts w:ascii="Times New Roman" w:hAnsi="Times New Roman" w:cs="Times New Roman"/>
              </w:rPr>
              <w:t>Big Data</w:t>
            </w:r>
          </w:p>
        </w:tc>
        <w:tc>
          <w:tcPr>
            <w:tcW w:w="2835" w:type="dxa"/>
          </w:tcPr>
          <w:p w14:paraId="6DDD9461" w14:textId="5BC984D2" w:rsidR="00F27F9E" w:rsidRDefault="00CB1512" w:rsidP="00047EAE">
            <w:pPr>
              <w:spacing w:line="360" w:lineRule="auto"/>
              <w:jc w:val="both"/>
              <w:rPr>
                <w:rFonts w:ascii="Times New Roman" w:hAnsi="Times New Roman" w:cs="Times New Roman"/>
              </w:rPr>
            </w:pPr>
            <w:r>
              <w:rPr>
                <w:rFonts w:ascii="Times New Roman" w:hAnsi="Times New Roman" w:cs="Times New Roman"/>
              </w:rPr>
              <w:t>Data analytics</w:t>
            </w:r>
          </w:p>
        </w:tc>
        <w:tc>
          <w:tcPr>
            <w:tcW w:w="3148" w:type="dxa"/>
          </w:tcPr>
          <w:p w14:paraId="6892334A" w14:textId="7C844A37" w:rsidR="00F27F9E" w:rsidRDefault="00CB1512" w:rsidP="00047EAE">
            <w:pPr>
              <w:spacing w:line="360" w:lineRule="auto"/>
              <w:jc w:val="both"/>
              <w:rPr>
                <w:rFonts w:ascii="Times New Roman" w:hAnsi="Times New Roman" w:cs="Times New Roman"/>
              </w:rPr>
            </w:pPr>
            <w:r>
              <w:rPr>
                <w:rFonts w:ascii="Times New Roman" w:hAnsi="Times New Roman" w:cs="Times New Roman"/>
              </w:rPr>
              <w:t xml:space="preserve">Partnered with </w:t>
            </w:r>
            <w:proofErr w:type="spellStart"/>
            <w:r>
              <w:rPr>
                <w:rFonts w:ascii="Times New Roman" w:hAnsi="Times New Roman" w:cs="Times New Roman"/>
              </w:rPr>
              <w:t>Planixs</w:t>
            </w:r>
            <w:proofErr w:type="spellEnd"/>
          </w:p>
        </w:tc>
      </w:tr>
      <w:tr w:rsidR="00F27F9E" w14:paraId="1934C69C" w14:textId="77777777" w:rsidTr="00047EAE">
        <w:trPr>
          <w:trHeight w:val="400"/>
        </w:trPr>
        <w:tc>
          <w:tcPr>
            <w:tcW w:w="846" w:type="dxa"/>
          </w:tcPr>
          <w:p w14:paraId="1A5DA76A" w14:textId="758CA1ED" w:rsidR="00F27F9E" w:rsidRDefault="00F304AC"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15EC433C" w14:textId="3467C294" w:rsidR="00F27F9E" w:rsidRDefault="00E75255"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23DC1157" w14:textId="360EE879" w:rsidR="00F27F9E" w:rsidRDefault="00E75255" w:rsidP="00047EAE">
            <w:pPr>
              <w:spacing w:line="360" w:lineRule="auto"/>
              <w:jc w:val="both"/>
              <w:rPr>
                <w:rFonts w:ascii="Times New Roman" w:hAnsi="Times New Roman" w:cs="Times New Roman"/>
              </w:rPr>
            </w:pPr>
            <w:r>
              <w:rPr>
                <w:rFonts w:ascii="Times New Roman" w:hAnsi="Times New Roman" w:cs="Times New Roman"/>
              </w:rPr>
              <w:t>Digital transformation</w:t>
            </w:r>
          </w:p>
        </w:tc>
        <w:tc>
          <w:tcPr>
            <w:tcW w:w="3148" w:type="dxa"/>
          </w:tcPr>
          <w:p w14:paraId="4C920774" w14:textId="09C08D5B" w:rsidR="00F27F9E" w:rsidRDefault="00E75255" w:rsidP="00047EAE">
            <w:pPr>
              <w:spacing w:line="360" w:lineRule="auto"/>
              <w:jc w:val="both"/>
              <w:rPr>
                <w:rFonts w:ascii="Times New Roman" w:hAnsi="Times New Roman" w:cs="Times New Roman"/>
              </w:rPr>
            </w:pPr>
            <w:r>
              <w:rPr>
                <w:rFonts w:ascii="Times New Roman" w:hAnsi="Times New Roman" w:cs="Times New Roman"/>
              </w:rPr>
              <w:t>Thought Machine</w:t>
            </w:r>
          </w:p>
        </w:tc>
      </w:tr>
      <w:tr w:rsidR="00EE3D1D" w14:paraId="25F099A2" w14:textId="77777777" w:rsidTr="00047EAE">
        <w:trPr>
          <w:trHeight w:val="400"/>
        </w:trPr>
        <w:tc>
          <w:tcPr>
            <w:tcW w:w="846" w:type="dxa"/>
          </w:tcPr>
          <w:p w14:paraId="128953A1" w14:textId="5ADBA5E6" w:rsidR="00EE3D1D" w:rsidRDefault="00EE3D1D"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395A0096" w14:textId="2E0A3F99" w:rsidR="00EE3D1D" w:rsidRDefault="00763395" w:rsidP="00047EAE">
            <w:pPr>
              <w:spacing w:line="360" w:lineRule="auto"/>
              <w:jc w:val="both"/>
              <w:rPr>
                <w:rFonts w:ascii="Times New Roman" w:hAnsi="Times New Roman" w:cs="Times New Roman"/>
              </w:rPr>
            </w:pPr>
            <w:r>
              <w:rPr>
                <w:rFonts w:ascii="Times New Roman" w:hAnsi="Times New Roman" w:cs="Times New Roman"/>
              </w:rPr>
              <w:t>Analytics</w:t>
            </w:r>
          </w:p>
        </w:tc>
        <w:tc>
          <w:tcPr>
            <w:tcW w:w="2835" w:type="dxa"/>
          </w:tcPr>
          <w:p w14:paraId="4CD53DB4" w14:textId="5A367AE3" w:rsidR="00EE3D1D" w:rsidRDefault="003F4078" w:rsidP="00047EAE">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2BACF99C" w14:textId="326F38EA" w:rsidR="00EE3D1D" w:rsidRDefault="003F4078" w:rsidP="00047EAE">
            <w:pPr>
              <w:spacing w:line="360" w:lineRule="auto"/>
              <w:jc w:val="both"/>
              <w:rPr>
                <w:rFonts w:ascii="Times New Roman" w:hAnsi="Times New Roman" w:cs="Times New Roman"/>
              </w:rPr>
            </w:pPr>
            <w:r>
              <w:rPr>
                <w:rFonts w:ascii="Times New Roman" w:hAnsi="Times New Roman" w:cs="Times New Roman"/>
              </w:rPr>
              <w:t>Right Choice Insurance Brokers (RCIB)</w:t>
            </w:r>
          </w:p>
        </w:tc>
      </w:tr>
    </w:tbl>
    <w:p w14:paraId="5BBCD07C" w14:textId="77777777" w:rsidR="00F27F9E" w:rsidRDefault="00F27F9E" w:rsidP="00DA7507">
      <w:pPr>
        <w:spacing w:line="360" w:lineRule="auto"/>
        <w:jc w:val="both"/>
        <w:rPr>
          <w:rFonts w:ascii="Times New Roman" w:hAnsi="Times New Roman" w:cs="Times New Roman"/>
        </w:rPr>
      </w:pPr>
    </w:p>
    <w:p w14:paraId="3CE4D5A2" w14:textId="7EFFDBF4" w:rsidR="00DD7023" w:rsidRDefault="00AD0F58" w:rsidP="00DA7507">
      <w:pPr>
        <w:spacing w:line="360" w:lineRule="auto"/>
        <w:jc w:val="both"/>
        <w:rPr>
          <w:rFonts w:ascii="Times New Roman" w:hAnsi="Times New Roman" w:cs="Times New Roman"/>
        </w:rPr>
      </w:pPr>
      <w:r>
        <w:rPr>
          <w:rFonts w:ascii="Times New Roman" w:hAnsi="Times New Roman" w:cs="Times New Roman"/>
        </w:rPr>
        <w:t xml:space="preserve">Lloyds’ </w:t>
      </w:r>
      <w:r w:rsidR="00096643">
        <w:rPr>
          <w:rFonts w:ascii="Times New Roman" w:hAnsi="Times New Roman" w:cs="Times New Roman"/>
        </w:rPr>
        <w:t xml:space="preserve">modernization drive has continued apace. </w:t>
      </w:r>
      <w:r w:rsidR="00A60053">
        <w:rPr>
          <w:rFonts w:ascii="Times New Roman" w:hAnsi="Times New Roman" w:cs="Times New Roman"/>
        </w:rPr>
        <w:t xml:space="preserve">In 2018, </w:t>
      </w:r>
      <w:r w:rsidR="00F1589A">
        <w:rPr>
          <w:rFonts w:ascii="Times New Roman" w:hAnsi="Times New Roman" w:cs="Times New Roman"/>
        </w:rPr>
        <w:t>the bank committed £3 billion over three years to digitalization as part of its strategic plan, demonstrating a substantial investment in digi</w:t>
      </w:r>
      <w:r w:rsidR="00F551D8">
        <w:rPr>
          <w:rFonts w:ascii="Times New Roman" w:hAnsi="Times New Roman" w:cs="Times New Roman"/>
        </w:rPr>
        <w:t>tization efforts. Additionally, Lloyds allocated over £4 billion to further support its digital transformation, underscoring the substantial resources dedicated to this endeavor.</w:t>
      </w:r>
      <w:r w:rsidR="00CE2F6A">
        <w:rPr>
          <w:rFonts w:ascii="Times New Roman" w:hAnsi="Times New Roman" w:cs="Times New Roman"/>
        </w:rPr>
        <w:t xml:space="preserve"> The bank </w:t>
      </w:r>
      <w:r w:rsidR="00DB0999">
        <w:rPr>
          <w:rFonts w:ascii="Times New Roman" w:hAnsi="Times New Roman" w:cs="Times New Roman"/>
        </w:rPr>
        <w:t xml:space="preserve">has </w:t>
      </w:r>
      <w:r w:rsidR="00971FD4">
        <w:rPr>
          <w:rFonts w:ascii="Times New Roman" w:hAnsi="Times New Roman" w:cs="Times New Roman"/>
        </w:rPr>
        <w:t>embraced various new technologies, utilizing robotics for repetitive tasks, implementing machine learning for customer interactions, and transitioning applications to cloud platforms</w:t>
      </w:r>
      <w:r w:rsidR="004B1ACE">
        <w:rPr>
          <w:rFonts w:ascii="Times New Roman" w:hAnsi="Times New Roman" w:cs="Times New Roman"/>
        </w:rPr>
        <w:t>. The focus extends to enhancing data capabilities to create technology-driven solutions that cater to customer needs.</w:t>
      </w:r>
      <w:r w:rsidR="00A60053">
        <w:rPr>
          <w:rFonts w:ascii="Times New Roman" w:hAnsi="Times New Roman" w:cs="Times New Roman"/>
        </w:rPr>
        <w:t xml:space="preserve"> </w:t>
      </w:r>
    </w:p>
    <w:p w14:paraId="7912E061" w14:textId="6A0DDB32" w:rsidR="0035177C" w:rsidRDefault="0035177C" w:rsidP="00DA7507">
      <w:pPr>
        <w:spacing w:line="360" w:lineRule="auto"/>
        <w:jc w:val="both"/>
        <w:rPr>
          <w:rFonts w:ascii="Times New Roman" w:hAnsi="Times New Roman" w:cs="Times New Roman"/>
        </w:rPr>
      </w:pPr>
      <w:r>
        <w:rPr>
          <w:rFonts w:ascii="Times New Roman" w:hAnsi="Times New Roman" w:cs="Times New Roman"/>
        </w:rPr>
        <w:t xml:space="preserve">In a strategic move in </w:t>
      </w:r>
      <w:r w:rsidR="001D1B8A">
        <w:rPr>
          <w:rFonts w:ascii="Times New Roman" w:hAnsi="Times New Roman" w:cs="Times New Roman"/>
        </w:rPr>
        <w:t>2018</w:t>
      </w:r>
      <w:r>
        <w:rPr>
          <w:rFonts w:ascii="Times New Roman" w:hAnsi="Times New Roman" w:cs="Times New Roman"/>
        </w:rPr>
        <w:t xml:space="preserve">, Lloyds partnered with </w:t>
      </w:r>
      <w:proofErr w:type="spellStart"/>
      <w:r>
        <w:rPr>
          <w:rFonts w:ascii="Times New Roman" w:hAnsi="Times New Roman" w:cs="Times New Roman"/>
        </w:rPr>
        <w:t>Planixs</w:t>
      </w:r>
      <w:proofErr w:type="spellEnd"/>
      <w:r>
        <w:rPr>
          <w:rFonts w:ascii="Times New Roman" w:hAnsi="Times New Roman" w:cs="Times New Roman"/>
        </w:rPr>
        <w:t xml:space="preserve">, a provider of analytical, forecasting, and modeling software solutions for financial institutions. The collaboration involved leveraging </w:t>
      </w:r>
      <w:proofErr w:type="spellStart"/>
      <w:r>
        <w:rPr>
          <w:rFonts w:ascii="Times New Roman" w:hAnsi="Times New Roman" w:cs="Times New Roman"/>
        </w:rPr>
        <w:t>Plani</w:t>
      </w:r>
      <w:r w:rsidR="000C4B5B">
        <w:rPr>
          <w:rFonts w:ascii="Times New Roman" w:hAnsi="Times New Roman" w:cs="Times New Roman"/>
        </w:rPr>
        <w:t>xs</w:t>
      </w:r>
      <w:proofErr w:type="spellEnd"/>
      <w:r w:rsidR="000C4B5B">
        <w:rPr>
          <w:rFonts w:ascii="Times New Roman" w:hAnsi="Times New Roman" w:cs="Times New Roman"/>
        </w:rPr>
        <w:t xml:space="preserve">’ </w:t>
      </w:r>
      <w:proofErr w:type="spellStart"/>
      <w:r w:rsidR="000C4B5B">
        <w:rPr>
          <w:rFonts w:ascii="Times New Roman" w:hAnsi="Times New Roman" w:cs="Times New Roman"/>
        </w:rPr>
        <w:t>Realiti</w:t>
      </w:r>
      <w:proofErr w:type="spellEnd"/>
      <w:r w:rsidR="000C4B5B">
        <w:rPr>
          <w:rFonts w:ascii="Times New Roman" w:hAnsi="Times New Roman" w:cs="Times New Roman"/>
        </w:rPr>
        <w:t xml:space="preserve"> solutions</w:t>
      </w:r>
      <w:r w:rsidR="00C9752C">
        <w:rPr>
          <w:rFonts w:ascii="Times New Roman" w:hAnsi="Times New Roman" w:cs="Times New Roman"/>
        </w:rPr>
        <w:t xml:space="preserve"> to consolidate cash flow, improve liquidity management, and ensure compliance with regulatory standards such as the Basel </w:t>
      </w:r>
      <w:r w:rsidR="00AB5D03">
        <w:rPr>
          <w:rFonts w:ascii="Times New Roman" w:hAnsi="Times New Roman" w:cs="Times New Roman"/>
        </w:rPr>
        <w:t>Committee’s BCBS248 intraday monitoring regime</w:t>
      </w:r>
      <w:sdt>
        <w:sdtPr>
          <w:rPr>
            <w:rFonts w:ascii="Times New Roman" w:hAnsi="Times New Roman" w:cs="Times New Roman"/>
          </w:rPr>
          <w:id w:val="1853767810"/>
          <w:citation/>
        </w:sdtPr>
        <w:sdtContent>
          <w:r w:rsidR="00AB5D03">
            <w:rPr>
              <w:rFonts w:ascii="Times New Roman" w:hAnsi="Times New Roman" w:cs="Times New Roman"/>
            </w:rPr>
            <w:fldChar w:fldCharType="begin"/>
          </w:r>
          <w:r w:rsidR="00AB5D03">
            <w:rPr>
              <w:rFonts w:ascii="Times New Roman" w:hAnsi="Times New Roman" w:cs="Times New Roman"/>
              <w:lang w:val="en-GB"/>
            </w:rPr>
            <w:instrText xml:space="preserve"> CITATION Pla18 \l 2057 </w:instrText>
          </w:r>
          <w:r w:rsidR="00AB5D03">
            <w:rPr>
              <w:rFonts w:ascii="Times New Roman" w:hAnsi="Times New Roman" w:cs="Times New Roman"/>
            </w:rPr>
            <w:fldChar w:fldCharType="separate"/>
          </w:r>
          <w:r w:rsidR="00AB5D03">
            <w:rPr>
              <w:rFonts w:ascii="Times New Roman" w:hAnsi="Times New Roman" w:cs="Times New Roman"/>
              <w:noProof/>
              <w:lang w:val="en-GB"/>
            </w:rPr>
            <w:t xml:space="preserve"> </w:t>
          </w:r>
          <w:r w:rsidR="00AB5D03" w:rsidRPr="002C0313">
            <w:rPr>
              <w:rFonts w:ascii="Times New Roman" w:hAnsi="Times New Roman" w:cs="Times New Roman"/>
              <w:noProof/>
              <w:lang w:val="en-GB"/>
            </w:rPr>
            <w:t>(Planixs, 2018)</w:t>
          </w:r>
          <w:r w:rsidR="00AB5D03">
            <w:rPr>
              <w:rFonts w:ascii="Times New Roman" w:hAnsi="Times New Roman" w:cs="Times New Roman"/>
            </w:rPr>
            <w:fldChar w:fldCharType="end"/>
          </w:r>
        </w:sdtContent>
      </w:sdt>
      <w:r w:rsidR="00AB5D03">
        <w:rPr>
          <w:rFonts w:ascii="Times New Roman" w:hAnsi="Times New Roman" w:cs="Times New Roman"/>
        </w:rPr>
        <w:t>.</w:t>
      </w:r>
    </w:p>
    <w:p w14:paraId="65088391" w14:textId="0850FADE" w:rsidR="00AB5D03" w:rsidRDefault="00AB5D03" w:rsidP="00DA7507">
      <w:pPr>
        <w:spacing w:line="360" w:lineRule="auto"/>
        <w:jc w:val="both"/>
        <w:rPr>
          <w:rFonts w:ascii="Times New Roman" w:hAnsi="Times New Roman" w:cs="Times New Roman"/>
        </w:rPr>
      </w:pPr>
      <w:r>
        <w:rPr>
          <w:rFonts w:ascii="Times New Roman" w:hAnsi="Times New Roman" w:cs="Times New Roman"/>
        </w:rPr>
        <w:t xml:space="preserve">Apart from the collaboration with </w:t>
      </w:r>
      <w:proofErr w:type="spellStart"/>
      <w:r>
        <w:rPr>
          <w:rFonts w:ascii="Times New Roman" w:hAnsi="Times New Roman" w:cs="Times New Roman"/>
        </w:rPr>
        <w:t>Planixs</w:t>
      </w:r>
      <w:proofErr w:type="spellEnd"/>
      <w:r w:rsidR="00304EC8">
        <w:rPr>
          <w:rFonts w:ascii="Times New Roman" w:hAnsi="Times New Roman" w:cs="Times New Roman"/>
        </w:rPr>
        <w:t xml:space="preserve">, Lloyds announced a significant partnership with Thought Machine in </w:t>
      </w:r>
      <w:r w:rsidR="0057780D">
        <w:rPr>
          <w:rFonts w:ascii="Times New Roman" w:hAnsi="Times New Roman" w:cs="Times New Roman"/>
        </w:rPr>
        <w:t>2018</w:t>
      </w:r>
      <w:r w:rsidR="00304EC8">
        <w:rPr>
          <w:rFonts w:ascii="Times New Roman" w:hAnsi="Times New Roman" w:cs="Times New Roman"/>
        </w:rPr>
        <w:t>, accompanied by an £11 million investment representing a 10%</w:t>
      </w:r>
      <w:r w:rsidR="00153CBE">
        <w:rPr>
          <w:rFonts w:ascii="Times New Roman" w:hAnsi="Times New Roman" w:cs="Times New Roman"/>
        </w:rPr>
        <w:t xml:space="preserve"> state in the company. This collaboration aimed to harness Thought Machine’s Banking technology for delivering tailored products faster development cycles, and </w:t>
      </w:r>
      <w:r w:rsidR="006E38A1">
        <w:rPr>
          <w:rFonts w:ascii="Times New Roman" w:hAnsi="Times New Roman" w:cs="Times New Roman"/>
        </w:rPr>
        <w:t>overall improvements in digital banking.</w:t>
      </w:r>
    </w:p>
    <w:p w14:paraId="183DC5C1" w14:textId="409D0B8B" w:rsidR="00C556C8" w:rsidRDefault="00C556C8" w:rsidP="00DA7507">
      <w:pPr>
        <w:spacing w:line="360" w:lineRule="auto"/>
        <w:jc w:val="both"/>
        <w:rPr>
          <w:rFonts w:ascii="Times New Roman" w:hAnsi="Times New Roman" w:cs="Times New Roman"/>
        </w:rPr>
      </w:pPr>
      <w:r>
        <w:rPr>
          <w:rFonts w:ascii="Times New Roman" w:hAnsi="Times New Roman" w:cs="Times New Roman"/>
        </w:rPr>
        <w:t xml:space="preserve">The partnership aims to leverage Thought Machine’s banking technology to provide customers with more tailored products, faster development cycles, and further digital banking improvements. Further, Lloyds Development Capital (LDC), the private equity arm of Lloyds Banking Group, </w:t>
      </w:r>
      <w:r>
        <w:rPr>
          <w:rFonts w:ascii="Times New Roman" w:hAnsi="Times New Roman" w:cs="Times New Roman"/>
        </w:rPr>
        <w:lastRenderedPageBreak/>
        <w:t xml:space="preserve">has invested £28 million in </w:t>
      </w:r>
      <w:r w:rsidR="003B0F45">
        <w:rPr>
          <w:rFonts w:ascii="Times New Roman" w:hAnsi="Times New Roman" w:cs="Times New Roman"/>
        </w:rPr>
        <w:t>an online</w:t>
      </w:r>
      <w:r>
        <w:rPr>
          <w:rFonts w:ascii="Times New Roman" w:hAnsi="Times New Roman" w:cs="Times New Roman"/>
        </w:rPr>
        <w:t xml:space="preserve"> broker, Right Choice Insurance Brokers (RCIB) specializing in motor insurance. This investment </w:t>
      </w:r>
      <w:r w:rsidR="003B0F45">
        <w:rPr>
          <w:rFonts w:ascii="Times New Roman" w:hAnsi="Times New Roman" w:cs="Times New Roman"/>
        </w:rPr>
        <w:t>demonstrates</w:t>
      </w:r>
      <w:r>
        <w:rPr>
          <w:rFonts w:ascii="Times New Roman" w:hAnsi="Times New Roman" w:cs="Times New Roman"/>
        </w:rPr>
        <w:t xml:space="preserve"> Lloyds Banking Group’s involvement in the insurance brokerage sector</w:t>
      </w:r>
      <w:sdt>
        <w:sdtPr>
          <w:rPr>
            <w:rFonts w:ascii="Times New Roman" w:hAnsi="Times New Roman" w:cs="Times New Roman"/>
          </w:rPr>
          <w:id w:val="-1279482672"/>
          <w:citation/>
        </w:sdtPr>
        <w:sdtContent>
          <w:r>
            <w:rPr>
              <w:rFonts w:ascii="Times New Roman" w:hAnsi="Times New Roman" w:cs="Times New Roman"/>
            </w:rPr>
            <w:fldChar w:fldCharType="begin"/>
          </w:r>
          <w:r>
            <w:rPr>
              <w:rFonts w:ascii="Times New Roman" w:hAnsi="Times New Roman" w:cs="Times New Roman"/>
              <w:lang w:val="en-GB"/>
            </w:rPr>
            <w:instrText xml:space="preserve"> CITATION Ins18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(Insurance age, 2018)</w:t>
          </w:r>
          <w:r>
            <w:rPr>
              <w:rFonts w:ascii="Times New Roman" w:hAnsi="Times New Roman" w:cs="Times New Roman"/>
            </w:rPr>
            <w:fldChar w:fldCharType="end"/>
          </w:r>
        </w:sdtContent>
      </w:sdt>
      <w:r>
        <w:rPr>
          <w:rFonts w:ascii="Times New Roman" w:hAnsi="Times New Roman" w:cs="Times New Roman"/>
        </w:rPr>
        <w:t xml:space="preserve">.  </w:t>
      </w:r>
    </w:p>
    <w:p w14:paraId="57ED54DA" w14:textId="7726139F" w:rsidR="00C556C8" w:rsidRDefault="005E5C99" w:rsidP="00DA7507">
      <w:pPr>
        <w:spacing w:line="360" w:lineRule="auto"/>
        <w:jc w:val="both"/>
        <w:rPr>
          <w:rFonts w:ascii="Times New Roman" w:hAnsi="Times New Roman" w:cs="Times New Roman"/>
        </w:rPr>
      </w:pPr>
      <w:r>
        <w:rPr>
          <w:rFonts w:ascii="Times New Roman" w:hAnsi="Times New Roman" w:cs="Times New Roman"/>
        </w:rPr>
        <w:t xml:space="preserve">In 2020, Lloyds </w:t>
      </w:r>
      <w:proofErr w:type="gramStart"/>
      <w:r>
        <w:rPr>
          <w:rFonts w:ascii="Times New Roman" w:hAnsi="Times New Roman" w:cs="Times New Roman"/>
        </w:rPr>
        <w:t>entered into</w:t>
      </w:r>
      <w:proofErr w:type="gramEnd"/>
      <w:r>
        <w:rPr>
          <w:rFonts w:ascii="Times New Roman" w:hAnsi="Times New Roman" w:cs="Times New Roman"/>
        </w:rPr>
        <w:t xml:space="preserve"> a strate</w:t>
      </w:r>
      <w:r w:rsidR="0061079B">
        <w:rPr>
          <w:rFonts w:ascii="Times New Roman" w:hAnsi="Times New Roman" w:cs="Times New Roman"/>
        </w:rPr>
        <w:t>gic partnership with Form3, a cloud-native</w:t>
      </w:r>
      <w:r w:rsidR="00375A90">
        <w:rPr>
          <w:rFonts w:ascii="Times New Roman" w:hAnsi="Times New Roman" w:cs="Times New Roman"/>
        </w:rPr>
        <w:t xml:space="preserve"> payments technology fintech, with the goal of accelerating its digital transformation and enhancing the digital </w:t>
      </w:r>
      <w:r w:rsidR="00F36DD2">
        <w:rPr>
          <w:rFonts w:ascii="Times New Roman" w:hAnsi="Times New Roman" w:cs="Times New Roman"/>
        </w:rPr>
        <w:t xml:space="preserve">experience for customers. The collaboration aspires to simplify </w:t>
      </w:r>
      <w:r w:rsidR="00245831">
        <w:rPr>
          <w:rFonts w:ascii="Times New Roman" w:hAnsi="Times New Roman" w:cs="Times New Roman"/>
        </w:rPr>
        <w:t xml:space="preserve">Lloyds’ payments capabilities, improve security, and achieve £1 billion in annual sales over the next decade. </w:t>
      </w:r>
    </w:p>
    <w:p w14:paraId="6F09971B" w14:textId="25F1ACBF" w:rsidR="002856DB" w:rsidRDefault="002856DB" w:rsidP="00DA7507">
      <w:pPr>
        <w:spacing w:line="360" w:lineRule="auto"/>
        <w:jc w:val="both"/>
        <w:rPr>
          <w:rFonts w:ascii="Times New Roman" w:hAnsi="Times New Roman" w:cs="Times New Roman"/>
        </w:rPr>
      </w:pPr>
      <w:r>
        <w:rPr>
          <w:rFonts w:ascii="Times New Roman" w:hAnsi="Times New Roman" w:cs="Times New Roman"/>
        </w:rPr>
        <w:t>Llo</w:t>
      </w:r>
      <w:r w:rsidR="0010701A">
        <w:rPr>
          <w:rFonts w:ascii="Times New Roman" w:hAnsi="Times New Roman" w:cs="Times New Roman"/>
        </w:rPr>
        <w:t>y</w:t>
      </w:r>
      <w:r>
        <w:rPr>
          <w:rFonts w:ascii="Times New Roman" w:hAnsi="Times New Roman" w:cs="Times New Roman"/>
        </w:rPr>
        <w:t>ds’ investment in fintech</w:t>
      </w:r>
      <w:r w:rsidR="0010701A">
        <w:rPr>
          <w:rFonts w:ascii="Times New Roman" w:hAnsi="Times New Roman" w:cs="Times New Roman"/>
        </w:rPr>
        <w:t xml:space="preserve"> Bink in 2022 facilitated the development of a unified retail reward and loyalty program. This program is set to be rolled out to </w:t>
      </w:r>
      <w:r w:rsidR="00A362D1">
        <w:rPr>
          <w:rFonts w:ascii="Times New Roman" w:hAnsi="Times New Roman" w:cs="Times New Roman"/>
        </w:rPr>
        <w:t>Lloyd’s</w:t>
      </w:r>
      <w:r w:rsidR="0010701A">
        <w:rPr>
          <w:rFonts w:ascii="Times New Roman" w:hAnsi="Times New Roman" w:cs="Times New Roman"/>
        </w:rPr>
        <w:t xml:space="preserve"> retail banking customers, enabling them</w:t>
      </w:r>
      <w:r w:rsidR="009C35AC">
        <w:rPr>
          <w:rFonts w:ascii="Times New Roman" w:hAnsi="Times New Roman" w:cs="Times New Roman"/>
        </w:rPr>
        <w:t xml:space="preserve"> to seamlessly link their payment cards to loyalty programs and manage points through their mobile banking app</w:t>
      </w:r>
      <w:sdt>
        <w:sdtPr>
          <w:rPr>
            <w:rFonts w:ascii="Times New Roman" w:hAnsi="Times New Roman" w:cs="Times New Roman"/>
          </w:rPr>
          <w:id w:val="4103985"/>
          <w:citation/>
        </w:sdtPr>
        <w:sdtContent>
          <w:r w:rsidR="009C35AC">
            <w:rPr>
              <w:rFonts w:ascii="Times New Roman" w:hAnsi="Times New Roman" w:cs="Times New Roman"/>
            </w:rPr>
            <w:fldChar w:fldCharType="begin"/>
          </w:r>
          <w:r w:rsidR="009C35AC">
            <w:rPr>
              <w:rFonts w:ascii="Times New Roman" w:hAnsi="Times New Roman" w:cs="Times New Roman"/>
              <w:lang w:val="en-GB"/>
            </w:rPr>
            <w:instrText xml:space="preserve"> CITATION Fin22 \l 2057 </w:instrText>
          </w:r>
          <w:r w:rsidR="009C35AC">
            <w:rPr>
              <w:rFonts w:ascii="Times New Roman" w:hAnsi="Times New Roman" w:cs="Times New Roman"/>
            </w:rPr>
            <w:fldChar w:fldCharType="separate"/>
          </w:r>
          <w:r w:rsidR="009C35AC">
            <w:rPr>
              <w:rFonts w:ascii="Times New Roman" w:hAnsi="Times New Roman" w:cs="Times New Roman"/>
              <w:noProof/>
              <w:lang w:val="en-GB"/>
            </w:rPr>
            <w:t xml:space="preserve"> </w:t>
          </w:r>
          <w:r w:rsidR="009C35AC" w:rsidRPr="002C0313">
            <w:rPr>
              <w:rFonts w:ascii="Times New Roman" w:hAnsi="Times New Roman" w:cs="Times New Roman"/>
              <w:noProof/>
              <w:lang w:val="en-GB"/>
            </w:rPr>
            <w:t>(Fintech Futures, 2022)</w:t>
          </w:r>
          <w:r w:rsidR="009C35AC">
            <w:rPr>
              <w:rFonts w:ascii="Times New Roman" w:hAnsi="Times New Roman" w:cs="Times New Roman"/>
            </w:rPr>
            <w:fldChar w:fldCharType="end"/>
          </w:r>
        </w:sdtContent>
      </w:sdt>
      <w:r w:rsidR="00320DCE">
        <w:rPr>
          <w:rFonts w:ascii="Times New Roman" w:hAnsi="Times New Roman" w:cs="Times New Roman"/>
        </w:rPr>
        <w:t>.</w:t>
      </w:r>
    </w:p>
    <w:p w14:paraId="5FA03382" w14:textId="3376EC8E" w:rsidR="00F36302" w:rsidRDefault="002856DB" w:rsidP="00DA7507">
      <w:pPr>
        <w:spacing w:line="360" w:lineRule="auto"/>
        <w:jc w:val="both"/>
        <w:rPr>
          <w:rFonts w:ascii="Times New Roman" w:hAnsi="Times New Roman" w:cs="Times New Roman"/>
        </w:rPr>
      </w:pPr>
      <w:r>
        <w:rPr>
          <w:rFonts w:ascii="Times New Roman" w:hAnsi="Times New Roman" w:cs="Times New Roman"/>
        </w:rPr>
        <w:t xml:space="preserve">Furthermore, Lloyds’ </w:t>
      </w:r>
      <w:r w:rsidR="000B1BF4">
        <w:rPr>
          <w:rFonts w:ascii="Times New Roman" w:hAnsi="Times New Roman" w:cs="Times New Roman"/>
        </w:rPr>
        <w:t>investment</w:t>
      </w:r>
      <w:r>
        <w:rPr>
          <w:rFonts w:ascii="Times New Roman" w:hAnsi="Times New Roman" w:cs="Times New Roman"/>
        </w:rPr>
        <w:t xml:space="preserve"> of €3 million (£2.56 million) in technology company </w:t>
      </w:r>
      <w:proofErr w:type="spellStart"/>
      <w:r>
        <w:rPr>
          <w:rFonts w:ascii="Times New Roman" w:hAnsi="Times New Roman" w:cs="Times New Roman"/>
        </w:rPr>
        <w:t>Enigio</w:t>
      </w:r>
      <w:proofErr w:type="spellEnd"/>
      <w:r w:rsidR="00320DCE">
        <w:rPr>
          <w:rFonts w:ascii="Times New Roman" w:hAnsi="Times New Roman" w:cs="Times New Roman"/>
        </w:rPr>
        <w:t xml:space="preserve"> aims to expand the use of digital documentation in trade. This strategic partnership has resulted in </w:t>
      </w:r>
      <w:r w:rsidR="00415C59">
        <w:rPr>
          <w:rFonts w:ascii="Times New Roman" w:hAnsi="Times New Roman" w:cs="Times New Roman"/>
        </w:rPr>
        <w:t>innovative solutions like digitalizing physical original documents, including promissory notes, bills of exchange, and bills of lading</w:t>
      </w:r>
      <w:sdt>
        <w:sdtPr>
          <w:rPr>
            <w:rFonts w:ascii="Times New Roman" w:hAnsi="Times New Roman" w:cs="Times New Roman"/>
          </w:rPr>
          <w:id w:val="464009317"/>
          <w:citation/>
        </w:sdtPr>
        <w:sdtContent>
          <w:r w:rsidR="001C4D1D">
            <w:rPr>
              <w:rFonts w:ascii="Times New Roman" w:hAnsi="Times New Roman" w:cs="Times New Roman"/>
            </w:rPr>
            <w:fldChar w:fldCharType="begin"/>
          </w:r>
          <w:r w:rsidR="001C4D1D">
            <w:rPr>
              <w:rFonts w:ascii="Times New Roman" w:hAnsi="Times New Roman" w:cs="Times New Roman"/>
              <w:lang w:val="en-GB"/>
            </w:rPr>
            <w:instrText xml:space="preserve"> CITATION Llo232 \l 2057 </w:instrText>
          </w:r>
          <w:r w:rsidR="001C4D1D">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2023)</w:t>
          </w:r>
          <w:r w:rsidR="001C4D1D">
            <w:rPr>
              <w:rFonts w:ascii="Times New Roman" w:hAnsi="Times New Roman" w:cs="Times New Roman"/>
            </w:rPr>
            <w:fldChar w:fldCharType="end"/>
          </w:r>
        </w:sdtContent>
      </w:sdt>
      <w:r w:rsidR="001E5B00">
        <w:rPr>
          <w:rFonts w:ascii="Times New Roman" w:hAnsi="Times New Roman" w:cs="Times New Roman"/>
        </w:rPr>
        <w:t>.</w:t>
      </w:r>
      <w:r w:rsidR="002F0D20">
        <w:rPr>
          <w:rFonts w:ascii="Times New Roman" w:hAnsi="Times New Roman" w:cs="Times New Roman"/>
        </w:rPr>
        <w:t xml:space="preserve"> </w:t>
      </w:r>
    </w:p>
    <w:p w14:paraId="5D0EC820" w14:textId="571253DD" w:rsidR="00871215" w:rsidRDefault="00C16B65" w:rsidP="00DA7507">
      <w:pPr>
        <w:spacing w:line="360" w:lineRule="auto"/>
        <w:jc w:val="both"/>
        <w:rPr>
          <w:rFonts w:ascii="Times New Roman" w:hAnsi="Times New Roman" w:cs="Times New Roman"/>
        </w:rPr>
      </w:pPr>
      <w:r>
        <w:rPr>
          <w:rFonts w:ascii="Times New Roman" w:hAnsi="Times New Roman" w:cs="Times New Roman"/>
        </w:rPr>
        <w:t>Llo</w:t>
      </w:r>
      <w:r w:rsidR="00DE757D">
        <w:rPr>
          <w:rFonts w:ascii="Times New Roman" w:hAnsi="Times New Roman" w:cs="Times New Roman"/>
        </w:rPr>
        <w:t>y</w:t>
      </w:r>
      <w:r>
        <w:rPr>
          <w:rFonts w:ascii="Times New Roman" w:hAnsi="Times New Roman" w:cs="Times New Roman"/>
        </w:rPr>
        <w:t xml:space="preserve">ds Banking Group </w:t>
      </w:r>
      <w:r w:rsidR="00543BF5">
        <w:rPr>
          <w:rFonts w:ascii="Times New Roman" w:hAnsi="Times New Roman" w:cs="Times New Roman"/>
        </w:rPr>
        <w:t xml:space="preserve">has also diversified its investment </w:t>
      </w:r>
      <w:r w:rsidR="00514378">
        <w:rPr>
          <w:rFonts w:ascii="Times New Roman" w:hAnsi="Times New Roman" w:cs="Times New Roman"/>
        </w:rPr>
        <w:t xml:space="preserve">putting £10 million into digital identity company </w:t>
      </w:r>
      <w:proofErr w:type="spellStart"/>
      <w:r w:rsidR="00514378">
        <w:rPr>
          <w:rFonts w:ascii="Times New Roman" w:hAnsi="Times New Roman" w:cs="Times New Roman"/>
        </w:rPr>
        <w:t>Yoti</w:t>
      </w:r>
      <w:proofErr w:type="spellEnd"/>
      <w:r w:rsidR="00514378">
        <w:rPr>
          <w:rFonts w:ascii="Times New Roman" w:hAnsi="Times New Roman" w:cs="Times New Roman"/>
        </w:rPr>
        <w:t xml:space="preserve"> in 2023</w:t>
      </w:r>
      <w:r w:rsidR="00FB3A14">
        <w:rPr>
          <w:rFonts w:ascii="Times New Roman" w:hAnsi="Times New Roman" w:cs="Times New Roman"/>
        </w:rPr>
        <w:t xml:space="preserve">. This investment supports online safety, identity fraud prevention, and personal data control, offering users a more private, secure, and convenient means of proving their identity and age from their mobile phones </w:t>
      </w:r>
      <w:sdt>
        <w:sdtPr>
          <w:rPr>
            <w:rFonts w:ascii="Times New Roman" w:hAnsi="Times New Roman" w:cs="Times New Roman"/>
          </w:rPr>
          <w:id w:val="-1650673336"/>
          <w:citation/>
        </w:sdtPr>
        <w:sdtContent>
          <w:r w:rsidR="00FB3A14">
            <w:rPr>
              <w:rFonts w:ascii="Times New Roman" w:hAnsi="Times New Roman" w:cs="Times New Roman"/>
            </w:rPr>
            <w:fldChar w:fldCharType="begin"/>
          </w:r>
          <w:r w:rsidR="00FB3A14">
            <w:rPr>
              <w:rFonts w:ascii="Times New Roman" w:hAnsi="Times New Roman" w:cs="Times New Roman"/>
              <w:lang w:val="en-GB"/>
            </w:rPr>
            <w:instrText xml:space="preserve"> CITATION Yot23 \l 2057 </w:instrText>
          </w:r>
          <w:r w:rsidR="00FB3A14">
            <w:rPr>
              <w:rFonts w:ascii="Times New Roman" w:hAnsi="Times New Roman" w:cs="Times New Roman"/>
            </w:rPr>
            <w:fldChar w:fldCharType="separate"/>
          </w:r>
          <w:r w:rsidR="00FB3A14" w:rsidRPr="002C0313">
            <w:rPr>
              <w:rFonts w:ascii="Times New Roman" w:hAnsi="Times New Roman" w:cs="Times New Roman"/>
              <w:noProof/>
              <w:lang w:val="en-GB"/>
            </w:rPr>
            <w:t>(Yoti, 2023)</w:t>
          </w:r>
          <w:r w:rsidR="00FB3A14">
            <w:rPr>
              <w:rFonts w:ascii="Times New Roman" w:hAnsi="Times New Roman" w:cs="Times New Roman"/>
            </w:rPr>
            <w:fldChar w:fldCharType="end"/>
          </w:r>
        </w:sdtContent>
      </w:sdt>
      <w:r w:rsidR="00FB3A14">
        <w:rPr>
          <w:rFonts w:ascii="Times New Roman" w:hAnsi="Times New Roman" w:cs="Times New Roman"/>
        </w:rPr>
        <w:t xml:space="preserve">. </w:t>
      </w:r>
      <w:r w:rsidR="002642DB">
        <w:rPr>
          <w:rFonts w:ascii="Times New Roman" w:hAnsi="Times New Roman" w:cs="Times New Roman"/>
        </w:rPr>
        <w:t xml:space="preserve">Additionally, Lloyds Banking Group invested in Phoenix Group, a </w:t>
      </w:r>
      <w:r w:rsidR="003B0F45">
        <w:rPr>
          <w:rFonts w:ascii="Times New Roman" w:hAnsi="Times New Roman" w:cs="Times New Roman"/>
        </w:rPr>
        <w:t>provider</w:t>
      </w:r>
      <w:r w:rsidR="002642DB">
        <w:rPr>
          <w:rFonts w:ascii="Times New Roman" w:hAnsi="Times New Roman" w:cs="Times New Roman"/>
        </w:rPr>
        <w:t xml:space="preserve"> of saving, insurance, and pensions, to ve</w:t>
      </w:r>
      <w:r w:rsidR="005F1A89">
        <w:rPr>
          <w:rFonts w:ascii="Times New Roman" w:hAnsi="Times New Roman" w:cs="Times New Roman"/>
        </w:rPr>
        <w:t xml:space="preserve">nture into new healthcare markets. </w:t>
      </w:r>
    </w:p>
    <w:p w14:paraId="3BDF9CFC" w14:textId="77777777" w:rsidR="005F1A89" w:rsidRDefault="005F1A89" w:rsidP="005F1A89">
      <w:pPr>
        <w:spacing w:line="360" w:lineRule="auto"/>
        <w:jc w:val="both"/>
        <w:rPr>
          <w:rFonts w:ascii="Times New Roman" w:hAnsi="Times New Roman" w:cs="Times New Roman"/>
        </w:rPr>
      </w:pPr>
      <w:r>
        <w:rPr>
          <w:rFonts w:ascii="Times New Roman" w:hAnsi="Times New Roman" w:cs="Times New Roman"/>
        </w:rPr>
        <w:t>This strategic investment reflects Lloyds Bank’s commitment to driving future innovation and supporting businesses in the evolving trade industry.</w:t>
      </w:r>
    </w:p>
    <w:p w14:paraId="63433DE1" w14:textId="7C543B3E" w:rsidR="00F06AB3" w:rsidRPr="008041D6" w:rsidRDefault="00F06AB3" w:rsidP="00DA7507">
      <w:pPr>
        <w:spacing w:line="360" w:lineRule="auto"/>
        <w:jc w:val="both"/>
        <w:rPr>
          <w:rFonts w:ascii="Times New Roman" w:hAnsi="Times New Roman" w:cs="Times New Roman"/>
          <w:b/>
          <w:bCs/>
        </w:rPr>
      </w:pPr>
      <w:r w:rsidRPr="008041D6">
        <w:rPr>
          <w:rFonts w:ascii="Times New Roman" w:hAnsi="Times New Roman" w:cs="Times New Roman"/>
          <w:b/>
          <w:bCs/>
        </w:rPr>
        <w:t xml:space="preserve">Barclays </w:t>
      </w:r>
      <w:r w:rsidR="00C31F94">
        <w:rPr>
          <w:rFonts w:ascii="Times New Roman" w:hAnsi="Times New Roman" w:cs="Times New Roman"/>
          <w:b/>
          <w:bCs/>
        </w:rPr>
        <w:t>Plc</w:t>
      </w:r>
    </w:p>
    <w:p w14:paraId="59661B96" w14:textId="3F97F36F" w:rsidR="00F37A18" w:rsidRDefault="00DA7507" w:rsidP="00DA7507">
      <w:pPr>
        <w:spacing w:line="360" w:lineRule="auto"/>
        <w:jc w:val="both"/>
        <w:rPr>
          <w:rFonts w:ascii="Times New Roman" w:hAnsi="Times New Roman" w:cs="Times New Roman"/>
        </w:rPr>
      </w:pPr>
      <w:r w:rsidRPr="00694D5D">
        <w:rPr>
          <w:rFonts w:ascii="Times New Roman" w:hAnsi="Times New Roman" w:cs="Times New Roman"/>
        </w:rPr>
        <w:t xml:space="preserve">The digital transformation strategies of these old banks indicate a strategic emphasis on leading-edge solutions and certain technologies to survive in the age. </w:t>
      </w:r>
      <w:r w:rsidR="00D01E1C">
        <w:rPr>
          <w:rFonts w:ascii="Times New Roman" w:hAnsi="Times New Roman" w:cs="Times New Roman"/>
        </w:rPr>
        <w:t>Fintech</w:t>
      </w:r>
      <w:r w:rsidR="00F44B6B">
        <w:rPr>
          <w:rFonts w:ascii="Times New Roman" w:hAnsi="Times New Roman" w:cs="Times New Roman"/>
        </w:rPr>
        <w:t xml:space="preserve"> firms</w:t>
      </w:r>
      <w:r w:rsidR="00D01E1C">
        <w:rPr>
          <w:rFonts w:ascii="Times New Roman" w:hAnsi="Times New Roman" w:cs="Times New Roman"/>
        </w:rPr>
        <w:t xml:space="preserve"> and </w:t>
      </w:r>
      <w:r w:rsidR="00A0001B">
        <w:rPr>
          <w:rFonts w:ascii="Times New Roman" w:hAnsi="Times New Roman" w:cs="Times New Roman"/>
        </w:rPr>
        <w:t>traditional banks that have</w:t>
      </w:r>
      <w:r w:rsidR="00377901">
        <w:rPr>
          <w:rFonts w:ascii="Times New Roman" w:hAnsi="Times New Roman" w:cs="Times New Roman"/>
        </w:rPr>
        <w:t xml:space="preserve"> adopted</w:t>
      </w:r>
      <w:r w:rsidR="00A0001B">
        <w:rPr>
          <w:rFonts w:ascii="Times New Roman" w:hAnsi="Times New Roman" w:cs="Times New Roman"/>
        </w:rPr>
        <w:t xml:space="preserve"> emerging technolog</w:t>
      </w:r>
      <w:r w:rsidR="00377901">
        <w:rPr>
          <w:rFonts w:ascii="Times New Roman" w:hAnsi="Times New Roman" w:cs="Times New Roman"/>
        </w:rPr>
        <w:t>ies</w:t>
      </w:r>
      <w:r w:rsidR="00A0001B">
        <w:rPr>
          <w:rFonts w:ascii="Times New Roman" w:hAnsi="Times New Roman" w:cs="Times New Roman"/>
        </w:rPr>
        <w:t xml:space="preserve"> </w:t>
      </w:r>
      <w:r w:rsidR="001023A5">
        <w:rPr>
          <w:rFonts w:ascii="Times New Roman" w:hAnsi="Times New Roman" w:cs="Times New Roman"/>
        </w:rPr>
        <w:t xml:space="preserve">now </w:t>
      </w:r>
      <w:r w:rsidR="001B7DFC">
        <w:rPr>
          <w:rFonts w:ascii="Times New Roman" w:hAnsi="Times New Roman" w:cs="Times New Roman"/>
        </w:rPr>
        <w:t>provide</w:t>
      </w:r>
      <w:r w:rsidR="001023A5">
        <w:rPr>
          <w:rFonts w:ascii="Times New Roman" w:hAnsi="Times New Roman" w:cs="Times New Roman"/>
        </w:rPr>
        <w:t xml:space="preserve"> products </w:t>
      </w:r>
      <w:r w:rsidR="007F7875">
        <w:rPr>
          <w:rFonts w:ascii="Times New Roman" w:hAnsi="Times New Roman" w:cs="Times New Roman"/>
        </w:rPr>
        <w:t xml:space="preserve">characterized </w:t>
      </w:r>
      <w:r w:rsidR="001023A5">
        <w:rPr>
          <w:rFonts w:ascii="Times New Roman" w:hAnsi="Times New Roman" w:cs="Times New Roman"/>
        </w:rPr>
        <w:t xml:space="preserve">with </w:t>
      </w:r>
      <w:r w:rsidR="003B0F45">
        <w:rPr>
          <w:rFonts w:ascii="Times New Roman" w:hAnsi="Times New Roman" w:cs="Times New Roman"/>
        </w:rPr>
        <w:t xml:space="preserve">quicker </w:t>
      </w:r>
      <w:r w:rsidR="003B0F45">
        <w:rPr>
          <w:rFonts w:ascii="Times New Roman" w:hAnsi="Times New Roman" w:cs="Times New Roman"/>
        </w:rPr>
        <w:lastRenderedPageBreak/>
        <w:t>decision</w:t>
      </w:r>
      <w:r w:rsidR="001023A5">
        <w:rPr>
          <w:rFonts w:ascii="Times New Roman" w:hAnsi="Times New Roman" w:cs="Times New Roman"/>
        </w:rPr>
        <w:t xml:space="preserve"> making and </w:t>
      </w:r>
      <w:r w:rsidR="007F7875">
        <w:rPr>
          <w:rFonts w:ascii="Times New Roman" w:hAnsi="Times New Roman" w:cs="Times New Roman"/>
        </w:rPr>
        <w:t xml:space="preserve">faster </w:t>
      </w:r>
      <w:r w:rsidR="002037D0">
        <w:rPr>
          <w:rFonts w:ascii="Times New Roman" w:hAnsi="Times New Roman" w:cs="Times New Roman"/>
        </w:rPr>
        <w:t xml:space="preserve">disbursement </w:t>
      </w:r>
      <w:r w:rsidR="00D01E1C">
        <w:rPr>
          <w:rFonts w:ascii="Times New Roman" w:hAnsi="Times New Roman" w:cs="Times New Roman"/>
        </w:rPr>
        <w:t xml:space="preserve">of funds </w:t>
      </w:r>
      <w:r w:rsidR="002037D0">
        <w:rPr>
          <w:rFonts w:ascii="Times New Roman" w:hAnsi="Times New Roman" w:cs="Times New Roman"/>
        </w:rPr>
        <w:t>up</w:t>
      </w:r>
      <w:r w:rsidR="00D01E1C">
        <w:rPr>
          <w:rFonts w:ascii="Times New Roman" w:hAnsi="Times New Roman" w:cs="Times New Roman"/>
        </w:rPr>
        <w:t xml:space="preserve">on approval, </w:t>
      </w:r>
      <w:r w:rsidR="002037D0">
        <w:rPr>
          <w:rFonts w:ascii="Times New Roman" w:hAnsi="Times New Roman" w:cs="Times New Roman"/>
        </w:rPr>
        <w:t xml:space="preserve">rendering them more </w:t>
      </w:r>
      <w:r w:rsidR="00B85E67">
        <w:rPr>
          <w:rFonts w:ascii="Times New Roman" w:hAnsi="Times New Roman" w:cs="Times New Roman"/>
        </w:rPr>
        <w:t>appealing to</w:t>
      </w:r>
      <w:r w:rsidR="00D01E1C">
        <w:rPr>
          <w:rFonts w:ascii="Times New Roman" w:hAnsi="Times New Roman" w:cs="Times New Roman"/>
        </w:rPr>
        <w:t xml:space="preserve"> customers.</w:t>
      </w:r>
      <w:r w:rsidR="00A0001B">
        <w:rPr>
          <w:rFonts w:ascii="Times New Roman" w:hAnsi="Times New Roman" w:cs="Times New Roman"/>
        </w:rPr>
        <w:t xml:space="preserve"> </w:t>
      </w:r>
    </w:p>
    <w:p w14:paraId="3D3D3863" w14:textId="66116F85" w:rsidR="00F37A18" w:rsidRPr="001370D0" w:rsidRDefault="00836B2C" w:rsidP="001370D0">
      <w:pPr>
        <w:pStyle w:val="Caption"/>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bookmarkStart w:id="61" w:name="_Toc158706227"/>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\s 1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t xml:space="preserve"> </w:t>
      </w:r>
      <w:r w:rsidRPr="00836B2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Barclays Plc</w:t>
      </w:r>
      <w:bookmarkEnd w:id="61"/>
    </w:p>
    <w:tbl>
      <w:tblPr>
        <w:tblStyle w:val="TableGrid"/>
        <w:tblW w:w="9380" w:type="dxa"/>
        <w:tblLook w:val="04A0" w:firstRow="1" w:lastRow="0" w:firstColumn="1" w:lastColumn="0" w:noHBand="0" w:noVBand="1"/>
      </w:tblPr>
      <w:tblGrid>
        <w:gridCol w:w="846"/>
        <w:gridCol w:w="2410"/>
        <w:gridCol w:w="2976"/>
        <w:gridCol w:w="3148"/>
      </w:tblGrid>
      <w:tr w:rsidR="00F37A18" w14:paraId="6A54A8E7" w14:textId="77777777" w:rsidTr="00220148">
        <w:trPr>
          <w:trHeight w:val="400"/>
        </w:trPr>
        <w:tc>
          <w:tcPr>
            <w:tcW w:w="846" w:type="dxa"/>
          </w:tcPr>
          <w:p w14:paraId="70A90CAC"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2058131B"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976" w:type="dxa"/>
          </w:tcPr>
          <w:p w14:paraId="6DE1A695"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04C08FAE"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D71B5D" w14:paraId="2AB43B27" w14:textId="77777777" w:rsidTr="00220148">
        <w:trPr>
          <w:trHeight w:val="400"/>
        </w:trPr>
        <w:tc>
          <w:tcPr>
            <w:tcW w:w="846" w:type="dxa"/>
          </w:tcPr>
          <w:p w14:paraId="26967043" w14:textId="545E6D65" w:rsidR="00D71B5D" w:rsidRDefault="00D71B5D" w:rsidP="003A4884">
            <w:pPr>
              <w:spacing w:line="360" w:lineRule="auto"/>
              <w:jc w:val="both"/>
              <w:rPr>
                <w:rFonts w:ascii="Times New Roman" w:hAnsi="Times New Roman" w:cs="Times New Roman"/>
              </w:rPr>
            </w:pPr>
            <w:r>
              <w:rPr>
                <w:rFonts w:ascii="Times New Roman" w:hAnsi="Times New Roman" w:cs="Times New Roman"/>
              </w:rPr>
              <w:t>2021</w:t>
            </w:r>
          </w:p>
        </w:tc>
        <w:tc>
          <w:tcPr>
            <w:tcW w:w="2410" w:type="dxa"/>
          </w:tcPr>
          <w:p w14:paraId="745D8C62" w14:textId="7BEAD9EA" w:rsidR="00D71B5D" w:rsidRDefault="00D71B5D" w:rsidP="003A4884">
            <w:pPr>
              <w:spacing w:line="360" w:lineRule="auto"/>
              <w:jc w:val="both"/>
              <w:rPr>
                <w:rFonts w:ascii="Times New Roman" w:hAnsi="Times New Roman" w:cs="Times New Roman"/>
              </w:rPr>
            </w:pPr>
            <w:r>
              <w:rPr>
                <w:rFonts w:ascii="Times New Roman" w:hAnsi="Times New Roman" w:cs="Times New Roman"/>
              </w:rPr>
              <w:t>Cloud</w:t>
            </w:r>
          </w:p>
        </w:tc>
        <w:tc>
          <w:tcPr>
            <w:tcW w:w="2976" w:type="dxa"/>
          </w:tcPr>
          <w:p w14:paraId="43DF87D5" w14:textId="039C7061" w:rsidR="00D71B5D" w:rsidRDefault="006A6578" w:rsidP="003A4884">
            <w:pPr>
              <w:spacing w:line="360" w:lineRule="auto"/>
              <w:jc w:val="both"/>
              <w:rPr>
                <w:rFonts w:ascii="Times New Roman" w:hAnsi="Times New Roman" w:cs="Times New Roman"/>
              </w:rPr>
            </w:pPr>
            <w:r>
              <w:rPr>
                <w:rFonts w:ascii="Times New Roman" w:hAnsi="Times New Roman" w:cs="Times New Roman"/>
              </w:rPr>
              <w:t>Digital Transformation</w:t>
            </w:r>
          </w:p>
        </w:tc>
        <w:tc>
          <w:tcPr>
            <w:tcW w:w="3148" w:type="dxa"/>
          </w:tcPr>
          <w:p w14:paraId="716AD682" w14:textId="7F64A3F7" w:rsidR="00D71B5D" w:rsidRDefault="00612ACD" w:rsidP="003A4884">
            <w:pPr>
              <w:spacing w:line="360" w:lineRule="auto"/>
              <w:jc w:val="both"/>
              <w:rPr>
                <w:rFonts w:ascii="Times New Roman" w:hAnsi="Times New Roman" w:cs="Times New Roman"/>
              </w:rPr>
            </w:pPr>
            <w:r>
              <w:rPr>
                <w:rFonts w:ascii="Times New Roman" w:hAnsi="Times New Roman" w:cs="Times New Roman"/>
              </w:rPr>
              <w:t xml:space="preserve">HPE </w:t>
            </w:r>
            <w:proofErr w:type="spellStart"/>
            <w:r>
              <w:rPr>
                <w:rFonts w:ascii="Times New Roman" w:hAnsi="Times New Roman" w:cs="Times New Roman"/>
              </w:rPr>
              <w:t>Greenlake</w:t>
            </w:r>
            <w:proofErr w:type="spellEnd"/>
          </w:p>
        </w:tc>
      </w:tr>
      <w:tr w:rsidR="0074260D" w14:paraId="130CB590" w14:textId="77777777" w:rsidTr="00220148">
        <w:trPr>
          <w:trHeight w:val="400"/>
        </w:trPr>
        <w:tc>
          <w:tcPr>
            <w:tcW w:w="846" w:type="dxa"/>
          </w:tcPr>
          <w:p w14:paraId="0AF91C83" w14:textId="0B61F752" w:rsidR="0074260D" w:rsidRDefault="0074260D" w:rsidP="003A4884">
            <w:pPr>
              <w:spacing w:line="360" w:lineRule="auto"/>
              <w:jc w:val="both"/>
              <w:rPr>
                <w:rFonts w:ascii="Times New Roman" w:hAnsi="Times New Roman" w:cs="Times New Roman"/>
              </w:rPr>
            </w:pPr>
            <w:r>
              <w:rPr>
                <w:rFonts w:ascii="Times New Roman" w:hAnsi="Times New Roman" w:cs="Times New Roman"/>
              </w:rPr>
              <w:t>2021</w:t>
            </w:r>
          </w:p>
        </w:tc>
        <w:tc>
          <w:tcPr>
            <w:tcW w:w="2410" w:type="dxa"/>
          </w:tcPr>
          <w:p w14:paraId="11C79779" w14:textId="22094AE7" w:rsidR="0074260D" w:rsidRDefault="00D60273" w:rsidP="003A4884">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310AB42E" w14:textId="2216A2B3" w:rsidR="0074260D" w:rsidRDefault="00D60273" w:rsidP="003A4884">
            <w:pPr>
              <w:spacing w:line="360" w:lineRule="auto"/>
              <w:jc w:val="both"/>
              <w:rPr>
                <w:rFonts w:ascii="Times New Roman" w:hAnsi="Times New Roman" w:cs="Times New Roman"/>
              </w:rPr>
            </w:pPr>
            <w:r>
              <w:rPr>
                <w:rFonts w:ascii="Times New Roman" w:hAnsi="Times New Roman" w:cs="Times New Roman"/>
              </w:rPr>
              <w:t>Digital receipt</w:t>
            </w:r>
          </w:p>
        </w:tc>
        <w:tc>
          <w:tcPr>
            <w:tcW w:w="3148" w:type="dxa"/>
          </w:tcPr>
          <w:p w14:paraId="02AF1D89" w14:textId="793E77F6" w:rsidR="0074260D" w:rsidRDefault="00D60273" w:rsidP="003A4884">
            <w:pPr>
              <w:spacing w:line="360" w:lineRule="auto"/>
              <w:jc w:val="both"/>
              <w:rPr>
                <w:rFonts w:ascii="Times New Roman" w:hAnsi="Times New Roman" w:cs="Times New Roman"/>
              </w:rPr>
            </w:pPr>
            <w:r>
              <w:rPr>
                <w:rFonts w:ascii="Times New Roman" w:hAnsi="Times New Roman" w:cs="Times New Roman"/>
              </w:rPr>
              <w:t>Flux</w:t>
            </w:r>
          </w:p>
        </w:tc>
      </w:tr>
      <w:tr w:rsidR="00C579DA" w14:paraId="12BB499F" w14:textId="77777777" w:rsidTr="00220148">
        <w:trPr>
          <w:trHeight w:val="400"/>
        </w:trPr>
        <w:tc>
          <w:tcPr>
            <w:tcW w:w="846" w:type="dxa"/>
          </w:tcPr>
          <w:p w14:paraId="16E8B0BA" w14:textId="361D93DA" w:rsidR="00C579DA" w:rsidRDefault="00C579DA" w:rsidP="003A4884">
            <w:pPr>
              <w:spacing w:line="360" w:lineRule="auto"/>
              <w:jc w:val="both"/>
              <w:rPr>
                <w:rFonts w:ascii="Times New Roman" w:hAnsi="Times New Roman" w:cs="Times New Roman"/>
              </w:rPr>
            </w:pPr>
            <w:r>
              <w:rPr>
                <w:rFonts w:ascii="Times New Roman" w:hAnsi="Times New Roman" w:cs="Times New Roman"/>
              </w:rPr>
              <w:t>2019</w:t>
            </w:r>
          </w:p>
        </w:tc>
        <w:tc>
          <w:tcPr>
            <w:tcW w:w="2410" w:type="dxa"/>
          </w:tcPr>
          <w:p w14:paraId="77D08298" w14:textId="24F9CC67" w:rsidR="00C579DA" w:rsidRDefault="00C579DA" w:rsidP="003A4884">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152EF5CF" w14:textId="014580B6" w:rsidR="00C579DA" w:rsidRDefault="007128C5" w:rsidP="003A4884">
            <w:pPr>
              <w:spacing w:line="360" w:lineRule="auto"/>
              <w:jc w:val="both"/>
              <w:rPr>
                <w:rFonts w:ascii="Times New Roman" w:hAnsi="Times New Roman" w:cs="Times New Roman"/>
              </w:rPr>
            </w:pPr>
            <w:r>
              <w:rPr>
                <w:rFonts w:ascii="Times New Roman" w:hAnsi="Times New Roman" w:cs="Times New Roman"/>
              </w:rPr>
              <w:t>Agent-based modelling</w:t>
            </w:r>
          </w:p>
        </w:tc>
        <w:tc>
          <w:tcPr>
            <w:tcW w:w="3148" w:type="dxa"/>
          </w:tcPr>
          <w:p w14:paraId="4598D1F4" w14:textId="04E1EBB6" w:rsidR="00C579DA" w:rsidRDefault="007128C5" w:rsidP="003A4884">
            <w:pPr>
              <w:spacing w:line="360" w:lineRule="auto"/>
              <w:jc w:val="both"/>
              <w:rPr>
                <w:rFonts w:ascii="Times New Roman" w:hAnsi="Times New Roman" w:cs="Times New Roman"/>
              </w:rPr>
            </w:pPr>
            <w:proofErr w:type="spellStart"/>
            <w:r>
              <w:rPr>
                <w:rFonts w:ascii="Times New Roman" w:hAnsi="Times New Roman" w:cs="Times New Roman"/>
              </w:rPr>
              <w:t>Simudyne</w:t>
            </w:r>
            <w:proofErr w:type="spellEnd"/>
          </w:p>
        </w:tc>
      </w:tr>
      <w:tr w:rsidR="00853FAB" w14:paraId="12E6DA4F" w14:textId="77777777" w:rsidTr="00220148">
        <w:trPr>
          <w:trHeight w:val="400"/>
        </w:trPr>
        <w:tc>
          <w:tcPr>
            <w:tcW w:w="846" w:type="dxa"/>
          </w:tcPr>
          <w:p w14:paraId="59721955" w14:textId="6C31B3B3" w:rsidR="00853FAB" w:rsidRDefault="00853FAB" w:rsidP="003A4884">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0942BEFA" w14:textId="259B31B7" w:rsidR="00853FAB" w:rsidRDefault="00416031" w:rsidP="003A4884">
            <w:pPr>
              <w:spacing w:line="360" w:lineRule="auto"/>
              <w:jc w:val="both"/>
              <w:rPr>
                <w:rFonts w:ascii="Times New Roman" w:hAnsi="Times New Roman" w:cs="Times New Roman"/>
              </w:rPr>
            </w:pPr>
            <w:r>
              <w:rPr>
                <w:rFonts w:ascii="Times New Roman" w:hAnsi="Times New Roman" w:cs="Times New Roman"/>
              </w:rPr>
              <w:t>Cloud</w:t>
            </w:r>
          </w:p>
        </w:tc>
        <w:tc>
          <w:tcPr>
            <w:tcW w:w="2976" w:type="dxa"/>
          </w:tcPr>
          <w:p w14:paraId="60A54247" w14:textId="275808A6" w:rsidR="00853FAB" w:rsidRDefault="00E05F85" w:rsidP="003A4884">
            <w:pPr>
              <w:spacing w:line="360" w:lineRule="auto"/>
              <w:jc w:val="both"/>
              <w:rPr>
                <w:rFonts w:ascii="Times New Roman" w:hAnsi="Times New Roman" w:cs="Times New Roman"/>
              </w:rPr>
            </w:pPr>
            <w:r>
              <w:rPr>
                <w:rFonts w:ascii="Times New Roman" w:hAnsi="Times New Roman" w:cs="Times New Roman"/>
              </w:rPr>
              <w:t>Business Process automation</w:t>
            </w:r>
          </w:p>
        </w:tc>
        <w:tc>
          <w:tcPr>
            <w:tcW w:w="3148" w:type="dxa"/>
          </w:tcPr>
          <w:p w14:paraId="3EEC863E" w14:textId="74EB5B9E" w:rsidR="00853FAB" w:rsidRDefault="00E05F85" w:rsidP="003A4884">
            <w:pPr>
              <w:spacing w:line="360" w:lineRule="auto"/>
              <w:jc w:val="both"/>
              <w:rPr>
                <w:rFonts w:ascii="Times New Roman" w:hAnsi="Times New Roman" w:cs="Times New Roman"/>
              </w:rPr>
            </w:pPr>
            <w:r>
              <w:rPr>
                <w:rFonts w:ascii="Times New Roman" w:hAnsi="Times New Roman" w:cs="Times New Roman"/>
              </w:rPr>
              <w:t xml:space="preserve">IBM’s Business Process Manager and </w:t>
            </w:r>
            <w:proofErr w:type="spellStart"/>
            <w:r>
              <w:rPr>
                <w:rFonts w:ascii="Times New Roman" w:hAnsi="Times New Roman" w:cs="Times New Roman"/>
              </w:rPr>
              <w:t>Blueworks</w:t>
            </w:r>
            <w:proofErr w:type="spellEnd"/>
            <w:r>
              <w:rPr>
                <w:rFonts w:ascii="Times New Roman" w:hAnsi="Times New Roman" w:cs="Times New Roman"/>
              </w:rPr>
              <w:t xml:space="preserve"> Live</w:t>
            </w:r>
          </w:p>
        </w:tc>
      </w:tr>
      <w:tr w:rsidR="00D14BC4" w14:paraId="74FEF564" w14:textId="77777777" w:rsidTr="00220148">
        <w:trPr>
          <w:trHeight w:val="400"/>
        </w:trPr>
        <w:tc>
          <w:tcPr>
            <w:tcW w:w="846" w:type="dxa"/>
          </w:tcPr>
          <w:p w14:paraId="09E25EDA" w14:textId="4E92886E" w:rsidR="00D14BC4" w:rsidRDefault="00D14BC4" w:rsidP="003A4884">
            <w:pPr>
              <w:spacing w:line="360" w:lineRule="auto"/>
              <w:jc w:val="both"/>
              <w:rPr>
                <w:rFonts w:ascii="Times New Roman" w:hAnsi="Times New Roman" w:cs="Times New Roman"/>
              </w:rPr>
            </w:pPr>
            <w:r>
              <w:rPr>
                <w:rFonts w:ascii="Times New Roman" w:hAnsi="Times New Roman" w:cs="Times New Roman"/>
              </w:rPr>
              <w:t>2013</w:t>
            </w:r>
          </w:p>
        </w:tc>
        <w:tc>
          <w:tcPr>
            <w:tcW w:w="2410" w:type="dxa"/>
          </w:tcPr>
          <w:p w14:paraId="4C5D8592" w14:textId="0B817403" w:rsidR="00D14BC4" w:rsidRDefault="00466A21" w:rsidP="003A4884">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3ADA0A9B" w14:textId="06065E9B" w:rsidR="00D14BC4" w:rsidRDefault="00466A21" w:rsidP="003A4884">
            <w:pPr>
              <w:spacing w:line="360" w:lineRule="auto"/>
              <w:jc w:val="both"/>
              <w:rPr>
                <w:rFonts w:ascii="Times New Roman" w:hAnsi="Times New Roman" w:cs="Times New Roman"/>
              </w:rPr>
            </w:pPr>
            <w:r>
              <w:rPr>
                <w:rFonts w:ascii="Times New Roman" w:hAnsi="Times New Roman" w:cs="Times New Roman"/>
              </w:rPr>
              <w:t>Voice bio</w:t>
            </w:r>
            <w:r w:rsidR="00220148">
              <w:rPr>
                <w:rFonts w:ascii="Times New Roman" w:hAnsi="Times New Roman" w:cs="Times New Roman"/>
              </w:rPr>
              <w:t>metrics technology</w:t>
            </w:r>
          </w:p>
        </w:tc>
        <w:tc>
          <w:tcPr>
            <w:tcW w:w="3148" w:type="dxa"/>
          </w:tcPr>
          <w:p w14:paraId="59D5AA9B" w14:textId="6C8A63A2" w:rsidR="00D14BC4" w:rsidRDefault="00220148" w:rsidP="003A4884">
            <w:pPr>
              <w:spacing w:line="360" w:lineRule="auto"/>
              <w:jc w:val="both"/>
              <w:rPr>
                <w:rFonts w:ascii="Times New Roman" w:hAnsi="Times New Roman" w:cs="Times New Roman"/>
              </w:rPr>
            </w:pPr>
            <w:r>
              <w:rPr>
                <w:rFonts w:ascii="Times New Roman" w:hAnsi="Times New Roman" w:cs="Times New Roman"/>
              </w:rPr>
              <w:t>Nuance</w:t>
            </w:r>
          </w:p>
        </w:tc>
      </w:tr>
    </w:tbl>
    <w:p w14:paraId="5CBE2359" w14:textId="77777777" w:rsidR="000439FB" w:rsidRDefault="000439FB" w:rsidP="00DA7507">
      <w:pPr>
        <w:spacing w:line="360" w:lineRule="auto"/>
        <w:jc w:val="both"/>
        <w:rPr>
          <w:rFonts w:ascii="Times New Roman" w:hAnsi="Times New Roman" w:cs="Times New Roman"/>
        </w:rPr>
      </w:pPr>
    </w:p>
    <w:p w14:paraId="62F7FA76" w14:textId="7448EB75" w:rsidR="008D5FF1" w:rsidRDefault="00A61496" w:rsidP="00DA7507">
      <w:pPr>
        <w:spacing w:line="360" w:lineRule="auto"/>
        <w:jc w:val="both"/>
        <w:rPr>
          <w:rFonts w:ascii="Times New Roman" w:hAnsi="Times New Roman" w:cs="Times New Roman"/>
        </w:rPr>
      </w:pPr>
      <w:r>
        <w:rPr>
          <w:rFonts w:ascii="Times New Roman" w:hAnsi="Times New Roman" w:cs="Times New Roman"/>
        </w:rPr>
        <w:t>Heading into the digital era, Barclays forged a partnership with Radical, a digital agency focused on enhancing web page navigation, reducing load times, and initiating the initial phase of product development. Radical supplied a dedicated end-to-end agile team to address a backlog of Barclays’ online services, covering UX/UI design, front and back-end development, test/QA, business analysis, and project management</w:t>
      </w:r>
      <w:r w:rsidR="00AC4DA0">
        <w:rPr>
          <w:rFonts w:ascii="Times New Roman" w:hAnsi="Times New Roman" w:cs="Times New Roman"/>
        </w:rPr>
        <w:t xml:space="preserve"> </w:t>
      </w:r>
      <w:sdt>
        <w:sdtPr>
          <w:rPr>
            <w:rFonts w:ascii="Times New Roman" w:hAnsi="Times New Roman" w:cs="Times New Roman"/>
          </w:rPr>
          <w:id w:val="-858661670"/>
          <w:citation/>
        </w:sdtPr>
        <w:sdtContent>
          <w:r w:rsidR="00F82606">
            <w:rPr>
              <w:rFonts w:ascii="Times New Roman" w:hAnsi="Times New Roman" w:cs="Times New Roman"/>
            </w:rPr>
            <w:fldChar w:fldCharType="begin"/>
          </w:r>
          <w:r w:rsidR="00F82606">
            <w:rPr>
              <w:rFonts w:ascii="Times New Roman" w:hAnsi="Times New Roman" w:cs="Times New Roman"/>
              <w:lang w:val="en-GB"/>
            </w:rPr>
            <w:instrText xml:space="preserve"> CITATION Rad23 \l 2057 </w:instrText>
          </w:r>
          <w:r w:rsidR="00F82606">
            <w:rPr>
              <w:rFonts w:ascii="Times New Roman" w:hAnsi="Times New Roman" w:cs="Times New Roman"/>
            </w:rPr>
            <w:fldChar w:fldCharType="separate"/>
          </w:r>
          <w:r w:rsidR="002C0313" w:rsidRPr="002C0313">
            <w:rPr>
              <w:rFonts w:ascii="Times New Roman" w:hAnsi="Times New Roman" w:cs="Times New Roman"/>
              <w:noProof/>
              <w:lang w:val="en-GB"/>
            </w:rPr>
            <w:t>(Radical company, 2023)</w:t>
          </w:r>
          <w:r w:rsidR="00F82606">
            <w:rPr>
              <w:rFonts w:ascii="Times New Roman" w:hAnsi="Times New Roman" w:cs="Times New Roman"/>
            </w:rPr>
            <w:fldChar w:fldCharType="end"/>
          </w:r>
        </w:sdtContent>
      </w:sdt>
      <w:r w:rsidR="00A445F0">
        <w:rPr>
          <w:rFonts w:ascii="Times New Roman" w:hAnsi="Times New Roman" w:cs="Times New Roman"/>
        </w:rPr>
        <w:t xml:space="preserve">. </w:t>
      </w:r>
    </w:p>
    <w:p w14:paraId="37EAC9BD" w14:textId="77777777" w:rsidR="005B34D0" w:rsidRDefault="00AC4DA0" w:rsidP="00DA7507">
      <w:pPr>
        <w:spacing w:line="360" w:lineRule="auto"/>
        <w:jc w:val="both"/>
        <w:rPr>
          <w:rFonts w:ascii="Times New Roman" w:hAnsi="Times New Roman" w:cs="Times New Roman"/>
        </w:rPr>
      </w:pPr>
      <w:r>
        <w:rPr>
          <w:rFonts w:ascii="Times New Roman" w:hAnsi="Times New Roman" w:cs="Times New Roman"/>
        </w:rPr>
        <w:t>Back in 2013, Barclays embraced a voice recognition solution from Nuance Communications to authenticate and verify customer identities</w:t>
      </w:r>
      <w:sdt>
        <w:sdtPr>
          <w:rPr>
            <w:rFonts w:ascii="Times New Roman" w:hAnsi="Times New Roman" w:cs="Times New Roman"/>
          </w:rPr>
          <w:id w:val="1146085293"/>
          <w:citation/>
        </w:sdtPr>
        <w:sdtContent>
          <w:r w:rsidR="00C83129">
            <w:rPr>
              <w:rFonts w:ascii="Times New Roman" w:hAnsi="Times New Roman" w:cs="Times New Roman"/>
            </w:rPr>
            <w:fldChar w:fldCharType="begin"/>
          </w:r>
          <w:r w:rsidR="00C83129">
            <w:rPr>
              <w:rFonts w:ascii="Times New Roman" w:hAnsi="Times New Roman" w:cs="Times New Roman"/>
              <w:lang w:val="en-GB"/>
            </w:rPr>
            <w:instrText xml:space="preserve"> CITATION Zdn13 \l 2057 </w:instrText>
          </w:r>
          <w:r w:rsidR="00C8312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(Zdnet, 2013)</w:t>
          </w:r>
          <w:r w:rsidR="00C83129">
            <w:rPr>
              <w:rFonts w:ascii="Times New Roman" w:hAnsi="Times New Roman" w:cs="Times New Roman"/>
            </w:rPr>
            <w:fldChar w:fldCharType="end"/>
          </w:r>
        </w:sdtContent>
      </w:sdt>
      <w:r w:rsidR="00C83129">
        <w:rPr>
          <w:rFonts w:ascii="Times New Roman" w:hAnsi="Times New Roman" w:cs="Times New Roman"/>
        </w:rPr>
        <w:t>.</w:t>
      </w:r>
      <w:r w:rsidR="00153FC9">
        <w:rPr>
          <w:rFonts w:ascii="Times New Roman" w:hAnsi="Times New Roman" w:cs="Times New Roman"/>
        </w:rPr>
        <w:t xml:space="preserve"> </w:t>
      </w:r>
      <w:r w:rsidR="005C0178">
        <w:rPr>
          <w:rFonts w:ascii="Times New Roman" w:hAnsi="Times New Roman" w:cs="Times New Roman"/>
        </w:rPr>
        <w:t xml:space="preserve">This implementation streamlined the authentication process, making it more efficient and personalized, resulting in </w:t>
      </w:r>
      <w:r w:rsidR="00E55510">
        <w:rPr>
          <w:rFonts w:ascii="Times New Roman" w:hAnsi="Times New Roman" w:cs="Times New Roman"/>
        </w:rPr>
        <w:t xml:space="preserve">reduced call times for clients. In 2017, Barclays collaborated with IBM to adopt the IBM Business Process Manager and </w:t>
      </w:r>
      <w:proofErr w:type="spellStart"/>
      <w:r w:rsidR="00E55510">
        <w:rPr>
          <w:rFonts w:ascii="Times New Roman" w:hAnsi="Times New Roman" w:cs="Times New Roman"/>
        </w:rPr>
        <w:t>Blueworks</w:t>
      </w:r>
      <w:proofErr w:type="spellEnd"/>
      <w:r w:rsidR="00E55510">
        <w:rPr>
          <w:rFonts w:ascii="Times New Roman" w:hAnsi="Times New Roman" w:cs="Times New Roman"/>
        </w:rPr>
        <w:t xml:space="preserve"> L</w:t>
      </w:r>
      <w:r w:rsidR="000F00D5">
        <w:rPr>
          <w:rFonts w:ascii="Times New Roman" w:hAnsi="Times New Roman" w:cs="Times New Roman"/>
        </w:rPr>
        <w:t>ive. The Business Process Manager facilitated process automation, enabling Barclays to deploy new automated multichannel customer processes 88% faster</w:t>
      </w:r>
      <w:r w:rsidR="00566F6F">
        <w:rPr>
          <w:rFonts w:ascii="Times New Roman" w:hAnsi="Times New Roman" w:cs="Times New Roman"/>
        </w:rPr>
        <w:t xml:space="preserve">. </w:t>
      </w:r>
      <w:proofErr w:type="spellStart"/>
      <w:r w:rsidR="00566F6F">
        <w:rPr>
          <w:rFonts w:ascii="Times New Roman" w:hAnsi="Times New Roman" w:cs="Times New Roman"/>
        </w:rPr>
        <w:t>Blueworks</w:t>
      </w:r>
      <w:proofErr w:type="spellEnd"/>
      <w:r w:rsidR="00566F6F">
        <w:rPr>
          <w:rFonts w:ascii="Times New Roman" w:hAnsi="Times New Roman" w:cs="Times New Roman"/>
        </w:rPr>
        <w:t xml:space="preserve"> Live, a cloud-based software, provided a collaborative environment for teams to map and improve </w:t>
      </w:r>
      <w:r w:rsidR="00C40138">
        <w:rPr>
          <w:rFonts w:ascii="Times New Roman" w:hAnsi="Times New Roman" w:cs="Times New Roman"/>
        </w:rPr>
        <w:t>business processes</w:t>
      </w:r>
      <w:r w:rsidR="00F105C3">
        <w:rPr>
          <w:rFonts w:ascii="Times New Roman" w:hAnsi="Times New Roman" w:cs="Times New Roman"/>
        </w:rPr>
        <w:t xml:space="preserve">. </w:t>
      </w:r>
    </w:p>
    <w:p w14:paraId="08051192" w14:textId="77777777" w:rsidR="001E0417" w:rsidRDefault="005B34D0" w:rsidP="00DA7507">
      <w:pPr>
        <w:spacing w:line="360" w:lineRule="auto"/>
        <w:jc w:val="both"/>
        <w:rPr>
          <w:rFonts w:ascii="Times New Roman" w:hAnsi="Times New Roman" w:cs="Times New Roman"/>
        </w:rPr>
      </w:pPr>
      <w:r>
        <w:rPr>
          <w:rFonts w:ascii="Times New Roman" w:hAnsi="Times New Roman" w:cs="Times New Roman"/>
        </w:rPr>
        <w:t xml:space="preserve">In 2019, Barclays </w:t>
      </w:r>
      <w:r w:rsidR="00D66E65">
        <w:rPr>
          <w:rFonts w:ascii="Times New Roman" w:hAnsi="Times New Roman" w:cs="Times New Roman"/>
        </w:rPr>
        <w:t xml:space="preserve">has led a $6 million Series A funding round for </w:t>
      </w:r>
      <w:proofErr w:type="spellStart"/>
      <w:r w:rsidR="00D66E65">
        <w:rPr>
          <w:rFonts w:ascii="Times New Roman" w:hAnsi="Times New Roman" w:cs="Times New Roman"/>
        </w:rPr>
        <w:t>Simudyne</w:t>
      </w:r>
      <w:proofErr w:type="spellEnd"/>
      <w:r w:rsidR="00D66E65">
        <w:rPr>
          <w:rFonts w:ascii="Times New Roman" w:hAnsi="Times New Roman" w:cs="Times New Roman"/>
        </w:rPr>
        <w:t>, a simu</w:t>
      </w:r>
      <w:r w:rsidR="00791147">
        <w:rPr>
          <w:rFonts w:ascii="Times New Roman" w:hAnsi="Times New Roman" w:cs="Times New Roman"/>
        </w:rPr>
        <w:t>lation technology used for stress testing and contagion modeling in banks. This partnership aimed to enhance Barclay</w:t>
      </w:r>
      <w:r w:rsidR="001E0417">
        <w:rPr>
          <w:rFonts w:ascii="Times New Roman" w:hAnsi="Times New Roman" w:cs="Times New Roman"/>
        </w:rPr>
        <w:t xml:space="preserve">s’ capability to analyze complex, non-linear risks rapidly and cost-effectively, enabling the swift development of simulations for predicting economic scenarios </w:t>
      </w:r>
      <w:sdt>
        <w:sdtPr>
          <w:rPr>
            <w:rFonts w:ascii="Times New Roman" w:hAnsi="Times New Roman" w:cs="Times New Roman"/>
          </w:rPr>
          <w:id w:val="1422451199"/>
          <w:citation/>
        </w:sdtPr>
        <w:sdtContent>
          <w:r w:rsidR="00392650">
            <w:rPr>
              <w:rFonts w:ascii="Times New Roman" w:hAnsi="Times New Roman" w:cs="Times New Roman"/>
            </w:rPr>
            <w:fldChar w:fldCharType="begin"/>
          </w:r>
          <w:r w:rsidR="00392650">
            <w:rPr>
              <w:rFonts w:ascii="Times New Roman" w:hAnsi="Times New Roman" w:cs="Times New Roman"/>
              <w:lang w:val="en-GB"/>
            </w:rPr>
            <w:instrText xml:space="preserve"> CITATION Fin191 \l 2057 </w:instrText>
          </w:r>
          <w:r w:rsidR="0039265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(Finextra, 2019)</w:t>
          </w:r>
          <w:r w:rsidR="00392650">
            <w:rPr>
              <w:rFonts w:ascii="Times New Roman" w:hAnsi="Times New Roman" w:cs="Times New Roman"/>
            </w:rPr>
            <w:fldChar w:fldCharType="end"/>
          </w:r>
        </w:sdtContent>
      </w:sdt>
      <w:r w:rsidR="00DC4A22">
        <w:rPr>
          <w:rFonts w:ascii="Times New Roman" w:hAnsi="Times New Roman" w:cs="Times New Roman"/>
        </w:rPr>
        <w:t>.</w:t>
      </w:r>
      <w:r w:rsidR="00EB154A">
        <w:rPr>
          <w:rFonts w:ascii="Times New Roman" w:hAnsi="Times New Roman" w:cs="Times New Roman"/>
        </w:rPr>
        <w:t xml:space="preserve"> </w:t>
      </w:r>
    </w:p>
    <w:p w14:paraId="505DE011" w14:textId="48FDBE63" w:rsidR="001E0417" w:rsidRDefault="001E0417" w:rsidP="00DA7507">
      <w:pPr>
        <w:spacing w:line="360" w:lineRule="auto"/>
        <w:jc w:val="both"/>
        <w:rPr>
          <w:rFonts w:ascii="Times New Roman" w:hAnsi="Times New Roman" w:cs="Times New Roman"/>
        </w:rPr>
      </w:pPr>
      <w:r>
        <w:rPr>
          <w:rFonts w:ascii="Times New Roman" w:hAnsi="Times New Roman" w:cs="Times New Roman"/>
        </w:rPr>
        <w:lastRenderedPageBreak/>
        <w:t xml:space="preserve">Moving forward to 2021, Barclays partnered with Hewlett Packard Enterprise (HPE) to leverage the HPE </w:t>
      </w:r>
      <w:proofErr w:type="spellStart"/>
      <w:r>
        <w:rPr>
          <w:rFonts w:ascii="Times New Roman" w:hAnsi="Times New Roman" w:cs="Times New Roman"/>
        </w:rPr>
        <w:t>GreenLake</w:t>
      </w:r>
      <w:proofErr w:type="spellEnd"/>
      <w:r>
        <w:rPr>
          <w:rFonts w:ascii="Times New Roman" w:hAnsi="Times New Roman" w:cs="Times New Roman"/>
        </w:rPr>
        <w:t xml:space="preserve"> platform, delivering a global private cloud hosting thousands of apps and over 100,000 workloads</w:t>
      </w:r>
      <w:r w:rsidR="00257CFD">
        <w:rPr>
          <w:rFonts w:ascii="Times New Roman" w:hAnsi="Times New Roman" w:cs="Times New Roman"/>
        </w:rPr>
        <w:t xml:space="preserve">, including SQL databases, Windows servers, and Linux. </w:t>
      </w:r>
      <w:r w:rsidR="00C142EB">
        <w:rPr>
          <w:rFonts w:ascii="Times New Roman" w:hAnsi="Times New Roman" w:cs="Times New Roman"/>
        </w:rPr>
        <w:t xml:space="preserve">Barclays first announced a partnership with Flux in 2017, later in 2021 Barclays adds itemized digital receipts to its banking app. </w:t>
      </w:r>
      <w:r w:rsidR="00A74C50">
        <w:rPr>
          <w:rFonts w:ascii="Times New Roman" w:hAnsi="Times New Roman" w:cs="Times New Roman"/>
        </w:rPr>
        <w:t>Flux</w:t>
      </w:r>
      <w:r w:rsidR="006A5876">
        <w:rPr>
          <w:rFonts w:ascii="Times New Roman" w:hAnsi="Times New Roman" w:cs="Times New Roman"/>
        </w:rPr>
        <w:t xml:space="preserve">’s technology platform digitizes, automates, and organizes receipts, bridging the gap between modern payment methods and traditional paper receipts. </w:t>
      </w:r>
    </w:p>
    <w:p w14:paraId="66A6E42C" w14:textId="1DAEEAEF" w:rsidR="00553C12" w:rsidRDefault="006A5876" w:rsidP="00DA7507">
      <w:pPr>
        <w:spacing w:line="360" w:lineRule="auto"/>
        <w:jc w:val="both"/>
        <w:rPr>
          <w:rFonts w:ascii="Times New Roman" w:hAnsi="Times New Roman" w:cs="Times New Roman"/>
        </w:rPr>
      </w:pPr>
      <w:r>
        <w:rPr>
          <w:rFonts w:ascii="Times New Roman" w:hAnsi="Times New Roman" w:cs="Times New Roman"/>
        </w:rPr>
        <w:t xml:space="preserve">Furthermore, </w:t>
      </w:r>
      <w:r w:rsidR="00A36BE9">
        <w:rPr>
          <w:rFonts w:ascii="Times New Roman" w:hAnsi="Times New Roman" w:cs="Times New Roman"/>
        </w:rPr>
        <w:t xml:space="preserve">in 2021, </w:t>
      </w:r>
      <w:r>
        <w:rPr>
          <w:rFonts w:ascii="Times New Roman" w:hAnsi="Times New Roman" w:cs="Times New Roman"/>
        </w:rPr>
        <w:t>Barclays introduced Beacon Tech</w:t>
      </w:r>
      <w:r w:rsidR="0068625B">
        <w:rPr>
          <w:rFonts w:ascii="Times New Roman" w:hAnsi="Times New Roman" w:cs="Times New Roman"/>
        </w:rPr>
        <w:t xml:space="preserve">nology </w:t>
      </w:r>
      <w:r w:rsidR="001A4955">
        <w:rPr>
          <w:rFonts w:ascii="Times New Roman" w:hAnsi="Times New Roman" w:cs="Times New Roman"/>
        </w:rPr>
        <w:t>to</w:t>
      </w:r>
      <w:r w:rsidR="0068625B">
        <w:rPr>
          <w:rFonts w:ascii="Times New Roman" w:hAnsi="Times New Roman" w:cs="Times New Roman"/>
        </w:rPr>
        <w:t xml:space="preserve"> personalize branch visits for disabled customers. This technology includes Audio Cash Machines</w:t>
      </w:r>
      <w:r w:rsidR="00366463">
        <w:rPr>
          <w:rFonts w:ascii="Times New Roman" w:hAnsi="Times New Roman" w:cs="Times New Roman"/>
        </w:rPr>
        <w:t xml:space="preserve"> designed for visually impaired customers, providing guidance via headphones</w:t>
      </w:r>
      <w:r w:rsidR="008E0034">
        <w:rPr>
          <w:rFonts w:ascii="Times New Roman" w:hAnsi="Times New Roman" w:cs="Times New Roman"/>
        </w:rPr>
        <w:t xml:space="preserve">. Barclays </w:t>
      </w:r>
      <w:r w:rsidR="00153418">
        <w:rPr>
          <w:rFonts w:ascii="Times New Roman" w:hAnsi="Times New Roman" w:cs="Times New Roman"/>
        </w:rPr>
        <w:t>became</w:t>
      </w:r>
      <w:r w:rsidR="008E0034">
        <w:rPr>
          <w:rFonts w:ascii="Times New Roman" w:hAnsi="Times New Roman" w:cs="Times New Roman"/>
        </w:rPr>
        <w:t xml:space="preserve"> the first major high street bank to offer audio functionality on over 80% of its ATMs, aiming to enhance accessibility</w:t>
      </w:r>
      <w:r w:rsidR="00A36BE9">
        <w:rPr>
          <w:rFonts w:ascii="Times New Roman" w:hAnsi="Times New Roman" w:cs="Times New Roman"/>
        </w:rPr>
        <w:t>.</w:t>
      </w:r>
    </w:p>
    <w:p w14:paraId="39EBC12B" w14:textId="77777777" w:rsidR="00153418" w:rsidRDefault="00153418" w:rsidP="00DA7507">
      <w:pPr>
        <w:spacing w:line="360" w:lineRule="auto"/>
        <w:jc w:val="both"/>
        <w:rPr>
          <w:rFonts w:ascii="Times New Roman" w:hAnsi="Times New Roman" w:cs="Times New Roman"/>
        </w:rPr>
      </w:pPr>
    </w:p>
    <w:p w14:paraId="41189682" w14:textId="302A0D89" w:rsidR="00595973" w:rsidRPr="008041D6" w:rsidRDefault="00F963D5" w:rsidP="00DA7507">
      <w:pPr>
        <w:spacing w:line="360" w:lineRule="auto"/>
        <w:jc w:val="both"/>
        <w:rPr>
          <w:rFonts w:ascii="Times New Roman" w:hAnsi="Times New Roman" w:cs="Times New Roman"/>
          <w:b/>
          <w:bCs/>
        </w:rPr>
      </w:pPr>
      <w:r w:rsidRPr="008041D6">
        <w:rPr>
          <w:rFonts w:ascii="Times New Roman" w:hAnsi="Times New Roman" w:cs="Times New Roman"/>
          <w:b/>
          <w:bCs/>
        </w:rPr>
        <w:t>Sa</w:t>
      </w:r>
      <w:r w:rsidR="00595973" w:rsidRPr="008041D6">
        <w:rPr>
          <w:rFonts w:ascii="Times New Roman" w:hAnsi="Times New Roman" w:cs="Times New Roman"/>
          <w:b/>
          <w:bCs/>
        </w:rPr>
        <w:t>ntander UK</w:t>
      </w:r>
      <w:r w:rsidR="008041D6">
        <w:rPr>
          <w:rFonts w:ascii="Times New Roman" w:hAnsi="Times New Roman" w:cs="Times New Roman"/>
          <w:b/>
          <w:bCs/>
        </w:rPr>
        <w:t xml:space="preserve"> Plc</w:t>
      </w:r>
    </w:p>
    <w:p w14:paraId="29A336D3" w14:textId="77777777" w:rsidR="00C83820" w:rsidRPr="00694D5D" w:rsidRDefault="00C83820" w:rsidP="00C83820">
      <w:pPr>
        <w:spacing w:line="360" w:lineRule="auto"/>
        <w:jc w:val="both"/>
        <w:rPr>
          <w:rFonts w:ascii="Times New Roman" w:hAnsi="Times New Roman" w:cs="Times New Roman"/>
        </w:rPr>
      </w:pPr>
      <w:r>
        <w:rPr>
          <w:rFonts w:ascii="Times New Roman" w:hAnsi="Times New Roman" w:cs="Times New Roman"/>
        </w:rPr>
        <w:t>Santander UK plc i</w:t>
      </w:r>
      <w:r w:rsidRPr="00694D5D">
        <w:rPr>
          <w:rFonts w:ascii="Times New Roman" w:hAnsi="Times New Roman" w:cs="Times New Roman"/>
        </w:rPr>
        <w:t>s pioneer</w:t>
      </w:r>
      <w:r>
        <w:rPr>
          <w:rFonts w:ascii="Times New Roman" w:hAnsi="Times New Roman" w:cs="Times New Roman"/>
        </w:rPr>
        <w:t>ing</w:t>
      </w:r>
      <w:r w:rsidRPr="00694D5D">
        <w:rPr>
          <w:rFonts w:ascii="Times New Roman" w:hAnsi="Times New Roman" w:cs="Times New Roman"/>
        </w:rPr>
        <w:t xml:space="preserve"> by exploiting the opportunities presented through blockchain applications, which have given it recognition as Britain’s first financial institution to utilize this technology for risk-free and fast transfers. Besides bringing the bank’s operations in line with global technological developments, such a strategic move positions it as an innovator </w:t>
      </w:r>
      <w:r>
        <w:rPr>
          <w:rFonts w:ascii="Times New Roman" w:hAnsi="Times New Roman" w:cs="Times New Roman"/>
        </w:rPr>
        <w:t>who</w:t>
      </w:r>
      <w:r w:rsidRPr="00694D5D">
        <w:rPr>
          <w:rFonts w:ascii="Times New Roman" w:hAnsi="Times New Roman" w:cs="Times New Roman"/>
        </w:rPr>
        <w:t xml:space="preserve"> strives to be progressive and </w:t>
      </w:r>
      <w:r>
        <w:rPr>
          <w:rFonts w:ascii="Times New Roman" w:hAnsi="Times New Roman" w:cs="Times New Roman"/>
        </w:rPr>
        <w:t>forward-thinking</w:t>
      </w:r>
      <w:r w:rsidRPr="00694D5D">
        <w:rPr>
          <w:rFonts w:ascii="Times New Roman" w:hAnsi="Times New Roman" w:cs="Times New Roman"/>
        </w:rPr>
        <w:t xml:space="preserve"> when performing financial transactions</w:t>
      </w:r>
      <w:r>
        <w:rPr>
          <w:rFonts w:ascii="Times New Roman" w:hAnsi="Times New Roman" w:cs="Times New Roman"/>
        </w:rPr>
        <w:t xml:space="preserve">. </w:t>
      </w:r>
    </w:p>
    <w:p w14:paraId="1666D755" w14:textId="37C6016C" w:rsidR="00F05475" w:rsidRPr="001370D0" w:rsidRDefault="00836B2C" w:rsidP="001370D0">
      <w:pPr>
        <w:pStyle w:val="Caption"/>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bookmarkStart w:id="62" w:name="_Toc158706228"/>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\s 1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t xml:space="preserve"> </w:t>
      </w:r>
      <w:r w:rsidRPr="00836B2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Santander UK Plc</w:t>
      </w:r>
      <w:bookmarkEnd w:id="62"/>
    </w:p>
    <w:tbl>
      <w:tblPr>
        <w:tblStyle w:val="TableGrid"/>
        <w:tblW w:w="9380" w:type="dxa"/>
        <w:tblLook w:val="04A0" w:firstRow="1" w:lastRow="0" w:firstColumn="1" w:lastColumn="0" w:noHBand="0" w:noVBand="1"/>
      </w:tblPr>
      <w:tblGrid>
        <w:gridCol w:w="846"/>
        <w:gridCol w:w="2410"/>
        <w:gridCol w:w="2976"/>
        <w:gridCol w:w="3148"/>
      </w:tblGrid>
      <w:tr w:rsidR="00F05475" w14:paraId="214C4AEE" w14:textId="77777777" w:rsidTr="001D4E36">
        <w:trPr>
          <w:trHeight w:val="400"/>
        </w:trPr>
        <w:tc>
          <w:tcPr>
            <w:tcW w:w="846" w:type="dxa"/>
          </w:tcPr>
          <w:p w14:paraId="025FA103"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29B0AE5B"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976" w:type="dxa"/>
          </w:tcPr>
          <w:p w14:paraId="7A1DB0B9"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6011ADFA"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88662F" w14:paraId="1BD8580A" w14:textId="77777777" w:rsidTr="001D4E36">
        <w:trPr>
          <w:trHeight w:val="400"/>
        </w:trPr>
        <w:tc>
          <w:tcPr>
            <w:tcW w:w="846" w:type="dxa"/>
          </w:tcPr>
          <w:p w14:paraId="5C173158" w14:textId="3BCE979E" w:rsidR="0088662F" w:rsidRDefault="00D37588" w:rsidP="001D4E36">
            <w:pPr>
              <w:spacing w:line="360" w:lineRule="auto"/>
              <w:jc w:val="both"/>
              <w:rPr>
                <w:rFonts w:ascii="Times New Roman" w:hAnsi="Times New Roman" w:cs="Times New Roman"/>
              </w:rPr>
            </w:pPr>
            <w:r>
              <w:rPr>
                <w:rFonts w:ascii="Times New Roman" w:hAnsi="Times New Roman" w:cs="Times New Roman"/>
              </w:rPr>
              <w:t>2022</w:t>
            </w:r>
          </w:p>
        </w:tc>
        <w:tc>
          <w:tcPr>
            <w:tcW w:w="2410" w:type="dxa"/>
          </w:tcPr>
          <w:p w14:paraId="00CCE533" w14:textId="12F2E0B3" w:rsidR="0088662F" w:rsidRDefault="00C83820"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4F817C0A" w14:textId="2B6F9C04" w:rsidR="0088662F" w:rsidRDefault="00C83820" w:rsidP="001D4E36">
            <w:pPr>
              <w:spacing w:line="360" w:lineRule="auto"/>
              <w:jc w:val="both"/>
              <w:rPr>
                <w:rFonts w:ascii="Times New Roman" w:hAnsi="Times New Roman" w:cs="Times New Roman"/>
              </w:rPr>
            </w:pPr>
            <w:r>
              <w:rPr>
                <w:rFonts w:ascii="Times New Roman" w:hAnsi="Times New Roman" w:cs="Times New Roman"/>
              </w:rPr>
              <w:t>Analytics</w:t>
            </w:r>
          </w:p>
        </w:tc>
        <w:tc>
          <w:tcPr>
            <w:tcW w:w="3148" w:type="dxa"/>
          </w:tcPr>
          <w:p w14:paraId="35807369" w14:textId="03C20576" w:rsidR="0088662F" w:rsidRDefault="00C83820" w:rsidP="001D4E36">
            <w:pPr>
              <w:spacing w:line="360" w:lineRule="auto"/>
              <w:jc w:val="both"/>
              <w:rPr>
                <w:rFonts w:ascii="Times New Roman" w:hAnsi="Times New Roman" w:cs="Times New Roman"/>
              </w:rPr>
            </w:pPr>
            <w:r>
              <w:rPr>
                <w:rFonts w:ascii="Times New Roman" w:hAnsi="Times New Roman" w:cs="Times New Roman"/>
              </w:rPr>
              <w:t>Zinia</w:t>
            </w:r>
          </w:p>
        </w:tc>
      </w:tr>
      <w:tr w:rsidR="00C83820" w14:paraId="7F953770" w14:textId="77777777" w:rsidTr="001D4E36">
        <w:trPr>
          <w:trHeight w:val="400"/>
        </w:trPr>
        <w:tc>
          <w:tcPr>
            <w:tcW w:w="846" w:type="dxa"/>
          </w:tcPr>
          <w:p w14:paraId="6AD8CDEA" w14:textId="0A72DF77" w:rsidR="00C83820" w:rsidRDefault="00760FF4"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1A606C3E" w14:textId="5A1B40EA" w:rsidR="00C83820" w:rsidRDefault="00CD2C85"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00253F19" w14:textId="71500CA0" w:rsidR="00C83820" w:rsidRDefault="00AA23A6" w:rsidP="001D4E36">
            <w:pPr>
              <w:spacing w:line="360" w:lineRule="auto"/>
              <w:jc w:val="both"/>
              <w:rPr>
                <w:rFonts w:ascii="Times New Roman" w:hAnsi="Times New Roman" w:cs="Times New Roman"/>
              </w:rPr>
            </w:pPr>
            <w:r>
              <w:rPr>
                <w:rFonts w:ascii="Times New Roman" w:hAnsi="Times New Roman" w:cs="Times New Roman"/>
              </w:rPr>
              <w:t>Virtual agent</w:t>
            </w:r>
          </w:p>
        </w:tc>
        <w:tc>
          <w:tcPr>
            <w:tcW w:w="3148" w:type="dxa"/>
          </w:tcPr>
          <w:p w14:paraId="2FF25AE1" w14:textId="3F324956" w:rsidR="00C83820" w:rsidRDefault="009C52B8" w:rsidP="001D4E36">
            <w:pPr>
              <w:spacing w:line="360" w:lineRule="auto"/>
              <w:jc w:val="both"/>
              <w:rPr>
                <w:rFonts w:ascii="Times New Roman" w:hAnsi="Times New Roman" w:cs="Times New Roman"/>
              </w:rPr>
            </w:pPr>
            <w:r>
              <w:rPr>
                <w:rFonts w:ascii="Times New Roman" w:hAnsi="Times New Roman" w:cs="Times New Roman"/>
              </w:rPr>
              <w:t>Virtual agent</w:t>
            </w:r>
          </w:p>
        </w:tc>
      </w:tr>
      <w:tr w:rsidR="00D30C10" w14:paraId="3D41FC2B" w14:textId="77777777" w:rsidTr="001D4E36">
        <w:trPr>
          <w:trHeight w:val="400"/>
        </w:trPr>
        <w:tc>
          <w:tcPr>
            <w:tcW w:w="846" w:type="dxa"/>
          </w:tcPr>
          <w:p w14:paraId="2056B9A9" w14:textId="6B7F53F2" w:rsidR="00D30C10" w:rsidRDefault="00D30C10"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3A1D532D" w14:textId="4BE946AC" w:rsidR="00D30C10" w:rsidRDefault="00F05EC3" w:rsidP="001D4E36">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120CAEF8" w14:textId="36563898" w:rsidR="00D30C10" w:rsidRDefault="005F49CC" w:rsidP="001D4E36">
            <w:pPr>
              <w:spacing w:line="360" w:lineRule="auto"/>
              <w:jc w:val="both"/>
              <w:rPr>
                <w:rFonts w:ascii="Times New Roman" w:hAnsi="Times New Roman" w:cs="Times New Roman"/>
              </w:rPr>
            </w:pPr>
            <w:r>
              <w:rPr>
                <w:rFonts w:ascii="Times New Roman" w:hAnsi="Times New Roman" w:cs="Times New Roman"/>
              </w:rPr>
              <w:t>Payments</w:t>
            </w:r>
          </w:p>
        </w:tc>
        <w:tc>
          <w:tcPr>
            <w:tcW w:w="3148" w:type="dxa"/>
          </w:tcPr>
          <w:p w14:paraId="0BA11226" w14:textId="5DF5731C" w:rsidR="00D30C10" w:rsidRDefault="00AA1522" w:rsidP="001D4E36">
            <w:pPr>
              <w:spacing w:line="360" w:lineRule="auto"/>
              <w:jc w:val="both"/>
              <w:rPr>
                <w:rFonts w:ascii="Times New Roman" w:hAnsi="Times New Roman" w:cs="Times New Roman"/>
              </w:rPr>
            </w:pPr>
            <w:r>
              <w:rPr>
                <w:rFonts w:ascii="Times New Roman" w:hAnsi="Times New Roman" w:cs="Times New Roman"/>
              </w:rPr>
              <w:t>Elavon</w:t>
            </w:r>
            <w:r w:rsidR="0022719C">
              <w:rPr>
                <w:rFonts w:ascii="Times New Roman" w:hAnsi="Times New Roman" w:cs="Times New Roman"/>
              </w:rPr>
              <w:t xml:space="preserve">  </w:t>
            </w:r>
          </w:p>
        </w:tc>
      </w:tr>
      <w:tr w:rsidR="003F4D6E" w14:paraId="1A1AD3C7" w14:textId="77777777" w:rsidTr="001D4E36">
        <w:trPr>
          <w:trHeight w:val="400"/>
        </w:trPr>
        <w:tc>
          <w:tcPr>
            <w:tcW w:w="846" w:type="dxa"/>
          </w:tcPr>
          <w:p w14:paraId="7AC1AAA9" w14:textId="322C3E00" w:rsidR="003F4D6E" w:rsidRDefault="00C22543" w:rsidP="001D4E36">
            <w:pPr>
              <w:spacing w:line="360" w:lineRule="auto"/>
              <w:jc w:val="both"/>
              <w:rPr>
                <w:rFonts w:ascii="Times New Roman" w:hAnsi="Times New Roman" w:cs="Times New Roman"/>
              </w:rPr>
            </w:pPr>
            <w:r>
              <w:rPr>
                <w:rFonts w:ascii="Times New Roman" w:hAnsi="Times New Roman" w:cs="Times New Roman"/>
              </w:rPr>
              <w:t>2019</w:t>
            </w:r>
          </w:p>
        </w:tc>
        <w:tc>
          <w:tcPr>
            <w:tcW w:w="2410" w:type="dxa"/>
          </w:tcPr>
          <w:p w14:paraId="72BCFE24" w14:textId="78ECD73D" w:rsidR="003F4D6E" w:rsidRDefault="00C22A0C" w:rsidP="001D4E36">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576EA8E2" w14:textId="42C01B82" w:rsidR="003F4D6E" w:rsidRDefault="003E09C4" w:rsidP="001D4E36">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4B51BF0B" w14:textId="627331A1" w:rsidR="003F4D6E" w:rsidRDefault="003E09C4" w:rsidP="001D4E36">
            <w:pPr>
              <w:spacing w:line="360" w:lineRule="auto"/>
              <w:jc w:val="both"/>
              <w:rPr>
                <w:rFonts w:ascii="Times New Roman" w:hAnsi="Times New Roman" w:cs="Times New Roman"/>
              </w:rPr>
            </w:pPr>
            <w:r>
              <w:rPr>
                <w:rFonts w:ascii="Times New Roman" w:hAnsi="Times New Roman" w:cs="Times New Roman"/>
              </w:rPr>
              <w:t>Ebury</w:t>
            </w:r>
          </w:p>
        </w:tc>
      </w:tr>
      <w:tr w:rsidR="00CD2C85" w14:paraId="1816B0FB" w14:textId="77777777" w:rsidTr="001D4E36">
        <w:trPr>
          <w:trHeight w:val="400"/>
        </w:trPr>
        <w:tc>
          <w:tcPr>
            <w:tcW w:w="846" w:type="dxa"/>
          </w:tcPr>
          <w:p w14:paraId="7EE2EE4D" w14:textId="066AA041" w:rsidR="00CD2C85" w:rsidRDefault="00CD2C85" w:rsidP="001D4E36">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62DD0365" w14:textId="62962A3F" w:rsidR="00CD2C85" w:rsidRDefault="00CD2C85" w:rsidP="008A21A8">
            <w:pPr>
              <w:spacing w:line="360" w:lineRule="auto"/>
              <w:rPr>
                <w:rFonts w:ascii="Times New Roman" w:hAnsi="Times New Roman" w:cs="Times New Roman"/>
              </w:rPr>
            </w:pPr>
            <w:r>
              <w:rPr>
                <w:rFonts w:ascii="Times New Roman" w:hAnsi="Times New Roman" w:cs="Times New Roman"/>
              </w:rPr>
              <w:t>Artificial Intelligence</w:t>
            </w:r>
          </w:p>
        </w:tc>
        <w:tc>
          <w:tcPr>
            <w:tcW w:w="2976" w:type="dxa"/>
          </w:tcPr>
          <w:p w14:paraId="53D82A9C" w14:textId="0D7EF6BB" w:rsidR="00CD2C85" w:rsidRDefault="002A259D" w:rsidP="001D4E36">
            <w:pPr>
              <w:spacing w:line="360" w:lineRule="auto"/>
              <w:jc w:val="both"/>
              <w:rPr>
                <w:rFonts w:ascii="Times New Roman" w:hAnsi="Times New Roman" w:cs="Times New Roman"/>
              </w:rPr>
            </w:pPr>
            <w:r>
              <w:rPr>
                <w:rFonts w:ascii="Times New Roman" w:hAnsi="Times New Roman" w:cs="Times New Roman"/>
              </w:rPr>
              <w:t>Automated service</w:t>
            </w:r>
          </w:p>
        </w:tc>
        <w:tc>
          <w:tcPr>
            <w:tcW w:w="3148" w:type="dxa"/>
          </w:tcPr>
          <w:p w14:paraId="26E7723F" w14:textId="37F0E335" w:rsidR="00CD2C85" w:rsidRDefault="008E6394" w:rsidP="001D4E36">
            <w:pPr>
              <w:spacing w:line="360" w:lineRule="auto"/>
              <w:jc w:val="both"/>
              <w:rPr>
                <w:rFonts w:ascii="Times New Roman" w:hAnsi="Times New Roman" w:cs="Times New Roman"/>
              </w:rPr>
            </w:pPr>
            <w:proofErr w:type="spellStart"/>
            <w:r>
              <w:rPr>
                <w:rFonts w:ascii="Times New Roman" w:hAnsi="Times New Roman" w:cs="Times New Roman"/>
              </w:rPr>
              <w:t>Personetics</w:t>
            </w:r>
            <w:proofErr w:type="spellEnd"/>
          </w:p>
        </w:tc>
      </w:tr>
      <w:tr w:rsidR="00234ABE" w14:paraId="79F22E93" w14:textId="77777777" w:rsidTr="001D4E36">
        <w:trPr>
          <w:trHeight w:val="400"/>
        </w:trPr>
        <w:tc>
          <w:tcPr>
            <w:tcW w:w="846" w:type="dxa"/>
          </w:tcPr>
          <w:p w14:paraId="1841C1CD" w14:textId="7CBED2B2" w:rsidR="00234ABE" w:rsidRDefault="00234ABE" w:rsidP="001D4E36">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2DB49A09" w14:textId="3E135E92" w:rsidR="00234ABE" w:rsidRDefault="008A21A8" w:rsidP="008A21A8">
            <w:pPr>
              <w:spacing w:line="360" w:lineRule="auto"/>
              <w:rPr>
                <w:rFonts w:ascii="Times New Roman" w:hAnsi="Times New Roman" w:cs="Times New Roman"/>
              </w:rPr>
            </w:pPr>
            <w:r>
              <w:rPr>
                <w:rFonts w:ascii="Times New Roman" w:hAnsi="Times New Roman" w:cs="Times New Roman"/>
              </w:rPr>
              <w:t>Artificial Intelligence</w:t>
            </w:r>
          </w:p>
        </w:tc>
        <w:tc>
          <w:tcPr>
            <w:tcW w:w="2976" w:type="dxa"/>
          </w:tcPr>
          <w:p w14:paraId="04860678" w14:textId="547289AD" w:rsidR="00234ABE" w:rsidRDefault="007066AC" w:rsidP="001D4E36">
            <w:pPr>
              <w:spacing w:line="360" w:lineRule="auto"/>
              <w:jc w:val="both"/>
              <w:rPr>
                <w:rFonts w:ascii="Times New Roman" w:hAnsi="Times New Roman" w:cs="Times New Roman"/>
              </w:rPr>
            </w:pPr>
            <w:r>
              <w:rPr>
                <w:rFonts w:ascii="Times New Roman" w:hAnsi="Times New Roman" w:cs="Times New Roman"/>
              </w:rPr>
              <w:t>Predictive personalization</w:t>
            </w:r>
          </w:p>
        </w:tc>
        <w:tc>
          <w:tcPr>
            <w:tcW w:w="3148" w:type="dxa"/>
          </w:tcPr>
          <w:p w14:paraId="24B2C9BD" w14:textId="47FF4C04" w:rsidR="00234ABE" w:rsidRDefault="007066AC" w:rsidP="001D4E36">
            <w:pPr>
              <w:spacing w:line="360" w:lineRule="auto"/>
              <w:jc w:val="both"/>
              <w:rPr>
                <w:rFonts w:ascii="Times New Roman" w:hAnsi="Times New Roman" w:cs="Times New Roman"/>
              </w:rPr>
            </w:pPr>
            <w:r>
              <w:rPr>
                <w:rFonts w:ascii="Times New Roman" w:hAnsi="Times New Roman" w:cs="Times New Roman"/>
              </w:rPr>
              <w:t>Pixoneye</w:t>
            </w:r>
            <w:r w:rsidR="008F1190">
              <w:rPr>
                <w:rFonts w:ascii="Times New Roman" w:hAnsi="Times New Roman" w:cs="Times New Roman"/>
              </w:rPr>
              <w:t>, Curve and Gridspace</w:t>
            </w:r>
          </w:p>
        </w:tc>
      </w:tr>
    </w:tbl>
    <w:p w14:paraId="3C386874" w14:textId="77777777" w:rsidR="00DB545E" w:rsidRDefault="00DB545E" w:rsidP="00DA7507">
      <w:pPr>
        <w:spacing w:line="360" w:lineRule="auto"/>
        <w:jc w:val="both"/>
        <w:rPr>
          <w:rFonts w:ascii="Times New Roman" w:hAnsi="Times New Roman" w:cs="Times New Roman"/>
        </w:rPr>
      </w:pPr>
    </w:p>
    <w:p w14:paraId="07A7D58B" w14:textId="1FCCE700" w:rsidR="005D4DF1" w:rsidRDefault="00C0668D" w:rsidP="00DA7507">
      <w:pPr>
        <w:spacing w:line="360" w:lineRule="auto"/>
        <w:jc w:val="both"/>
        <w:rPr>
          <w:rFonts w:ascii="Times New Roman" w:hAnsi="Times New Roman" w:cs="Times New Roman"/>
        </w:rPr>
      </w:pPr>
      <w:r>
        <w:rPr>
          <w:rFonts w:ascii="Times New Roman" w:hAnsi="Times New Roman" w:cs="Times New Roman"/>
        </w:rPr>
        <w:lastRenderedPageBreak/>
        <w:t xml:space="preserve">In 2017, Santander formed a strategic partnership with </w:t>
      </w:r>
      <w:proofErr w:type="spellStart"/>
      <w:r>
        <w:rPr>
          <w:rFonts w:ascii="Times New Roman" w:hAnsi="Times New Roman" w:cs="Times New Roman"/>
        </w:rPr>
        <w:t>Personetics</w:t>
      </w:r>
      <w:proofErr w:type="spellEnd"/>
      <w:r>
        <w:rPr>
          <w:rFonts w:ascii="Times New Roman" w:hAnsi="Times New Roman" w:cs="Times New Roman"/>
        </w:rPr>
        <w:t xml:space="preserve"> </w:t>
      </w:r>
      <w:r w:rsidR="00A45781">
        <w:rPr>
          <w:rFonts w:ascii="Times New Roman" w:hAnsi="Times New Roman" w:cs="Times New Roman"/>
        </w:rPr>
        <w:t>to deliver automated customer service and AI-driven personalized insights. This collaboration resulted in the creation of innovative solutions such as ‘My Money Manager</w:t>
      </w:r>
      <w:r w:rsidR="00CE0BC0">
        <w:rPr>
          <w:rFonts w:ascii="Times New Roman" w:hAnsi="Times New Roman" w:cs="Times New Roman"/>
        </w:rPr>
        <w:t xml:space="preserve">,’ integrated into Santander UK’s mobile baking app. Additionally, the partnership introduced the </w:t>
      </w:r>
      <w:r w:rsidR="00970366">
        <w:rPr>
          <w:rFonts w:ascii="Times New Roman" w:hAnsi="Times New Roman" w:cs="Times New Roman"/>
        </w:rPr>
        <w:t>‘Self Driving Finance’ solution, aimed at providing retail customers with personalized financial insights and guidance</w:t>
      </w:r>
      <w:r w:rsidR="005D4DF1">
        <w:rPr>
          <w:rFonts w:ascii="Times New Roman" w:hAnsi="Times New Roman" w:cs="Times New Roman"/>
        </w:rPr>
        <w:t xml:space="preserve"> </w:t>
      </w:r>
      <w:sdt>
        <w:sdtPr>
          <w:rPr>
            <w:rFonts w:ascii="Times New Roman" w:hAnsi="Times New Roman" w:cs="Times New Roman"/>
          </w:rPr>
          <w:id w:val="1444497988"/>
          <w:citation/>
        </w:sdtPr>
        <w:sdtContent>
          <w:r w:rsidR="005728B0">
            <w:rPr>
              <w:rFonts w:ascii="Times New Roman" w:hAnsi="Times New Roman" w:cs="Times New Roman"/>
            </w:rPr>
            <w:fldChar w:fldCharType="begin"/>
          </w:r>
          <w:r w:rsidR="005728B0">
            <w:rPr>
              <w:rFonts w:ascii="Times New Roman" w:hAnsi="Times New Roman" w:cs="Times New Roman"/>
              <w:lang w:val="en-GB"/>
            </w:rPr>
            <w:instrText xml:space="preserve"> CITATION Per20 \l 2057 </w:instrText>
          </w:r>
          <w:r w:rsidR="005728B0">
            <w:rPr>
              <w:rFonts w:ascii="Times New Roman" w:hAnsi="Times New Roman" w:cs="Times New Roman"/>
            </w:rPr>
            <w:fldChar w:fldCharType="separate"/>
          </w:r>
          <w:r w:rsidR="005728B0" w:rsidRPr="002C0313">
            <w:rPr>
              <w:rFonts w:ascii="Times New Roman" w:hAnsi="Times New Roman" w:cs="Times New Roman"/>
              <w:noProof/>
              <w:lang w:val="en-GB"/>
            </w:rPr>
            <w:t>(Personetics, 2020)</w:t>
          </w:r>
          <w:r w:rsidR="005728B0">
            <w:rPr>
              <w:rFonts w:ascii="Times New Roman" w:hAnsi="Times New Roman" w:cs="Times New Roman"/>
            </w:rPr>
            <w:fldChar w:fldCharType="end"/>
          </w:r>
        </w:sdtContent>
      </w:sdt>
      <w:r w:rsidR="005728B0">
        <w:rPr>
          <w:rFonts w:ascii="Times New Roman" w:hAnsi="Times New Roman" w:cs="Times New Roman"/>
        </w:rPr>
        <w:t xml:space="preserve">. </w:t>
      </w:r>
    </w:p>
    <w:p w14:paraId="02BCC9C6" w14:textId="6A537D67" w:rsidR="001A2AFC" w:rsidRDefault="003B0F45" w:rsidP="00DA7507">
      <w:pPr>
        <w:spacing w:line="360" w:lineRule="auto"/>
        <w:jc w:val="both"/>
        <w:rPr>
          <w:rFonts w:ascii="Times New Roman" w:hAnsi="Times New Roman" w:cs="Times New Roman"/>
        </w:rPr>
      </w:pPr>
      <w:r>
        <w:rPr>
          <w:rFonts w:ascii="Times New Roman" w:hAnsi="Times New Roman" w:cs="Times New Roman"/>
        </w:rPr>
        <w:t>Furthermore,</w:t>
      </w:r>
      <w:r w:rsidR="005728B0">
        <w:rPr>
          <w:rFonts w:ascii="Times New Roman" w:hAnsi="Times New Roman" w:cs="Times New Roman"/>
        </w:rPr>
        <w:t xml:space="preserve"> in </w:t>
      </w:r>
      <w:proofErr w:type="gramStart"/>
      <w:r w:rsidR="005D4DF1">
        <w:rPr>
          <w:rFonts w:ascii="Times New Roman" w:hAnsi="Times New Roman" w:cs="Times New Roman"/>
        </w:rPr>
        <w:t>same</w:t>
      </w:r>
      <w:proofErr w:type="gramEnd"/>
      <w:r w:rsidR="005D4DF1">
        <w:rPr>
          <w:rFonts w:ascii="Times New Roman" w:hAnsi="Times New Roman" w:cs="Times New Roman"/>
        </w:rPr>
        <w:t xml:space="preserve"> year</w:t>
      </w:r>
      <w:r w:rsidR="005728B0">
        <w:rPr>
          <w:rFonts w:ascii="Times New Roman" w:hAnsi="Times New Roman" w:cs="Times New Roman"/>
        </w:rPr>
        <w:t xml:space="preserve">, Santander InnoVentures, the venture capital fund of Santander Group invested in Pixoneye and Curve and US based Gridspace. Pixoneye offers </w:t>
      </w:r>
      <w:r w:rsidR="005728B0" w:rsidRPr="00EA7243">
        <w:rPr>
          <w:rFonts w:ascii="Times New Roman" w:hAnsi="Times New Roman" w:cs="Times New Roman"/>
        </w:rPr>
        <w:t xml:space="preserve">predictive personalization technology, anticipating customers' </w:t>
      </w:r>
      <w:r w:rsidR="002D0F42">
        <w:rPr>
          <w:rFonts w:ascii="Times New Roman" w:hAnsi="Times New Roman" w:cs="Times New Roman"/>
        </w:rPr>
        <w:t>evolvi</w:t>
      </w:r>
      <w:r w:rsidR="005728B0" w:rsidRPr="00EA7243">
        <w:rPr>
          <w:rFonts w:ascii="Times New Roman" w:hAnsi="Times New Roman" w:cs="Times New Roman"/>
        </w:rPr>
        <w:t xml:space="preserve">ng needs and </w:t>
      </w:r>
      <w:r w:rsidR="00715263">
        <w:rPr>
          <w:rFonts w:ascii="Times New Roman" w:hAnsi="Times New Roman" w:cs="Times New Roman"/>
        </w:rPr>
        <w:t>providing tailored recommendations.</w:t>
      </w:r>
      <w:r w:rsidR="009E57C5">
        <w:rPr>
          <w:rFonts w:ascii="Times New Roman" w:hAnsi="Times New Roman" w:cs="Times New Roman"/>
        </w:rPr>
        <w:t xml:space="preserve"> Gridspace utilizes AI to analyze spoken and written communications, transforming conversational interactions into structured business data. Curve focuses on the ‘connected finance’ space, consolidating all payment cards into one Mastercard connected to a mobile ap</w:t>
      </w:r>
      <w:r w:rsidR="005728B0" w:rsidRPr="00EA7243">
        <w:rPr>
          <w:rFonts w:ascii="Times New Roman" w:hAnsi="Times New Roman" w:cs="Times New Roman"/>
        </w:rPr>
        <w:t>p</w:t>
      </w:r>
      <w:sdt>
        <w:sdtPr>
          <w:rPr>
            <w:rFonts w:ascii="Times New Roman" w:hAnsi="Times New Roman" w:cs="Times New Roman"/>
          </w:rPr>
          <w:id w:val="-1785642282"/>
          <w:citation/>
        </w:sdtPr>
        <w:sdtContent>
          <w:r w:rsidR="005728B0">
            <w:rPr>
              <w:rFonts w:ascii="Times New Roman" w:hAnsi="Times New Roman" w:cs="Times New Roman"/>
            </w:rPr>
            <w:fldChar w:fldCharType="begin"/>
          </w:r>
          <w:r w:rsidR="005728B0">
            <w:rPr>
              <w:rFonts w:ascii="Times New Roman" w:hAnsi="Times New Roman" w:cs="Times New Roman"/>
              <w:lang w:val="en-GB"/>
            </w:rPr>
            <w:instrText xml:space="preserve">CITATION Fin17 \l 2057 </w:instrText>
          </w:r>
          <w:r w:rsidR="005728B0">
            <w:rPr>
              <w:rFonts w:ascii="Times New Roman" w:hAnsi="Times New Roman" w:cs="Times New Roman"/>
            </w:rPr>
            <w:fldChar w:fldCharType="separate"/>
          </w:r>
          <w:r w:rsidR="005728B0">
            <w:rPr>
              <w:rFonts w:ascii="Times New Roman" w:hAnsi="Times New Roman" w:cs="Times New Roman"/>
              <w:noProof/>
              <w:lang w:val="en-GB"/>
            </w:rPr>
            <w:t xml:space="preserve"> </w:t>
          </w:r>
          <w:r w:rsidR="005728B0" w:rsidRPr="002C0313">
            <w:rPr>
              <w:rFonts w:ascii="Times New Roman" w:hAnsi="Times New Roman" w:cs="Times New Roman"/>
              <w:noProof/>
              <w:lang w:val="en-GB"/>
            </w:rPr>
            <w:t>(Finextra, 2017)</w:t>
          </w:r>
          <w:r w:rsidR="005728B0">
            <w:rPr>
              <w:rFonts w:ascii="Times New Roman" w:hAnsi="Times New Roman" w:cs="Times New Roman"/>
            </w:rPr>
            <w:fldChar w:fldCharType="end"/>
          </w:r>
        </w:sdtContent>
      </w:sdt>
      <w:r w:rsidR="005728B0" w:rsidRPr="00EA7243">
        <w:rPr>
          <w:rFonts w:ascii="Times New Roman" w:hAnsi="Times New Roman" w:cs="Times New Roman"/>
        </w:rPr>
        <w:t>.</w:t>
      </w:r>
    </w:p>
    <w:p w14:paraId="794B71A7" w14:textId="77777777" w:rsidR="00313DD9" w:rsidRDefault="00136F4F" w:rsidP="00DA7507">
      <w:pPr>
        <w:spacing w:line="360" w:lineRule="auto"/>
        <w:jc w:val="both"/>
        <w:rPr>
          <w:rFonts w:ascii="Times New Roman" w:hAnsi="Times New Roman" w:cs="Times New Roman"/>
        </w:rPr>
      </w:pPr>
      <w:r>
        <w:rPr>
          <w:rFonts w:ascii="Times New Roman" w:hAnsi="Times New Roman" w:cs="Times New Roman"/>
        </w:rPr>
        <w:t xml:space="preserve">In 2018, Santander Group acquired Albert, an invoicing and expenses app designed for freelancers and micro-businesses. This </w:t>
      </w:r>
      <w:r w:rsidR="001A2AFC">
        <w:rPr>
          <w:rFonts w:ascii="Times New Roman" w:hAnsi="Times New Roman" w:cs="Times New Roman"/>
        </w:rPr>
        <w:t>strategic acquisition aligns with Santander’s commitment to enhancing support for small bu</w:t>
      </w:r>
      <w:r w:rsidR="00141519">
        <w:rPr>
          <w:rFonts w:ascii="Times New Roman" w:hAnsi="Times New Roman" w:cs="Times New Roman"/>
        </w:rPr>
        <w:t>siness owners by integrating innovative fintech solutions into its offering</w:t>
      </w:r>
      <w:r>
        <w:rPr>
          <w:rFonts w:ascii="Times New Roman" w:hAnsi="Times New Roman" w:cs="Times New Roman"/>
        </w:rPr>
        <w:t>s</w:t>
      </w:r>
      <w:sdt>
        <w:sdtPr>
          <w:rPr>
            <w:rFonts w:ascii="Times New Roman" w:hAnsi="Times New Roman" w:cs="Times New Roman"/>
          </w:rPr>
          <w:id w:val="615493353"/>
          <w:citation/>
        </w:sdtPr>
        <w:sdtContent>
          <w:r>
            <w:rPr>
              <w:rFonts w:ascii="Times New Roman" w:hAnsi="Times New Roman" w:cs="Times New Roman"/>
            </w:rPr>
            <w:fldChar w:fldCharType="begin"/>
          </w:r>
          <w:r>
            <w:rPr>
              <w:rFonts w:ascii="Times New Roman" w:hAnsi="Times New Roman" w:cs="Times New Roman"/>
              <w:lang w:val="en-GB"/>
            </w:rPr>
            <w:instrText xml:space="preserve"> CITATION Fin18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(Fintech Futures, 2018)</w:t>
          </w:r>
          <w:r>
            <w:rPr>
              <w:rFonts w:ascii="Times New Roman" w:hAnsi="Times New Roman" w:cs="Times New Roman"/>
            </w:rPr>
            <w:fldChar w:fldCharType="end"/>
          </w:r>
        </w:sdtContent>
      </w:sdt>
      <w:r>
        <w:rPr>
          <w:rFonts w:ascii="Times New Roman" w:hAnsi="Times New Roman" w:cs="Times New Roman"/>
        </w:rPr>
        <w:t xml:space="preserve">. </w:t>
      </w:r>
    </w:p>
    <w:p w14:paraId="596BB0B1" w14:textId="79E4398E" w:rsidR="009E095D" w:rsidRDefault="00136F4F" w:rsidP="009E095D">
      <w:pPr>
        <w:spacing w:line="360" w:lineRule="auto"/>
        <w:jc w:val="both"/>
        <w:rPr>
          <w:rFonts w:ascii="Times New Roman" w:hAnsi="Times New Roman" w:cs="Times New Roman"/>
        </w:rPr>
      </w:pPr>
      <w:r>
        <w:rPr>
          <w:rFonts w:ascii="Times New Roman" w:hAnsi="Times New Roman" w:cs="Times New Roman"/>
        </w:rPr>
        <w:t xml:space="preserve">In 2019, Santander </w:t>
      </w:r>
      <w:r w:rsidR="00596A44">
        <w:rPr>
          <w:rFonts w:ascii="Times New Roman" w:hAnsi="Times New Roman" w:cs="Times New Roman"/>
        </w:rPr>
        <w:t xml:space="preserve">further strengthened its Global Trade Services offering by acquiring a 50.1% stake in Ebury for £350 </w:t>
      </w:r>
      <w:r w:rsidR="006A1EB7">
        <w:rPr>
          <w:rFonts w:ascii="Times New Roman" w:hAnsi="Times New Roman" w:cs="Times New Roman"/>
        </w:rPr>
        <w:t xml:space="preserve">million. Ebury specializes in trade and foreign exchange facilitation for small and medium-sized companies. </w:t>
      </w:r>
    </w:p>
    <w:p w14:paraId="6C264835" w14:textId="77777777" w:rsidR="00566BD0" w:rsidRDefault="00136F4F" w:rsidP="00DA7507">
      <w:pPr>
        <w:spacing w:line="360" w:lineRule="auto"/>
        <w:jc w:val="both"/>
        <w:rPr>
          <w:rFonts w:ascii="Times New Roman" w:hAnsi="Times New Roman" w:cs="Times New Roman"/>
        </w:rPr>
      </w:pPr>
      <w:r>
        <w:rPr>
          <w:rFonts w:ascii="Times New Roman" w:hAnsi="Times New Roman" w:cs="Times New Roman"/>
        </w:rPr>
        <w:t>In 2020, Santander launched virtual agent powered by boost.ai to deliver AI-assisted customer service to enhance the customer experience for its Danish customers. The customer facing virtual agent, Sandrine, uses boost. Ai’s proprietary natural language understanding technology to offer customers instant answers to questions related to its portfolio of products and services. Also in 2020, Santander Group agreed to acquire Elavon Mexico for about $86million with 51% ownership by Santander Merchant Platform Solutions (SMPS), which belongs to Santander Group</w:t>
      </w:r>
      <w:sdt>
        <w:sdtPr>
          <w:rPr>
            <w:rFonts w:ascii="Times New Roman" w:hAnsi="Times New Roman" w:cs="Times New Roman"/>
          </w:rPr>
          <w:id w:val="-1592156507"/>
          <w:citation/>
        </w:sdtPr>
        <w:sdtContent>
          <w:r>
            <w:rPr>
              <w:rFonts w:ascii="Times New Roman" w:hAnsi="Times New Roman" w:cs="Times New Roman"/>
            </w:rPr>
            <w:fldChar w:fldCharType="begin"/>
          </w:r>
          <w:r>
            <w:rPr>
              <w:rFonts w:ascii="Times New Roman" w:hAnsi="Times New Roman" w:cs="Times New Roman"/>
              <w:lang w:val="en-GB"/>
            </w:rPr>
            <w:instrText xml:space="preserve"> CITATION PYM20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(PYMTS, 2020)</w:t>
          </w:r>
          <w:r>
            <w:rPr>
              <w:rFonts w:ascii="Times New Roman" w:hAnsi="Times New Roman" w:cs="Times New Roman"/>
            </w:rPr>
            <w:fldChar w:fldCharType="end"/>
          </w:r>
        </w:sdtContent>
      </w:sdt>
      <w:r>
        <w:rPr>
          <w:rFonts w:ascii="Times New Roman" w:hAnsi="Times New Roman" w:cs="Times New Roman"/>
        </w:rPr>
        <w:t xml:space="preserve">. </w:t>
      </w:r>
      <w:r w:rsidR="00566BD0">
        <w:rPr>
          <w:rFonts w:ascii="Times New Roman" w:hAnsi="Times New Roman" w:cs="Times New Roman"/>
        </w:rPr>
        <w:t xml:space="preserve">Elavon’s solutions include POS (for physical trade), free POS (for mobility businesses), and virtual POS (for e-commerce businesses). </w:t>
      </w:r>
    </w:p>
    <w:p w14:paraId="48F5DE64" w14:textId="4216A028" w:rsidR="00E1373E" w:rsidRDefault="00236E29" w:rsidP="00DA7507">
      <w:pPr>
        <w:spacing w:line="360" w:lineRule="auto"/>
        <w:jc w:val="both"/>
        <w:rPr>
          <w:rFonts w:ascii="Times New Roman" w:hAnsi="Times New Roman" w:cs="Times New Roman"/>
        </w:rPr>
      </w:pPr>
      <w:r>
        <w:rPr>
          <w:rFonts w:ascii="Times New Roman" w:hAnsi="Times New Roman" w:cs="Times New Roman"/>
        </w:rPr>
        <w:t xml:space="preserve">The year </w:t>
      </w:r>
      <w:r w:rsidR="0020688C">
        <w:rPr>
          <w:rFonts w:ascii="Times New Roman" w:hAnsi="Times New Roman" w:cs="Times New Roman"/>
        </w:rPr>
        <w:t>2022</w:t>
      </w:r>
      <w:r>
        <w:rPr>
          <w:rFonts w:ascii="Times New Roman" w:hAnsi="Times New Roman" w:cs="Times New Roman"/>
        </w:rPr>
        <w:t xml:space="preserve"> witnessed </w:t>
      </w:r>
      <w:r w:rsidR="00550A68">
        <w:rPr>
          <w:rFonts w:ascii="Times New Roman" w:hAnsi="Times New Roman" w:cs="Times New Roman"/>
        </w:rPr>
        <w:t>the</w:t>
      </w:r>
      <w:r w:rsidR="00C34ACC">
        <w:rPr>
          <w:rFonts w:ascii="Times New Roman" w:hAnsi="Times New Roman" w:cs="Times New Roman"/>
        </w:rPr>
        <w:t xml:space="preserve"> launch</w:t>
      </w:r>
      <w:r w:rsidR="00550A68">
        <w:rPr>
          <w:rFonts w:ascii="Times New Roman" w:hAnsi="Times New Roman" w:cs="Times New Roman"/>
        </w:rPr>
        <w:t xml:space="preserve"> of </w:t>
      </w:r>
      <w:r w:rsidR="00C34ACC">
        <w:rPr>
          <w:rFonts w:ascii="Times New Roman" w:hAnsi="Times New Roman" w:cs="Times New Roman"/>
        </w:rPr>
        <w:t>Zinia</w:t>
      </w:r>
      <w:r w:rsidR="00550A68">
        <w:rPr>
          <w:rFonts w:ascii="Times New Roman" w:hAnsi="Times New Roman" w:cs="Times New Roman"/>
        </w:rPr>
        <w:t xml:space="preserve"> by Santander</w:t>
      </w:r>
      <w:r w:rsidR="00C34ACC">
        <w:rPr>
          <w:rFonts w:ascii="Times New Roman" w:hAnsi="Times New Roman" w:cs="Times New Roman"/>
        </w:rPr>
        <w:t>, a buy now, pay later (BNPL) service</w:t>
      </w:r>
      <w:r w:rsidR="00550A68">
        <w:rPr>
          <w:rFonts w:ascii="Times New Roman" w:hAnsi="Times New Roman" w:cs="Times New Roman"/>
        </w:rPr>
        <w:t xml:space="preserve">. Zinia offers customers the option to pay for purchases in interest-free installments, along with </w:t>
      </w:r>
      <w:r w:rsidR="00550A68">
        <w:rPr>
          <w:rFonts w:ascii="Times New Roman" w:hAnsi="Times New Roman" w:cs="Times New Roman"/>
        </w:rPr>
        <w:lastRenderedPageBreak/>
        <w:t>features such as interest-free payment options, exclusive offers, and financial alternatives. This platform aims to simplify the shopping experience, boost sales, and enhance customer engagemen</w:t>
      </w:r>
      <w:r w:rsidR="000A2C8A">
        <w:rPr>
          <w:rFonts w:ascii="Times New Roman" w:hAnsi="Times New Roman" w:cs="Times New Roman"/>
        </w:rPr>
        <w:t>t</w:t>
      </w:r>
      <w:sdt>
        <w:sdtPr>
          <w:rPr>
            <w:rFonts w:ascii="Times New Roman" w:hAnsi="Times New Roman" w:cs="Times New Roman"/>
          </w:rPr>
          <w:id w:val="-78363551"/>
          <w:citation/>
        </w:sdtPr>
        <w:sdtContent>
          <w:r w:rsidR="00335228">
            <w:rPr>
              <w:rFonts w:ascii="Times New Roman" w:hAnsi="Times New Roman" w:cs="Times New Roman"/>
            </w:rPr>
            <w:fldChar w:fldCharType="begin"/>
          </w:r>
          <w:r w:rsidR="00335228">
            <w:rPr>
              <w:rFonts w:ascii="Times New Roman" w:hAnsi="Times New Roman" w:cs="Times New Roman"/>
              <w:lang w:val="en-GB"/>
            </w:rPr>
            <w:instrText xml:space="preserve"> CITATION San222 \l 2057 </w:instrText>
          </w:r>
          <w:r w:rsidR="00335228">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2022)</w:t>
          </w:r>
          <w:r w:rsidR="00335228">
            <w:rPr>
              <w:rFonts w:ascii="Times New Roman" w:hAnsi="Times New Roman" w:cs="Times New Roman"/>
            </w:rPr>
            <w:fldChar w:fldCharType="end"/>
          </w:r>
        </w:sdtContent>
      </w:sdt>
      <w:r w:rsidR="000A2C8A">
        <w:rPr>
          <w:rFonts w:ascii="Times New Roman" w:hAnsi="Times New Roman" w:cs="Times New Roman"/>
        </w:rPr>
        <w:t xml:space="preserve">. </w:t>
      </w:r>
    </w:p>
    <w:p w14:paraId="1827C49C" w14:textId="108B5FAA" w:rsidR="00083D5D" w:rsidRPr="00014A3E" w:rsidRDefault="00083D5D" w:rsidP="00DA7507">
      <w:pPr>
        <w:spacing w:line="360" w:lineRule="auto"/>
        <w:jc w:val="both"/>
        <w:rPr>
          <w:rFonts w:ascii="Times New Roman" w:hAnsi="Times New Roman" w:cs="Times New Roman"/>
          <w:b/>
          <w:bCs/>
        </w:rPr>
      </w:pPr>
      <w:proofErr w:type="spellStart"/>
      <w:r w:rsidRPr="00014A3E">
        <w:rPr>
          <w:rFonts w:ascii="Times New Roman" w:hAnsi="Times New Roman" w:cs="Times New Roman"/>
          <w:b/>
          <w:bCs/>
        </w:rPr>
        <w:t>Natwest</w:t>
      </w:r>
      <w:proofErr w:type="spellEnd"/>
      <w:r w:rsidRPr="00014A3E">
        <w:rPr>
          <w:rFonts w:ascii="Times New Roman" w:hAnsi="Times New Roman" w:cs="Times New Roman"/>
          <w:b/>
          <w:bCs/>
        </w:rPr>
        <w:t xml:space="preserve"> Group Plc</w:t>
      </w:r>
    </w:p>
    <w:p w14:paraId="3EAF1DB4" w14:textId="76ACDC11" w:rsidR="00B4563C" w:rsidRDefault="00452B0F" w:rsidP="00452B0F">
      <w:pPr>
        <w:spacing w:line="360" w:lineRule="auto"/>
        <w:jc w:val="both"/>
        <w:rPr>
          <w:rFonts w:ascii="Times New Roman" w:hAnsi="Times New Roman" w:cs="Times New Roman"/>
        </w:rPr>
      </w:pPr>
      <w:r>
        <w:rPr>
          <w:rFonts w:ascii="Times New Roman" w:hAnsi="Times New Roman" w:cs="Times New Roman"/>
        </w:rPr>
        <w:t>NatWest is</w:t>
      </w:r>
      <w:r w:rsidR="00B4563C">
        <w:rPr>
          <w:rFonts w:ascii="Times New Roman" w:hAnsi="Times New Roman" w:cs="Times New Roman"/>
        </w:rPr>
        <w:t xml:space="preserve"> undergoing a business model transformation </w:t>
      </w:r>
      <w:r w:rsidR="00BF036C">
        <w:rPr>
          <w:rFonts w:ascii="Times New Roman" w:hAnsi="Times New Roman" w:cs="Times New Roman"/>
        </w:rPr>
        <w:t>to align with customer</w:t>
      </w:r>
      <w:r w:rsidR="008B6F69">
        <w:rPr>
          <w:rFonts w:ascii="Times New Roman" w:hAnsi="Times New Roman" w:cs="Times New Roman"/>
        </w:rPr>
        <w:t>s’ digital expectations and introduce innovative products and services, utilizing emerging technologies. The emphasis is on AI-based solutions like its chatbot, Cora, aimed at cost reduction and providing personalized services. The bank is also extending its presence through online distribution channels and mobile technology, ensuring banking services are accessible anytime and anywhere.</w:t>
      </w:r>
    </w:p>
    <w:p w14:paraId="227BA1D5" w14:textId="08ABB01F" w:rsidR="00842A99" w:rsidRPr="001370D0" w:rsidRDefault="00836B2C" w:rsidP="001370D0">
      <w:pPr>
        <w:pStyle w:val="Caption"/>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bookmarkStart w:id="63" w:name="_Toc158706229"/>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\s 1 </w:instrTex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70283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F683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initiatives and investments made by NatWest Plc</w:t>
      </w:r>
      <w:bookmarkEnd w:id="63"/>
    </w:p>
    <w:tbl>
      <w:tblPr>
        <w:tblStyle w:val="TableGrid"/>
        <w:tblW w:w="9380" w:type="dxa"/>
        <w:tblLook w:val="04A0" w:firstRow="1" w:lastRow="0" w:firstColumn="1" w:lastColumn="0" w:noHBand="0" w:noVBand="1"/>
      </w:tblPr>
      <w:tblGrid>
        <w:gridCol w:w="846"/>
        <w:gridCol w:w="2410"/>
        <w:gridCol w:w="2835"/>
        <w:gridCol w:w="3289"/>
      </w:tblGrid>
      <w:tr w:rsidR="00842A99" w14:paraId="11DAA2B5" w14:textId="77777777" w:rsidTr="006271AF">
        <w:trPr>
          <w:trHeight w:val="400"/>
        </w:trPr>
        <w:tc>
          <w:tcPr>
            <w:tcW w:w="846" w:type="dxa"/>
          </w:tcPr>
          <w:p w14:paraId="7BFC3A20"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164ED4FD"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694DAF05"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289" w:type="dxa"/>
          </w:tcPr>
          <w:p w14:paraId="64404D19"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8B62E2" w14:paraId="06D9D8F8" w14:textId="77777777" w:rsidTr="006271AF">
        <w:trPr>
          <w:trHeight w:val="400"/>
        </w:trPr>
        <w:tc>
          <w:tcPr>
            <w:tcW w:w="846" w:type="dxa"/>
          </w:tcPr>
          <w:p w14:paraId="5DC72EEE" w14:textId="383961DE" w:rsidR="008B62E2" w:rsidRDefault="008B62E2" w:rsidP="001D4E36">
            <w:pPr>
              <w:spacing w:line="360" w:lineRule="auto"/>
              <w:jc w:val="both"/>
              <w:rPr>
                <w:rFonts w:ascii="Times New Roman" w:hAnsi="Times New Roman" w:cs="Times New Roman"/>
              </w:rPr>
            </w:pPr>
            <w:r>
              <w:rPr>
                <w:rFonts w:ascii="Times New Roman" w:hAnsi="Times New Roman" w:cs="Times New Roman"/>
              </w:rPr>
              <w:t>2023</w:t>
            </w:r>
          </w:p>
        </w:tc>
        <w:tc>
          <w:tcPr>
            <w:tcW w:w="2410" w:type="dxa"/>
          </w:tcPr>
          <w:p w14:paraId="3D6046D0" w14:textId="66AA370E" w:rsidR="008B62E2" w:rsidRDefault="008B62E2" w:rsidP="001D4E36">
            <w:pPr>
              <w:spacing w:line="360" w:lineRule="auto"/>
              <w:jc w:val="both"/>
              <w:rPr>
                <w:rFonts w:ascii="Times New Roman" w:hAnsi="Times New Roman" w:cs="Times New Roman"/>
              </w:rPr>
            </w:pPr>
            <w:r>
              <w:rPr>
                <w:rFonts w:ascii="Times New Roman" w:hAnsi="Times New Roman" w:cs="Times New Roman"/>
              </w:rPr>
              <w:t xml:space="preserve">Artificial Intelligence </w:t>
            </w:r>
          </w:p>
        </w:tc>
        <w:tc>
          <w:tcPr>
            <w:tcW w:w="2835" w:type="dxa"/>
          </w:tcPr>
          <w:p w14:paraId="3189780C" w14:textId="511C0B55" w:rsidR="008B62E2" w:rsidRDefault="000D64FC" w:rsidP="001D4E36">
            <w:pPr>
              <w:spacing w:line="360" w:lineRule="auto"/>
              <w:jc w:val="both"/>
              <w:rPr>
                <w:rFonts w:ascii="Times New Roman" w:hAnsi="Times New Roman" w:cs="Times New Roman"/>
              </w:rPr>
            </w:pPr>
            <w:r>
              <w:rPr>
                <w:rFonts w:ascii="Times New Roman" w:hAnsi="Times New Roman" w:cs="Times New Roman"/>
              </w:rPr>
              <w:t>Fraud Detection</w:t>
            </w:r>
          </w:p>
        </w:tc>
        <w:tc>
          <w:tcPr>
            <w:tcW w:w="3289" w:type="dxa"/>
          </w:tcPr>
          <w:p w14:paraId="01CF4013" w14:textId="451AF995" w:rsidR="008B62E2" w:rsidRDefault="00E47C19" w:rsidP="001D4E36">
            <w:pPr>
              <w:spacing w:line="360" w:lineRule="auto"/>
              <w:jc w:val="both"/>
              <w:rPr>
                <w:rFonts w:ascii="Times New Roman" w:hAnsi="Times New Roman" w:cs="Times New Roman"/>
              </w:rPr>
            </w:pPr>
            <w:r>
              <w:rPr>
                <w:rFonts w:ascii="Times New Roman" w:hAnsi="Times New Roman" w:cs="Times New Roman"/>
              </w:rPr>
              <w:t>Mastercard</w:t>
            </w:r>
          </w:p>
        </w:tc>
      </w:tr>
      <w:tr w:rsidR="00A66688" w14:paraId="517F509F" w14:textId="77777777" w:rsidTr="006271AF">
        <w:trPr>
          <w:trHeight w:val="400"/>
        </w:trPr>
        <w:tc>
          <w:tcPr>
            <w:tcW w:w="846" w:type="dxa"/>
          </w:tcPr>
          <w:p w14:paraId="038A1906" w14:textId="482129CD" w:rsidR="00A66688" w:rsidRDefault="00A66688" w:rsidP="001D4E36">
            <w:pPr>
              <w:spacing w:line="360" w:lineRule="auto"/>
              <w:jc w:val="both"/>
              <w:rPr>
                <w:rFonts w:ascii="Times New Roman" w:hAnsi="Times New Roman" w:cs="Times New Roman"/>
              </w:rPr>
            </w:pPr>
            <w:r>
              <w:rPr>
                <w:rFonts w:ascii="Times New Roman" w:hAnsi="Times New Roman" w:cs="Times New Roman"/>
              </w:rPr>
              <w:t>2023</w:t>
            </w:r>
          </w:p>
        </w:tc>
        <w:tc>
          <w:tcPr>
            <w:tcW w:w="2410" w:type="dxa"/>
          </w:tcPr>
          <w:p w14:paraId="63EEAD14" w14:textId="48836997" w:rsidR="00A66688" w:rsidRDefault="00A66688" w:rsidP="001D4E36">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5672D76B" w14:textId="41DD7122" w:rsidR="00A66688" w:rsidRDefault="00EC70B8" w:rsidP="001D4E36">
            <w:pPr>
              <w:spacing w:line="360" w:lineRule="auto"/>
              <w:jc w:val="both"/>
              <w:rPr>
                <w:rFonts w:ascii="Times New Roman" w:hAnsi="Times New Roman" w:cs="Times New Roman"/>
              </w:rPr>
            </w:pPr>
            <w:r>
              <w:rPr>
                <w:rFonts w:ascii="Times New Roman" w:hAnsi="Times New Roman" w:cs="Times New Roman"/>
              </w:rPr>
              <w:t>Network Expansion</w:t>
            </w:r>
          </w:p>
        </w:tc>
        <w:tc>
          <w:tcPr>
            <w:tcW w:w="3289" w:type="dxa"/>
          </w:tcPr>
          <w:p w14:paraId="0EBF0714" w14:textId="1ED184E8" w:rsidR="00A66688" w:rsidRDefault="00BF157F" w:rsidP="001D4E36">
            <w:pPr>
              <w:spacing w:line="360" w:lineRule="auto"/>
              <w:jc w:val="both"/>
              <w:rPr>
                <w:rFonts w:ascii="Times New Roman" w:hAnsi="Times New Roman" w:cs="Times New Roman"/>
              </w:rPr>
            </w:pPr>
            <w:r>
              <w:rPr>
                <w:rFonts w:ascii="Times New Roman" w:hAnsi="Times New Roman" w:cs="Times New Roman"/>
              </w:rPr>
              <w:t>Cushon</w:t>
            </w:r>
          </w:p>
        </w:tc>
      </w:tr>
      <w:tr w:rsidR="00452D49" w14:paraId="6B011822" w14:textId="77777777" w:rsidTr="006271AF">
        <w:trPr>
          <w:trHeight w:val="400"/>
        </w:trPr>
        <w:tc>
          <w:tcPr>
            <w:tcW w:w="846" w:type="dxa"/>
          </w:tcPr>
          <w:p w14:paraId="016217B5" w14:textId="372788F9" w:rsidR="00452D49" w:rsidRDefault="00452D49" w:rsidP="001D4E36">
            <w:pPr>
              <w:spacing w:line="360" w:lineRule="auto"/>
              <w:jc w:val="both"/>
              <w:rPr>
                <w:rFonts w:ascii="Times New Roman" w:hAnsi="Times New Roman" w:cs="Times New Roman"/>
              </w:rPr>
            </w:pPr>
            <w:r>
              <w:rPr>
                <w:rFonts w:ascii="Times New Roman" w:hAnsi="Times New Roman" w:cs="Times New Roman"/>
              </w:rPr>
              <w:t>202</w:t>
            </w:r>
            <w:r w:rsidR="0055029C">
              <w:rPr>
                <w:rFonts w:ascii="Times New Roman" w:hAnsi="Times New Roman" w:cs="Times New Roman"/>
              </w:rPr>
              <w:t>1</w:t>
            </w:r>
          </w:p>
        </w:tc>
        <w:tc>
          <w:tcPr>
            <w:tcW w:w="2410" w:type="dxa"/>
          </w:tcPr>
          <w:p w14:paraId="2B34349A" w14:textId="2D1F72D1" w:rsidR="00452D49" w:rsidRDefault="00505672" w:rsidP="001D4E36">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0CD2B41E" w14:textId="472E560C" w:rsidR="00452D49" w:rsidRDefault="00571326" w:rsidP="001D4E36">
            <w:pPr>
              <w:spacing w:line="360" w:lineRule="auto"/>
              <w:jc w:val="both"/>
              <w:rPr>
                <w:rFonts w:ascii="Times New Roman" w:hAnsi="Times New Roman" w:cs="Times New Roman"/>
              </w:rPr>
            </w:pPr>
            <w:r>
              <w:rPr>
                <w:rFonts w:ascii="Times New Roman" w:hAnsi="Times New Roman" w:cs="Times New Roman"/>
              </w:rPr>
              <w:t>Innovative Financial Management solutions</w:t>
            </w:r>
          </w:p>
        </w:tc>
        <w:tc>
          <w:tcPr>
            <w:tcW w:w="3289" w:type="dxa"/>
          </w:tcPr>
          <w:p w14:paraId="0A549C69" w14:textId="6E990F23" w:rsidR="00452D49" w:rsidRDefault="00571326" w:rsidP="001D4E36">
            <w:pPr>
              <w:spacing w:line="360" w:lineRule="auto"/>
              <w:jc w:val="both"/>
              <w:rPr>
                <w:rFonts w:ascii="Times New Roman" w:hAnsi="Times New Roman" w:cs="Times New Roman"/>
              </w:rPr>
            </w:pPr>
            <w:r>
              <w:rPr>
                <w:rFonts w:ascii="Times New Roman" w:hAnsi="Times New Roman" w:cs="Times New Roman"/>
              </w:rPr>
              <w:t>Updraft</w:t>
            </w:r>
          </w:p>
        </w:tc>
      </w:tr>
      <w:tr w:rsidR="00452B0F" w14:paraId="6ECD93BB" w14:textId="77777777" w:rsidTr="006271AF">
        <w:trPr>
          <w:trHeight w:val="400"/>
        </w:trPr>
        <w:tc>
          <w:tcPr>
            <w:tcW w:w="846" w:type="dxa"/>
          </w:tcPr>
          <w:p w14:paraId="354A7D30" w14:textId="211F6D28" w:rsidR="00452B0F" w:rsidRDefault="00452B0F"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05B17840" w14:textId="707E5419" w:rsidR="00452B0F" w:rsidRDefault="00452B0F"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045EF29D" w14:textId="12C57FF6" w:rsidR="00452B0F" w:rsidRDefault="00452B0F" w:rsidP="001D4E36">
            <w:pPr>
              <w:spacing w:line="360" w:lineRule="auto"/>
              <w:jc w:val="both"/>
              <w:rPr>
                <w:rFonts w:ascii="Times New Roman" w:hAnsi="Times New Roman" w:cs="Times New Roman"/>
              </w:rPr>
            </w:pPr>
            <w:r>
              <w:rPr>
                <w:rFonts w:ascii="Times New Roman" w:hAnsi="Times New Roman" w:cs="Times New Roman"/>
              </w:rPr>
              <w:t>Chatbot</w:t>
            </w:r>
          </w:p>
        </w:tc>
        <w:tc>
          <w:tcPr>
            <w:tcW w:w="3289" w:type="dxa"/>
          </w:tcPr>
          <w:p w14:paraId="498E2FD3" w14:textId="3EF70784" w:rsidR="00452B0F" w:rsidRDefault="007F04BF" w:rsidP="001D4E36">
            <w:pPr>
              <w:spacing w:line="360" w:lineRule="auto"/>
              <w:jc w:val="both"/>
              <w:rPr>
                <w:rFonts w:ascii="Times New Roman" w:hAnsi="Times New Roman" w:cs="Times New Roman"/>
              </w:rPr>
            </w:pPr>
            <w:r>
              <w:rPr>
                <w:rFonts w:ascii="Times New Roman" w:hAnsi="Times New Roman" w:cs="Times New Roman"/>
              </w:rPr>
              <w:t>Chatbot</w:t>
            </w:r>
            <w:r w:rsidR="004806FF">
              <w:rPr>
                <w:rFonts w:ascii="Times New Roman" w:hAnsi="Times New Roman" w:cs="Times New Roman"/>
              </w:rPr>
              <w:t xml:space="preserve"> with IRS trade execution</w:t>
            </w:r>
          </w:p>
        </w:tc>
      </w:tr>
      <w:tr w:rsidR="008F14A7" w14:paraId="472CAE62" w14:textId="77777777" w:rsidTr="006271AF">
        <w:trPr>
          <w:trHeight w:val="400"/>
        </w:trPr>
        <w:tc>
          <w:tcPr>
            <w:tcW w:w="846" w:type="dxa"/>
          </w:tcPr>
          <w:p w14:paraId="15BCCFCD" w14:textId="3B233972" w:rsidR="008F14A7" w:rsidRDefault="008F14A7" w:rsidP="001D4E36">
            <w:pPr>
              <w:spacing w:line="360" w:lineRule="auto"/>
              <w:jc w:val="both"/>
              <w:rPr>
                <w:rFonts w:ascii="Times New Roman" w:hAnsi="Times New Roman" w:cs="Times New Roman"/>
              </w:rPr>
            </w:pPr>
            <w:r>
              <w:rPr>
                <w:rFonts w:ascii="Times New Roman" w:hAnsi="Times New Roman" w:cs="Times New Roman"/>
              </w:rPr>
              <w:t>2018</w:t>
            </w:r>
          </w:p>
        </w:tc>
        <w:tc>
          <w:tcPr>
            <w:tcW w:w="2410" w:type="dxa"/>
          </w:tcPr>
          <w:p w14:paraId="077CAACA" w14:textId="0FB00C31" w:rsidR="008F14A7" w:rsidRDefault="00BF33C9" w:rsidP="001D4E36">
            <w:pPr>
              <w:spacing w:line="360" w:lineRule="auto"/>
              <w:jc w:val="both"/>
              <w:rPr>
                <w:rFonts w:ascii="Times New Roman" w:hAnsi="Times New Roman" w:cs="Times New Roman"/>
              </w:rPr>
            </w:pPr>
            <w:r>
              <w:rPr>
                <w:rFonts w:ascii="Times New Roman" w:hAnsi="Times New Roman" w:cs="Times New Roman"/>
              </w:rPr>
              <w:t>Digitization</w:t>
            </w:r>
          </w:p>
        </w:tc>
        <w:tc>
          <w:tcPr>
            <w:tcW w:w="2835" w:type="dxa"/>
          </w:tcPr>
          <w:p w14:paraId="54B0CD84" w14:textId="3474F4C1" w:rsidR="008F14A7" w:rsidRDefault="008C3856" w:rsidP="001D4E36">
            <w:pPr>
              <w:spacing w:line="360" w:lineRule="auto"/>
              <w:jc w:val="both"/>
              <w:rPr>
                <w:rFonts w:ascii="Times New Roman" w:hAnsi="Times New Roman" w:cs="Times New Roman"/>
              </w:rPr>
            </w:pPr>
            <w:r>
              <w:rPr>
                <w:rFonts w:ascii="Times New Roman" w:hAnsi="Times New Roman" w:cs="Times New Roman"/>
              </w:rPr>
              <w:t>Innovative Technology</w:t>
            </w:r>
          </w:p>
        </w:tc>
        <w:tc>
          <w:tcPr>
            <w:tcW w:w="3289" w:type="dxa"/>
          </w:tcPr>
          <w:p w14:paraId="1DC91B65" w14:textId="0206C2CD" w:rsidR="008F14A7" w:rsidRDefault="00242EF6" w:rsidP="001D4E36">
            <w:pPr>
              <w:spacing w:line="360" w:lineRule="auto"/>
              <w:jc w:val="both"/>
              <w:rPr>
                <w:rFonts w:ascii="Times New Roman" w:hAnsi="Times New Roman" w:cs="Times New Roman"/>
              </w:rPr>
            </w:pPr>
            <w:r>
              <w:rPr>
                <w:rFonts w:ascii="Times New Roman" w:hAnsi="Times New Roman" w:cs="Times New Roman"/>
              </w:rPr>
              <w:t>Vizolution</w:t>
            </w:r>
          </w:p>
        </w:tc>
      </w:tr>
    </w:tbl>
    <w:p w14:paraId="03139D06" w14:textId="77777777" w:rsidR="00842A99" w:rsidRDefault="00842A99" w:rsidP="00DA7507">
      <w:pPr>
        <w:spacing w:line="360" w:lineRule="auto"/>
        <w:jc w:val="both"/>
        <w:rPr>
          <w:rFonts w:ascii="Times New Roman" w:hAnsi="Times New Roman" w:cs="Times New Roman"/>
        </w:rPr>
      </w:pPr>
    </w:p>
    <w:p w14:paraId="6DDC7739" w14:textId="31C28723" w:rsidR="00F91CFD" w:rsidRDefault="006D7DC9" w:rsidP="00DA7507">
      <w:pPr>
        <w:spacing w:line="360" w:lineRule="auto"/>
        <w:jc w:val="both"/>
        <w:rPr>
          <w:rFonts w:ascii="Times New Roman" w:hAnsi="Times New Roman" w:cs="Times New Roman"/>
        </w:rPr>
      </w:pPr>
      <w:r>
        <w:rPr>
          <w:rFonts w:ascii="Times New Roman" w:hAnsi="Times New Roman" w:cs="Times New Roman"/>
        </w:rPr>
        <w:t xml:space="preserve">In 2018, NatWest </w:t>
      </w:r>
      <w:r w:rsidR="00905F24">
        <w:rPr>
          <w:rFonts w:ascii="Times New Roman" w:hAnsi="Times New Roman" w:cs="Times New Roman"/>
        </w:rPr>
        <w:t xml:space="preserve">made a strategic </w:t>
      </w:r>
      <w:r w:rsidR="00B93AB2">
        <w:rPr>
          <w:rFonts w:ascii="Times New Roman" w:hAnsi="Times New Roman" w:cs="Times New Roman"/>
        </w:rPr>
        <w:t>invest</w:t>
      </w:r>
      <w:r w:rsidR="00F91CFD">
        <w:rPr>
          <w:rFonts w:ascii="Times New Roman" w:hAnsi="Times New Roman" w:cs="Times New Roman"/>
        </w:rPr>
        <w:t>ment</w:t>
      </w:r>
      <w:r w:rsidR="00B93AB2">
        <w:rPr>
          <w:rFonts w:ascii="Times New Roman" w:hAnsi="Times New Roman" w:cs="Times New Roman"/>
        </w:rPr>
        <w:t xml:space="preserve"> in Vizolution, a UK-based Software-as-a-Service (SaaS) </w:t>
      </w:r>
      <w:r w:rsidR="008A57A1">
        <w:rPr>
          <w:rFonts w:ascii="Times New Roman" w:hAnsi="Times New Roman" w:cs="Times New Roman"/>
        </w:rPr>
        <w:t>firm</w:t>
      </w:r>
      <w:r w:rsidR="00F91CFD">
        <w:rPr>
          <w:rFonts w:ascii="Times New Roman" w:hAnsi="Times New Roman" w:cs="Times New Roman"/>
        </w:rPr>
        <w:t xml:space="preserve"> specializing in remote interactions with customers. This investment proved instr</w:t>
      </w:r>
      <w:r w:rsidR="003C2AD2">
        <w:rPr>
          <w:rFonts w:ascii="Times New Roman" w:hAnsi="Times New Roman" w:cs="Times New Roman"/>
        </w:rPr>
        <w:t>umental for RBS in reducing transaction times and operational costs related to mort</w:t>
      </w:r>
      <w:r w:rsidR="005F0302">
        <w:rPr>
          <w:rFonts w:ascii="Times New Roman" w:hAnsi="Times New Roman" w:cs="Times New Roman"/>
        </w:rPr>
        <w:t>gages. It also contributed to enhancing sales conversions and improving the overall digital experiences for customers. Continuing its technological advancements, in 2020</w:t>
      </w:r>
      <w:r w:rsidR="00E842E3">
        <w:rPr>
          <w:rFonts w:ascii="Times New Roman" w:hAnsi="Times New Roman" w:cs="Times New Roman"/>
        </w:rPr>
        <w:t>, NatWest upgraded its chatbot capabilities with IRS trade execution, incorporating automated trade execution for interest rate swaps (IRS</w:t>
      </w:r>
      <w:r w:rsidR="00481054">
        <w:rPr>
          <w:rFonts w:ascii="Times New Roman" w:hAnsi="Times New Roman" w:cs="Times New Roman"/>
        </w:rPr>
        <w:t xml:space="preserve">) within its digital trading assistant, Scout. This enhancement, developed in collaboration with Symphony and Adaptive Financial Consulting, </w:t>
      </w:r>
      <w:r w:rsidR="003B0F45">
        <w:rPr>
          <w:rFonts w:ascii="Times New Roman" w:hAnsi="Times New Roman" w:cs="Times New Roman"/>
        </w:rPr>
        <w:t>is aimed</w:t>
      </w:r>
      <w:r w:rsidR="00481054">
        <w:rPr>
          <w:rFonts w:ascii="Times New Roman" w:hAnsi="Times New Roman" w:cs="Times New Roman"/>
        </w:rPr>
        <w:t xml:space="preserve"> at streamlining workflows and minimizing dual entries.</w:t>
      </w:r>
    </w:p>
    <w:p w14:paraId="24EF0BCE" w14:textId="77777777" w:rsidR="006D0AB9" w:rsidRDefault="00DD1B58" w:rsidP="00DA7507">
      <w:pPr>
        <w:spacing w:line="360" w:lineRule="auto"/>
        <w:jc w:val="both"/>
        <w:rPr>
          <w:rFonts w:ascii="Times New Roman" w:hAnsi="Times New Roman" w:cs="Times New Roman"/>
        </w:rPr>
      </w:pPr>
      <w:r>
        <w:rPr>
          <w:rFonts w:ascii="Times New Roman" w:hAnsi="Times New Roman" w:cs="Times New Roman"/>
        </w:rPr>
        <w:lastRenderedPageBreak/>
        <w:t>NatWest demonstrated a keen interest in financial technology by investing significantly in Updraft. In 2021, NatWest led a funding round, securing £72</w:t>
      </w:r>
      <w:r w:rsidR="00D85079">
        <w:rPr>
          <w:rFonts w:ascii="Times New Roman" w:hAnsi="Times New Roman" w:cs="Times New Roman"/>
        </w:rPr>
        <w:t xml:space="preserve"> million for Updraft. This investment continued in 2022, as Updraft raised an additional £108</w:t>
      </w:r>
      <w:r w:rsidR="0016262D">
        <w:rPr>
          <w:rFonts w:ascii="Times New Roman" w:hAnsi="Times New Roman" w:cs="Times New Roman"/>
        </w:rPr>
        <w:t xml:space="preserve"> million in equity and debt financing in a seri</w:t>
      </w:r>
      <w:r w:rsidR="00CD617A">
        <w:rPr>
          <w:rFonts w:ascii="Times New Roman" w:hAnsi="Times New Roman" w:cs="Times New Roman"/>
        </w:rPr>
        <w:t>es A funding round, with NatWest playing a prominent role. Updraft, a fintech solutions provi</w:t>
      </w:r>
      <w:r w:rsidR="008557F1">
        <w:rPr>
          <w:rFonts w:ascii="Times New Roman" w:hAnsi="Times New Roman" w:cs="Times New Roman"/>
        </w:rPr>
        <w:t>der, leverages algorithms, open banking, and credit reference data to offer personalized personal loans to users</w:t>
      </w:r>
      <w:sdt>
        <w:sdtPr>
          <w:rPr>
            <w:rFonts w:ascii="Times New Roman" w:hAnsi="Times New Roman" w:cs="Times New Roman"/>
          </w:rPr>
          <w:id w:val="347538975"/>
          <w:citation/>
        </w:sdtPr>
        <w:sdtContent>
          <w:r w:rsidR="007A469B">
            <w:rPr>
              <w:rFonts w:ascii="Times New Roman" w:hAnsi="Times New Roman" w:cs="Times New Roman"/>
            </w:rPr>
            <w:fldChar w:fldCharType="begin"/>
          </w:r>
          <w:r w:rsidR="007A469B">
            <w:rPr>
              <w:rFonts w:ascii="Times New Roman" w:hAnsi="Times New Roman" w:cs="Times New Roman"/>
              <w:lang w:val="en-GB"/>
            </w:rPr>
            <w:instrText xml:space="preserve"> CITATION IBS22 \l 2057 </w:instrText>
          </w:r>
          <w:r w:rsidR="007A469B">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(IBS intelligence, 2022)</w:t>
          </w:r>
          <w:r w:rsidR="007A469B">
            <w:rPr>
              <w:rFonts w:ascii="Times New Roman" w:hAnsi="Times New Roman" w:cs="Times New Roman"/>
            </w:rPr>
            <w:fldChar w:fldCharType="end"/>
          </w:r>
        </w:sdtContent>
      </w:sdt>
      <w:r w:rsidR="003759C8">
        <w:rPr>
          <w:rFonts w:ascii="Times New Roman" w:hAnsi="Times New Roman" w:cs="Times New Roman"/>
        </w:rPr>
        <w:t xml:space="preserve">. </w:t>
      </w:r>
    </w:p>
    <w:p w14:paraId="24025DBC" w14:textId="462C27D4" w:rsidR="006D0AB9" w:rsidRDefault="006D0AB9" w:rsidP="00DA7507">
      <w:pPr>
        <w:spacing w:line="360" w:lineRule="auto"/>
        <w:jc w:val="both"/>
        <w:rPr>
          <w:rFonts w:ascii="Times New Roman" w:hAnsi="Times New Roman" w:cs="Times New Roman"/>
        </w:rPr>
      </w:pPr>
      <w:r>
        <w:rPr>
          <w:rFonts w:ascii="Times New Roman" w:hAnsi="Times New Roman" w:cs="Times New Roman"/>
        </w:rPr>
        <w:t>Embracing blockchain technology, NatWest Markets launched Digital Capital Markets in 2022, focusing on credit and rates products. This blockchain division aims to roll out digital channels and currencies to enhance the efficiency and accessibility of financial products.</w:t>
      </w:r>
    </w:p>
    <w:p w14:paraId="1CF6390E" w14:textId="77777777" w:rsidR="00AD28ED" w:rsidRDefault="003D2F28" w:rsidP="00DA7507">
      <w:pPr>
        <w:spacing w:line="360" w:lineRule="auto"/>
        <w:jc w:val="both"/>
        <w:rPr>
          <w:rFonts w:ascii="Times New Roman" w:hAnsi="Times New Roman" w:cs="Times New Roman"/>
        </w:rPr>
      </w:pPr>
      <w:r>
        <w:rPr>
          <w:rFonts w:ascii="Times New Roman" w:hAnsi="Times New Roman" w:cs="Times New Roman"/>
        </w:rPr>
        <w:t>In 2023, NatWest Group acquired an 85% stake in Cushon, a workplace savings and pensions fintech firm, for £144 million. This acquisition, part of NatWest’s Wealth Business, enables the bank to offer a range of fi</w:t>
      </w:r>
      <w:r w:rsidR="00B80EDF">
        <w:rPr>
          <w:rFonts w:ascii="Times New Roman" w:hAnsi="Times New Roman" w:cs="Times New Roman"/>
        </w:rPr>
        <w:t>nancial wellbeing services, including workplace ISAs, master trust pensions, and general investment accounts, to its commercial customers</w:t>
      </w:r>
      <w:sdt>
        <w:sdtPr>
          <w:rPr>
            <w:rFonts w:ascii="Times New Roman" w:hAnsi="Times New Roman" w:cs="Times New Roman"/>
          </w:rPr>
          <w:id w:val="1077169907"/>
          <w:citation/>
        </w:sdtPr>
        <w:sdtContent>
          <w:r w:rsidR="00EF0896">
            <w:rPr>
              <w:rFonts w:ascii="Times New Roman" w:hAnsi="Times New Roman" w:cs="Times New Roman"/>
            </w:rPr>
            <w:fldChar w:fldCharType="begin"/>
          </w:r>
          <w:r w:rsidR="00EF0896">
            <w:rPr>
              <w:rFonts w:ascii="Times New Roman" w:hAnsi="Times New Roman" w:cs="Times New Roman"/>
              <w:lang w:val="en-GB"/>
            </w:rPr>
            <w:instrText xml:space="preserve"> CITATION Pen23 \l 2057 </w:instrText>
          </w:r>
          <w:r w:rsidR="00EF089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(Pensions age, 2023)</w:t>
          </w:r>
          <w:r w:rsidR="00EF0896">
            <w:rPr>
              <w:rFonts w:ascii="Times New Roman" w:hAnsi="Times New Roman" w:cs="Times New Roman"/>
            </w:rPr>
            <w:fldChar w:fldCharType="end"/>
          </w:r>
        </w:sdtContent>
      </w:sdt>
      <w:r w:rsidR="009B14A1">
        <w:rPr>
          <w:rFonts w:ascii="Times New Roman" w:hAnsi="Times New Roman" w:cs="Times New Roman"/>
        </w:rPr>
        <w:t>.</w:t>
      </w:r>
      <w:r w:rsidR="00C02183">
        <w:rPr>
          <w:rFonts w:ascii="Times New Roman" w:hAnsi="Times New Roman" w:cs="Times New Roman"/>
        </w:rPr>
        <w:t xml:space="preserve"> </w:t>
      </w:r>
    </w:p>
    <w:p w14:paraId="3D5B8F13" w14:textId="1C986CAB" w:rsidR="0082562E" w:rsidRDefault="00782A6D" w:rsidP="00DA7507">
      <w:pPr>
        <w:spacing w:line="360" w:lineRule="auto"/>
        <w:jc w:val="both"/>
        <w:rPr>
          <w:rFonts w:ascii="Times New Roman" w:hAnsi="Times New Roman" w:cs="Times New Roman"/>
        </w:rPr>
      </w:pPr>
      <w:r>
        <w:rPr>
          <w:rFonts w:ascii="Times New Roman" w:hAnsi="Times New Roman" w:cs="Times New Roman"/>
        </w:rPr>
        <w:t>NatWest</w:t>
      </w:r>
      <w:r w:rsidR="00FE0F71">
        <w:rPr>
          <w:rFonts w:ascii="Times New Roman" w:hAnsi="Times New Roman" w:cs="Times New Roman"/>
        </w:rPr>
        <w:t>’s commitment to technological innovation continued with a strategic partnership with Mastercard in 2023. This collaboration aimed at leveraging Mastercard’s AI capabilities to combat payment scams. NatWest became the first UK bank to enable Click to Pay for all customers with a Mastercard debit card, enhancing online shopping security and convenience.</w:t>
      </w:r>
      <w:r w:rsidR="00664B5E">
        <w:rPr>
          <w:rFonts w:ascii="Times New Roman" w:hAnsi="Times New Roman" w:cs="Times New Roman"/>
        </w:rPr>
        <w:t xml:space="preserve"> The solution </w:t>
      </w:r>
      <w:r w:rsidR="00A76773">
        <w:rPr>
          <w:rFonts w:ascii="Times New Roman" w:hAnsi="Times New Roman" w:cs="Times New Roman"/>
        </w:rPr>
        <w:t>named</w:t>
      </w:r>
      <w:r w:rsidR="00664B5E">
        <w:rPr>
          <w:rFonts w:ascii="Times New Roman" w:hAnsi="Times New Roman" w:cs="Times New Roman"/>
        </w:rPr>
        <w:t xml:space="preserve"> Consumer Fraud Risk leverages Mastercard’s AI capabilities and its network view of payments, to help bank predict and prevent all types of payments scams</w:t>
      </w:r>
      <w:sdt>
        <w:sdtPr>
          <w:rPr>
            <w:rFonts w:ascii="Times New Roman" w:hAnsi="Times New Roman" w:cs="Times New Roman"/>
          </w:rPr>
          <w:id w:val="-2073504817"/>
          <w:citation/>
        </w:sdtPr>
        <w:sdtContent>
          <w:r w:rsidR="0034795E">
            <w:rPr>
              <w:rFonts w:ascii="Times New Roman" w:hAnsi="Times New Roman" w:cs="Times New Roman"/>
            </w:rPr>
            <w:fldChar w:fldCharType="begin"/>
          </w:r>
          <w:r w:rsidR="0034795E">
            <w:rPr>
              <w:rFonts w:ascii="Times New Roman" w:hAnsi="Times New Roman" w:cs="Times New Roman"/>
              <w:lang w:val="en-GB"/>
            </w:rPr>
            <w:instrText xml:space="preserve"> CITATION Mas23 \l 2057 </w:instrText>
          </w:r>
          <w:r w:rsidR="0034795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(Mastercard, 2023)</w:t>
          </w:r>
          <w:r w:rsidR="0034795E">
            <w:rPr>
              <w:rFonts w:ascii="Times New Roman" w:hAnsi="Times New Roman" w:cs="Times New Roman"/>
            </w:rPr>
            <w:fldChar w:fldCharType="end"/>
          </w:r>
        </w:sdtContent>
      </w:sdt>
      <w:r w:rsidR="00664B5E">
        <w:rPr>
          <w:rFonts w:ascii="Times New Roman" w:hAnsi="Times New Roman" w:cs="Times New Roman"/>
        </w:rPr>
        <w:t>.</w:t>
      </w:r>
    </w:p>
    <w:p w14:paraId="275A97BE" w14:textId="7C50A76B" w:rsidR="00074E4F" w:rsidRDefault="00074E4F" w:rsidP="00DA7507">
      <w:pPr>
        <w:spacing w:line="360" w:lineRule="auto"/>
        <w:jc w:val="both"/>
        <w:rPr>
          <w:rFonts w:ascii="Times New Roman" w:hAnsi="Times New Roman" w:cs="Times New Roman"/>
        </w:rPr>
      </w:pPr>
      <w:r>
        <w:rPr>
          <w:rFonts w:ascii="Times New Roman" w:hAnsi="Times New Roman" w:cs="Times New Roman"/>
        </w:rPr>
        <w:t xml:space="preserve">In conclusion, </w:t>
      </w:r>
      <w:r w:rsidR="00561CC0">
        <w:rPr>
          <w:rFonts w:ascii="Times New Roman" w:hAnsi="Times New Roman" w:cs="Times New Roman"/>
        </w:rPr>
        <w:t xml:space="preserve">Mobile applications have emerged as key components of these banks’ digital transformation plans, aligning with the widespread use of smartphones in the UK. </w:t>
      </w:r>
      <w:r w:rsidR="00E03E9F">
        <w:rPr>
          <w:rFonts w:ascii="Times New Roman" w:hAnsi="Times New Roman" w:cs="Times New Roman"/>
        </w:rPr>
        <w:t>These</w:t>
      </w:r>
      <w:r w:rsidR="00561CC0">
        <w:rPr>
          <w:rFonts w:ascii="Times New Roman" w:hAnsi="Times New Roman" w:cs="Times New Roman"/>
        </w:rPr>
        <w:t xml:space="preserve"> apps not only facilitate basic banking functions but also offer features like real-time transactions and personalized financial control.</w:t>
      </w:r>
      <w:r w:rsidR="00CE7C3C">
        <w:rPr>
          <w:rFonts w:ascii="Times New Roman" w:hAnsi="Times New Roman" w:cs="Times New Roman"/>
        </w:rPr>
        <w:t xml:space="preserve"> The adoption of AI-based virtual assistants is another </w:t>
      </w:r>
      <w:r w:rsidR="00CA3475">
        <w:rPr>
          <w:rFonts w:ascii="Times New Roman" w:hAnsi="Times New Roman" w:cs="Times New Roman"/>
        </w:rPr>
        <w:t>transformative strategy, enhancing operational efficiency and customer service. NatWest’s introduction of an AI virtual assistant capable of handling millions of banking discussions reflects the efficiency and effectiveness achieved through automation.</w:t>
      </w:r>
      <w:r w:rsidR="00C16C24">
        <w:rPr>
          <w:rFonts w:ascii="Times New Roman" w:hAnsi="Times New Roman" w:cs="Times New Roman"/>
        </w:rPr>
        <w:t xml:space="preserve"> Cloud computing has become a focal point in the digital transformation efforts of these</w:t>
      </w:r>
      <w:r w:rsidR="00A8787A">
        <w:rPr>
          <w:rFonts w:ascii="Times New Roman" w:hAnsi="Times New Roman" w:cs="Times New Roman"/>
        </w:rPr>
        <w:t xml:space="preserve"> traditional banks. The increased adoption of cloud technologies, as seen at HSBC, signifies a strategic move to enhance</w:t>
      </w:r>
      <w:r w:rsidR="002254FB">
        <w:rPr>
          <w:rFonts w:ascii="Times New Roman" w:hAnsi="Times New Roman" w:cs="Times New Roman"/>
        </w:rPr>
        <w:t xml:space="preserve"> resiliency, efficiency, and scalability. </w:t>
      </w:r>
      <w:r w:rsidR="0053215A">
        <w:rPr>
          <w:rFonts w:ascii="Times New Roman" w:hAnsi="Times New Roman" w:cs="Times New Roman"/>
        </w:rPr>
        <w:t>The collective investments, adoption of cutting-edge technologies, and strategic approaches highlight the un</w:t>
      </w:r>
      <w:r w:rsidR="006A0E26">
        <w:rPr>
          <w:rFonts w:ascii="Times New Roman" w:hAnsi="Times New Roman" w:cs="Times New Roman"/>
        </w:rPr>
        <w:t xml:space="preserve">equivocal commitment of traditional banks like NatWest to </w:t>
      </w:r>
      <w:r w:rsidR="006A0E26">
        <w:rPr>
          <w:rFonts w:ascii="Times New Roman" w:hAnsi="Times New Roman" w:cs="Times New Roman"/>
        </w:rPr>
        <w:lastRenderedPageBreak/>
        <w:t xml:space="preserve">navigate the dynamic landscape of digital growth in the UK. These institutions are not merely adapting but leading change, ensuring resilience, customer-centricity, and competitiveness in an ever-evolving financial terrain. Their forward-looking approach indicates a commitment to an enduring and progressive future in the digital age. </w:t>
      </w:r>
    </w:p>
    <w:p w14:paraId="02DEC6D8" w14:textId="77777777" w:rsidR="00C50421" w:rsidRDefault="00C50421" w:rsidP="00DA7507">
      <w:pPr>
        <w:spacing w:line="360" w:lineRule="auto"/>
        <w:jc w:val="both"/>
        <w:rPr>
          <w:rFonts w:ascii="Times New Roman" w:hAnsi="Times New Roman" w:cs="Times New Roman"/>
        </w:rPr>
      </w:pPr>
    </w:p>
    <w:p w14:paraId="27B3BEA3" w14:textId="77777777" w:rsidR="00534B6F" w:rsidRPr="00694D5D" w:rsidRDefault="00534B6F" w:rsidP="00534B6F">
      <w:pPr>
        <w:pStyle w:val="Heading1"/>
        <w:numPr>
          <w:ilvl w:val="1"/>
          <w:numId w:val="8"/>
        </w:numPr>
        <w:spacing w:line="360" w:lineRule="auto"/>
        <w:jc w:val="both"/>
        <w:rPr>
          <w:rFonts w:ascii="Times New Roman" w:hAnsi="Times New Roman" w:cs="Times New Roman"/>
        </w:rPr>
      </w:pPr>
      <w:bookmarkStart w:id="64" w:name="_Toc155903018"/>
      <w:bookmarkStart w:id="65" w:name="_Toc158706300"/>
      <w:r w:rsidRPr="00694D5D">
        <w:rPr>
          <w:rFonts w:ascii="Times New Roman" w:hAnsi="Times New Roman" w:cs="Times New Roman"/>
        </w:rPr>
        <w:t>Comparison with Existing Literature</w:t>
      </w:r>
      <w:bookmarkEnd w:id="64"/>
      <w:bookmarkEnd w:id="65"/>
    </w:p>
    <w:p w14:paraId="35A547CF" w14:textId="6B0D6881" w:rsidR="00534B6F" w:rsidRPr="00694D5D" w:rsidRDefault="00534B6F" w:rsidP="00534B6F">
      <w:pPr>
        <w:spacing w:line="360" w:lineRule="auto"/>
        <w:jc w:val="both"/>
        <w:rPr>
          <w:rFonts w:ascii="Times New Roman" w:hAnsi="Times New Roman" w:cs="Times New Roman"/>
        </w:rPr>
      </w:pPr>
      <w:r w:rsidRPr="00694D5D">
        <w:rPr>
          <w:rFonts w:ascii="Times New Roman" w:hAnsi="Times New Roman" w:cs="Times New Roman"/>
        </w:rPr>
        <w:t>The results obtained from studying traditional banks in the United Kingdom agree with already published material concerning ongoing digital change happening within the banking system. On the other hand, contemporary research often points out that traditional banks must invest significantly in digital technologies to be more competitive and relevant as technology changes rapidly. This focus on AI and machine learning including the use of virtual assistants such as Cora by NatWest Group aligns with literature emphasizing these technologies’ critical role in improving processes within operations management, and customer service interactions among other</w:t>
      </w:r>
      <w:r w:rsidR="0076789F">
        <w:rPr>
          <w:rFonts w:ascii="Times New Roman" w:hAnsi="Times New Roman" w:cs="Times New Roman"/>
        </w:rPr>
        <w:t>s</w:t>
      </w:r>
      <w:r w:rsidRPr="00694D5D">
        <w:rPr>
          <w:rFonts w:ascii="Times New Roman" w:hAnsi="Times New Roman" w:cs="Times New Roman"/>
        </w:rPr>
        <w:t xml:space="preserve">. More so, the fact that traditional banks are partnering with fintech companies makes sense since literature has </w:t>
      </w:r>
      <w:r w:rsidR="00632CA2" w:rsidRPr="00694D5D">
        <w:rPr>
          <w:rFonts w:ascii="Times New Roman" w:hAnsi="Times New Roman" w:cs="Times New Roman"/>
        </w:rPr>
        <w:t>emphasized</w:t>
      </w:r>
      <w:r w:rsidRPr="00694D5D">
        <w:rPr>
          <w:rFonts w:ascii="Times New Roman" w:hAnsi="Times New Roman" w:cs="Times New Roman"/>
        </w:rPr>
        <w:t xml:space="preserve"> strategic alliances to drive innovation in banking services. The investment in technology, especially mobile banking apps and digital platforms aligns with the literature’s assertion of a strong need for a robust digital infrastructure that would help meet changing customer expectations</w:t>
      </w:r>
      <w:r>
        <w:rPr>
          <w:rFonts w:ascii="Times New Roman" w:hAnsi="Times New Roman" w:cs="Times New Roman"/>
        </w:rPr>
        <w:t xml:space="preserve"> </w:t>
      </w:r>
      <w:r>
        <w:t>(</w:t>
      </w:r>
      <w:proofErr w:type="spellStart"/>
      <w:r>
        <w:t>Tzortzakis</w:t>
      </w:r>
      <w:proofErr w:type="spellEnd"/>
      <w:r>
        <w:t xml:space="preserve"> 2018)</w:t>
      </w:r>
      <w:r w:rsidRPr="00694D5D">
        <w:rPr>
          <w:rFonts w:ascii="Times New Roman" w:hAnsi="Times New Roman" w:cs="Times New Roman"/>
        </w:rPr>
        <w:t>. The literature is abundant with evidence of how digitalization has influenced a customer’s behavior, as witnessed through high percentages of customers not contacting an organization outside its purely online presence</w:t>
      </w:r>
      <w:r>
        <w:rPr>
          <w:rFonts w:ascii="Times New Roman" w:hAnsi="Times New Roman" w:cs="Times New Roman"/>
        </w:rPr>
        <w:t xml:space="preserve"> </w:t>
      </w:r>
      <w:r>
        <w:t>(</w:t>
      </w:r>
      <w:proofErr w:type="spellStart"/>
      <w:r>
        <w:t>Rizi-Shorvon</w:t>
      </w:r>
      <w:proofErr w:type="spellEnd"/>
      <w:r>
        <w:t xml:space="preserve"> 2023)</w:t>
      </w:r>
      <w:r w:rsidRPr="00694D5D">
        <w:rPr>
          <w:rFonts w:ascii="Times New Roman" w:hAnsi="Times New Roman" w:cs="Times New Roman"/>
        </w:rPr>
        <w:t>. The significance of customer-centric digital strategies for traditional banks to hold and win customers in an increasingly digitally focused environment is often emphasized by research.</w:t>
      </w:r>
    </w:p>
    <w:p w14:paraId="20C0ACD0" w14:textId="49C730AD" w:rsidR="00534B6F" w:rsidRDefault="00534B6F" w:rsidP="00534B6F">
      <w:pPr>
        <w:spacing w:line="360" w:lineRule="auto"/>
        <w:jc w:val="both"/>
        <w:rPr>
          <w:rFonts w:ascii="Times New Roman" w:hAnsi="Times New Roman" w:cs="Times New Roman"/>
        </w:rPr>
      </w:pPr>
      <w:r w:rsidRPr="00694D5D">
        <w:rPr>
          <w:rFonts w:ascii="Times New Roman" w:hAnsi="Times New Roman" w:cs="Times New Roman"/>
        </w:rPr>
        <w:t xml:space="preserve">Moreover, the literature acknowledges a trend toward environmental sustainability in the financial industry – traditional banks like Santander Green Loans or Carbon Planner enable clients to obtain tools and products reflecting similar values. This is in line with larger debates within the extant research literature on banks’ roles in facilitating sustainable development and solving environmental issues. The pursuit of inclusivity, societal impact, and diversity witnessed in what Lloyds has done aligns with the literature on the social responsibility of banks. The sentiment to back social housing, lending a hand to small businesses, and diversity programs is consistent with </w:t>
      </w:r>
      <w:r w:rsidRPr="00694D5D">
        <w:rPr>
          <w:rFonts w:ascii="Times New Roman" w:hAnsi="Times New Roman" w:cs="Times New Roman"/>
        </w:rPr>
        <w:lastRenderedPageBreak/>
        <w:t>the increasingly recognized impact of banks in determining societal outcomes beyond offering financial services</w:t>
      </w:r>
      <w:r>
        <w:rPr>
          <w:rFonts w:ascii="Times New Roman" w:hAnsi="Times New Roman" w:cs="Times New Roman"/>
        </w:rPr>
        <w:t xml:space="preserve"> </w:t>
      </w:r>
      <w:r>
        <w:t>(</w:t>
      </w:r>
      <w:proofErr w:type="spellStart"/>
      <w:r>
        <w:t>Mbama</w:t>
      </w:r>
      <w:proofErr w:type="spellEnd"/>
      <w:r>
        <w:t xml:space="preserve"> &amp; </w:t>
      </w:r>
      <w:proofErr w:type="spellStart"/>
      <w:r>
        <w:t>Ezepue</w:t>
      </w:r>
      <w:proofErr w:type="spellEnd"/>
      <w:r>
        <w:t xml:space="preserve"> 2018)</w:t>
      </w:r>
      <w:r w:rsidRPr="00694D5D">
        <w:rPr>
          <w:rFonts w:ascii="Times New Roman" w:hAnsi="Times New Roman" w:cs="Times New Roman"/>
        </w:rPr>
        <w:t>. In general, the outcomes of this analysis deliver empirical support for and expand upon existing literature regarding digital transformation within traditional banks. This implies that the relevance of current scholarly perspectives about traditional banks’ practical strategies during their digital transition is useful to have observed trends aligned with established research.</w:t>
      </w:r>
      <w:r w:rsidR="00027AE0">
        <w:rPr>
          <w:rFonts w:ascii="Times New Roman" w:hAnsi="Times New Roman" w:cs="Times New Roman"/>
        </w:rPr>
        <w:t xml:space="preserve"> </w:t>
      </w:r>
    </w:p>
    <w:p w14:paraId="728BFC3E" w14:textId="638C15E8" w:rsidR="00234266" w:rsidRPr="00AB6F59" w:rsidRDefault="00027AE0" w:rsidP="00234266">
      <w:pPr>
        <w:pStyle w:val="Heading1"/>
        <w:numPr>
          <w:ilvl w:val="0"/>
          <w:numId w:val="8"/>
        </w:numPr>
        <w:spacing w:line="360" w:lineRule="auto"/>
        <w:jc w:val="both"/>
        <w:rPr>
          <w:rFonts w:ascii="Times New Roman" w:hAnsi="Times New Roman" w:cs="Times New Roman"/>
        </w:rPr>
      </w:pPr>
      <w:bookmarkStart w:id="66" w:name="_Toc155903019"/>
      <w:bookmarkStart w:id="67" w:name="_Toc158706301"/>
      <w:r w:rsidRPr="00694D5D">
        <w:rPr>
          <w:rFonts w:ascii="Times New Roman" w:hAnsi="Times New Roman" w:cs="Times New Roman"/>
        </w:rPr>
        <w:t>Conclusion</w:t>
      </w:r>
      <w:bookmarkEnd w:id="66"/>
      <w:bookmarkEnd w:id="67"/>
    </w:p>
    <w:p w14:paraId="293566F5" w14:textId="77777777" w:rsidR="00027AE0" w:rsidRDefault="00027AE0" w:rsidP="00072B97">
      <w:pPr>
        <w:pStyle w:val="Heading1"/>
        <w:numPr>
          <w:ilvl w:val="1"/>
          <w:numId w:val="8"/>
        </w:numPr>
        <w:spacing w:line="360" w:lineRule="auto"/>
        <w:jc w:val="both"/>
        <w:rPr>
          <w:rFonts w:ascii="Times New Roman" w:hAnsi="Times New Roman" w:cs="Times New Roman"/>
        </w:rPr>
      </w:pPr>
      <w:bookmarkStart w:id="68" w:name="_Toc155903020"/>
      <w:bookmarkStart w:id="69" w:name="_Toc158706302"/>
      <w:r w:rsidRPr="00694D5D">
        <w:rPr>
          <w:rFonts w:ascii="Times New Roman" w:hAnsi="Times New Roman" w:cs="Times New Roman"/>
        </w:rPr>
        <w:t>Summary of Key Findings</w:t>
      </w:r>
      <w:bookmarkEnd w:id="68"/>
      <w:bookmarkEnd w:id="69"/>
    </w:p>
    <w:p w14:paraId="04B9B820" w14:textId="7A20CAFC" w:rsidR="00AB6F59" w:rsidRPr="00AB6F59" w:rsidRDefault="005C4FD4" w:rsidP="00AB6F59">
      <w:pPr>
        <w:spacing w:line="360" w:lineRule="auto"/>
        <w:jc w:val="both"/>
        <w:rPr>
          <w:rFonts w:ascii="Times New Roman" w:hAnsi="Times New Roman" w:cs="Times New Roman"/>
        </w:rPr>
      </w:pPr>
      <w:r>
        <w:rPr>
          <w:rFonts w:ascii="Times New Roman" w:hAnsi="Times New Roman" w:cs="Times New Roman"/>
        </w:rPr>
        <w:t xml:space="preserve">Traditional banks have made substantial investments in digital technologies as part of their comprehensive digital transformation strategies. </w:t>
      </w:r>
      <w:r w:rsidR="00AB6F59" w:rsidRPr="00AB6F59">
        <w:rPr>
          <w:rFonts w:ascii="Times New Roman" w:hAnsi="Times New Roman" w:cs="Times New Roman"/>
        </w:rPr>
        <w:t xml:space="preserve">Major banking institutions in the United Kingdom are going through a necessary metamorphosis, reflected in their shift towards digitalization. This is a transformation characterized by diverse approaches, though the focus lies on ways of leveraging technology to reinvent this industry. </w:t>
      </w:r>
      <w:r w:rsidR="00576935">
        <w:rPr>
          <w:rFonts w:ascii="Times New Roman" w:hAnsi="Times New Roman" w:cs="Times New Roman"/>
        </w:rPr>
        <w:t>Financial inst</w:t>
      </w:r>
      <w:r w:rsidR="00BC7871">
        <w:rPr>
          <w:rFonts w:ascii="Times New Roman" w:hAnsi="Times New Roman" w:cs="Times New Roman"/>
        </w:rPr>
        <w:t xml:space="preserve">itutions are prioritizing a range of cutting- edge technologies to drive operational efficiency, enhance customer </w:t>
      </w:r>
      <w:r w:rsidR="00B84A32">
        <w:rPr>
          <w:rFonts w:ascii="Times New Roman" w:hAnsi="Times New Roman" w:cs="Times New Roman"/>
        </w:rPr>
        <w:t xml:space="preserve">experiences, and remain competitive in the evolving financial landscape. </w:t>
      </w:r>
      <w:r w:rsidR="00AB6F59" w:rsidRPr="00AB6F59">
        <w:rPr>
          <w:rFonts w:ascii="Times New Roman" w:hAnsi="Times New Roman" w:cs="Times New Roman"/>
        </w:rPr>
        <w:t xml:space="preserve">The heart of these traditional banks is a strong investment in digital technologies, especially focusing on AI and machine learning integration. This is demonstrated in the usage of AI-based solutions like virtual assistants to improve customer interactions and effective operations. These digital transformation strategies are targeted at making financial services more convenient and accessible for their consumers. These banks have a significant percentage of transactions taking place through mobile devices, and that’s why mobile banking apps are such an important part of their digital arsenal. Not only do these apps provide basic banking features but they also bring new attributes that improve customer experiences and facilitate tighter control over finances. </w:t>
      </w:r>
      <w:r w:rsidR="001E0E2E">
        <w:rPr>
          <w:rFonts w:ascii="Times New Roman" w:hAnsi="Times New Roman" w:cs="Times New Roman"/>
        </w:rPr>
        <w:t xml:space="preserve">Similarly, </w:t>
      </w:r>
      <w:r w:rsidR="00331293">
        <w:rPr>
          <w:rFonts w:ascii="Times New Roman" w:hAnsi="Times New Roman" w:cs="Times New Roman"/>
        </w:rPr>
        <w:t xml:space="preserve">blockchain technology has gained prominence, with </w:t>
      </w:r>
      <w:r w:rsidR="001F3D50">
        <w:rPr>
          <w:rFonts w:ascii="Times New Roman" w:hAnsi="Times New Roman" w:cs="Times New Roman"/>
        </w:rPr>
        <w:t xml:space="preserve">dedicated divisions exploring applications in credit and rate products. </w:t>
      </w:r>
      <w:r w:rsidR="00AB6F59" w:rsidRPr="00AB6F59">
        <w:rPr>
          <w:rFonts w:ascii="Times New Roman" w:hAnsi="Times New Roman" w:cs="Times New Roman"/>
        </w:rPr>
        <w:t>Another example of digitalization’s transformative potential is through the intentional use of virtual assistants driven by AI. The capacity of virtual assistants to address a large share of customer inquiries without the need for human interaction represents an evolutionary shift in how customer service is delivered, focusing on the blending yielding powerful results that come with bringing together both human know-how skills-based knowledge, and AI capabilities.</w:t>
      </w:r>
    </w:p>
    <w:p w14:paraId="63D95A3F" w14:textId="2EDA23B6" w:rsidR="00AB6F59" w:rsidRPr="00AB6F59" w:rsidRDefault="00682275" w:rsidP="00AB6F59">
      <w:pPr>
        <w:spacing w:line="360" w:lineRule="auto"/>
        <w:jc w:val="both"/>
        <w:rPr>
          <w:rFonts w:ascii="Times New Roman" w:hAnsi="Times New Roman" w:cs="Times New Roman"/>
        </w:rPr>
      </w:pPr>
      <w:r>
        <w:rPr>
          <w:rFonts w:ascii="Times New Roman" w:hAnsi="Times New Roman" w:cs="Times New Roman"/>
        </w:rPr>
        <w:lastRenderedPageBreak/>
        <w:t>Cloud computing is another key focus</w:t>
      </w:r>
      <w:r w:rsidR="004E7466">
        <w:rPr>
          <w:rFonts w:ascii="Times New Roman" w:hAnsi="Times New Roman" w:cs="Times New Roman"/>
        </w:rPr>
        <w:t xml:space="preserve">, leveraging cloud technologies to enhance resiliency and scalability. </w:t>
      </w:r>
      <w:r w:rsidR="00AB6F59" w:rsidRPr="00AB6F59">
        <w:rPr>
          <w:rFonts w:ascii="Times New Roman" w:hAnsi="Times New Roman" w:cs="Times New Roman"/>
        </w:rPr>
        <w:t>Increased collaborations with fintech partners have become an important development, signifying how the industry acknowledges the importance of engaging external experts to help it traverse the digital waters. Cooperation with fintech companies provides a feasible chance to employ innovative solutions, such as international payments powered by blockchain technology within the context of financial services. The digitalization effect is seen in customer behavior as customers move towards online channels. More and more, customers are now exclusively engaged with the online platforms forcing a rethinking of what used to be referred to as their branch network. This shift in customer preferences underscores how crucial it is to restructure service delivery models, particularly online experiences. These banks’ digital strategies have included environmental sustainability and social responsibility as innate components. Initiatives, such as adjustments in green loan thresholds and the use of digital tools for carbon planning, indicate a willingness to integrate financial services with sustainable practices across various measures that go beyond just basic societal and environmental needs. In conclusion, the UK traditional banking sector’s digitalization initiatives highlight a strategic integration of AI, machine learning, and mobile applications with collaborative fintech solutions. This transformation while boosting the efficiency of operations also reinvents customer interactions giving a wider recognition that trader banks play in defining more progressive and cognizant financial platforms driven by technology for social impact.</w:t>
      </w:r>
      <w:r w:rsidR="006248F9">
        <w:rPr>
          <w:rFonts w:ascii="Times New Roman" w:hAnsi="Times New Roman" w:cs="Times New Roman"/>
        </w:rPr>
        <w:t xml:space="preserve"> Collectively, these </w:t>
      </w:r>
      <w:r w:rsidR="00C67307">
        <w:rPr>
          <w:rFonts w:ascii="Times New Roman" w:hAnsi="Times New Roman" w:cs="Times New Roman"/>
        </w:rPr>
        <w:t xml:space="preserve">investments and technology priorities showcase traditional banks’ dedication to navigating the dynamic digital landscape, ensuring competitiveness and sustained </w:t>
      </w:r>
      <w:r w:rsidR="00E54769">
        <w:rPr>
          <w:rFonts w:ascii="Times New Roman" w:hAnsi="Times New Roman" w:cs="Times New Roman"/>
        </w:rPr>
        <w:t>relevance in</w:t>
      </w:r>
      <w:r w:rsidR="00C67307">
        <w:rPr>
          <w:rFonts w:ascii="Times New Roman" w:hAnsi="Times New Roman" w:cs="Times New Roman"/>
        </w:rPr>
        <w:t xml:space="preserve"> the digital age.</w:t>
      </w:r>
    </w:p>
    <w:p w14:paraId="5159FFDE" w14:textId="77777777" w:rsidR="00AB6F59" w:rsidRPr="00AB6F59" w:rsidRDefault="00AB6F59" w:rsidP="00AB6F59"/>
    <w:p w14:paraId="6633DACC" w14:textId="77777777" w:rsidR="00027AE0" w:rsidRPr="00694D5D" w:rsidRDefault="00027AE0" w:rsidP="00072B97">
      <w:pPr>
        <w:pStyle w:val="Heading1"/>
        <w:numPr>
          <w:ilvl w:val="1"/>
          <w:numId w:val="8"/>
        </w:numPr>
        <w:spacing w:line="360" w:lineRule="auto"/>
        <w:jc w:val="both"/>
        <w:rPr>
          <w:rFonts w:ascii="Times New Roman" w:hAnsi="Times New Roman" w:cs="Times New Roman"/>
        </w:rPr>
      </w:pPr>
      <w:bookmarkStart w:id="70" w:name="_Toc155903021"/>
      <w:bookmarkStart w:id="71" w:name="_Toc158706303"/>
      <w:r w:rsidRPr="00694D5D">
        <w:rPr>
          <w:rFonts w:ascii="Times New Roman" w:hAnsi="Times New Roman" w:cs="Times New Roman"/>
        </w:rPr>
        <w:t>Limitations of the Study</w:t>
      </w:r>
      <w:bookmarkEnd w:id="70"/>
      <w:bookmarkEnd w:id="71"/>
    </w:p>
    <w:p w14:paraId="6E5DC1A6" w14:textId="0E54C1F7" w:rsidR="00027AE0" w:rsidRPr="00694D5D" w:rsidRDefault="00027AE0" w:rsidP="00027AE0">
      <w:pPr>
        <w:spacing w:line="360" w:lineRule="auto"/>
        <w:jc w:val="both"/>
        <w:rPr>
          <w:rFonts w:ascii="Times New Roman" w:hAnsi="Times New Roman" w:cs="Times New Roman"/>
        </w:rPr>
      </w:pPr>
      <w:r w:rsidRPr="00694D5D">
        <w:rPr>
          <w:rFonts w:ascii="Times New Roman" w:hAnsi="Times New Roman" w:cs="Times New Roman"/>
        </w:rPr>
        <w:t xml:space="preserve">Although this study covers a broad range of research, there are some limitations to it. The data supplied by the banks could be reporting biases, and as the study relies on publicly available information, it may not encompass all aspects of their initiatives to digitally transform. Also, banking is a dynamic industry where new changes may have taken place after the cutoff date for data. The study centers on the United Kingdom; there is no complete representation of variations in the global banking environment. Moreover, the specific methodologies and technologies applied </w:t>
      </w:r>
      <w:r w:rsidRPr="00694D5D">
        <w:rPr>
          <w:rFonts w:ascii="Times New Roman" w:hAnsi="Times New Roman" w:cs="Times New Roman"/>
        </w:rPr>
        <w:lastRenderedPageBreak/>
        <w:t>by each respective bank are not fully outlined as well due to the high-level nature of the information provided.</w:t>
      </w:r>
    </w:p>
    <w:p w14:paraId="1DDAF74A" w14:textId="77777777" w:rsidR="00027AE0" w:rsidRPr="00694D5D" w:rsidRDefault="00027AE0" w:rsidP="00072B97">
      <w:pPr>
        <w:pStyle w:val="Heading1"/>
        <w:numPr>
          <w:ilvl w:val="1"/>
          <w:numId w:val="8"/>
        </w:numPr>
        <w:spacing w:line="360" w:lineRule="auto"/>
        <w:jc w:val="both"/>
        <w:rPr>
          <w:rFonts w:ascii="Times New Roman" w:hAnsi="Times New Roman" w:cs="Times New Roman"/>
        </w:rPr>
      </w:pPr>
      <w:bookmarkStart w:id="72" w:name="_Toc155903022"/>
      <w:bookmarkStart w:id="73" w:name="_Toc158706304"/>
      <w:r w:rsidRPr="00694D5D">
        <w:rPr>
          <w:rFonts w:ascii="Times New Roman" w:hAnsi="Times New Roman" w:cs="Times New Roman"/>
        </w:rPr>
        <w:t>Suggestions for Future Research</w:t>
      </w:r>
      <w:bookmarkEnd w:id="72"/>
      <w:bookmarkEnd w:id="73"/>
    </w:p>
    <w:p w14:paraId="0A1E1CC1" w14:textId="74458903" w:rsidR="00E54769" w:rsidRDefault="00027AE0" w:rsidP="00137770">
      <w:pPr>
        <w:spacing w:line="360" w:lineRule="auto"/>
        <w:jc w:val="both"/>
        <w:rPr>
          <w:rFonts w:ascii="Times New Roman" w:hAnsi="Times New Roman" w:cs="Times New Roman"/>
        </w:rPr>
      </w:pPr>
      <w:r w:rsidRPr="00694D5D">
        <w:rPr>
          <w:rFonts w:ascii="Times New Roman" w:hAnsi="Times New Roman" w:cs="Times New Roman"/>
        </w:rPr>
        <w:t>Future studies in this field could focus more on the digital technologies used by each bank, providing a fine-grained view of their paths to becoming digitally transformed. Studying comparatively through various regions and banking frameworks all over the globe might shed light on why digital adoption varies globally. It may be interesting to explore the obstacles and difficulties traditional banks are facing while transitioning into a digital world, such as legislative barriers or concerns about computer security. Also, longitudinal studies following the development of digital strategies as time progresses would provide a richer perspective on how this industry was evolving. Further research into customer perceptions and experiences during times of digital transformation could also offer valuable information for both academics and practitioners</w:t>
      </w:r>
      <w:r>
        <w:rPr>
          <w:rFonts w:ascii="Times New Roman" w:hAnsi="Times New Roman" w:cs="Times New Roman"/>
        </w:rPr>
        <w:t>.</w:t>
      </w:r>
    </w:p>
    <w:p w14:paraId="3D0982D6" w14:textId="77777777" w:rsidR="00E54769" w:rsidRDefault="00E54769">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sz w:val="24"/>
          <w:szCs w:val="22"/>
        </w:rPr>
        <w:id w:val="-153692734"/>
        <w:docPartObj>
          <w:docPartGallery w:val="Bibliographies"/>
          <w:docPartUnique/>
        </w:docPartObj>
      </w:sdtPr>
      <w:sdtContent>
        <w:p w14:paraId="797C5B3A" w14:textId="6197274A" w:rsidR="0094222D" w:rsidRPr="0094222D" w:rsidRDefault="0094222D" w:rsidP="008A3D9E">
          <w:pPr>
            <w:pStyle w:val="Heading1"/>
          </w:pPr>
        </w:p>
        <w:bookmarkStart w:id="74" w:name="_Toc158706305" w:displacedByCustomXml="next"/>
        <w:sdt>
          <w:sdtPr>
            <w:rPr>
              <w:rFonts w:asciiTheme="minorHAnsi" w:eastAsiaTheme="minorHAnsi" w:hAnsiTheme="minorHAnsi" w:cstheme="minorBidi"/>
              <w:b w:val="0"/>
              <w:sz w:val="24"/>
              <w:szCs w:val="22"/>
            </w:rPr>
            <w:id w:val="1853749456"/>
            <w:docPartObj>
              <w:docPartGallery w:val="Bibliographies"/>
              <w:docPartUnique/>
            </w:docPartObj>
          </w:sdtPr>
          <w:sdtContent>
            <w:p w14:paraId="7ECB2143" w14:textId="79AB2F33" w:rsidR="008A3D9E" w:rsidRDefault="008A3D9E">
              <w:pPr>
                <w:pStyle w:val="Heading1"/>
              </w:pPr>
              <w:r>
                <w:t>References</w:t>
              </w:r>
              <w:bookmarkEnd w:id="74"/>
            </w:p>
            <w:sdt>
              <w:sdtPr>
                <w:rPr>
                  <w:rFonts w:asciiTheme="minorHAnsi" w:eastAsiaTheme="minorHAnsi" w:hAnsiTheme="minorHAnsi" w:cstheme="minorBidi"/>
                  <w:szCs w:val="22"/>
                </w:rPr>
                <w:id w:val="-573587230"/>
                <w:bibliography/>
              </w:sdtPr>
              <w:sdtContent>
                <w:p w14:paraId="71006A79" w14:textId="77777777" w:rsidR="00BE2390" w:rsidRDefault="00BE2390" w:rsidP="00BE2390">
                  <w:pPr>
                    <w:pStyle w:val="NormalWeb"/>
                    <w:spacing w:before="0" w:beforeAutospacing="0" w:after="240" w:afterAutospacing="0" w:line="360" w:lineRule="auto"/>
                  </w:pPr>
                  <w:r>
                    <w:t xml:space="preserve">Allen, M 2017, </w:t>
                  </w:r>
                  <w:r>
                    <w:rPr>
                      <w:i/>
                      <w:iCs/>
                    </w:rPr>
                    <w:t>Variables, Mediating Types - SAGE Research Methods</w:t>
                  </w:r>
                  <w:r>
                    <w:t>, methods.sagepub.com.</w:t>
                  </w:r>
                </w:p>
                <w:p w14:paraId="38019792" w14:textId="77777777" w:rsidR="00BE2390" w:rsidRDefault="00BE2390" w:rsidP="00BE2390">
                  <w:pPr>
                    <w:pStyle w:val="NormalWeb"/>
                    <w:spacing w:before="0" w:beforeAutospacing="0" w:after="240" w:afterAutospacing="0" w:line="360" w:lineRule="auto"/>
                  </w:pPr>
                  <w:r>
                    <w:t xml:space="preserve">Baker, MJ 2000, ‘Selecting a Research Methodology’, </w:t>
                  </w:r>
                  <w:r>
                    <w:rPr>
                      <w:i/>
                      <w:iCs/>
                    </w:rPr>
                    <w:t>The Marketing Review</w:t>
                  </w:r>
                  <w:r>
                    <w:t>, vol. 1, no. 3, pp. 373–397.</w:t>
                  </w:r>
                </w:p>
                <w:p w14:paraId="2D6F5017" w14:textId="3020A05F" w:rsidR="008A3D9E" w:rsidRDefault="008A3D9E" w:rsidP="008A3D9E">
                  <w:pPr>
                    <w:pStyle w:val="Bibliography"/>
                    <w:rPr>
                      <w:noProof/>
                      <w:szCs w:val="24"/>
                    </w:rPr>
                  </w:pPr>
                  <w:r>
                    <w:fldChar w:fldCharType="begin"/>
                  </w:r>
                  <w:r>
                    <w:instrText xml:space="preserve"> BIBLIOGRAPHY </w:instrText>
                  </w:r>
                  <w:r>
                    <w:fldChar w:fldCharType="separate"/>
                  </w:r>
                  <w:r>
                    <w:rPr>
                      <w:noProof/>
                    </w:rPr>
                    <w:t xml:space="preserve">Barclays PLC, 2018. </w:t>
                  </w:r>
                  <w:r>
                    <w:rPr>
                      <w:i/>
                      <w:iCs/>
                      <w:noProof/>
                    </w:rPr>
                    <w:t xml:space="preserve">Barclays becomes the first UK high street bank to allow customers to bring their other current accounts into its Mobile Banking app, </w:t>
                  </w:r>
                  <w:r>
                    <w:rPr>
                      <w:noProof/>
                    </w:rPr>
                    <w:t>s.l.: Barclays PLC.</w:t>
                  </w:r>
                </w:p>
                <w:p w14:paraId="226048CA" w14:textId="77777777" w:rsidR="008A3D9E" w:rsidRDefault="008A3D9E" w:rsidP="008A3D9E">
                  <w:pPr>
                    <w:pStyle w:val="Bibliography"/>
                    <w:rPr>
                      <w:noProof/>
                    </w:rPr>
                  </w:pPr>
                  <w:r>
                    <w:rPr>
                      <w:noProof/>
                    </w:rPr>
                    <w:t xml:space="preserve">Barclays PLC, 2022. </w:t>
                  </w:r>
                  <w:r>
                    <w:rPr>
                      <w:i/>
                      <w:iCs/>
                      <w:noProof/>
                    </w:rPr>
                    <w:t xml:space="preserve">Annual Report, </w:t>
                  </w:r>
                  <w:r>
                    <w:rPr>
                      <w:noProof/>
                    </w:rPr>
                    <w:t>s.l.: Barclays PLC.</w:t>
                  </w:r>
                </w:p>
                <w:p w14:paraId="62D53D54" w14:textId="77777777" w:rsidR="008A3D9E" w:rsidRDefault="008A3D9E" w:rsidP="008A3D9E">
                  <w:pPr>
                    <w:pStyle w:val="Bibliography"/>
                    <w:rPr>
                      <w:noProof/>
                    </w:rPr>
                  </w:pPr>
                  <w:r>
                    <w:rPr>
                      <w:noProof/>
                    </w:rPr>
                    <w:t xml:space="preserve">Barclays PLC, 2022. </w:t>
                  </w:r>
                  <w:r>
                    <w:rPr>
                      <w:i/>
                      <w:iCs/>
                      <w:noProof/>
                    </w:rPr>
                    <w:t xml:space="preserve">Strategic Report, </w:t>
                  </w:r>
                  <w:r>
                    <w:rPr>
                      <w:noProof/>
                    </w:rPr>
                    <w:t>s.l.: Barclays PLC.</w:t>
                  </w:r>
                </w:p>
                <w:p w14:paraId="4916F40F" w14:textId="00F0AD94" w:rsidR="008A3D9E" w:rsidRDefault="008A3D9E" w:rsidP="008A3D9E">
                  <w:pPr>
                    <w:pStyle w:val="Bibliography"/>
                    <w:rPr>
                      <w:noProof/>
                    </w:rPr>
                  </w:pPr>
                  <w:r>
                    <w:rPr>
                      <w:noProof/>
                    </w:rPr>
                    <w:t xml:space="preserve">Barclays PLC, 2023. </w:t>
                  </w:r>
                  <w:r>
                    <w:rPr>
                      <w:i/>
                      <w:iCs/>
                      <w:noProof/>
                    </w:rPr>
                    <w:t xml:space="preserve">Diversity, Equity and Inclusion Report 2022, </w:t>
                  </w:r>
                  <w:r>
                    <w:rPr>
                      <w:noProof/>
                    </w:rPr>
                    <w:t>s.l.: Barclays PLC</w:t>
                  </w:r>
                </w:p>
                <w:p w14:paraId="10CC5687" w14:textId="7768182C" w:rsidR="008A3D9E" w:rsidRDefault="008A3D9E" w:rsidP="008A3D9E">
                  <w:pPr>
                    <w:pStyle w:val="Bibliography"/>
                    <w:rPr>
                      <w:noProof/>
                    </w:rPr>
                  </w:pPr>
                  <w:r>
                    <w:rPr>
                      <w:noProof/>
                    </w:rPr>
                    <w:t xml:space="preserve">Barclays PLC, 2024. </w:t>
                  </w:r>
                  <w:r>
                    <w:rPr>
                      <w:i/>
                      <w:iCs/>
                      <w:noProof/>
                    </w:rPr>
                    <w:t xml:space="preserve">Accessibility at Barclays. </w:t>
                  </w:r>
                  <w:r>
                    <w:rPr>
                      <w:noProof/>
                    </w:rPr>
                    <w:t xml:space="preserve">[Online] </w:t>
                  </w:r>
                  <w:r>
                    <w:rPr>
                      <w:noProof/>
                    </w:rPr>
                    <w:br/>
                    <w:t xml:space="preserve">Available at: </w:t>
                  </w:r>
                  <w:r>
                    <w:rPr>
                      <w:noProof/>
                      <w:u w:val="single"/>
                    </w:rPr>
                    <w:t>https://home.barclays/accessibility/</w:t>
                  </w:r>
                </w:p>
                <w:p w14:paraId="126F386D" w14:textId="05C72768" w:rsidR="008A3D9E" w:rsidRDefault="008A3D9E" w:rsidP="008A3D9E">
                  <w:pPr>
                    <w:pStyle w:val="Bibliography"/>
                    <w:rPr>
                      <w:noProof/>
                    </w:rPr>
                  </w:pPr>
                  <w:r>
                    <w:rPr>
                      <w:noProof/>
                    </w:rPr>
                    <w:t xml:space="preserve">Barclays PLC, 2024. </w:t>
                  </w:r>
                  <w:r>
                    <w:rPr>
                      <w:i/>
                      <w:iCs/>
                      <w:noProof/>
                    </w:rPr>
                    <w:t xml:space="preserve">Innovation at Barclays. </w:t>
                  </w:r>
                  <w:r>
                    <w:rPr>
                      <w:noProof/>
                    </w:rPr>
                    <w:t xml:space="preserve">[Online] </w:t>
                  </w:r>
                  <w:r>
                    <w:rPr>
                      <w:noProof/>
                    </w:rPr>
                    <w:br/>
                    <w:t xml:space="preserve">Available at: </w:t>
                  </w:r>
                  <w:r>
                    <w:rPr>
                      <w:noProof/>
                      <w:u w:val="single"/>
                    </w:rPr>
                    <w:t>https://home.barclays/who-we-are/innovation/</w:t>
                  </w:r>
                </w:p>
                <w:p w14:paraId="12FB101F" w14:textId="77777777" w:rsidR="00CD51B4" w:rsidRDefault="00CD51B4" w:rsidP="00CD51B4">
                  <w:pPr>
                    <w:pStyle w:val="NormalWeb"/>
                    <w:spacing w:before="0" w:beforeAutospacing="0" w:after="240" w:afterAutospacing="0" w:line="360" w:lineRule="auto"/>
                  </w:pPr>
                  <w:r>
                    <w:t xml:space="preserve">Bengtsson, M 2016, ‘How to plan and perform a qualitative study using content analysis’, </w:t>
                  </w:r>
                  <w:r>
                    <w:rPr>
                      <w:i/>
                      <w:iCs/>
                    </w:rPr>
                    <w:t>NursingPlus Open</w:t>
                  </w:r>
                  <w:r>
                    <w:t>, vol. 2, no. 2, pp. 8–14.</w:t>
                  </w:r>
                </w:p>
                <w:p w14:paraId="2836D48A" w14:textId="77777777" w:rsidR="007D558A" w:rsidRDefault="007D558A" w:rsidP="007D558A">
                  <w:pPr>
                    <w:pStyle w:val="NormalWeb"/>
                    <w:spacing w:before="0" w:beforeAutospacing="0" w:after="240" w:afterAutospacing="0" w:line="360" w:lineRule="auto"/>
                  </w:pPr>
                  <w:r>
                    <w:t xml:space="preserve">Birch, S 2022, </w:t>
                  </w:r>
                  <w:r>
                    <w:rPr>
                      <w:i/>
                      <w:iCs/>
                    </w:rPr>
                    <w:t>Santander UK banking on dynamic digital transformation</w:t>
                  </w:r>
                  <w:r>
                    <w:t>, supplychaindigital.com, viewed 11 January 2024, &lt;https://supplychaindigital.com/company-reports/santander-uk-banking-on-dynamic-digital-transformation&gt;.</w:t>
                  </w:r>
                </w:p>
                <w:p w14:paraId="0875BF41" w14:textId="136A3163" w:rsidR="007D558A" w:rsidRDefault="007D558A" w:rsidP="00CD51B4">
                  <w:pPr>
                    <w:pStyle w:val="NormalWeb"/>
                    <w:spacing w:before="0" w:beforeAutospacing="0" w:after="240" w:afterAutospacing="0" w:line="360" w:lineRule="auto"/>
                  </w:pPr>
                  <w:r>
                    <w:t xml:space="preserve">Cidell, J 2010, ‘Content clouds as exploratory qualitative data analysis’, </w:t>
                  </w:r>
                  <w:r>
                    <w:rPr>
                      <w:i/>
                      <w:iCs/>
                    </w:rPr>
                    <w:t>Area</w:t>
                  </w:r>
                  <w:r>
                    <w:t>, vol. 42, no. 4, pp. 514–523.</w:t>
                  </w:r>
                </w:p>
                <w:p w14:paraId="4FD4723B" w14:textId="77777777" w:rsidR="008A3D9E" w:rsidRDefault="008A3D9E" w:rsidP="008A3D9E">
                  <w:pPr>
                    <w:pStyle w:val="Bibliography"/>
                    <w:rPr>
                      <w:noProof/>
                      <w:u w:val="single"/>
                    </w:rPr>
                  </w:pPr>
                  <w:r>
                    <w:rPr>
                      <w:noProof/>
                    </w:rPr>
                    <w:t xml:space="preserve">corporate blog, 2023. </w:t>
                  </w:r>
                  <w:r>
                    <w:rPr>
                      <w:i/>
                      <w:iCs/>
                      <w:noProof/>
                    </w:rPr>
                    <w:t xml:space="preserve">HSBC UK partners with Nova Credit to become first UK bank to offer newcomers option to include international credit history when applying for a credit card. </w:t>
                  </w:r>
                  <w:r>
                    <w:rPr>
                      <w:noProof/>
                    </w:rPr>
                    <w:t xml:space="preserve">[Online] </w:t>
                  </w:r>
                  <w:r>
                    <w:rPr>
                      <w:noProof/>
                    </w:rPr>
                    <w:br/>
                    <w:t xml:space="preserve">Available at: </w:t>
                  </w:r>
                  <w:r>
                    <w:rPr>
                      <w:noProof/>
                      <w:u w:val="single"/>
                    </w:rPr>
                    <w:t>https://www.novacredit.com/corporate-blog/hsbc-uk-partners-with-nova-credit-to-become-first-uk-bank-to-offer-newcomers</w:t>
                  </w:r>
                </w:p>
                <w:p w14:paraId="36ED4C44" w14:textId="77777777" w:rsidR="00144AF8" w:rsidRDefault="00144AF8" w:rsidP="00144AF8">
                  <w:pPr>
                    <w:pStyle w:val="NormalWeb"/>
                    <w:spacing w:before="0" w:beforeAutospacing="0" w:after="240" w:afterAutospacing="0" w:line="360" w:lineRule="auto"/>
                  </w:pPr>
                  <w:r>
                    <w:t xml:space="preserve">Diener, F &amp; Špaček, M 2021, ‘Digital Transformation in Banking: A Managerial Perspective on Barriers to Change’, </w:t>
                  </w:r>
                  <w:r>
                    <w:rPr>
                      <w:i/>
                      <w:iCs/>
                    </w:rPr>
                    <w:t>Sustainability</w:t>
                  </w:r>
                  <w:r>
                    <w:t>, vol. 13, no. 4, p. 2032.</w:t>
                  </w:r>
                </w:p>
                <w:p w14:paraId="242F29F6" w14:textId="77777777" w:rsidR="008A3D9E" w:rsidRDefault="008A3D9E" w:rsidP="008A3D9E">
                  <w:pPr>
                    <w:pStyle w:val="Bibliography"/>
                    <w:rPr>
                      <w:noProof/>
                    </w:rPr>
                  </w:pPr>
                  <w:r>
                    <w:rPr>
                      <w:noProof/>
                    </w:rPr>
                    <w:lastRenderedPageBreak/>
                    <w:t xml:space="preserve">Dona, I. &amp; Mokashi, U. M., 2020. Evaluation of Service Dimensions of Traditional Banking and Digital Banking: The Case Study of Lloyds Bank, United Kingdom. </w:t>
                  </w:r>
                  <w:r>
                    <w:rPr>
                      <w:i/>
                      <w:iCs/>
                      <w:noProof/>
                    </w:rPr>
                    <w:t xml:space="preserve">The International Journal of Business &amp; Management, </w:t>
                  </w:r>
                  <w:r>
                    <w:rPr>
                      <w:noProof/>
                    </w:rPr>
                    <w:t>8(12), pp. 63-69.</w:t>
                  </w:r>
                </w:p>
                <w:p w14:paraId="6174E923" w14:textId="79B0C062" w:rsidR="00AA1D8B" w:rsidRDefault="00D56D05" w:rsidP="00D56D05">
                  <w:pPr>
                    <w:pStyle w:val="NormalWeb"/>
                    <w:spacing w:before="0" w:beforeAutospacing="0" w:after="240" w:afterAutospacing="0" w:line="360" w:lineRule="auto"/>
                  </w:pPr>
                  <w:r>
                    <w:t xml:space="preserve">Dona, ICS 2020, </w:t>
                  </w:r>
                  <w:r>
                    <w:rPr>
                      <w:i/>
                      <w:iCs/>
                    </w:rPr>
                    <w:t>Analysis of the impact of digital banking on customer retention : the case study of Lloyds Bank PLC</w:t>
                  </w:r>
                  <w:r>
                    <w:t>, ethos.bl.uk.</w:t>
                  </w:r>
                </w:p>
                <w:p w14:paraId="47343634" w14:textId="62CDE0D6" w:rsidR="00595B2D" w:rsidRPr="00AA1D8B" w:rsidRDefault="00595B2D" w:rsidP="00D56D05">
                  <w:pPr>
                    <w:pStyle w:val="NormalWeb"/>
                    <w:spacing w:before="0" w:beforeAutospacing="0" w:after="240" w:afterAutospacing="0" w:line="360" w:lineRule="auto"/>
                  </w:pPr>
                  <w:r>
                    <w:t xml:space="preserve">El-Gohary, H, Thayaseelan, A, Babatunde, S &amp; El-Gohary, S 2021, ‘An Exploratory Study on the Effect of Artificial Intelligence-Enabled Technology on Customer Experiences in the Banking Sector’, </w:t>
                  </w:r>
                  <w:r>
                    <w:rPr>
                      <w:i/>
                      <w:iCs/>
                    </w:rPr>
                    <w:t>Journal of Technological Advancements</w:t>
                  </w:r>
                  <w:r>
                    <w:t>, vol. 1, no. 1, pp. 1–17.</w:t>
                  </w:r>
                </w:p>
                <w:p w14:paraId="406984C1" w14:textId="77777777" w:rsidR="008A3D9E" w:rsidRDefault="008A3D9E" w:rsidP="008A3D9E">
                  <w:pPr>
                    <w:pStyle w:val="Bibliography"/>
                    <w:rPr>
                      <w:noProof/>
                    </w:rPr>
                  </w:pPr>
                  <w:r>
                    <w:rPr>
                      <w:noProof/>
                    </w:rPr>
                    <w:t xml:space="preserve">Finextra, 2017. </w:t>
                  </w:r>
                  <w:r>
                    <w:rPr>
                      <w:i/>
                      <w:iCs/>
                      <w:noProof/>
                    </w:rPr>
                    <w:t xml:space="preserve">Santander InnoVentures steps up fintech spending. </w:t>
                  </w:r>
                  <w:r>
                    <w:rPr>
                      <w:noProof/>
                    </w:rPr>
                    <w:t xml:space="preserve">[Online] </w:t>
                  </w:r>
                  <w:r>
                    <w:rPr>
                      <w:noProof/>
                    </w:rPr>
                    <w:br/>
                    <w:t xml:space="preserve">Available at: </w:t>
                  </w:r>
                  <w:r>
                    <w:rPr>
                      <w:noProof/>
                      <w:u w:val="single"/>
                    </w:rPr>
                    <w:t>https://www.finextra.com/newsarticle/30826/santander-innoventures-steps-up-fintech-spending</w:t>
                  </w:r>
                </w:p>
                <w:p w14:paraId="2B16B768" w14:textId="77777777" w:rsidR="008A3D9E" w:rsidRDefault="008A3D9E" w:rsidP="008A3D9E">
                  <w:pPr>
                    <w:pStyle w:val="Bibliography"/>
                    <w:rPr>
                      <w:noProof/>
                    </w:rPr>
                  </w:pPr>
                  <w:r>
                    <w:rPr>
                      <w:noProof/>
                    </w:rPr>
                    <w:t xml:space="preserve">Finextra, 2019. </w:t>
                  </w:r>
                  <w:r>
                    <w:rPr>
                      <w:i/>
                      <w:iCs/>
                      <w:noProof/>
                    </w:rPr>
                    <w:t xml:space="preserve">Barclays invests in simulation tech outfit Simudyne. </w:t>
                  </w:r>
                  <w:r>
                    <w:rPr>
                      <w:noProof/>
                    </w:rPr>
                    <w:t xml:space="preserve">[Online] </w:t>
                  </w:r>
                  <w:r>
                    <w:rPr>
                      <w:noProof/>
                    </w:rPr>
                    <w:br/>
                    <w:t xml:space="preserve">Available at: </w:t>
                  </w:r>
                  <w:r>
                    <w:rPr>
                      <w:noProof/>
                      <w:u w:val="single"/>
                    </w:rPr>
                    <w:t>https://www.finextra.com/newsarticle/33651/barclays-invests-in-simulation-tech-outfit-simudyne</w:t>
                  </w:r>
                </w:p>
                <w:p w14:paraId="2186DBB6" w14:textId="77777777" w:rsidR="008A3D9E" w:rsidRDefault="008A3D9E" w:rsidP="008A3D9E">
                  <w:pPr>
                    <w:pStyle w:val="Bibliography"/>
                    <w:rPr>
                      <w:noProof/>
                    </w:rPr>
                  </w:pPr>
                  <w:r>
                    <w:rPr>
                      <w:noProof/>
                    </w:rPr>
                    <w:t xml:space="preserve">Fintech Futures, 2018. </w:t>
                  </w:r>
                  <w:r>
                    <w:rPr>
                      <w:i/>
                      <w:iCs/>
                      <w:noProof/>
                    </w:rPr>
                    <w:t xml:space="preserve">Santander smartly acquires invoicing and expenses app Albert. </w:t>
                  </w:r>
                  <w:r>
                    <w:rPr>
                      <w:noProof/>
                    </w:rPr>
                    <w:t xml:space="preserve">[Online] </w:t>
                  </w:r>
                  <w:r>
                    <w:rPr>
                      <w:noProof/>
                    </w:rPr>
                    <w:br/>
                    <w:t xml:space="preserve">Available at: </w:t>
                  </w:r>
                  <w:r>
                    <w:rPr>
                      <w:noProof/>
                      <w:u w:val="single"/>
                    </w:rPr>
                    <w:t>https://www.fintechfutures.com/2018/12/santander-smartly-acquires-invoicing-and-expenses-app-albert/</w:t>
                  </w:r>
                </w:p>
                <w:p w14:paraId="4DA7A12B" w14:textId="77777777" w:rsidR="008A3D9E" w:rsidRDefault="008A3D9E" w:rsidP="008A3D9E">
                  <w:pPr>
                    <w:pStyle w:val="Bibliography"/>
                    <w:rPr>
                      <w:noProof/>
                    </w:rPr>
                  </w:pPr>
                  <w:r>
                    <w:rPr>
                      <w:noProof/>
                    </w:rPr>
                    <w:t xml:space="preserve">Fintech futures, 2019. </w:t>
                  </w:r>
                  <w:r>
                    <w:rPr>
                      <w:i/>
                      <w:iCs/>
                      <w:noProof/>
                    </w:rPr>
                    <w:t xml:space="preserve">HSBC seeks AI prowess with Element AI partnership. </w:t>
                  </w:r>
                  <w:r>
                    <w:rPr>
                      <w:noProof/>
                    </w:rPr>
                    <w:t xml:space="preserve">[Online] </w:t>
                  </w:r>
                  <w:r>
                    <w:rPr>
                      <w:noProof/>
                    </w:rPr>
                    <w:br/>
                    <w:t xml:space="preserve">Available at: </w:t>
                  </w:r>
                  <w:r>
                    <w:rPr>
                      <w:noProof/>
                      <w:u w:val="single"/>
                    </w:rPr>
                    <w:t>https://www.fintechfutures.com/2019/06/hsbc-seeks-ai-prowess-with-element-ai-partnership/</w:t>
                  </w:r>
                </w:p>
                <w:p w14:paraId="32DED679" w14:textId="77777777" w:rsidR="008A3D9E" w:rsidRDefault="008A3D9E" w:rsidP="008A3D9E">
                  <w:pPr>
                    <w:pStyle w:val="Bibliography"/>
                    <w:rPr>
                      <w:noProof/>
                      <w:u w:val="single"/>
                    </w:rPr>
                  </w:pPr>
                  <w:r>
                    <w:rPr>
                      <w:noProof/>
                    </w:rPr>
                    <w:t xml:space="preserve">Fintech Futures, 2022. </w:t>
                  </w:r>
                  <w:r>
                    <w:rPr>
                      <w:i/>
                      <w:iCs/>
                      <w:noProof/>
                    </w:rPr>
                    <w:t xml:space="preserve">Lloyds partners fintech Bink to create unified customer loyalty programme solution. </w:t>
                  </w:r>
                  <w:r>
                    <w:rPr>
                      <w:noProof/>
                    </w:rPr>
                    <w:t xml:space="preserve">[Online] </w:t>
                  </w:r>
                  <w:r>
                    <w:rPr>
                      <w:noProof/>
                    </w:rPr>
                    <w:br/>
                    <w:t xml:space="preserve">Available at: </w:t>
                  </w:r>
                  <w:r>
                    <w:rPr>
                      <w:noProof/>
                      <w:u w:val="single"/>
                    </w:rPr>
                    <w:t>https://www.fintechfutures.com/2022/03/lloyds-partners-fintech-bink-to-create-unified-customer-loyalty-programme-solution/</w:t>
                  </w:r>
                </w:p>
                <w:p w14:paraId="744ED21D" w14:textId="77777777" w:rsidR="00E04930" w:rsidRDefault="00E04930" w:rsidP="00E04930">
                  <w:pPr>
                    <w:pStyle w:val="NormalWeb"/>
                    <w:spacing w:before="0" w:beforeAutospacing="0" w:after="240" w:afterAutospacing="0" w:line="360" w:lineRule="auto"/>
                  </w:pPr>
                  <w:r>
                    <w:t xml:space="preserve">Gogia, J &amp; Chakraborty, D 2022, ‘Shift towards digital opportunities for banks’, </w:t>
                  </w:r>
                  <w:r>
                    <w:rPr>
                      <w:i/>
                      <w:iCs/>
                    </w:rPr>
                    <w:t>International Journal of Electronic Banking</w:t>
                  </w:r>
                  <w:r>
                    <w:t>, vol. 1, no. 1, p. 1.</w:t>
                  </w:r>
                </w:p>
                <w:p w14:paraId="2375ABDC" w14:textId="28F0EE35" w:rsidR="00E04930" w:rsidRPr="00E04930" w:rsidRDefault="00E04930" w:rsidP="00E04930">
                  <w:pPr>
                    <w:pStyle w:val="NormalWeb"/>
                    <w:spacing w:before="0" w:beforeAutospacing="0" w:after="240" w:afterAutospacing="0" w:line="360" w:lineRule="auto"/>
                  </w:pPr>
                  <w:r>
                    <w:t xml:space="preserve">Gurumurthy , R &amp; Schatsky, D 2019, </w:t>
                  </w:r>
                  <w:r>
                    <w:rPr>
                      <w:i/>
                      <w:iCs/>
                    </w:rPr>
                    <w:t>Pivoting to digital maturity</w:t>
                  </w:r>
                  <w:r>
                    <w:t>, Deloitte Insights, viewed 11 January 2024, &lt;https://www2.deloitte.com/uk/en/insights/focus/digital-maturity/digital-maturity-pivot-model.html&gt;.</w:t>
                  </w:r>
                </w:p>
                <w:p w14:paraId="29D6B05B" w14:textId="77777777" w:rsidR="008A3D9E" w:rsidRDefault="008A3D9E" w:rsidP="008A3D9E">
                  <w:pPr>
                    <w:pStyle w:val="Bibliography"/>
                    <w:rPr>
                      <w:noProof/>
                    </w:rPr>
                  </w:pPr>
                  <w:r>
                    <w:rPr>
                      <w:noProof/>
                    </w:rPr>
                    <w:t xml:space="preserve">HSBC Holding PLC, 2018. </w:t>
                  </w:r>
                  <w:r>
                    <w:rPr>
                      <w:i/>
                      <w:iCs/>
                      <w:noProof/>
                    </w:rPr>
                    <w:t xml:space="preserve">Annual Report, </w:t>
                  </w:r>
                  <w:r>
                    <w:rPr>
                      <w:noProof/>
                    </w:rPr>
                    <w:t>s.l.: HSBC Holding PLC.</w:t>
                  </w:r>
                </w:p>
                <w:p w14:paraId="2C386914" w14:textId="77777777" w:rsidR="008A3D9E" w:rsidRDefault="008A3D9E" w:rsidP="008A3D9E">
                  <w:pPr>
                    <w:pStyle w:val="Bibliography"/>
                    <w:rPr>
                      <w:noProof/>
                    </w:rPr>
                  </w:pPr>
                  <w:r>
                    <w:rPr>
                      <w:noProof/>
                    </w:rPr>
                    <w:lastRenderedPageBreak/>
                    <w:t xml:space="preserve">HSBC Holding PLC, 2020. </w:t>
                  </w:r>
                  <w:r>
                    <w:rPr>
                      <w:i/>
                      <w:iCs/>
                      <w:noProof/>
                    </w:rPr>
                    <w:t xml:space="preserve">Driving digital progress. </w:t>
                  </w:r>
                  <w:r>
                    <w:rPr>
                      <w:noProof/>
                    </w:rPr>
                    <w:t xml:space="preserve">[Online] </w:t>
                  </w:r>
                  <w:r>
                    <w:rPr>
                      <w:noProof/>
                    </w:rPr>
                    <w:br/>
                    <w:t xml:space="preserve">Available at: </w:t>
                  </w:r>
                  <w:r>
                    <w:rPr>
                      <w:noProof/>
                      <w:u w:val="single"/>
                    </w:rPr>
                    <w:t>https://www.hsbc.com/news-and-views/news/hsbc-news-archive/driving-digital-progress</w:t>
                  </w:r>
                  <w:r>
                    <w:rPr>
                      <w:noProof/>
                    </w:rPr>
                    <w:br/>
                    <w:t>[Accessed 03 01 2024].</w:t>
                  </w:r>
                </w:p>
                <w:p w14:paraId="0B23EBD3" w14:textId="77777777" w:rsidR="008A3D9E" w:rsidRDefault="008A3D9E" w:rsidP="008A3D9E">
                  <w:pPr>
                    <w:pStyle w:val="Bibliography"/>
                    <w:rPr>
                      <w:noProof/>
                    </w:rPr>
                  </w:pPr>
                  <w:r>
                    <w:rPr>
                      <w:noProof/>
                    </w:rPr>
                    <w:t xml:space="preserve">HSBC Holdings PLC, 2022. </w:t>
                  </w:r>
                  <w:r>
                    <w:rPr>
                      <w:i/>
                      <w:iCs/>
                      <w:noProof/>
                    </w:rPr>
                    <w:t xml:space="preserve">Annual results, </w:t>
                  </w:r>
                  <w:r>
                    <w:rPr>
                      <w:noProof/>
                    </w:rPr>
                    <w:t>s.l.: HSBC Holdings PLC.</w:t>
                  </w:r>
                </w:p>
                <w:p w14:paraId="7C1AC308" w14:textId="77777777" w:rsidR="008A3D9E" w:rsidRDefault="008A3D9E" w:rsidP="008A3D9E">
                  <w:pPr>
                    <w:pStyle w:val="Bibliography"/>
                    <w:rPr>
                      <w:noProof/>
                    </w:rPr>
                  </w:pPr>
                  <w:r>
                    <w:rPr>
                      <w:noProof/>
                    </w:rPr>
                    <w:t xml:space="preserve">HSBC Holdings PLC, 2022. </w:t>
                  </w:r>
                  <w:r>
                    <w:rPr>
                      <w:i/>
                      <w:iCs/>
                      <w:noProof/>
                    </w:rPr>
                    <w:t xml:space="preserve">Strategic Report, </w:t>
                  </w:r>
                  <w:r>
                    <w:rPr>
                      <w:noProof/>
                    </w:rPr>
                    <w:t>s.l.: HSBC Holdings PLC.</w:t>
                  </w:r>
                </w:p>
                <w:p w14:paraId="29B911C1" w14:textId="77777777" w:rsidR="008A3D9E" w:rsidRDefault="008A3D9E" w:rsidP="008A3D9E">
                  <w:pPr>
                    <w:pStyle w:val="Bibliography"/>
                    <w:rPr>
                      <w:noProof/>
                    </w:rPr>
                  </w:pPr>
                  <w:r>
                    <w:rPr>
                      <w:noProof/>
                    </w:rPr>
                    <w:t xml:space="preserve">HSBC Holdings PLC, 2023. </w:t>
                  </w:r>
                  <w:r>
                    <w:rPr>
                      <w:i/>
                      <w:iCs/>
                      <w:noProof/>
                    </w:rPr>
                    <w:t xml:space="preserve">Annual report, </w:t>
                  </w:r>
                  <w:r>
                    <w:rPr>
                      <w:noProof/>
                    </w:rPr>
                    <w:t>s.l.: HSBC Holdings PLC.</w:t>
                  </w:r>
                </w:p>
                <w:p w14:paraId="3B893994" w14:textId="4994E44F" w:rsidR="008A3D9E" w:rsidRDefault="008A3D9E" w:rsidP="008A3D9E">
                  <w:pPr>
                    <w:pStyle w:val="Bibliography"/>
                    <w:rPr>
                      <w:noProof/>
                    </w:rPr>
                  </w:pPr>
                  <w:r>
                    <w:rPr>
                      <w:noProof/>
                    </w:rPr>
                    <w:t xml:space="preserve">HSBC Holdings PLC, 2024. </w:t>
                  </w:r>
                  <w:r>
                    <w:rPr>
                      <w:i/>
                      <w:iCs/>
                      <w:noProof/>
                    </w:rPr>
                    <w:t xml:space="preserve">News and Media. </w:t>
                  </w:r>
                  <w:r>
                    <w:rPr>
                      <w:noProof/>
                    </w:rPr>
                    <w:t xml:space="preserve">[Online] </w:t>
                  </w:r>
                  <w:r>
                    <w:rPr>
                      <w:noProof/>
                    </w:rPr>
                    <w:br/>
                    <w:t xml:space="preserve">Available at: </w:t>
                  </w:r>
                  <w:r>
                    <w:rPr>
                      <w:noProof/>
                      <w:u w:val="single"/>
                    </w:rPr>
                    <w:t>https://www.about.hsbc.co.uk/</w:t>
                  </w:r>
                </w:p>
                <w:p w14:paraId="1A72ACB9" w14:textId="77777777" w:rsidR="008A3D9E" w:rsidRDefault="008A3D9E" w:rsidP="008A3D9E">
                  <w:pPr>
                    <w:pStyle w:val="Bibliography"/>
                    <w:rPr>
                      <w:noProof/>
                    </w:rPr>
                  </w:pPr>
                  <w:r>
                    <w:rPr>
                      <w:noProof/>
                    </w:rPr>
                    <w:t xml:space="preserve">HSBC, 2023. </w:t>
                  </w:r>
                  <w:r>
                    <w:rPr>
                      <w:i/>
                      <w:iCs/>
                      <w:noProof/>
                    </w:rPr>
                    <w:t xml:space="preserve">HSBC launches AI-Powered Equity Index using AWS. </w:t>
                  </w:r>
                  <w:r>
                    <w:rPr>
                      <w:noProof/>
                    </w:rPr>
                    <w:t xml:space="preserve">[Online] </w:t>
                  </w:r>
                  <w:r>
                    <w:rPr>
                      <w:noProof/>
                    </w:rPr>
                    <w:br/>
                    <w:t xml:space="preserve">Available at: </w:t>
                  </w:r>
                  <w:r>
                    <w:rPr>
                      <w:noProof/>
                      <w:u w:val="single"/>
                    </w:rPr>
                    <w:t>https://www.about.us.hsbc.com/newsroom/press-releases/hsbc-launches-ai-powered-equity-index-using-aws</w:t>
                  </w:r>
                </w:p>
                <w:p w14:paraId="3C58F366" w14:textId="77777777" w:rsidR="008A3D9E" w:rsidRDefault="008A3D9E" w:rsidP="008A3D9E">
                  <w:pPr>
                    <w:pStyle w:val="Bibliography"/>
                    <w:rPr>
                      <w:noProof/>
                    </w:rPr>
                  </w:pPr>
                  <w:r>
                    <w:rPr>
                      <w:noProof/>
                    </w:rPr>
                    <w:t xml:space="preserve">IBS intelligence, 2022. </w:t>
                  </w:r>
                  <w:r>
                    <w:rPr>
                      <w:i/>
                      <w:iCs/>
                      <w:noProof/>
                    </w:rPr>
                    <w:t xml:space="preserve">London FinTech Updraft raises £108m in Series A led by NatWest. </w:t>
                  </w:r>
                  <w:r>
                    <w:rPr>
                      <w:noProof/>
                    </w:rPr>
                    <w:t xml:space="preserve">[Online] </w:t>
                  </w:r>
                  <w:r>
                    <w:rPr>
                      <w:noProof/>
                    </w:rPr>
                    <w:br/>
                    <w:t xml:space="preserve">Available at: </w:t>
                  </w:r>
                  <w:r>
                    <w:rPr>
                      <w:noProof/>
                      <w:u w:val="single"/>
                    </w:rPr>
                    <w:t>https://ibsintelligence.com/ibsi-news/london-fintech-updraft-raises-108m-in-series-a-led-by-natwest/</w:t>
                  </w:r>
                </w:p>
                <w:p w14:paraId="3B7E60C1" w14:textId="77777777" w:rsidR="008A3D9E" w:rsidRDefault="008A3D9E" w:rsidP="008A3D9E">
                  <w:pPr>
                    <w:pStyle w:val="Bibliography"/>
                    <w:rPr>
                      <w:noProof/>
                      <w:u w:val="single"/>
                    </w:rPr>
                  </w:pPr>
                  <w:r>
                    <w:rPr>
                      <w:noProof/>
                    </w:rPr>
                    <w:t xml:space="preserve">Insurance age, 2018. </w:t>
                  </w:r>
                  <w:r>
                    <w:rPr>
                      <w:i/>
                      <w:iCs/>
                      <w:noProof/>
                    </w:rPr>
                    <w:t xml:space="preserve">https://www.insuranceage.co.uk/broker/3449366/private-equity-injects-ps28m-into-right-choice. </w:t>
                  </w:r>
                  <w:r>
                    <w:rPr>
                      <w:noProof/>
                    </w:rPr>
                    <w:t xml:space="preserve">[Online] </w:t>
                  </w:r>
                  <w:r>
                    <w:rPr>
                      <w:noProof/>
                    </w:rPr>
                    <w:br/>
                    <w:t xml:space="preserve">Available at: </w:t>
                  </w:r>
                  <w:r>
                    <w:rPr>
                      <w:noProof/>
                      <w:u w:val="single"/>
                    </w:rPr>
                    <w:t>https://www.insuranceage.co.uk/broker/3449366/private-equity-injects-ps28m-into-right-choice</w:t>
                  </w:r>
                </w:p>
                <w:p w14:paraId="2F638ED5" w14:textId="739F3AC9" w:rsidR="00BC5B0C" w:rsidRDefault="00BC5B0C" w:rsidP="00BC5B0C">
                  <w:pPr>
                    <w:pStyle w:val="NormalWeb"/>
                    <w:spacing w:before="0" w:beforeAutospacing="0" w:after="240" w:afterAutospacing="0" w:line="360" w:lineRule="auto"/>
                  </w:pPr>
                  <w:r>
                    <w:t xml:space="preserve">Ivey, A 2023, </w:t>
                  </w:r>
                  <w:r>
                    <w:rPr>
                      <w:i/>
                      <w:iCs/>
                    </w:rPr>
                    <w:t>A brief history of digital banking</w:t>
                  </w:r>
                  <w:r>
                    <w:t>, Cointelegraph..</w:t>
                  </w:r>
                </w:p>
                <w:p w14:paraId="29974BD4" w14:textId="77777777" w:rsidR="009C0B49" w:rsidRDefault="009C0B49" w:rsidP="009C0B49">
                  <w:pPr>
                    <w:pStyle w:val="NormalWeb"/>
                    <w:spacing w:before="0" w:beforeAutospacing="0" w:after="240" w:afterAutospacing="0" w:line="360" w:lineRule="auto"/>
                  </w:pPr>
                  <w:r>
                    <w:t xml:space="preserve">Kitsios, F, Giatsidis, I &amp; Kamariotou, M 2021, ‘Digital Transformation and Strategy in the Banking Sector: Evaluating the Acceptance Rate of E-Services’, </w:t>
                  </w:r>
                  <w:r>
                    <w:rPr>
                      <w:i/>
                      <w:iCs/>
                    </w:rPr>
                    <w:t>Journal of Open Innovation: Technology, Market, and Complexity</w:t>
                  </w:r>
                  <w:r>
                    <w:t>, vol. 7, no. 3, p. 204.</w:t>
                  </w:r>
                </w:p>
                <w:p w14:paraId="2C44D1B8" w14:textId="77777777" w:rsidR="009C0B49" w:rsidRDefault="009C0B49" w:rsidP="009C0B49">
                  <w:pPr>
                    <w:pStyle w:val="NormalWeb"/>
                    <w:spacing w:before="0" w:beforeAutospacing="0" w:after="240" w:afterAutospacing="0" w:line="360" w:lineRule="auto"/>
                  </w:pPr>
                  <w:r>
                    <w:t xml:space="preserve">Kolodiziev, O, Krupka, M, Shulga, N, Kulchytskyy, M &amp; Lozynska, O 2021, ‘The level of digital transformation affecting the competitiveness of banks’, </w:t>
                  </w:r>
                  <w:r>
                    <w:rPr>
                      <w:i/>
                      <w:iCs/>
                    </w:rPr>
                    <w:t>Banks and Bank Systems</w:t>
                  </w:r>
                  <w:r>
                    <w:t>, vol. 16, no. 1, pp. 81–91.</w:t>
                  </w:r>
                </w:p>
                <w:p w14:paraId="5D949EA7" w14:textId="57E35189" w:rsidR="009C0B49" w:rsidRDefault="009C0B49" w:rsidP="00BC5B0C">
                  <w:pPr>
                    <w:pStyle w:val="NormalWeb"/>
                    <w:spacing w:before="0" w:beforeAutospacing="0" w:after="240" w:afterAutospacing="0" w:line="360" w:lineRule="auto"/>
                  </w:pPr>
                  <w:r>
                    <w:t xml:space="preserve">Kudichs, AS 2018, ‘PROBLEMS OF THE BANKING SECTOR IN THE TRANSITION TO DIGITAL BANKING’, </w:t>
                  </w:r>
                  <w:r>
                    <w:rPr>
                      <w:i/>
                      <w:iCs/>
                    </w:rPr>
                    <w:t>Business Strategies</w:t>
                  </w:r>
                  <w:r>
                    <w:t>, no. 12, pp. 26–28.</w:t>
                  </w:r>
                </w:p>
                <w:p w14:paraId="41802816" w14:textId="77777777" w:rsidR="00FF4BB1" w:rsidRDefault="00FF4BB1" w:rsidP="00FF4BB1">
                  <w:pPr>
                    <w:pStyle w:val="NormalWeb"/>
                    <w:spacing w:before="0" w:beforeAutospacing="0" w:after="240" w:afterAutospacing="0" w:line="360" w:lineRule="auto"/>
                  </w:pPr>
                  <w:r>
                    <w:lastRenderedPageBreak/>
                    <w:t xml:space="preserve">Lauchlan, S 2021, </w:t>
                  </w:r>
                  <w:r>
                    <w:rPr>
                      <w:i/>
                      <w:iCs/>
                    </w:rPr>
                    <w:t>Digital banking - Lloyds Banking Group saddles up public cloud, machine learning and advanced analytics for its next transformation phase</w:t>
                  </w:r>
                  <w:r>
                    <w:t>, diginomica.</w:t>
                  </w:r>
                </w:p>
                <w:p w14:paraId="4D904C03" w14:textId="7FA2F70F" w:rsidR="008A3D9E" w:rsidRDefault="008A3D9E" w:rsidP="008A3D9E">
                  <w:pPr>
                    <w:pStyle w:val="Bibliography"/>
                    <w:rPr>
                      <w:noProof/>
                    </w:rPr>
                  </w:pPr>
                  <w:r>
                    <w:rPr>
                      <w:noProof/>
                    </w:rPr>
                    <w:t xml:space="preserve">Lloyds Banking Group, 2022. </w:t>
                  </w:r>
                  <w:r>
                    <w:rPr>
                      <w:i/>
                      <w:iCs/>
                      <w:noProof/>
                    </w:rPr>
                    <w:t xml:space="preserve">Annual report, </w:t>
                  </w:r>
                  <w:r>
                    <w:rPr>
                      <w:noProof/>
                    </w:rPr>
                    <w:t>s.l.: Lloyds Banking Group.</w:t>
                  </w:r>
                </w:p>
                <w:p w14:paraId="33C0FC69" w14:textId="77777777" w:rsidR="008A3D9E" w:rsidRDefault="008A3D9E" w:rsidP="008A3D9E">
                  <w:pPr>
                    <w:pStyle w:val="Bibliography"/>
                    <w:rPr>
                      <w:noProof/>
                    </w:rPr>
                  </w:pPr>
                  <w:r>
                    <w:rPr>
                      <w:noProof/>
                    </w:rPr>
                    <w:t xml:space="preserve">Lloyds Banking Group, 2022. </w:t>
                  </w:r>
                  <w:r>
                    <w:rPr>
                      <w:i/>
                      <w:iCs/>
                      <w:noProof/>
                    </w:rPr>
                    <w:t xml:space="preserve">Environmental Sustainability Report, </w:t>
                  </w:r>
                  <w:r>
                    <w:rPr>
                      <w:noProof/>
                    </w:rPr>
                    <w:t>s.l.: Lloyds Banking Group.</w:t>
                  </w:r>
                </w:p>
                <w:p w14:paraId="5358B150" w14:textId="3BB3050C" w:rsidR="008A3D9E" w:rsidRDefault="008A3D9E" w:rsidP="008A3D9E">
                  <w:pPr>
                    <w:pStyle w:val="Bibliography"/>
                    <w:rPr>
                      <w:noProof/>
                    </w:rPr>
                  </w:pPr>
                  <w:r>
                    <w:rPr>
                      <w:noProof/>
                    </w:rPr>
                    <w:t xml:space="preserve">Lloyds Banking Group, 2023. </w:t>
                  </w:r>
                  <w:r>
                    <w:rPr>
                      <w:i/>
                      <w:iCs/>
                      <w:noProof/>
                    </w:rPr>
                    <w:t xml:space="preserve">Lloyds Bank completes first digital trade transaction under new UK legislation. </w:t>
                  </w:r>
                  <w:r>
                    <w:rPr>
                      <w:noProof/>
                    </w:rPr>
                    <w:t xml:space="preserve">[Online] </w:t>
                  </w:r>
                  <w:r>
                    <w:rPr>
                      <w:noProof/>
                    </w:rPr>
                    <w:br/>
                    <w:t xml:space="preserve">Available at: </w:t>
                  </w:r>
                  <w:r>
                    <w:rPr>
                      <w:noProof/>
                      <w:u w:val="single"/>
                    </w:rPr>
                    <w:t>https://www.lloydsbankinggroup.com/media/press-releases/2023/lloyds-bank-2023/lloyds-bank-completes-first-digital-trade-transaction-under-new-.html</w:t>
                  </w:r>
                </w:p>
                <w:p w14:paraId="1EA4F6F2" w14:textId="3D623BD7" w:rsidR="008A3D9E" w:rsidRDefault="008A3D9E" w:rsidP="008A3D9E">
                  <w:pPr>
                    <w:pStyle w:val="Bibliography"/>
                    <w:rPr>
                      <w:noProof/>
                    </w:rPr>
                  </w:pPr>
                  <w:r>
                    <w:rPr>
                      <w:noProof/>
                    </w:rPr>
                    <w:t xml:space="preserve">Lloyds Banking Group, 2023. </w:t>
                  </w:r>
                  <w:r>
                    <w:rPr>
                      <w:i/>
                      <w:iCs/>
                      <w:noProof/>
                    </w:rPr>
                    <w:t xml:space="preserve">Lloyds Bank develops new digital trading solution to support businesses. </w:t>
                  </w:r>
                  <w:r>
                    <w:rPr>
                      <w:noProof/>
                    </w:rPr>
                    <w:t xml:space="preserve">[Online] </w:t>
                  </w:r>
                  <w:r>
                    <w:rPr>
                      <w:noProof/>
                    </w:rPr>
                    <w:br/>
                    <w:t xml:space="preserve">Available at: </w:t>
                  </w:r>
                  <w:r>
                    <w:rPr>
                      <w:noProof/>
                      <w:u w:val="single"/>
                    </w:rPr>
                    <w:t>https://www.lloydsbankinggroup.com/media/press-releases/2023/lloyds-bank-2023/new-digital-trading-solution.html</w:t>
                  </w:r>
                </w:p>
                <w:p w14:paraId="39A25504" w14:textId="77777777" w:rsidR="008A3D9E" w:rsidRDefault="008A3D9E" w:rsidP="008A3D9E">
                  <w:pPr>
                    <w:pStyle w:val="Bibliography"/>
                    <w:rPr>
                      <w:noProof/>
                      <w:u w:val="single"/>
                    </w:rPr>
                  </w:pPr>
                  <w:r>
                    <w:rPr>
                      <w:noProof/>
                    </w:rPr>
                    <w:t xml:space="preserve">Lloyds Banking Group, 2023. </w:t>
                  </w:r>
                  <w:r>
                    <w:rPr>
                      <w:i/>
                      <w:iCs/>
                      <w:noProof/>
                    </w:rPr>
                    <w:t xml:space="preserve">Lloyds Banking Group invests €3 million in Enigio to accelerate use of digital documentation in trade. </w:t>
                  </w:r>
                  <w:r>
                    <w:rPr>
                      <w:noProof/>
                    </w:rPr>
                    <w:t xml:space="preserve">[Online] </w:t>
                  </w:r>
                  <w:r>
                    <w:rPr>
                      <w:noProof/>
                    </w:rPr>
                    <w:br/>
                    <w:t xml:space="preserve">Available at: </w:t>
                  </w:r>
                  <w:r>
                    <w:rPr>
                      <w:noProof/>
                      <w:u w:val="single"/>
                    </w:rPr>
                    <w:t>https://www.lloydsbankinggroup.com/media/press-releases/2023/lloyds-banking-group-2023/lloyds-banking-group-invests-three-million-euros-in-enigio-to-accelerate-use-of-digital-documentation-in-trade.html</w:t>
                  </w:r>
                </w:p>
                <w:p w14:paraId="1A66D17A" w14:textId="77777777" w:rsidR="00C73937" w:rsidRDefault="00C73937" w:rsidP="00C73937">
                  <w:pPr>
                    <w:pStyle w:val="NormalWeb"/>
                    <w:spacing w:before="0" w:beforeAutospacing="0" w:after="240" w:afterAutospacing="0" w:line="360" w:lineRule="auto"/>
                  </w:pPr>
                  <w:r>
                    <w:t xml:space="preserve">Luck, I 2023, </w:t>
                  </w:r>
                  <w:r>
                    <w:rPr>
                      <w:i/>
                      <w:iCs/>
                    </w:rPr>
                    <w:t>6 Customer Experience Management Frameworks For 2022</w:t>
                  </w:r>
                  <w:r>
                    <w:t>, CustomerGauge.</w:t>
                  </w:r>
                </w:p>
                <w:p w14:paraId="22470CEC" w14:textId="77777777" w:rsidR="00EA421D" w:rsidRDefault="00C73937" w:rsidP="00EA421D">
                  <w:pPr>
                    <w:pStyle w:val="NormalWeb"/>
                    <w:spacing w:before="0" w:beforeAutospacing="0" w:after="240" w:afterAutospacing="0" w:line="360" w:lineRule="auto"/>
                  </w:pPr>
                  <w:r>
                    <w:t xml:space="preserve">Luís Borges Gouveia, Perun, M &amp; Yousef Ibrahim Daradkeh 2020, ‘Digital Transformation and Customers Services: the Banking Revolution’, </w:t>
                  </w:r>
                  <w:r>
                    <w:rPr>
                      <w:i/>
                      <w:iCs/>
                    </w:rPr>
                    <w:t>International Journal of Open Information Technologies</w:t>
                  </w:r>
                  <w:r>
                    <w:t>, vol. 8, Moscow State University, no. 7, pp. 124–128</w:t>
                  </w:r>
                </w:p>
                <w:p w14:paraId="7CF34ABA" w14:textId="3EB552FB" w:rsidR="00EA421D" w:rsidRPr="00C73937" w:rsidRDefault="00EA421D" w:rsidP="00C73937">
                  <w:pPr>
                    <w:pStyle w:val="NormalWeb"/>
                    <w:spacing w:before="0" w:beforeAutospacing="0" w:after="240" w:afterAutospacing="0" w:line="360" w:lineRule="auto"/>
                  </w:pPr>
                  <w:r>
                    <w:t xml:space="preserve">Manser Payne, E, Peltier, JW &amp; Barger, VA 2018, ‘Mobile banking and AI-enabled mobile banking’, </w:t>
                  </w:r>
                  <w:r>
                    <w:rPr>
                      <w:i/>
                      <w:iCs/>
                    </w:rPr>
                    <w:t>Journal of Research in Interactive Marketing</w:t>
                  </w:r>
                  <w:r>
                    <w:t>, vol. 12, no. 3, pp. 328–346.</w:t>
                  </w:r>
                </w:p>
                <w:p w14:paraId="23A44FA6" w14:textId="77777777" w:rsidR="008A3D9E" w:rsidRDefault="008A3D9E" w:rsidP="008A3D9E">
                  <w:pPr>
                    <w:pStyle w:val="Bibliography"/>
                    <w:rPr>
                      <w:noProof/>
                      <w:u w:val="single"/>
                    </w:rPr>
                  </w:pPr>
                  <w:r>
                    <w:rPr>
                      <w:noProof/>
                    </w:rPr>
                    <w:t xml:space="preserve">Mastercard, 2023. </w:t>
                  </w:r>
                  <w:r>
                    <w:rPr>
                      <w:i/>
                      <w:iCs/>
                      <w:noProof/>
                    </w:rPr>
                    <w:t xml:space="preserve">NatWest and Mastercard make it easier and quicker for customers to shop online. </w:t>
                  </w:r>
                  <w:r>
                    <w:rPr>
                      <w:noProof/>
                    </w:rPr>
                    <w:t xml:space="preserve">[Online] </w:t>
                  </w:r>
                  <w:r>
                    <w:rPr>
                      <w:noProof/>
                    </w:rPr>
                    <w:br/>
                    <w:t xml:space="preserve">Available at: </w:t>
                  </w:r>
                  <w:r>
                    <w:rPr>
                      <w:noProof/>
                      <w:u w:val="single"/>
                    </w:rPr>
                    <w:t>https://www.mastercard.com/news/europe/en/newsroom/press-releases/en/2023/natwest-enables-click-to-pay/</w:t>
                  </w:r>
                </w:p>
                <w:p w14:paraId="2E223656" w14:textId="77777777" w:rsidR="00E91C24" w:rsidRDefault="00E91C24" w:rsidP="00E91C24">
                  <w:pPr>
                    <w:pStyle w:val="NormalWeb"/>
                    <w:spacing w:before="0" w:beforeAutospacing="0" w:after="240" w:afterAutospacing="0" w:line="360" w:lineRule="auto"/>
                  </w:pPr>
                  <w:r>
                    <w:t xml:space="preserve">Matt, C, Hess, T &amp; Benlian, A 2019, ‘Digital Transformation Strategies’, </w:t>
                  </w:r>
                  <w:r>
                    <w:rPr>
                      <w:i/>
                      <w:iCs/>
                    </w:rPr>
                    <w:t>Business &amp; Information Systems Engineering</w:t>
                  </w:r>
                  <w:r>
                    <w:t>, vol. 57, no. 5, pp. 339–343.</w:t>
                  </w:r>
                </w:p>
                <w:p w14:paraId="1F8AA723" w14:textId="77777777" w:rsidR="00802038" w:rsidRDefault="00E91C24" w:rsidP="00E91C24">
                  <w:pPr>
                    <w:pStyle w:val="NormalWeb"/>
                    <w:spacing w:before="0" w:beforeAutospacing="0" w:after="240" w:afterAutospacing="0" w:line="360" w:lineRule="auto"/>
                  </w:pPr>
                  <w:r>
                    <w:lastRenderedPageBreak/>
                    <w:t xml:space="preserve">Mattila, M 2003, ‘Factors Affecting The Adoption Of Mobile Banking Services’, </w:t>
                  </w:r>
                  <w:r>
                    <w:rPr>
                      <w:i/>
                      <w:iCs/>
                    </w:rPr>
                    <w:t>The Journal of Internet Banking and Commerce</w:t>
                  </w:r>
                  <w:r>
                    <w:t>, vol. 8, OMICS Publishing Group, no. 1</w:t>
                  </w:r>
                </w:p>
                <w:p w14:paraId="253A9B65" w14:textId="77777777" w:rsidR="00802038" w:rsidRDefault="00802038" w:rsidP="00802038">
                  <w:pPr>
                    <w:pStyle w:val="NormalWeb"/>
                    <w:spacing w:before="0" w:beforeAutospacing="0" w:after="240" w:afterAutospacing="0" w:line="360" w:lineRule="auto"/>
                  </w:pPr>
                  <w:r>
                    <w:t xml:space="preserve">Mbama, CI &amp; Ezepue, PO 2018, ‘Digital banking, customer experience and bank financial performance’, </w:t>
                  </w:r>
                  <w:r>
                    <w:rPr>
                      <w:i/>
                      <w:iCs/>
                    </w:rPr>
                    <w:t>International Journal of Bank Marketing</w:t>
                  </w:r>
                  <w:r>
                    <w:t>, vol. 36, no. 2, pp. 230–255.</w:t>
                  </w:r>
                </w:p>
                <w:p w14:paraId="71905AEF" w14:textId="77777777" w:rsidR="008A3D9E" w:rsidRDefault="008A3D9E" w:rsidP="008A3D9E">
                  <w:pPr>
                    <w:pStyle w:val="Bibliography"/>
                    <w:rPr>
                      <w:noProof/>
                    </w:rPr>
                  </w:pPr>
                  <w:r>
                    <w:rPr>
                      <w:noProof/>
                    </w:rPr>
                    <w:t xml:space="preserve">Natwest Group plc, 2022. </w:t>
                  </w:r>
                  <w:r>
                    <w:rPr>
                      <w:i/>
                      <w:iCs/>
                      <w:noProof/>
                    </w:rPr>
                    <w:t xml:space="preserve">Annual report and Accounts, </w:t>
                  </w:r>
                  <w:r>
                    <w:rPr>
                      <w:noProof/>
                    </w:rPr>
                    <w:t>s.l.: Natwest Group plc.</w:t>
                  </w:r>
                </w:p>
                <w:p w14:paraId="1B930C92" w14:textId="2367A387" w:rsidR="008A3D9E" w:rsidRDefault="008A3D9E" w:rsidP="008A3D9E">
                  <w:pPr>
                    <w:pStyle w:val="Bibliography"/>
                    <w:rPr>
                      <w:noProof/>
                    </w:rPr>
                  </w:pPr>
                  <w:r>
                    <w:rPr>
                      <w:noProof/>
                    </w:rPr>
                    <w:t xml:space="preserve">Natwest Group plc, 2023. </w:t>
                  </w:r>
                  <w:r>
                    <w:rPr>
                      <w:i/>
                      <w:iCs/>
                      <w:noProof/>
                    </w:rPr>
                    <w:t xml:space="preserve">Accessible banking. </w:t>
                  </w:r>
                  <w:r>
                    <w:rPr>
                      <w:noProof/>
                    </w:rPr>
                    <w:t xml:space="preserve">[Online] </w:t>
                  </w:r>
                  <w:r>
                    <w:rPr>
                      <w:noProof/>
                    </w:rPr>
                    <w:br/>
                    <w:t xml:space="preserve">Available at: </w:t>
                  </w:r>
                  <w:r>
                    <w:rPr>
                      <w:noProof/>
                      <w:u w:val="single"/>
                    </w:rPr>
                    <w:t>https://www.natwestgroup.com/sustainability/society/accessible-banking.html</w:t>
                  </w:r>
                </w:p>
                <w:p w14:paraId="7DC61290" w14:textId="0EF7652D" w:rsidR="008A3D9E" w:rsidRDefault="008A3D9E" w:rsidP="008A3D9E">
                  <w:pPr>
                    <w:pStyle w:val="Bibliography"/>
                    <w:rPr>
                      <w:noProof/>
                    </w:rPr>
                  </w:pPr>
                  <w:r>
                    <w:rPr>
                      <w:noProof/>
                    </w:rPr>
                    <w:t xml:space="preserve">Natwest Group plc, 2023. </w:t>
                  </w:r>
                  <w:r>
                    <w:rPr>
                      <w:i/>
                      <w:iCs/>
                      <w:noProof/>
                    </w:rPr>
                    <w:t xml:space="preserve">Cora – helping more customers than ever, with no wait time. </w:t>
                  </w:r>
                  <w:r>
                    <w:rPr>
                      <w:noProof/>
                    </w:rPr>
                    <w:t xml:space="preserve">[Online] </w:t>
                  </w:r>
                  <w:r>
                    <w:rPr>
                      <w:noProof/>
                    </w:rPr>
                    <w:br/>
                    <w:t xml:space="preserve">Available at: </w:t>
                  </w:r>
                  <w:r>
                    <w:rPr>
                      <w:noProof/>
                      <w:u w:val="single"/>
                    </w:rPr>
                    <w:t>https://jobs.natwestgroup.com/posts/cora-helping-more-customers-than-ever-with-no-wait-time</w:t>
                  </w:r>
                </w:p>
                <w:p w14:paraId="01069042" w14:textId="218367DC" w:rsidR="008A3D9E" w:rsidRDefault="008A3D9E" w:rsidP="008A3D9E">
                  <w:pPr>
                    <w:pStyle w:val="Bibliography"/>
                    <w:rPr>
                      <w:noProof/>
                    </w:rPr>
                  </w:pPr>
                  <w:r>
                    <w:rPr>
                      <w:noProof/>
                    </w:rPr>
                    <w:t xml:space="preserve">NatWest Group plc, 2023. </w:t>
                  </w:r>
                  <w:r>
                    <w:rPr>
                      <w:i/>
                      <w:iCs/>
                      <w:noProof/>
                    </w:rPr>
                    <w:t xml:space="preserve">Innovation and digitisation. </w:t>
                  </w:r>
                  <w:r>
                    <w:rPr>
                      <w:noProof/>
                    </w:rPr>
                    <w:t xml:space="preserve">[Online] </w:t>
                  </w:r>
                  <w:r>
                    <w:rPr>
                      <w:noProof/>
                    </w:rPr>
                    <w:br/>
                    <w:t xml:space="preserve">Available at: </w:t>
                  </w:r>
                  <w:r>
                    <w:rPr>
                      <w:noProof/>
                      <w:u w:val="single"/>
                    </w:rPr>
                    <w:t>https://www.natwestgroup.com/sustainability/society/innovation-and-digitisation.html</w:t>
                  </w:r>
                </w:p>
                <w:p w14:paraId="62BE441D" w14:textId="11477DA6" w:rsidR="008A3D9E" w:rsidRDefault="008A3D9E" w:rsidP="008A3D9E">
                  <w:pPr>
                    <w:pStyle w:val="Bibliography"/>
                    <w:rPr>
                      <w:noProof/>
                    </w:rPr>
                  </w:pPr>
                  <w:r>
                    <w:rPr>
                      <w:noProof/>
                    </w:rPr>
                    <w:t xml:space="preserve">NatWest Group plc, 2023. </w:t>
                  </w:r>
                  <w:r>
                    <w:rPr>
                      <w:i/>
                      <w:iCs/>
                      <w:noProof/>
                    </w:rPr>
                    <w:t xml:space="preserve">Start saving with the Digital Regular Saver now. </w:t>
                  </w:r>
                  <w:r>
                    <w:rPr>
                      <w:noProof/>
                    </w:rPr>
                    <w:t xml:space="preserve">[Online] </w:t>
                  </w:r>
                  <w:r>
                    <w:rPr>
                      <w:noProof/>
                    </w:rPr>
                    <w:br/>
                    <w:t xml:space="preserve">Available at: </w:t>
                  </w:r>
                  <w:r>
                    <w:rPr>
                      <w:noProof/>
                      <w:u w:val="single"/>
                    </w:rPr>
                    <w:t>https://www.natwest.com/savings/digital-regular-saver.html</w:t>
                  </w:r>
                </w:p>
                <w:p w14:paraId="3848010D" w14:textId="77777777" w:rsidR="008A3D9E" w:rsidRDefault="008A3D9E" w:rsidP="008A3D9E">
                  <w:pPr>
                    <w:pStyle w:val="Bibliography"/>
                    <w:rPr>
                      <w:noProof/>
                    </w:rPr>
                  </w:pPr>
                  <w:r>
                    <w:rPr>
                      <w:noProof/>
                    </w:rPr>
                    <w:t xml:space="preserve">O' Gorman, K., 2015. </w:t>
                  </w:r>
                  <w:r>
                    <w:rPr>
                      <w:i/>
                      <w:iCs/>
                      <w:noProof/>
                    </w:rPr>
                    <w:t xml:space="preserve">Research methods for business &amp; management : a guide to writing your dissertation. </w:t>
                  </w:r>
                  <w:r>
                    <w:rPr>
                      <w:noProof/>
                    </w:rPr>
                    <w:t>2nd ed. s.l.:Goodfellow Publishers Ltd.</w:t>
                  </w:r>
                </w:p>
                <w:p w14:paraId="3D5D1482" w14:textId="77777777" w:rsidR="008A3D9E" w:rsidRDefault="008A3D9E" w:rsidP="008A3D9E">
                  <w:pPr>
                    <w:pStyle w:val="Bibliography"/>
                    <w:rPr>
                      <w:noProof/>
                    </w:rPr>
                  </w:pPr>
                  <w:r>
                    <w:rPr>
                      <w:noProof/>
                    </w:rPr>
                    <w:t xml:space="preserve">Patton, M. Q., 2015. </w:t>
                  </w:r>
                  <w:r>
                    <w:rPr>
                      <w:i/>
                      <w:iCs/>
                      <w:noProof/>
                    </w:rPr>
                    <w:t xml:space="preserve">Qualitative research and evaluation methods: integrating theory and practice. </w:t>
                  </w:r>
                  <w:r>
                    <w:rPr>
                      <w:noProof/>
                    </w:rPr>
                    <w:t>4th ed. s.l.:Sage Publications.</w:t>
                  </w:r>
                </w:p>
                <w:p w14:paraId="36E88F53" w14:textId="77777777" w:rsidR="008A3D9E" w:rsidRDefault="008A3D9E" w:rsidP="008A3D9E">
                  <w:pPr>
                    <w:pStyle w:val="Bibliography"/>
                    <w:rPr>
                      <w:noProof/>
                    </w:rPr>
                  </w:pPr>
                  <w:r>
                    <w:rPr>
                      <w:noProof/>
                    </w:rPr>
                    <w:t xml:space="preserve">Pensions age, 2023. </w:t>
                  </w:r>
                  <w:r>
                    <w:rPr>
                      <w:i/>
                      <w:iCs/>
                      <w:noProof/>
                    </w:rPr>
                    <w:t xml:space="preserve">Natwest acquires majority shareholding in Cushon for £144m. </w:t>
                  </w:r>
                  <w:r>
                    <w:rPr>
                      <w:noProof/>
                    </w:rPr>
                    <w:t xml:space="preserve">[Online] </w:t>
                  </w:r>
                  <w:r>
                    <w:rPr>
                      <w:noProof/>
                    </w:rPr>
                    <w:br/>
                    <w:t xml:space="preserve">Available at: </w:t>
                  </w:r>
                  <w:r>
                    <w:rPr>
                      <w:noProof/>
                      <w:u w:val="single"/>
                    </w:rPr>
                    <w:t>https://www.pensionsage.com/pa/Natwest-acquires-majority-shareholding-in-Cushon-for-144.php</w:t>
                  </w:r>
                </w:p>
                <w:p w14:paraId="12CF43AA" w14:textId="77777777" w:rsidR="008A3D9E" w:rsidRDefault="008A3D9E" w:rsidP="008A3D9E">
                  <w:pPr>
                    <w:pStyle w:val="Bibliography"/>
                    <w:rPr>
                      <w:noProof/>
                    </w:rPr>
                  </w:pPr>
                  <w:r>
                    <w:rPr>
                      <w:noProof/>
                    </w:rPr>
                    <w:t xml:space="preserve">Personetics, 2020. </w:t>
                  </w:r>
                  <w:r>
                    <w:rPr>
                      <w:i/>
                      <w:iCs/>
                      <w:noProof/>
                    </w:rPr>
                    <w:t xml:space="preserve">Santander UK partners with Personetics to improve customer digital experience and engagement through AI-driven personalised insights. </w:t>
                  </w:r>
                  <w:r>
                    <w:rPr>
                      <w:noProof/>
                    </w:rPr>
                    <w:t xml:space="preserve">[Online] </w:t>
                  </w:r>
                  <w:r>
                    <w:rPr>
                      <w:noProof/>
                    </w:rPr>
                    <w:br/>
                    <w:t xml:space="preserve">Available at: </w:t>
                  </w:r>
                  <w:r>
                    <w:rPr>
                      <w:noProof/>
                      <w:u w:val="single"/>
                    </w:rPr>
                    <w:t>https://personetics.com/santander-uk-partners-with-personetics-to-improve-customer-digital-experience-and-engagement-through-ai-driven-personalised-insights/</w:t>
                  </w:r>
                </w:p>
                <w:p w14:paraId="34638270" w14:textId="77777777" w:rsidR="008A3D9E" w:rsidRDefault="008A3D9E" w:rsidP="008A3D9E">
                  <w:pPr>
                    <w:pStyle w:val="Bibliography"/>
                    <w:rPr>
                      <w:noProof/>
                    </w:rPr>
                  </w:pPr>
                  <w:r>
                    <w:rPr>
                      <w:noProof/>
                    </w:rPr>
                    <w:t xml:space="preserve">Planixs, 2018. </w:t>
                  </w:r>
                  <w:r>
                    <w:rPr>
                      <w:i/>
                      <w:iCs/>
                      <w:noProof/>
                    </w:rPr>
                    <w:t xml:space="preserve">Planixs and Lloyds Banking Group Form a Strategic Partnership to Deliver Real-Time Intraday Cash and Liquidity Management Capabilities, Ensure BCBS248 Regulatory Compliance and to Build Out New Data Science Capabilities. </w:t>
                  </w:r>
                  <w:r>
                    <w:rPr>
                      <w:noProof/>
                    </w:rPr>
                    <w:t xml:space="preserve">[Online] </w:t>
                  </w:r>
                  <w:r>
                    <w:rPr>
                      <w:noProof/>
                    </w:rPr>
                    <w:br/>
                    <w:t xml:space="preserve">Available at: </w:t>
                  </w:r>
                  <w:r>
                    <w:rPr>
                      <w:noProof/>
                      <w:u w:val="single"/>
                    </w:rPr>
                    <w:t>https://www.planixs.com/news/planixs-and-lloyds-banking-group-form-a-strategic-partnership-to-deliver-real-time-intraday-cash-and-liquidity-management-capabilities-ensure-bcbs248-regulatory-compliance-and-to-build-out-new-data-s/#:~:text=us%20on%20LinkedI</w:t>
                  </w:r>
                </w:p>
                <w:p w14:paraId="417B6982" w14:textId="241F628A" w:rsidR="009A5F3E" w:rsidRPr="009A5F3E" w:rsidRDefault="008A3D9E" w:rsidP="0061716C">
                  <w:pPr>
                    <w:pStyle w:val="Bibliography"/>
                    <w:rPr>
                      <w:noProof/>
                    </w:rPr>
                  </w:pPr>
                  <w:r>
                    <w:rPr>
                      <w:noProof/>
                    </w:rPr>
                    <w:lastRenderedPageBreak/>
                    <w:t xml:space="preserve">PR Newswire, 2022. </w:t>
                  </w:r>
                  <w:r>
                    <w:rPr>
                      <w:i/>
                      <w:iCs/>
                      <w:noProof/>
                    </w:rPr>
                    <w:t xml:space="preserve">HSBC launches digital platform that revolutionises trade finance. </w:t>
                  </w:r>
                  <w:r>
                    <w:rPr>
                      <w:noProof/>
                    </w:rPr>
                    <w:t xml:space="preserve">[Online] </w:t>
                  </w:r>
                  <w:r>
                    <w:rPr>
                      <w:noProof/>
                    </w:rPr>
                    <w:br/>
                    <w:t xml:space="preserve">Available at: </w:t>
                  </w:r>
                  <w:r>
                    <w:rPr>
                      <w:noProof/>
                      <w:u w:val="single"/>
                    </w:rPr>
                    <w:t>https://www.prnewswire.com/news-releases/hsbc-launches-digital-platform-that-revolutionises-trade-finance-301643270.html</w:t>
                  </w:r>
                </w:p>
                <w:p w14:paraId="19BA2BE9" w14:textId="77777777" w:rsidR="008A3D9E" w:rsidRDefault="008A3D9E" w:rsidP="008A3D9E">
                  <w:pPr>
                    <w:pStyle w:val="Bibliography"/>
                    <w:rPr>
                      <w:noProof/>
                    </w:rPr>
                  </w:pPr>
                  <w:r>
                    <w:rPr>
                      <w:noProof/>
                    </w:rPr>
                    <w:t xml:space="preserve">PYMTS, 2020. </w:t>
                  </w:r>
                  <w:r>
                    <w:rPr>
                      <w:i/>
                      <w:iCs/>
                      <w:noProof/>
                    </w:rPr>
                    <w:t xml:space="preserve">Santander To Buy U.S. Bancorp Subsidiary Elavon México. </w:t>
                  </w:r>
                  <w:r>
                    <w:rPr>
                      <w:noProof/>
                    </w:rPr>
                    <w:t xml:space="preserve">[Online] </w:t>
                  </w:r>
                  <w:r>
                    <w:rPr>
                      <w:noProof/>
                    </w:rPr>
                    <w:br/>
                    <w:t xml:space="preserve">Available at: </w:t>
                  </w:r>
                  <w:r>
                    <w:rPr>
                      <w:noProof/>
                      <w:u w:val="single"/>
                    </w:rPr>
                    <w:t>https://www.pymnts.com/news/partnerships-acquisitions/2020/santander-to-buy-u-s-bancorp-subsidiary-elavon-mexico/</w:t>
                  </w:r>
                </w:p>
                <w:p w14:paraId="163336D4" w14:textId="77777777" w:rsidR="008A3D9E" w:rsidRDefault="008A3D9E" w:rsidP="008A3D9E">
                  <w:pPr>
                    <w:pStyle w:val="Bibliography"/>
                    <w:rPr>
                      <w:noProof/>
                      <w:u w:val="single"/>
                    </w:rPr>
                  </w:pPr>
                  <w:r>
                    <w:rPr>
                      <w:noProof/>
                    </w:rPr>
                    <w:t xml:space="preserve">Radical company, 2023. </w:t>
                  </w:r>
                  <w:r>
                    <w:rPr>
                      <w:i/>
                      <w:iCs/>
                      <w:noProof/>
                    </w:rPr>
                    <w:t xml:space="preserve">Barclays You-Shaped Banking. </w:t>
                  </w:r>
                  <w:r>
                    <w:rPr>
                      <w:noProof/>
                    </w:rPr>
                    <w:t xml:space="preserve">[Online] </w:t>
                  </w:r>
                  <w:r>
                    <w:rPr>
                      <w:noProof/>
                    </w:rPr>
                    <w:br/>
                    <w:t xml:space="preserve">Available at: </w:t>
                  </w:r>
                  <w:r>
                    <w:rPr>
                      <w:noProof/>
                      <w:u w:val="single"/>
                    </w:rPr>
                    <w:t>https://www.radicalcompany.com/case-studies/study/barclays</w:t>
                  </w:r>
                </w:p>
                <w:p w14:paraId="229F0476" w14:textId="77777777" w:rsidR="00BA6A61" w:rsidRDefault="00BA6A61" w:rsidP="00BA6A61">
                  <w:pPr>
                    <w:pStyle w:val="NormalWeb"/>
                    <w:spacing w:before="0" w:beforeAutospacing="0" w:after="240" w:afterAutospacing="0" w:line="360" w:lineRule="auto"/>
                  </w:pPr>
                  <w:r>
                    <w:t xml:space="preserve">Reinartz, W, Wiegand, N &amp; Imschloss, M 2019, ‘The Impact of Digital Transformation on the Retailing Value Chain’, </w:t>
                  </w:r>
                  <w:r>
                    <w:rPr>
                      <w:i/>
                      <w:iCs/>
                    </w:rPr>
                    <w:t>International Journal of Research in Marketing</w:t>
                  </w:r>
                  <w:r>
                    <w:t>, vol. 36, no. 3, pp. 350–366.</w:t>
                  </w:r>
                </w:p>
                <w:p w14:paraId="21B11C7F" w14:textId="7254763E" w:rsidR="00BA6A61" w:rsidRDefault="00BA6A61" w:rsidP="00BA6A61">
                  <w:pPr>
                    <w:pStyle w:val="NormalWeb"/>
                    <w:spacing w:before="0" w:beforeAutospacing="0" w:after="240" w:afterAutospacing="0" w:line="360" w:lineRule="auto"/>
                  </w:pPr>
                  <w:r>
                    <w:t xml:space="preserve">Rizi-Shorvon, E 2023, </w:t>
                  </w:r>
                  <w:r>
                    <w:rPr>
                      <w:i/>
                      <w:iCs/>
                    </w:rPr>
                    <w:t>How NatWest is building a relationship bank in a digital world</w:t>
                  </w:r>
                  <w:r>
                    <w:t>, Microsoft News Centre UK.</w:t>
                  </w:r>
                </w:p>
                <w:p w14:paraId="7DDB28B3" w14:textId="77777777" w:rsidR="00EC7DE0" w:rsidRDefault="00EC7DE0" w:rsidP="00EC7DE0">
                  <w:pPr>
                    <w:pStyle w:val="NormalWeb"/>
                    <w:spacing w:before="0" w:beforeAutospacing="0" w:after="240" w:afterAutospacing="0" w:line="360" w:lineRule="auto"/>
                  </w:pPr>
                  <w:r>
                    <w:t xml:space="preserve">Roy, S 2020, </w:t>
                  </w:r>
                  <w:r>
                    <w:rPr>
                      <w:i/>
                      <w:iCs/>
                    </w:rPr>
                    <w:t>How Lloyds Banking Group is really doing with tech adoption</w:t>
                  </w:r>
                  <w:r>
                    <w:t>, TechHQ.</w:t>
                  </w:r>
                </w:p>
                <w:p w14:paraId="548E9AF2" w14:textId="5475F0D0" w:rsidR="00EC7DE0" w:rsidRPr="00BA6A61" w:rsidRDefault="00EC7DE0" w:rsidP="00BA6A61">
                  <w:pPr>
                    <w:pStyle w:val="NormalWeb"/>
                    <w:spacing w:before="0" w:beforeAutospacing="0" w:after="240" w:afterAutospacing="0" w:line="360" w:lineRule="auto"/>
                  </w:pPr>
                  <w:r>
                    <w:t xml:space="preserve">Rubanov, PM 2020, ‘Transformation of the Banking Sector in the Digital Era’, </w:t>
                  </w:r>
                  <w:r>
                    <w:rPr>
                      <w:i/>
                      <w:iCs/>
                    </w:rPr>
                    <w:t>Mechanism of an Economic Regulation</w:t>
                  </w:r>
                  <w:r>
                    <w:t>, no. 4, pp. 110–118.</w:t>
                  </w:r>
                </w:p>
                <w:p w14:paraId="45CB2ACC" w14:textId="77777777" w:rsidR="008A3D9E" w:rsidRDefault="008A3D9E" w:rsidP="008A3D9E">
                  <w:pPr>
                    <w:pStyle w:val="Bibliography"/>
                    <w:rPr>
                      <w:noProof/>
                    </w:rPr>
                  </w:pPr>
                  <w:r>
                    <w:rPr>
                      <w:noProof/>
                    </w:rPr>
                    <w:t xml:space="preserve">Santander UK plc, 2022. </w:t>
                  </w:r>
                  <w:r>
                    <w:rPr>
                      <w:i/>
                      <w:iCs/>
                      <w:noProof/>
                    </w:rPr>
                    <w:t xml:space="preserve">Annual Report, </w:t>
                  </w:r>
                  <w:r>
                    <w:rPr>
                      <w:noProof/>
                    </w:rPr>
                    <w:t>s.l.: Santander UK plc.</w:t>
                  </w:r>
                </w:p>
                <w:p w14:paraId="0C70542D" w14:textId="51C2FA0C" w:rsidR="008A3D9E" w:rsidRDefault="008A3D9E" w:rsidP="008A3D9E">
                  <w:pPr>
                    <w:pStyle w:val="Bibliography"/>
                    <w:rPr>
                      <w:noProof/>
                    </w:rPr>
                  </w:pPr>
                  <w:r>
                    <w:rPr>
                      <w:noProof/>
                    </w:rPr>
                    <w:t xml:space="preserve">Santander, 2018. </w:t>
                  </w:r>
                  <w:r>
                    <w:rPr>
                      <w:i/>
                      <w:iCs/>
                      <w:noProof/>
                    </w:rPr>
                    <w:t xml:space="preserve">Santander launches the first blockchain-based international money transfer service across four countries. </w:t>
                  </w:r>
                  <w:r>
                    <w:rPr>
                      <w:noProof/>
                    </w:rPr>
                    <w:t xml:space="preserve">[Online] </w:t>
                  </w:r>
                  <w:r>
                    <w:rPr>
                      <w:noProof/>
                    </w:rPr>
                    <w:br/>
                    <w:t xml:space="preserve">Available at: </w:t>
                  </w:r>
                  <w:r>
                    <w:rPr>
                      <w:noProof/>
                      <w:u w:val="single"/>
                    </w:rPr>
                    <w:t>https://www.santander.co.uk/about-santander/media-centre/press-releases/santander-launches-the-first-blockchain-based-international-money-transfer-service-across-four#:~:text=across%20four%20countries-,Santander%20launches%20the%20first%20blockchain%2Dba</w:t>
                  </w:r>
                </w:p>
                <w:p w14:paraId="34325A90" w14:textId="199BB767" w:rsidR="008A3D9E" w:rsidRDefault="008A3D9E" w:rsidP="008A3D9E">
                  <w:pPr>
                    <w:pStyle w:val="Bibliography"/>
                    <w:rPr>
                      <w:noProof/>
                    </w:rPr>
                  </w:pPr>
                  <w:r>
                    <w:rPr>
                      <w:noProof/>
                    </w:rPr>
                    <w:t xml:space="preserve">Santander, 2019. </w:t>
                  </w:r>
                  <w:r>
                    <w:rPr>
                      <w:i/>
                      <w:iCs/>
                      <w:noProof/>
                    </w:rPr>
                    <w:t xml:space="preserve">Technology, talent and size to underpin Santander's strategy. </w:t>
                  </w:r>
                  <w:r>
                    <w:rPr>
                      <w:noProof/>
                    </w:rPr>
                    <w:t xml:space="preserve">[Online] </w:t>
                  </w:r>
                  <w:r>
                    <w:rPr>
                      <w:noProof/>
                    </w:rPr>
                    <w:br/>
                    <w:t xml:space="preserve">Available at: </w:t>
                  </w:r>
                  <w:r>
                    <w:rPr>
                      <w:noProof/>
                      <w:u w:val="single"/>
                    </w:rPr>
                    <w:t>https://www.santander.com/en/stories/technology-talent-and-size-to-underpin-santanders-strategy</w:t>
                  </w:r>
                </w:p>
                <w:p w14:paraId="0AC9234D" w14:textId="77777777" w:rsidR="008A3D9E" w:rsidRDefault="008A3D9E" w:rsidP="008A3D9E">
                  <w:pPr>
                    <w:pStyle w:val="Bibliography"/>
                    <w:rPr>
                      <w:noProof/>
                    </w:rPr>
                  </w:pPr>
                  <w:r>
                    <w:rPr>
                      <w:noProof/>
                    </w:rPr>
                    <w:t xml:space="preserve">Santander, 2022. </w:t>
                  </w:r>
                  <w:r>
                    <w:rPr>
                      <w:i/>
                      <w:iCs/>
                      <w:noProof/>
                    </w:rPr>
                    <w:t xml:space="preserve">Santander launches Zinia, its new buy now, pay later service. </w:t>
                  </w:r>
                  <w:r>
                    <w:rPr>
                      <w:noProof/>
                    </w:rPr>
                    <w:t xml:space="preserve">[Online] </w:t>
                  </w:r>
                  <w:r>
                    <w:rPr>
                      <w:noProof/>
                    </w:rPr>
                    <w:br/>
                    <w:t xml:space="preserve">Available at: </w:t>
                  </w:r>
                  <w:r>
                    <w:rPr>
                      <w:noProof/>
                      <w:u w:val="single"/>
                    </w:rPr>
                    <w:t>https://www.santander.com/en/press-room/press-releases/2022/01/santander-launches-zinia-its-new-buy-now-pay-later-service</w:t>
                  </w:r>
                </w:p>
                <w:p w14:paraId="615C0468" w14:textId="77777777" w:rsidR="008A3D9E" w:rsidRDefault="008A3D9E" w:rsidP="008A3D9E">
                  <w:pPr>
                    <w:pStyle w:val="Bibliography"/>
                    <w:rPr>
                      <w:noProof/>
                    </w:rPr>
                  </w:pPr>
                  <w:r>
                    <w:rPr>
                      <w:noProof/>
                    </w:rPr>
                    <w:t xml:space="preserve">Santander, 2022. </w:t>
                  </w:r>
                  <w:r>
                    <w:rPr>
                      <w:i/>
                      <w:iCs/>
                      <w:noProof/>
                    </w:rPr>
                    <w:t xml:space="preserve">Sustainability Report, </w:t>
                  </w:r>
                  <w:r>
                    <w:rPr>
                      <w:noProof/>
                    </w:rPr>
                    <w:t>s.l.: Santander.</w:t>
                  </w:r>
                </w:p>
                <w:p w14:paraId="2221F5E8" w14:textId="77777777" w:rsidR="008A3D9E" w:rsidRDefault="008A3D9E" w:rsidP="008A3D9E">
                  <w:pPr>
                    <w:pStyle w:val="Bibliography"/>
                    <w:rPr>
                      <w:noProof/>
                    </w:rPr>
                  </w:pPr>
                  <w:r>
                    <w:rPr>
                      <w:noProof/>
                    </w:rPr>
                    <w:lastRenderedPageBreak/>
                    <w:t xml:space="preserve">Saunders, M., Lewis, P. &amp; Thornhill, A., 2019. </w:t>
                  </w:r>
                  <w:r>
                    <w:rPr>
                      <w:i/>
                      <w:iCs/>
                      <w:noProof/>
                    </w:rPr>
                    <w:t xml:space="preserve">Research Methods for Business Students. </w:t>
                  </w:r>
                  <w:r>
                    <w:rPr>
                      <w:noProof/>
                    </w:rPr>
                    <w:t>8th ed. s.l.:Pearson Limited.</w:t>
                  </w:r>
                </w:p>
                <w:p w14:paraId="3AEF2466" w14:textId="0D3E6B93" w:rsidR="004B350E" w:rsidRPr="004B350E" w:rsidRDefault="004B350E" w:rsidP="004B350E">
                  <w:pPr>
                    <w:pStyle w:val="NormalWeb"/>
                    <w:spacing w:before="0" w:beforeAutospacing="0" w:after="240" w:afterAutospacing="0" w:line="360" w:lineRule="auto"/>
                  </w:pPr>
                  <w:r>
                    <w:t xml:space="preserve">Svensen, N 2019, </w:t>
                  </w:r>
                  <w:r>
                    <w:rPr>
                      <w:i/>
                      <w:iCs/>
                    </w:rPr>
                    <w:t>Banking On Brand Experience: Why Getting Close To Customers Is The Real Currency For Today’s Financial Services Companies</w:t>
                  </w:r>
                  <w:r>
                    <w:t>, Global Finance and Banking Review, viewed 2 November 2023, &lt;https://www.globalbankingandfinance.com/banking-on-brand-experience-why-getting-close-to-customers-is-the-real-currency-for-todays-financial-services-companies/&gt;.</w:t>
                  </w:r>
                </w:p>
                <w:p w14:paraId="0BE37CE2" w14:textId="77777777" w:rsidR="008A3D9E" w:rsidRDefault="008A3D9E" w:rsidP="008A3D9E">
                  <w:pPr>
                    <w:pStyle w:val="Bibliography"/>
                    <w:rPr>
                      <w:noProof/>
                    </w:rPr>
                  </w:pPr>
                  <w:r>
                    <w:rPr>
                      <w:noProof/>
                    </w:rPr>
                    <w:t xml:space="preserve">The trade news, 2018. </w:t>
                  </w:r>
                  <w:r>
                    <w:rPr>
                      <w:i/>
                      <w:iCs/>
                      <w:noProof/>
                    </w:rPr>
                    <w:t xml:space="preserve">HSBC joins $36 million funding round in blockchain specialist Axoni. </w:t>
                  </w:r>
                  <w:r>
                    <w:rPr>
                      <w:noProof/>
                    </w:rPr>
                    <w:t xml:space="preserve">[Online] </w:t>
                  </w:r>
                  <w:r>
                    <w:rPr>
                      <w:noProof/>
                    </w:rPr>
                    <w:br/>
                    <w:t xml:space="preserve">Available at: </w:t>
                  </w:r>
                  <w:r>
                    <w:rPr>
                      <w:noProof/>
                      <w:u w:val="single"/>
                    </w:rPr>
                    <w:t>https://www.thetradenews.com/hsbc-joins-36-million-funding-round-blockchain-specialist-axoni/</w:t>
                  </w:r>
                </w:p>
                <w:p w14:paraId="313A9509" w14:textId="77777777" w:rsidR="008A3D9E" w:rsidRDefault="008A3D9E" w:rsidP="008A3D9E">
                  <w:pPr>
                    <w:pStyle w:val="Bibliography"/>
                    <w:rPr>
                      <w:noProof/>
                    </w:rPr>
                  </w:pPr>
                  <w:r>
                    <w:rPr>
                      <w:noProof/>
                    </w:rPr>
                    <w:t xml:space="preserve">Tzortzakis, I., 2018. </w:t>
                  </w:r>
                  <w:r>
                    <w:rPr>
                      <w:i/>
                      <w:iCs/>
                      <w:noProof/>
                    </w:rPr>
                    <w:t xml:space="preserve">Lloyds bank’s digital transformation. </w:t>
                  </w:r>
                  <w:r>
                    <w:rPr>
                      <w:noProof/>
                    </w:rPr>
                    <w:t xml:space="preserve">[Online] </w:t>
                  </w:r>
                  <w:r>
                    <w:rPr>
                      <w:noProof/>
                    </w:rPr>
                    <w:br/>
                    <w:t xml:space="preserve">Available at: </w:t>
                  </w:r>
                  <w:r>
                    <w:rPr>
                      <w:noProof/>
                      <w:u w:val="single"/>
                    </w:rPr>
                    <w:t>https://www.eurofound.europa.eu/en/resources/article/2018/lloyds-banks-digital-transformation</w:t>
                  </w:r>
                </w:p>
                <w:p w14:paraId="2F74572F" w14:textId="77777777" w:rsidR="008A3D9E" w:rsidRDefault="008A3D9E" w:rsidP="008A3D9E">
                  <w:pPr>
                    <w:pStyle w:val="Bibliography"/>
                    <w:rPr>
                      <w:noProof/>
                    </w:rPr>
                  </w:pPr>
                  <w:r>
                    <w:rPr>
                      <w:noProof/>
                    </w:rPr>
                    <w:t xml:space="preserve">Wright, A. &amp; Wilson, H., 2023. </w:t>
                  </w:r>
                  <w:r>
                    <w:rPr>
                      <w:i/>
                      <w:iCs/>
                      <w:noProof/>
                    </w:rPr>
                    <w:t xml:space="preserve">Innovation and transformation in banking. </w:t>
                  </w:r>
                  <w:r>
                    <w:rPr>
                      <w:noProof/>
                    </w:rPr>
                    <w:t xml:space="preserve">[Online] </w:t>
                  </w:r>
                  <w:r>
                    <w:rPr>
                      <w:noProof/>
                    </w:rPr>
                    <w:br/>
                    <w:t xml:space="preserve">Available at: </w:t>
                  </w:r>
                  <w:r>
                    <w:rPr>
                      <w:noProof/>
                      <w:u w:val="single"/>
                    </w:rPr>
                    <w:t>https://www.raconteur.net/insights/innovation-and-transformation-in-banking</w:t>
                  </w:r>
                </w:p>
                <w:p w14:paraId="1D41628B" w14:textId="77777777" w:rsidR="008A3D9E" w:rsidRDefault="008A3D9E" w:rsidP="008A3D9E">
                  <w:pPr>
                    <w:pStyle w:val="Bibliography"/>
                    <w:rPr>
                      <w:noProof/>
                    </w:rPr>
                  </w:pPr>
                  <w:r>
                    <w:rPr>
                      <w:noProof/>
                    </w:rPr>
                    <w:t xml:space="preserve">Yoti, 2023. </w:t>
                  </w:r>
                  <w:r>
                    <w:rPr>
                      <w:i/>
                      <w:iCs/>
                      <w:noProof/>
                    </w:rPr>
                    <w:t xml:space="preserve">Yoti releases a new Digital ID app with Lloyds Bank. </w:t>
                  </w:r>
                  <w:r>
                    <w:rPr>
                      <w:noProof/>
                    </w:rPr>
                    <w:t xml:space="preserve">[Online] </w:t>
                  </w:r>
                  <w:r>
                    <w:rPr>
                      <w:noProof/>
                    </w:rPr>
                    <w:br/>
                    <w:t xml:space="preserve">Available at: </w:t>
                  </w:r>
                  <w:r>
                    <w:rPr>
                      <w:noProof/>
                      <w:u w:val="single"/>
                    </w:rPr>
                    <w:t>https://www.yoti.com/blog/yoti-releases-a-new-digital-id-app-with-lloyds-bank/</w:t>
                  </w:r>
                </w:p>
                <w:p w14:paraId="706E385F" w14:textId="77777777" w:rsidR="008A3D9E" w:rsidRDefault="008A3D9E" w:rsidP="008A3D9E">
                  <w:pPr>
                    <w:pStyle w:val="Bibliography"/>
                    <w:rPr>
                      <w:noProof/>
                    </w:rPr>
                  </w:pPr>
                  <w:r>
                    <w:rPr>
                      <w:noProof/>
                    </w:rPr>
                    <w:t xml:space="preserve">Zdnet, 2013. </w:t>
                  </w:r>
                  <w:r>
                    <w:rPr>
                      <w:i/>
                      <w:iCs/>
                      <w:noProof/>
                    </w:rPr>
                    <w:t xml:space="preserve">Barclays puts Nuance voice recognition tech to work at identifying customers. </w:t>
                  </w:r>
                  <w:r>
                    <w:rPr>
                      <w:noProof/>
                    </w:rPr>
                    <w:t xml:space="preserve">[Online] </w:t>
                  </w:r>
                  <w:r>
                    <w:rPr>
                      <w:noProof/>
                    </w:rPr>
                    <w:br/>
                    <w:t xml:space="preserve">Available at: </w:t>
                  </w:r>
                  <w:r>
                    <w:rPr>
                      <w:noProof/>
                      <w:u w:val="single"/>
                    </w:rPr>
                    <w:t>https://www.zdnet.com/finance/barclays-puts-nuance-voice-recognition-tech-to-work-at-identifying-customers/</w:t>
                  </w:r>
                </w:p>
                <w:p w14:paraId="51C8104F" w14:textId="193DF9F7" w:rsidR="008A3D9E" w:rsidRDefault="008A3D9E" w:rsidP="008A3D9E">
                  <w:r>
                    <w:rPr>
                      <w:b/>
                      <w:bCs/>
                      <w:noProof/>
                    </w:rPr>
                    <w:fldChar w:fldCharType="end"/>
                  </w:r>
                </w:p>
              </w:sdtContent>
            </w:sdt>
          </w:sdtContent>
        </w:sdt>
        <w:p w14:paraId="3B84E8F9" w14:textId="264510F4" w:rsidR="00022091" w:rsidRDefault="00000000" w:rsidP="00694D5D">
          <w:pPr>
            <w:spacing w:line="360" w:lineRule="auto"/>
            <w:jc w:val="both"/>
          </w:pPr>
        </w:p>
      </w:sdtContent>
    </w:sdt>
    <w:p w14:paraId="25E92D1E" w14:textId="7F95A65E" w:rsidR="00E67137" w:rsidRDefault="00E67137">
      <w:r>
        <w:br w:type="page"/>
      </w:r>
    </w:p>
    <w:p w14:paraId="664247B6" w14:textId="77777777" w:rsidR="00E67137" w:rsidRPr="009356C2" w:rsidRDefault="00E67137" w:rsidP="00E67137">
      <w:pPr>
        <w:spacing w:after="120"/>
        <w:rPr>
          <w:rFonts w:ascii="Arial" w:hAnsi="Arial" w:cs="Arial"/>
          <w:b/>
        </w:rPr>
      </w:pPr>
    </w:p>
    <w:p w14:paraId="17C60209" w14:textId="4AC804EA" w:rsidR="00E67137" w:rsidRPr="009356C2" w:rsidRDefault="00E67137" w:rsidP="00E6713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78F83CD2" wp14:editId="156124A8">
            <wp:extent cx="1857375" cy="762000"/>
            <wp:effectExtent l="0" t="0" r="0" b="0"/>
            <wp:docPr id="68585381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53810" name="Picture 1" descr="A black and white logo&#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2248E2D8"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61334E8F"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859B8D7"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7514D15D"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 Deena Palanchoke</w:t>
      </w:r>
    </w:p>
    <w:p w14:paraId="2F4E39E5" w14:textId="2146B987" w:rsidR="00E67137" w:rsidRDefault="00E67137" w:rsidP="00955D9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 xml:space="preserve">– </w:t>
      </w:r>
      <w:proofErr w:type="gramStart"/>
      <w:r>
        <w:rPr>
          <w:rFonts w:ascii="Arial" w:hAnsi="Arial" w:cs="Arial"/>
        </w:rPr>
        <w:t>13/02/2024</w:t>
      </w:r>
      <w:proofErr w:type="gramEnd"/>
      <w:r w:rsidRPr="009356C2">
        <w:rPr>
          <w:rFonts w:ascii="Arial" w:hAnsi="Arial" w:cs="Arial"/>
        </w:rPr>
        <w:t xml:space="preserve">  </w:t>
      </w:r>
    </w:p>
    <w:p w14:paraId="670FDA8F"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66408E04"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 Deena Palanchoke</w:t>
      </w:r>
    </w:p>
    <w:p w14:paraId="55952923"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 xml:space="preserve">– </w:t>
      </w:r>
      <w:proofErr w:type="gramStart"/>
      <w:r>
        <w:rPr>
          <w:rFonts w:ascii="Arial" w:hAnsi="Arial" w:cs="Arial"/>
        </w:rPr>
        <w:t>13/02/2024</w:t>
      </w:r>
      <w:proofErr w:type="gramEnd"/>
    </w:p>
    <w:p w14:paraId="5657FCF4"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890034C"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7DB283E"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DA39DC0"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 Deena Palanchoke</w:t>
      </w:r>
    </w:p>
    <w:p w14:paraId="18E7B6AE"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 </w:t>
      </w:r>
      <w:proofErr w:type="gramStart"/>
      <w:r>
        <w:rPr>
          <w:rFonts w:ascii="Arial" w:hAnsi="Arial" w:cs="Arial"/>
        </w:rPr>
        <w:t>13/02/2024</w:t>
      </w:r>
      <w:proofErr w:type="gramEnd"/>
    </w:p>
    <w:p w14:paraId="228E29E1" w14:textId="059D395E"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4. I hereby give consent for my dissertation, if accepted, to be available for photocopying, inter- library loan, and for deposit in the University’s digital repository </w:t>
      </w:r>
    </w:p>
    <w:p w14:paraId="42E964AB"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 Deena Palanchoke</w:t>
      </w:r>
    </w:p>
    <w:p w14:paraId="0EC7DC5A"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 </w:t>
      </w:r>
      <w:proofErr w:type="gramStart"/>
      <w:r>
        <w:rPr>
          <w:rFonts w:ascii="Arial" w:hAnsi="Arial" w:cs="Arial"/>
        </w:rPr>
        <w:t>13/02/2024</w:t>
      </w:r>
      <w:proofErr w:type="gramEnd"/>
    </w:p>
    <w:p w14:paraId="245D0F36"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11D4C08"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7BFA9855"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Dave Coker</w:t>
      </w:r>
      <w:r w:rsidRPr="009356C2">
        <w:rPr>
          <w:rFonts w:ascii="Arial" w:hAnsi="Arial" w:cs="Arial"/>
        </w:rPr>
        <w:t>………………………………………………………</w:t>
      </w:r>
      <w:proofErr w:type="gramStart"/>
      <w:r w:rsidRPr="009356C2">
        <w:rPr>
          <w:rFonts w:ascii="Arial" w:hAnsi="Arial" w:cs="Arial"/>
        </w:rPr>
        <w:t>…..</w:t>
      </w:r>
      <w:proofErr w:type="gramEnd"/>
    </w:p>
    <w:p w14:paraId="57B2F561" w14:textId="77777777" w:rsidR="00E67137" w:rsidRPr="009356C2" w:rsidRDefault="00E67137" w:rsidP="00E67137">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13/2/2024</w:t>
      </w:r>
      <w:r w:rsidRPr="009356C2">
        <w:rPr>
          <w:rFonts w:ascii="Arial" w:hAnsi="Arial" w:cs="Arial"/>
        </w:rPr>
        <w:t>………………………………………………………...</w:t>
      </w:r>
    </w:p>
    <w:p w14:paraId="2B1C5511" w14:textId="77777777" w:rsidR="00D87466" w:rsidRPr="004338BC" w:rsidRDefault="00D87466" w:rsidP="004338BC"/>
    <w:sectPr w:rsidR="00D87466" w:rsidRPr="004338BC" w:rsidSect="0037718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A2186" w14:textId="77777777" w:rsidR="00377186" w:rsidRDefault="00377186" w:rsidP="00167FFC">
      <w:pPr>
        <w:spacing w:after="0" w:line="240" w:lineRule="auto"/>
      </w:pPr>
      <w:r>
        <w:separator/>
      </w:r>
    </w:p>
  </w:endnote>
  <w:endnote w:type="continuationSeparator" w:id="0">
    <w:p w14:paraId="49596EF4" w14:textId="77777777" w:rsidR="00377186" w:rsidRDefault="00377186" w:rsidP="00167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346958"/>
      <w:docPartObj>
        <w:docPartGallery w:val="Page Numbers (Bottom of Page)"/>
        <w:docPartUnique/>
      </w:docPartObj>
    </w:sdtPr>
    <w:sdtEndPr>
      <w:rPr>
        <w:noProof/>
      </w:rPr>
    </w:sdtEndPr>
    <w:sdtContent>
      <w:p w14:paraId="21BF2939" w14:textId="566CE197" w:rsidR="000D0534" w:rsidRDefault="000D05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988E6" w14:textId="77777777" w:rsidR="00C93912" w:rsidRDefault="00C93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53936" w14:textId="77777777" w:rsidR="00377186" w:rsidRDefault="00377186" w:rsidP="00167FFC">
      <w:pPr>
        <w:spacing w:after="0" w:line="240" w:lineRule="auto"/>
      </w:pPr>
      <w:r>
        <w:separator/>
      </w:r>
    </w:p>
  </w:footnote>
  <w:footnote w:type="continuationSeparator" w:id="0">
    <w:p w14:paraId="5F9880DC" w14:textId="77777777" w:rsidR="00377186" w:rsidRDefault="00377186" w:rsidP="00167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03AD"/>
    <w:multiLevelType w:val="hybridMultilevel"/>
    <w:tmpl w:val="6DC245A4"/>
    <w:lvl w:ilvl="0" w:tplc="3FA6322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9149D"/>
    <w:multiLevelType w:val="hybridMultilevel"/>
    <w:tmpl w:val="E03842C4"/>
    <w:lvl w:ilvl="0" w:tplc="3FA6322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9547D2"/>
    <w:multiLevelType w:val="hybridMultilevel"/>
    <w:tmpl w:val="0B12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C51CF"/>
    <w:multiLevelType w:val="hybridMultilevel"/>
    <w:tmpl w:val="6EA08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B14620"/>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04A6638"/>
    <w:multiLevelType w:val="hybridMultilevel"/>
    <w:tmpl w:val="B07E630C"/>
    <w:lvl w:ilvl="0" w:tplc="04090001">
      <w:start w:val="1"/>
      <w:numFmt w:val="bullet"/>
      <w:lvlText w:val=""/>
      <w:lvlJc w:val="left"/>
      <w:pPr>
        <w:ind w:left="720" w:hanging="360"/>
      </w:pPr>
      <w:rPr>
        <w:rFonts w:ascii="Symbol" w:hAnsi="Symbol" w:hint="default"/>
      </w:rPr>
    </w:lvl>
    <w:lvl w:ilvl="1" w:tplc="40BA7D8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2E3611"/>
    <w:multiLevelType w:val="hybridMultilevel"/>
    <w:tmpl w:val="BB72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281CF3"/>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4F84646"/>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A8D5FC4"/>
    <w:multiLevelType w:val="hybridMultilevel"/>
    <w:tmpl w:val="A022A7EA"/>
    <w:lvl w:ilvl="0" w:tplc="04090001">
      <w:start w:val="1"/>
      <w:numFmt w:val="bullet"/>
      <w:lvlText w:val=""/>
      <w:lvlJc w:val="left"/>
      <w:pPr>
        <w:ind w:left="720" w:hanging="360"/>
      </w:pPr>
      <w:rPr>
        <w:rFonts w:ascii="Symbol" w:hAnsi="Symbol" w:hint="default"/>
      </w:rPr>
    </w:lvl>
    <w:lvl w:ilvl="1" w:tplc="503431A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3846C4"/>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655652282">
    <w:abstractNumId w:val="3"/>
  </w:num>
  <w:num w:numId="2" w16cid:durableId="1740202119">
    <w:abstractNumId w:val="6"/>
  </w:num>
  <w:num w:numId="3" w16cid:durableId="1523322074">
    <w:abstractNumId w:val="1"/>
  </w:num>
  <w:num w:numId="4" w16cid:durableId="132672726">
    <w:abstractNumId w:val="0"/>
  </w:num>
  <w:num w:numId="5" w16cid:durableId="1908608706">
    <w:abstractNumId w:val="2"/>
  </w:num>
  <w:num w:numId="6" w16cid:durableId="221332633">
    <w:abstractNumId w:val="9"/>
  </w:num>
  <w:num w:numId="7" w16cid:durableId="1598176398">
    <w:abstractNumId w:val="5"/>
  </w:num>
  <w:num w:numId="8" w16cid:durableId="1012415823">
    <w:abstractNumId w:val="10"/>
  </w:num>
  <w:num w:numId="9" w16cid:durableId="20328176">
    <w:abstractNumId w:val="4"/>
  </w:num>
  <w:num w:numId="10" w16cid:durableId="1352953907">
    <w:abstractNumId w:val="7"/>
  </w:num>
  <w:num w:numId="11" w16cid:durableId="10147671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F6"/>
    <w:rsid w:val="00000D37"/>
    <w:rsid w:val="000029D4"/>
    <w:rsid w:val="00003842"/>
    <w:rsid w:val="00004740"/>
    <w:rsid w:val="00006AF7"/>
    <w:rsid w:val="00007976"/>
    <w:rsid w:val="00007A4A"/>
    <w:rsid w:val="000119B4"/>
    <w:rsid w:val="000119CD"/>
    <w:rsid w:val="00014A3E"/>
    <w:rsid w:val="00015720"/>
    <w:rsid w:val="00015CC7"/>
    <w:rsid w:val="00022091"/>
    <w:rsid w:val="0002597E"/>
    <w:rsid w:val="00025BDE"/>
    <w:rsid w:val="00025F56"/>
    <w:rsid w:val="00026981"/>
    <w:rsid w:val="00027AE0"/>
    <w:rsid w:val="0003257D"/>
    <w:rsid w:val="000354F4"/>
    <w:rsid w:val="00036114"/>
    <w:rsid w:val="00037186"/>
    <w:rsid w:val="000439FB"/>
    <w:rsid w:val="00046803"/>
    <w:rsid w:val="00046DAA"/>
    <w:rsid w:val="000476DC"/>
    <w:rsid w:val="00054019"/>
    <w:rsid w:val="00054626"/>
    <w:rsid w:val="0005651D"/>
    <w:rsid w:val="00057C48"/>
    <w:rsid w:val="0006234D"/>
    <w:rsid w:val="00064B5F"/>
    <w:rsid w:val="00065F38"/>
    <w:rsid w:val="00066EF5"/>
    <w:rsid w:val="00067164"/>
    <w:rsid w:val="000671F4"/>
    <w:rsid w:val="0006792B"/>
    <w:rsid w:val="000700F5"/>
    <w:rsid w:val="000705C6"/>
    <w:rsid w:val="00072B97"/>
    <w:rsid w:val="0007343C"/>
    <w:rsid w:val="00074E21"/>
    <w:rsid w:val="00074E4F"/>
    <w:rsid w:val="00075B2C"/>
    <w:rsid w:val="000771AF"/>
    <w:rsid w:val="00080840"/>
    <w:rsid w:val="000819AB"/>
    <w:rsid w:val="000836DD"/>
    <w:rsid w:val="00083D5D"/>
    <w:rsid w:val="00092C1F"/>
    <w:rsid w:val="00092E2E"/>
    <w:rsid w:val="0009324F"/>
    <w:rsid w:val="0009424A"/>
    <w:rsid w:val="00094D3C"/>
    <w:rsid w:val="00095656"/>
    <w:rsid w:val="00095D06"/>
    <w:rsid w:val="00095D62"/>
    <w:rsid w:val="00096643"/>
    <w:rsid w:val="000967B7"/>
    <w:rsid w:val="000A06CA"/>
    <w:rsid w:val="000A2C8A"/>
    <w:rsid w:val="000A5D56"/>
    <w:rsid w:val="000A7554"/>
    <w:rsid w:val="000A784F"/>
    <w:rsid w:val="000B1BF4"/>
    <w:rsid w:val="000B4625"/>
    <w:rsid w:val="000C0ACA"/>
    <w:rsid w:val="000C1C7F"/>
    <w:rsid w:val="000C3A18"/>
    <w:rsid w:val="000C3FB3"/>
    <w:rsid w:val="000C4B5B"/>
    <w:rsid w:val="000D0534"/>
    <w:rsid w:val="000D2E51"/>
    <w:rsid w:val="000D52F5"/>
    <w:rsid w:val="000D64FC"/>
    <w:rsid w:val="000D78E8"/>
    <w:rsid w:val="000D7EA9"/>
    <w:rsid w:val="000E3D3C"/>
    <w:rsid w:val="000E71C1"/>
    <w:rsid w:val="000E7DCF"/>
    <w:rsid w:val="000F00D5"/>
    <w:rsid w:val="000F0B4A"/>
    <w:rsid w:val="000F14B6"/>
    <w:rsid w:val="000F2E16"/>
    <w:rsid w:val="000F69B9"/>
    <w:rsid w:val="000F7673"/>
    <w:rsid w:val="0010139A"/>
    <w:rsid w:val="001021E2"/>
    <w:rsid w:val="001023A5"/>
    <w:rsid w:val="00103224"/>
    <w:rsid w:val="0010701A"/>
    <w:rsid w:val="001119A0"/>
    <w:rsid w:val="00114701"/>
    <w:rsid w:val="00117293"/>
    <w:rsid w:val="0012413E"/>
    <w:rsid w:val="0012454D"/>
    <w:rsid w:val="00125362"/>
    <w:rsid w:val="00125BB0"/>
    <w:rsid w:val="001307B6"/>
    <w:rsid w:val="00133876"/>
    <w:rsid w:val="00135C94"/>
    <w:rsid w:val="00136F4F"/>
    <w:rsid w:val="001370D0"/>
    <w:rsid w:val="001372D4"/>
    <w:rsid w:val="00137770"/>
    <w:rsid w:val="00140CD2"/>
    <w:rsid w:val="00141519"/>
    <w:rsid w:val="00141F8A"/>
    <w:rsid w:val="00142AAA"/>
    <w:rsid w:val="00142E60"/>
    <w:rsid w:val="00144AF8"/>
    <w:rsid w:val="00145006"/>
    <w:rsid w:val="001452BD"/>
    <w:rsid w:val="00150081"/>
    <w:rsid w:val="001505AF"/>
    <w:rsid w:val="0015103A"/>
    <w:rsid w:val="00151A55"/>
    <w:rsid w:val="00153418"/>
    <w:rsid w:val="00153CBE"/>
    <w:rsid w:val="00153FC9"/>
    <w:rsid w:val="0016262D"/>
    <w:rsid w:val="001635A0"/>
    <w:rsid w:val="00163C1E"/>
    <w:rsid w:val="00167FFC"/>
    <w:rsid w:val="0017269C"/>
    <w:rsid w:val="0017331A"/>
    <w:rsid w:val="00174BA5"/>
    <w:rsid w:val="0017750A"/>
    <w:rsid w:val="001802E0"/>
    <w:rsid w:val="00181A74"/>
    <w:rsid w:val="00184582"/>
    <w:rsid w:val="001872E1"/>
    <w:rsid w:val="00190932"/>
    <w:rsid w:val="001932D8"/>
    <w:rsid w:val="001950B7"/>
    <w:rsid w:val="001A027B"/>
    <w:rsid w:val="001A1338"/>
    <w:rsid w:val="001A2AFC"/>
    <w:rsid w:val="001A4955"/>
    <w:rsid w:val="001A5CD7"/>
    <w:rsid w:val="001B0770"/>
    <w:rsid w:val="001B1CCF"/>
    <w:rsid w:val="001B3F3F"/>
    <w:rsid w:val="001B5A78"/>
    <w:rsid w:val="001B6CBC"/>
    <w:rsid w:val="001B7DFC"/>
    <w:rsid w:val="001C0254"/>
    <w:rsid w:val="001C3769"/>
    <w:rsid w:val="001C4602"/>
    <w:rsid w:val="001C4D1D"/>
    <w:rsid w:val="001C6831"/>
    <w:rsid w:val="001C7F18"/>
    <w:rsid w:val="001D0638"/>
    <w:rsid w:val="001D121A"/>
    <w:rsid w:val="001D1B8A"/>
    <w:rsid w:val="001D42B6"/>
    <w:rsid w:val="001D56B0"/>
    <w:rsid w:val="001D636C"/>
    <w:rsid w:val="001E0417"/>
    <w:rsid w:val="001E0552"/>
    <w:rsid w:val="001E0E2E"/>
    <w:rsid w:val="001E1647"/>
    <w:rsid w:val="001E5B00"/>
    <w:rsid w:val="001E6A82"/>
    <w:rsid w:val="001E6ADF"/>
    <w:rsid w:val="001E7418"/>
    <w:rsid w:val="001F1FF3"/>
    <w:rsid w:val="001F216C"/>
    <w:rsid w:val="001F30D6"/>
    <w:rsid w:val="001F3D50"/>
    <w:rsid w:val="001F5703"/>
    <w:rsid w:val="001F5A0B"/>
    <w:rsid w:val="001F64EB"/>
    <w:rsid w:val="001F6875"/>
    <w:rsid w:val="001F7BE3"/>
    <w:rsid w:val="002037D0"/>
    <w:rsid w:val="002067B3"/>
    <w:rsid w:val="0020688C"/>
    <w:rsid w:val="00206EE9"/>
    <w:rsid w:val="002077B9"/>
    <w:rsid w:val="002101A9"/>
    <w:rsid w:val="00211E5D"/>
    <w:rsid w:val="0021251C"/>
    <w:rsid w:val="00213371"/>
    <w:rsid w:val="00214E2F"/>
    <w:rsid w:val="00220148"/>
    <w:rsid w:val="002214B7"/>
    <w:rsid w:val="0022428E"/>
    <w:rsid w:val="00224D8F"/>
    <w:rsid w:val="002254FB"/>
    <w:rsid w:val="0022719C"/>
    <w:rsid w:val="00234266"/>
    <w:rsid w:val="00234ABE"/>
    <w:rsid w:val="00235F02"/>
    <w:rsid w:val="002362C6"/>
    <w:rsid w:val="00236E29"/>
    <w:rsid w:val="00237455"/>
    <w:rsid w:val="002404DE"/>
    <w:rsid w:val="002408B7"/>
    <w:rsid w:val="002415D5"/>
    <w:rsid w:val="00242E50"/>
    <w:rsid w:val="00242EF6"/>
    <w:rsid w:val="00243934"/>
    <w:rsid w:val="0024423C"/>
    <w:rsid w:val="0024563A"/>
    <w:rsid w:val="00245831"/>
    <w:rsid w:val="00246C65"/>
    <w:rsid w:val="00246D8A"/>
    <w:rsid w:val="00246EDA"/>
    <w:rsid w:val="002500F3"/>
    <w:rsid w:val="0025024E"/>
    <w:rsid w:val="00253CF0"/>
    <w:rsid w:val="0025435D"/>
    <w:rsid w:val="002556F7"/>
    <w:rsid w:val="002560A8"/>
    <w:rsid w:val="002566E9"/>
    <w:rsid w:val="00256DB7"/>
    <w:rsid w:val="00257CFD"/>
    <w:rsid w:val="0026009E"/>
    <w:rsid w:val="002603B2"/>
    <w:rsid w:val="00262C70"/>
    <w:rsid w:val="002642DB"/>
    <w:rsid w:val="00266527"/>
    <w:rsid w:val="0026683C"/>
    <w:rsid w:val="0027398B"/>
    <w:rsid w:val="00280417"/>
    <w:rsid w:val="00281D17"/>
    <w:rsid w:val="002856DB"/>
    <w:rsid w:val="00286408"/>
    <w:rsid w:val="0028663F"/>
    <w:rsid w:val="00286713"/>
    <w:rsid w:val="00286D10"/>
    <w:rsid w:val="0028703E"/>
    <w:rsid w:val="0029167E"/>
    <w:rsid w:val="00293493"/>
    <w:rsid w:val="00293DD8"/>
    <w:rsid w:val="002A1FF9"/>
    <w:rsid w:val="002A259D"/>
    <w:rsid w:val="002A25F0"/>
    <w:rsid w:val="002A34DB"/>
    <w:rsid w:val="002A569D"/>
    <w:rsid w:val="002A6324"/>
    <w:rsid w:val="002C01A0"/>
    <w:rsid w:val="002C0313"/>
    <w:rsid w:val="002C0679"/>
    <w:rsid w:val="002C1AA2"/>
    <w:rsid w:val="002C2E5C"/>
    <w:rsid w:val="002C599A"/>
    <w:rsid w:val="002D0612"/>
    <w:rsid w:val="002D0F42"/>
    <w:rsid w:val="002D1FD6"/>
    <w:rsid w:val="002D2566"/>
    <w:rsid w:val="002D3B91"/>
    <w:rsid w:val="002D61C6"/>
    <w:rsid w:val="002D6CD4"/>
    <w:rsid w:val="002D705E"/>
    <w:rsid w:val="002D7476"/>
    <w:rsid w:val="002E3710"/>
    <w:rsid w:val="002E43A5"/>
    <w:rsid w:val="002E4E4E"/>
    <w:rsid w:val="002E7A6E"/>
    <w:rsid w:val="002F026E"/>
    <w:rsid w:val="002F0CEF"/>
    <w:rsid w:val="002F0D20"/>
    <w:rsid w:val="002F0EDE"/>
    <w:rsid w:val="002F4ADE"/>
    <w:rsid w:val="002F512D"/>
    <w:rsid w:val="002F66FD"/>
    <w:rsid w:val="00304CDF"/>
    <w:rsid w:val="00304EC8"/>
    <w:rsid w:val="003102A5"/>
    <w:rsid w:val="003138A7"/>
    <w:rsid w:val="00313DD9"/>
    <w:rsid w:val="00314C54"/>
    <w:rsid w:val="00320DCE"/>
    <w:rsid w:val="00321A73"/>
    <w:rsid w:val="003228F3"/>
    <w:rsid w:val="003237B2"/>
    <w:rsid w:val="00326785"/>
    <w:rsid w:val="00331293"/>
    <w:rsid w:val="003321B8"/>
    <w:rsid w:val="0033338D"/>
    <w:rsid w:val="0033346E"/>
    <w:rsid w:val="0033426A"/>
    <w:rsid w:val="00335228"/>
    <w:rsid w:val="00335647"/>
    <w:rsid w:val="003356B3"/>
    <w:rsid w:val="00336191"/>
    <w:rsid w:val="00342272"/>
    <w:rsid w:val="0034795E"/>
    <w:rsid w:val="003479CD"/>
    <w:rsid w:val="00347B85"/>
    <w:rsid w:val="00350A5D"/>
    <w:rsid w:val="0035177C"/>
    <w:rsid w:val="00356EDD"/>
    <w:rsid w:val="00357CCB"/>
    <w:rsid w:val="00360BA1"/>
    <w:rsid w:val="00362698"/>
    <w:rsid w:val="0036363D"/>
    <w:rsid w:val="00364256"/>
    <w:rsid w:val="0036605D"/>
    <w:rsid w:val="0036642A"/>
    <w:rsid w:val="00366463"/>
    <w:rsid w:val="00373245"/>
    <w:rsid w:val="00373FC3"/>
    <w:rsid w:val="003759C8"/>
    <w:rsid w:val="00375A90"/>
    <w:rsid w:val="00377186"/>
    <w:rsid w:val="00377901"/>
    <w:rsid w:val="003803DE"/>
    <w:rsid w:val="00381C8B"/>
    <w:rsid w:val="00387C23"/>
    <w:rsid w:val="00387CF0"/>
    <w:rsid w:val="00390102"/>
    <w:rsid w:val="0039165D"/>
    <w:rsid w:val="00392650"/>
    <w:rsid w:val="00392EB6"/>
    <w:rsid w:val="003932FE"/>
    <w:rsid w:val="00393749"/>
    <w:rsid w:val="00393B31"/>
    <w:rsid w:val="00393DE9"/>
    <w:rsid w:val="003942C6"/>
    <w:rsid w:val="00395D3B"/>
    <w:rsid w:val="00397EA9"/>
    <w:rsid w:val="003A1B72"/>
    <w:rsid w:val="003A1BAF"/>
    <w:rsid w:val="003A2435"/>
    <w:rsid w:val="003A3408"/>
    <w:rsid w:val="003A5EAE"/>
    <w:rsid w:val="003A7E22"/>
    <w:rsid w:val="003B02D2"/>
    <w:rsid w:val="003B0F45"/>
    <w:rsid w:val="003B1B78"/>
    <w:rsid w:val="003B4DBA"/>
    <w:rsid w:val="003B4E0A"/>
    <w:rsid w:val="003B520F"/>
    <w:rsid w:val="003B6E1E"/>
    <w:rsid w:val="003C03F4"/>
    <w:rsid w:val="003C0A55"/>
    <w:rsid w:val="003C281E"/>
    <w:rsid w:val="003C2AD2"/>
    <w:rsid w:val="003C4F09"/>
    <w:rsid w:val="003D1432"/>
    <w:rsid w:val="003D24E8"/>
    <w:rsid w:val="003D2F28"/>
    <w:rsid w:val="003D3F88"/>
    <w:rsid w:val="003D46A9"/>
    <w:rsid w:val="003D51D0"/>
    <w:rsid w:val="003D5DD7"/>
    <w:rsid w:val="003D669C"/>
    <w:rsid w:val="003E02DA"/>
    <w:rsid w:val="003E09C4"/>
    <w:rsid w:val="003E6FCE"/>
    <w:rsid w:val="003F2715"/>
    <w:rsid w:val="003F3B19"/>
    <w:rsid w:val="003F3C8A"/>
    <w:rsid w:val="003F4078"/>
    <w:rsid w:val="003F4D6E"/>
    <w:rsid w:val="0040220F"/>
    <w:rsid w:val="00404B6E"/>
    <w:rsid w:val="004074DB"/>
    <w:rsid w:val="00411716"/>
    <w:rsid w:val="004123AF"/>
    <w:rsid w:val="00414E27"/>
    <w:rsid w:val="00415C59"/>
    <w:rsid w:val="00416031"/>
    <w:rsid w:val="00417BA8"/>
    <w:rsid w:val="00417FDB"/>
    <w:rsid w:val="004205B8"/>
    <w:rsid w:val="0042095A"/>
    <w:rsid w:val="00421AB5"/>
    <w:rsid w:val="004221DE"/>
    <w:rsid w:val="00424363"/>
    <w:rsid w:val="004271EB"/>
    <w:rsid w:val="004305A4"/>
    <w:rsid w:val="00430EC7"/>
    <w:rsid w:val="0043133E"/>
    <w:rsid w:val="004338BC"/>
    <w:rsid w:val="00433EFC"/>
    <w:rsid w:val="004372CB"/>
    <w:rsid w:val="00444A67"/>
    <w:rsid w:val="00445844"/>
    <w:rsid w:val="004504A1"/>
    <w:rsid w:val="00450E17"/>
    <w:rsid w:val="00451D05"/>
    <w:rsid w:val="004528C9"/>
    <w:rsid w:val="00452B0F"/>
    <w:rsid w:val="00452D49"/>
    <w:rsid w:val="0045590C"/>
    <w:rsid w:val="0046129F"/>
    <w:rsid w:val="00465423"/>
    <w:rsid w:val="00466A21"/>
    <w:rsid w:val="00470F64"/>
    <w:rsid w:val="00471439"/>
    <w:rsid w:val="0047154E"/>
    <w:rsid w:val="00472CDB"/>
    <w:rsid w:val="00475187"/>
    <w:rsid w:val="00475E45"/>
    <w:rsid w:val="00476281"/>
    <w:rsid w:val="00476955"/>
    <w:rsid w:val="00476A20"/>
    <w:rsid w:val="00476B31"/>
    <w:rsid w:val="00476E7D"/>
    <w:rsid w:val="004806FF"/>
    <w:rsid w:val="00481054"/>
    <w:rsid w:val="00482021"/>
    <w:rsid w:val="00482502"/>
    <w:rsid w:val="00482908"/>
    <w:rsid w:val="00483FD6"/>
    <w:rsid w:val="00485C2A"/>
    <w:rsid w:val="00487FBB"/>
    <w:rsid w:val="00492007"/>
    <w:rsid w:val="00492849"/>
    <w:rsid w:val="004928EA"/>
    <w:rsid w:val="00493394"/>
    <w:rsid w:val="00494826"/>
    <w:rsid w:val="00494FDC"/>
    <w:rsid w:val="00495AD8"/>
    <w:rsid w:val="00496423"/>
    <w:rsid w:val="004973AE"/>
    <w:rsid w:val="004A05CB"/>
    <w:rsid w:val="004A09E5"/>
    <w:rsid w:val="004A32B1"/>
    <w:rsid w:val="004A4B84"/>
    <w:rsid w:val="004A6CD5"/>
    <w:rsid w:val="004B019A"/>
    <w:rsid w:val="004B1ACE"/>
    <w:rsid w:val="004B1E6A"/>
    <w:rsid w:val="004B2264"/>
    <w:rsid w:val="004B350E"/>
    <w:rsid w:val="004B4D73"/>
    <w:rsid w:val="004B6FF0"/>
    <w:rsid w:val="004B7170"/>
    <w:rsid w:val="004C5DD3"/>
    <w:rsid w:val="004C64C4"/>
    <w:rsid w:val="004D2D06"/>
    <w:rsid w:val="004E05FD"/>
    <w:rsid w:val="004E0A0F"/>
    <w:rsid w:val="004E3047"/>
    <w:rsid w:val="004E4515"/>
    <w:rsid w:val="004E47C9"/>
    <w:rsid w:val="004E5A2F"/>
    <w:rsid w:val="004E6CE2"/>
    <w:rsid w:val="004E7466"/>
    <w:rsid w:val="004F250C"/>
    <w:rsid w:val="004F4123"/>
    <w:rsid w:val="004F6961"/>
    <w:rsid w:val="00500BD6"/>
    <w:rsid w:val="00500E57"/>
    <w:rsid w:val="005030C0"/>
    <w:rsid w:val="005036FF"/>
    <w:rsid w:val="00504502"/>
    <w:rsid w:val="00504B43"/>
    <w:rsid w:val="00504C14"/>
    <w:rsid w:val="00505672"/>
    <w:rsid w:val="00507222"/>
    <w:rsid w:val="00511795"/>
    <w:rsid w:val="00511FEA"/>
    <w:rsid w:val="005131F6"/>
    <w:rsid w:val="00514378"/>
    <w:rsid w:val="00514B16"/>
    <w:rsid w:val="0051648D"/>
    <w:rsid w:val="00517223"/>
    <w:rsid w:val="005174A8"/>
    <w:rsid w:val="005204F7"/>
    <w:rsid w:val="00522D4B"/>
    <w:rsid w:val="00523A4D"/>
    <w:rsid w:val="00524263"/>
    <w:rsid w:val="00524434"/>
    <w:rsid w:val="00524908"/>
    <w:rsid w:val="00524CC3"/>
    <w:rsid w:val="00524EC7"/>
    <w:rsid w:val="00524FE3"/>
    <w:rsid w:val="0053215A"/>
    <w:rsid w:val="005324A7"/>
    <w:rsid w:val="00532EF6"/>
    <w:rsid w:val="0053332F"/>
    <w:rsid w:val="00534B6F"/>
    <w:rsid w:val="005375E6"/>
    <w:rsid w:val="00540166"/>
    <w:rsid w:val="005412A4"/>
    <w:rsid w:val="00541FEA"/>
    <w:rsid w:val="00543BF5"/>
    <w:rsid w:val="00543C7F"/>
    <w:rsid w:val="00544B36"/>
    <w:rsid w:val="005451F9"/>
    <w:rsid w:val="00546831"/>
    <w:rsid w:val="005470AE"/>
    <w:rsid w:val="0054745A"/>
    <w:rsid w:val="0055029C"/>
    <w:rsid w:val="00550A68"/>
    <w:rsid w:val="00552926"/>
    <w:rsid w:val="00553C12"/>
    <w:rsid w:val="00553CAE"/>
    <w:rsid w:val="0055591B"/>
    <w:rsid w:val="00556A5E"/>
    <w:rsid w:val="00561CC0"/>
    <w:rsid w:val="00562A43"/>
    <w:rsid w:val="005640DD"/>
    <w:rsid w:val="00564F7E"/>
    <w:rsid w:val="00566BD0"/>
    <w:rsid w:val="00566F6F"/>
    <w:rsid w:val="00567052"/>
    <w:rsid w:val="00570CE6"/>
    <w:rsid w:val="00571326"/>
    <w:rsid w:val="005728B0"/>
    <w:rsid w:val="0057315B"/>
    <w:rsid w:val="005751E9"/>
    <w:rsid w:val="005761D1"/>
    <w:rsid w:val="00576935"/>
    <w:rsid w:val="00576C58"/>
    <w:rsid w:val="0057780D"/>
    <w:rsid w:val="00577FD9"/>
    <w:rsid w:val="005812DE"/>
    <w:rsid w:val="00582675"/>
    <w:rsid w:val="00584B7A"/>
    <w:rsid w:val="00586128"/>
    <w:rsid w:val="00587202"/>
    <w:rsid w:val="00587CA3"/>
    <w:rsid w:val="005909D9"/>
    <w:rsid w:val="00592BDD"/>
    <w:rsid w:val="005937A4"/>
    <w:rsid w:val="00595973"/>
    <w:rsid w:val="00595B2D"/>
    <w:rsid w:val="00596A44"/>
    <w:rsid w:val="00596E76"/>
    <w:rsid w:val="00597B92"/>
    <w:rsid w:val="005A1883"/>
    <w:rsid w:val="005A4FFA"/>
    <w:rsid w:val="005B1400"/>
    <w:rsid w:val="005B34D0"/>
    <w:rsid w:val="005B4C59"/>
    <w:rsid w:val="005C0178"/>
    <w:rsid w:val="005C49A2"/>
    <w:rsid w:val="005C4FD4"/>
    <w:rsid w:val="005C7D97"/>
    <w:rsid w:val="005C7DAD"/>
    <w:rsid w:val="005D0E21"/>
    <w:rsid w:val="005D2C09"/>
    <w:rsid w:val="005D3019"/>
    <w:rsid w:val="005D4DF1"/>
    <w:rsid w:val="005D787A"/>
    <w:rsid w:val="005E16AC"/>
    <w:rsid w:val="005E26CA"/>
    <w:rsid w:val="005E3BBB"/>
    <w:rsid w:val="005E5691"/>
    <w:rsid w:val="005E5C99"/>
    <w:rsid w:val="005F0302"/>
    <w:rsid w:val="005F1A89"/>
    <w:rsid w:val="005F1EAE"/>
    <w:rsid w:val="005F2EAE"/>
    <w:rsid w:val="005F49CC"/>
    <w:rsid w:val="005F50B0"/>
    <w:rsid w:val="005F5387"/>
    <w:rsid w:val="005F5674"/>
    <w:rsid w:val="005F6F5D"/>
    <w:rsid w:val="005F7C23"/>
    <w:rsid w:val="00600182"/>
    <w:rsid w:val="0060181B"/>
    <w:rsid w:val="00601E8E"/>
    <w:rsid w:val="00602C4A"/>
    <w:rsid w:val="00603550"/>
    <w:rsid w:val="0060599F"/>
    <w:rsid w:val="0061079B"/>
    <w:rsid w:val="006108C3"/>
    <w:rsid w:val="00611006"/>
    <w:rsid w:val="006122E3"/>
    <w:rsid w:val="00612ACD"/>
    <w:rsid w:val="00614CE3"/>
    <w:rsid w:val="0061716C"/>
    <w:rsid w:val="00617999"/>
    <w:rsid w:val="00617AE8"/>
    <w:rsid w:val="00620200"/>
    <w:rsid w:val="00622A01"/>
    <w:rsid w:val="00624697"/>
    <w:rsid w:val="006248F9"/>
    <w:rsid w:val="00624974"/>
    <w:rsid w:val="00624BE9"/>
    <w:rsid w:val="00625041"/>
    <w:rsid w:val="0062567B"/>
    <w:rsid w:val="006271AF"/>
    <w:rsid w:val="00631D75"/>
    <w:rsid w:val="00632BAE"/>
    <w:rsid w:val="00632CA2"/>
    <w:rsid w:val="006334D9"/>
    <w:rsid w:val="00633ACD"/>
    <w:rsid w:val="00634065"/>
    <w:rsid w:val="00636C3A"/>
    <w:rsid w:val="00640FC7"/>
    <w:rsid w:val="00642968"/>
    <w:rsid w:val="00643EBB"/>
    <w:rsid w:val="00644086"/>
    <w:rsid w:val="00647FAD"/>
    <w:rsid w:val="006538D0"/>
    <w:rsid w:val="00654AA3"/>
    <w:rsid w:val="006561C5"/>
    <w:rsid w:val="0065708E"/>
    <w:rsid w:val="00662764"/>
    <w:rsid w:val="00663947"/>
    <w:rsid w:val="00663DC1"/>
    <w:rsid w:val="00664B5E"/>
    <w:rsid w:val="0066539A"/>
    <w:rsid w:val="0066617F"/>
    <w:rsid w:val="006673B9"/>
    <w:rsid w:val="006707AC"/>
    <w:rsid w:val="006730F9"/>
    <w:rsid w:val="006752B1"/>
    <w:rsid w:val="00675DE9"/>
    <w:rsid w:val="006775CE"/>
    <w:rsid w:val="006809A4"/>
    <w:rsid w:val="00682275"/>
    <w:rsid w:val="006822ED"/>
    <w:rsid w:val="00682BD2"/>
    <w:rsid w:val="0068379A"/>
    <w:rsid w:val="0068384E"/>
    <w:rsid w:val="0068625B"/>
    <w:rsid w:val="0068648B"/>
    <w:rsid w:val="0068663A"/>
    <w:rsid w:val="00686C1F"/>
    <w:rsid w:val="00690B2C"/>
    <w:rsid w:val="00694168"/>
    <w:rsid w:val="00694D5D"/>
    <w:rsid w:val="006966EA"/>
    <w:rsid w:val="006A054F"/>
    <w:rsid w:val="006A0D1A"/>
    <w:rsid w:val="006A0E26"/>
    <w:rsid w:val="006A1819"/>
    <w:rsid w:val="006A1EB7"/>
    <w:rsid w:val="006A24C9"/>
    <w:rsid w:val="006A300F"/>
    <w:rsid w:val="006A3BE6"/>
    <w:rsid w:val="006A3E1F"/>
    <w:rsid w:val="006A5876"/>
    <w:rsid w:val="006A6059"/>
    <w:rsid w:val="006A6578"/>
    <w:rsid w:val="006A7A6E"/>
    <w:rsid w:val="006A7B57"/>
    <w:rsid w:val="006A7FD4"/>
    <w:rsid w:val="006B6B22"/>
    <w:rsid w:val="006C1C9D"/>
    <w:rsid w:val="006C1F28"/>
    <w:rsid w:val="006C4798"/>
    <w:rsid w:val="006C6B55"/>
    <w:rsid w:val="006D0A92"/>
    <w:rsid w:val="006D0AB9"/>
    <w:rsid w:val="006D7DC9"/>
    <w:rsid w:val="006E130E"/>
    <w:rsid w:val="006E1873"/>
    <w:rsid w:val="006E38A1"/>
    <w:rsid w:val="006E422C"/>
    <w:rsid w:val="006E57DF"/>
    <w:rsid w:val="006E64D9"/>
    <w:rsid w:val="006F072E"/>
    <w:rsid w:val="006F0ABC"/>
    <w:rsid w:val="006F2A90"/>
    <w:rsid w:val="006F4FCD"/>
    <w:rsid w:val="006F63F4"/>
    <w:rsid w:val="007027B8"/>
    <w:rsid w:val="00702837"/>
    <w:rsid w:val="00702A8E"/>
    <w:rsid w:val="00702FCB"/>
    <w:rsid w:val="00703284"/>
    <w:rsid w:val="007066AC"/>
    <w:rsid w:val="00710747"/>
    <w:rsid w:val="0071085E"/>
    <w:rsid w:val="007109BC"/>
    <w:rsid w:val="00710D89"/>
    <w:rsid w:val="007123DE"/>
    <w:rsid w:val="007128C5"/>
    <w:rsid w:val="0071521C"/>
    <w:rsid w:val="00715263"/>
    <w:rsid w:val="00715990"/>
    <w:rsid w:val="00715A05"/>
    <w:rsid w:val="00717B34"/>
    <w:rsid w:val="00720563"/>
    <w:rsid w:val="00721037"/>
    <w:rsid w:val="007248FA"/>
    <w:rsid w:val="00726B73"/>
    <w:rsid w:val="00731454"/>
    <w:rsid w:val="00731FD1"/>
    <w:rsid w:val="00732549"/>
    <w:rsid w:val="007346E3"/>
    <w:rsid w:val="00734912"/>
    <w:rsid w:val="00736E11"/>
    <w:rsid w:val="007372F0"/>
    <w:rsid w:val="00740B64"/>
    <w:rsid w:val="00740C60"/>
    <w:rsid w:val="007425F8"/>
    <w:rsid w:val="0074260D"/>
    <w:rsid w:val="00743323"/>
    <w:rsid w:val="007441BD"/>
    <w:rsid w:val="0074666C"/>
    <w:rsid w:val="0074795A"/>
    <w:rsid w:val="007479BA"/>
    <w:rsid w:val="007512A4"/>
    <w:rsid w:val="00752792"/>
    <w:rsid w:val="0075458C"/>
    <w:rsid w:val="00754D5B"/>
    <w:rsid w:val="00760E0D"/>
    <w:rsid w:val="00760FF4"/>
    <w:rsid w:val="00763395"/>
    <w:rsid w:val="00763A17"/>
    <w:rsid w:val="0076404D"/>
    <w:rsid w:val="00764BAA"/>
    <w:rsid w:val="0076520E"/>
    <w:rsid w:val="0076789F"/>
    <w:rsid w:val="00767D47"/>
    <w:rsid w:val="00767D98"/>
    <w:rsid w:val="00771D0E"/>
    <w:rsid w:val="00772A73"/>
    <w:rsid w:val="00772C87"/>
    <w:rsid w:val="00773295"/>
    <w:rsid w:val="0077661C"/>
    <w:rsid w:val="007776B9"/>
    <w:rsid w:val="00782181"/>
    <w:rsid w:val="007822A6"/>
    <w:rsid w:val="00782A6D"/>
    <w:rsid w:val="00783234"/>
    <w:rsid w:val="0078412D"/>
    <w:rsid w:val="0078424F"/>
    <w:rsid w:val="007844D9"/>
    <w:rsid w:val="00787580"/>
    <w:rsid w:val="0079013C"/>
    <w:rsid w:val="00791147"/>
    <w:rsid w:val="00792868"/>
    <w:rsid w:val="00794F88"/>
    <w:rsid w:val="00797108"/>
    <w:rsid w:val="007977B2"/>
    <w:rsid w:val="007A0432"/>
    <w:rsid w:val="007A10F0"/>
    <w:rsid w:val="007A1BC8"/>
    <w:rsid w:val="007A1E91"/>
    <w:rsid w:val="007A469B"/>
    <w:rsid w:val="007A51E3"/>
    <w:rsid w:val="007A5F44"/>
    <w:rsid w:val="007B0082"/>
    <w:rsid w:val="007B03EF"/>
    <w:rsid w:val="007B0EA7"/>
    <w:rsid w:val="007B18DE"/>
    <w:rsid w:val="007B1CAB"/>
    <w:rsid w:val="007B2F70"/>
    <w:rsid w:val="007B371E"/>
    <w:rsid w:val="007B3D6F"/>
    <w:rsid w:val="007B5C6C"/>
    <w:rsid w:val="007B73CF"/>
    <w:rsid w:val="007B7AD2"/>
    <w:rsid w:val="007B7E86"/>
    <w:rsid w:val="007C4C14"/>
    <w:rsid w:val="007C684B"/>
    <w:rsid w:val="007D3CC5"/>
    <w:rsid w:val="007D558A"/>
    <w:rsid w:val="007D71E9"/>
    <w:rsid w:val="007E176F"/>
    <w:rsid w:val="007E1917"/>
    <w:rsid w:val="007E2E5E"/>
    <w:rsid w:val="007E5C79"/>
    <w:rsid w:val="007F04BF"/>
    <w:rsid w:val="007F0BD1"/>
    <w:rsid w:val="007F7875"/>
    <w:rsid w:val="00800F92"/>
    <w:rsid w:val="00802038"/>
    <w:rsid w:val="00802CEB"/>
    <w:rsid w:val="0080407E"/>
    <w:rsid w:val="008041D6"/>
    <w:rsid w:val="00804DD9"/>
    <w:rsid w:val="00805085"/>
    <w:rsid w:val="00807004"/>
    <w:rsid w:val="00807643"/>
    <w:rsid w:val="0081299A"/>
    <w:rsid w:val="00815320"/>
    <w:rsid w:val="0081573B"/>
    <w:rsid w:val="00820803"/>
    <w:rsid w:val="00822E3E"/>
    <w:rsid w:val="008240AE"/>
    <w:rsid w:val="0082562E"/>
    <w:rsid w:val="00827B58"/>
    <w:rsid w:val="0083298C"/>
    <w:rsid w:val="008358E5"/>
    <w:rsid w:val="00836B2C"/>
    <w:rsid w:val="00837A72"/>
    <w:rsid w:val="00840BA9"/>
    <w:rsid w:val="00840D74"/>
    <w:rsid w:val="00842A99"/>
    <w:rsid w:val="0084366A"/>
    <w:rsid w:val="00843720"/>
    <w:rsid w:val="00843C62"/>
    <w:rsid w:val="00844427"/>
    <w:rsid w:val="008453B5"/>
    <w:rsid w:val="00845F5C"/>
    <w:rsid w:val="00846CC6"/>
    <w:rsid w:val="008471B9"/>
    <w:rsid w:val="0085004A"/>
    <w:rsid w:val="00850E08"/>
    <w:rsid w:val="008511F6"/>
    <w:rsid w:val="00853FAB"/>
    <w:rsid w:val="00855469"/>
    <w:rsid w:val="008557F1"/>
    <w:rsid w:val="0085613E"/>
    <w:rsid w:val="0085742F"/>
    <w:rsid w:val="0085743E"/>
    <w:rsid w:val="008575A2"/>
    <w:rsid w:val="00857C3F"/>
    <w:rsid w:val="00857DE1"/>
    <w:rsid w:val="00861B3A"/>
    <w:rsid w:val="008626C2"/>
    <w:rsid w:val="008674FB"/>
    <w:rsid w:val="00871215"/>
    <w:rsid w:val="008731C8"/>
    <w:rsid w:val="00874890"/>
    <w:rsid w:val="00875394"/>
    <w:rsid w:val="00876351"/>
    <w:rsid w:val="00877857"/>
    <w:rsid w:val="00880859"/>
    <w:rsid w:val="00880E78"/>
    <w:rsid w:val="0088284B"/>
    <w:rsid w:val="008861E6"/>
    <w:rsid w:val="00886620"/>
    <w:rsid w:val="0088662F"/>
    <w:rsid w:val="0088731B"/>
    <w:rsid w:val="008929CE"/>
    <w:rsid w:val="00896F92"/>
    <w:rsid w:val="008A00A5"/>
    <w:rsid w:val="008A1655"/>
    <w:rsid w:val="008A21A8"/>
    <w:rsid w:val="008A26B8"/>
    <w:rsid w:val="008A2791"/>
    <w:rsid w:val="008A3D9E"/>
    <w:rsid w:val="008A57A1"/>
    <w:rsid w:val="008A5A68"/>
    <w:rsid w:val="008A5F48"/>
    <w:rsid w:val="008B02AD"/>
    <w:rsid w:val="008B0309"/>
    <w:rsid w:val="008B1B77"/>
    <w:rsid w:val="008B364D"/>
    <w:rsid w:val="008B48ED"/>
    <w:rsid w:val="008B62E2"/>
    <w:rsid w:val="008B6F69"/>
    <w:rsid w:val="008C05FE"/>
    <w:rsid w:val="008C3856"/>
    <w:rsid w:val="008C3A4F"/>
    <w:rsid w:val="008C5117"/>
    <w:rsid w:val="008C6019"/>
    <w:rsid w:val="008C6718"/>
    <w:rsid w:val="008D3FED"/>
    <w:rsid w:val="008D42EB"/>
    <w:rsid w:val="008D4727"/>
    <w:rsid w:val="008D531B"/>
    <w:rsid w:val="008D599D"/>
    <w:rsid w:val="008D5D66"/>
    <w:rsid w:val="008D5FF1"/>
    <w:rsid w:val="008D62AA"/>
    <w:rsid w:val="008D6476"/>
    <w:rsid w:val="008D74A8"/>
    <w:rsid w:val="008E0034"/>
    <w:rsid w:val="008E0E8C"/>
    <w:rsid w:val="008E4F0E"/>
    <w:rsid w:val="008E6394"/>
    <w:rsid w:val="008E6EA7"/>
    <w:rsid w:val="008F1190"/>
    <w:rsid w:val="008F14A7"/>
    <w:rsid w:val="008F310F"/>
    <w:rsid w:val="008F5B00"/>
    <w:rsid w:val="00901886"/>
    <w:rsid w:val="009037E9"/>
    <w:rsid w:val="009049E8"/>
    <w:rsid w:val="0090548C"/>
    <w:rsid w:val="00905F24"/>
    <w:rsid w:val="009112A6"/>
    <w:rsid w:val="009127FA"/>
    <w:rsid w:val="009144B0"/>
    <w:rsid w:val="00914621"/>
    <w:rsid w:val="00914DCE"/>
    <w:rsid w:val="009162C9"/>
    <w:rsid w:val="00917E5F"/>
    <w:rsid w:val="009238BA"/>
    <w:rsid w:val="00925359"/>
    <w:rsid w:val="0092578C"/>
    <w:rsid w:val="0092716C"/>
    <w:rsid w:val="00931251"/>
    <w:rsid w:val="0093234D"/>
    <w:rsid w:val="00933848"/>
    <w:rsid w:val="00935069"/>
    <w:rsid w:val="00935266"/>
    <w:rsid w:val="00935CD7"/>
    <w:rsid w:val="00936EC7"/>
    <w:rsid w:val="009378C9"/>
    <w:rsid w:val="00940B02"/>
    <w:rsid w:val="00940B78"/>
    <w:rsid w:val="00941625"/>
    <w:rsid w:val="00941B16"/>
    <w:rsid w:val="0094222D"/>
    <w:rsid w:val="0094341E"/>
    <w:rsid w:val="00943587"/>
    <w:rsid w:val="00944517"/>
    <w:rsid w:val="009460AF"/>
    <w:rsid w:val="0094636C"/>
    <w:rsid w:val="00947912"/>
    <w:rsid w:val="00951B4F"/>
    <w:rsid w:val="00951B70"/>
    <w:rsid w:val="00953FD9"/>
    <w:rsid w:val="00955D97"/>
    <w:rsid w:val="009569AE"/>
    <w:rsid w:val="00957EFE"/>
    <w:rsid w:val="009607B3"/>
    <w:rsid w:val="009657EB"/>
    <w:rsid w:val="00970366"/>
    <w:rsid w:val="0097141C"/>
    <w:rsid w:val="00971FD4"/>
    <w:rsid w:val="00972E78"/>
    <w:rsid w:val="00976D03"/>
    <w:rsid w:val="00976F6B"/>
    <w:rsid w:val="009804E4"/>
    <w:rsid w:val="0098292A"/>
    <w:rsid w:val="00983B66"/>
    <w:rsid w:val="00986256"/>
    <w:rsid w:val="009866D7"/>
    <w:rsid w:val="00987741"/>
    <w:rsid w:val="00992411"/>
    <w:rsid w:val="0099392B"/>
    <w:rsid w:val="00993A6F"/>
    <w:rsid w:val="009A0802"/>
    <w:rsid w:val="009A0D3A"/>
    <w:rsid w:val="009A3EED"/>
    <w:rsid w:val="009A49B4"/>
    <w:rsid w:val="009A5F3E"/>
    <w:rsid w:val="009B14A1"/>
    <w:rsid w:val="009B1BA1"/>
    <w:rsid w:val="009B25B1"/>
    <w:rsid w:val="009B6805"/>
    <w:rsid w:val="009C0B49"/>
    <w:rsid w:val="009C0BF2"/>
    <w:rsid w:val="009C30AF"/>
    <w:rsid w:val="009C35AC"/>
    <w:rsid w:val="009C3892"/>
    <w:rsid w:val="009C4330"/>
    <w:rsid w:val="009C4AD7"/>
    <w:rsid w:val="009C5256"/>
    <w:rsid w:val="009C52B8"/>
    <w:rsid w:val="009C7244"/>
    <w:rsid w:val="009D012D"/>
    <w:rsid w:val="009D262F"/>
    <w:rsid w:val="009E095D"/>
    <w:rsid w:val="009E4E59"/>
    <w:rsid w:val="009E57C5"/>
    <w:rsid w:val="009F0C70"/>
    <w:rsid w:val="009F2546"/>
    <w:rsid w:val="009F3A77"/>
    <w:rsid w:val="009F4284"/>
    <w:rsid w:val="009F4E3C"/>
    <w:rsid w:val="009F5018"/>
    <w:rsid w:val="009F535A"/>
    <w:rsid w:val="009F730A"/>
    <w:rsid w:val="00A0001B"/>
    <w:rsid w:val="00A02DEE"/>
    <w:rsid w:val="00A03CE0"/>
    <w:rsid w:val="00A0563E"/>
    <w:rsid w:val="00A07AF1"/>
    <w:rsid w:val="00A07B35"/>
    <w:rsid w:val="00A101FA"/>
    <w:rsid w:val="00A102B2"/>
    <w:rsid w:val="00A10C18"/>
    <w:rsid w:val="00A113FE"/>
    <w:rsid w:val="00A1206C"/>
    <w:rsid w:val="00A12304"/>
    <w:rsid w:val="00A13DAA"/>
    <w:rsid w:val="00A1677B"/>
    <w:rsid w:val="00A17115"/>
    <w:rsid w:val="00A17984"/>
    <w:rsid w:val="00A20BE3"/>
    <w:rsid w:val="00A20D15"/>
    <w:rsid w:val="00A21D1F"/>
    <w:rsid w:val="00A2525D"/>
    <w:rsid w:val="00A31204"/>
    <w:rsid w:val="00A34FE7"/>
    <w:rsid w:val="00A36188"/>
    <w:rsid w:val="00A362D1"/>
    <w:rsid w:val="00A36316"/>
    <w:rsid w:val="00A36BE9"/>
    <w:rsid w:val="00A438E2"/>
    <w:rsid w:val="00A43E57"/>
    <w:rsid w:val="00A445F0"/>
    <w:rsid w:val="00A45441"/>
    <w:rsid w:val="00A45781"/>
    <w:rsid w:val="00A45D6A"/>
    <w:rsid w:val="00A45EFB"/>
    <w:rsid w:val="00A53D2B"/>
    <w:rsid w:val="00A54941"/>
    <w:rsid w:val="00A5618F"/>
    <w:rsid w:val="00A60053"/>
    <w:rsid w:val="00A61496"/>
    <w:rsid w:val="00A62BED"/>
    <w:rsid w:val="00A66688"/>
    <w:rsid w:val="00A72895"/>
    <w:rsid w:val="00A72D3F"/>
    <w:rsid w:val="00A72EF6"/>
    <w:rsid w:val="00A74C50"/>
    <w:rsid w:val="00A75197"/>
    <w:rsid w:val="00A75DF7"/>
    <w:rsid w:val="00A761CD"/>
    <w:rsid w:val="00A76773"/>
    <w:rsid w:val="00A800BF"/>
    <w:rsid w:val="00A804E6"/>
    <w:rsid w:val="00A82919"/>
    <w:rsid w:val="00A83223"/>
    <w:rsid w:val="00A83BBA"/>
    <w:rsid w:val="00A84D15"/>
    <w:rsid w:val="00A86BC7"/>
    <w:rsid w:val="00A86C9D"/>
    <w:rsid w:val="00A8787A"/>
    <w:rsid w:val="00A879ED"/>
    <w:rsid w:val="00A87C93"/>
    <w:rsid w:val="00A87E0A"/>
    <w:rsid w:val="00A91ABD"/>
    <w:rsid w:val="00A934C3"/>
    <w:rsid w:val="00A94363"/>
    <w:rsid w:val="00A94731"/>
    <w:rsid w:val="00A959ED"/>
    <w:rsid w:val="00A976D0"/>
    <w:rsid w:val="00A97AA4"/>
    <w:rsid w:val="00AA1522"/>
    <w:rsid w:val="00AA1D8B"/>
    <w:rsid w:val="00AA1F28"/>
    <w:rsid w:val="00AA21FC"/>
    <w:rsid w:val="00AA23A6"/>
    <w:rsid w:val="00AA4EC3"/>
    <w:rsid w:val="00AA5EEA"/>
    <w:rsid w:val="00AA79BA"/>
    <w:rsid w:val="00AA7B1F"/>
    <w:rsid w:val="00AB3345"/>
    <w:rsid w:val="00AB5D03"/>
    <w:rsid w:val="00AB69FE"/>
    <w:rsid w:val="00AB6F59"/>
    <w:rsid w:val="00AB736B"/>
    <w:rsid w:val="00AB7898"/>
    <w:rsid w:val="00AC0075"/>
    <w:rsid w:val="00AC0E6B"/>
    <w:rsid w:val="00AC2502"/>
    <w:rsid w:val="00AC2DE6"/>
    <w:rsid w:val="00AC392A"/>
    <w:rsid w:val="00AC4DA0"/>
    <w:rsid w:val="00AC5C1F"/>
    <w:rsid w:val="00AC7689"/>
    <w:rsid w:val="00AC7CAD"/>
    <w:rsid w:val="00AD0F58"/>
    <w:rsid w:val="00AD28ED"/>
    <w:rsid w:val="00AD384A"/>
    <w:rsid w:val="00AD7F36"/>
    <w:rsid w:val="00AE1B20"/>
    <w:rsid w:val="00AE6355"/>
    <w:rsid w:val="00AF0D4B"/>
    <w:rsid w:val="00AF26CC"/>
    <w:rsid w:val="00AF2DC2"/>
    <w:rsid w:val="00AF42DE"/>
    <w:rsid w:val="00AF47EF"/>
    <w:rsid w:val="00B022F1"/>
    <w:rsid w:val="00B057D3"/>
    <w:rsid w:val="00B071CA"/>
    <w:rsid w:val="00B106CA"/>
    <w:rsid w:val="00B1078A"/>
    <w:rsid w:val="00B10FAA"/>
    <w:rsid w:val="00B11C3A"/>
    <w:rsid w:val="00B15E59"/>
    <w:rsid w:val="00B178AA"/>
    <w:rsid w:val="00B21028"/>
    <w:rsid w:val="00B21526"/>
    <w:rsid w:val="00B2226B"/>
    <w:rsid w:val="00B26801"/>
    <w:rsid w:val="00B2680D"/>
    <w:rsid w:val="00B27414"/>
    <w:rsid w:val="00B27F40"/>
    <w:rsid w:val="00B311BC"/>
    <w:rsid w:val="00B33188"/>
    <w:rsid w:val="00B34C08"/>
    <w:rsid w:val="00B363E4"/>
    <w:rsid w:val="00B371A3"/>
    <w:rsid w:val="00B3798C"/>
    <w:rsid w:val="00B4537F"/>
    <w:rsid w:val="00B4563C"/>
    <w:rsid w:val="00B469DF"/>
    <w:rsid w:val="00B46D69"/>
    <w:rsid w:val="00B516D8"/>
    <w:rsid w:val="00B5423B"/>
    <w:rsid w:val="00B56560"/>
    <w:rsid w:val="00B628A3"/>
    <w:rsid w:val="00B63804"/>
    <w:rsid w:val="00B65131"/>
    <w:rsid w:val="00B654C1"/>
    <w:rsid w:val="00B735AB"/>
    <w:rsid w:val="00B73CAB"/>
    <w:rsid w:val="00B74D5C"/>
    <w:rsid w:val="00B77FAA"/>
    <w:rsid w:val="00B80574"/>
    <w:rsid w:val="00B80EDF"/>
    <w:rsid w:val="00B82A85"/>
    <w:rsid w:val="00B84A32"/>
    <w:rsid w:val="00B85E67"/>
    <w:rsid w:val="00B87942"/>
    <w:rsid w:val="00B93AB2"/>
    <w:rsid w:val="00B93FC9"/>
    <w:rsid w:val="00B97664"/>
    <w:rsid w:val="00BA0798"/>
    <w:rsid w:val="00BA0F1D"/>
    <w:rsid w:val="00BA30D2"/>
    <w:rsid w:val="00BA370B"/>
    <w:rsid w:val="00BA376A"/>
    <w:rsid w:val="00BA44CC"/>
    <w:rsid w:val="00BA4CBF"/>
    <w:rsid w:val="00BA5768"/>
    <w:rsid w:val="00BA6A61"/>
    <w:rsid w:val="00BA7E13"/>
    <w:rsid w:val="00BB1439"/>
    <w:rsid w:val="00BB168E"/>
    <w:rsid w:val="00BB3843"/>
    <w:rsid w:val="00BB4531"/>
    <w:rsid w:val="00BB486C"/>
    <w:rsid w:val="00BB5F25"/>
    <w:rsid w:val="00BB743F"/>
    <w:rsid w:val="00BC299F"/>
    <w:rsid w:val="00BC3C3F"/>
    <w:rsid w:val="00BC3D79"/>
    <w:rsid w:val="00BC583C"/>
    <w:rsid w:val="00BC5B0C"/>
    <w:rsid w:val="00BC7871"/>
    <w:rsid w:val="00BD2DAE"/>
    <w:rsid w:val="00BD35D2"/>
    <w:rsid w:val="00BD493C"/>
    <w:rsid w:val="00BD77F8"/>
    <w:rsid w:val="00BE0D0D"/>
    <w:rsid w:val="00BE1B2C"/>
    <w:rsid w:val="00BE20DE"/>
    <w:rsid w:val="00BE2390"/>
    <w:rsid w:val="00BE2484"/>
    <w:rsid w:val="00BE2E15"/>
    <w:rsid w:val="00BE4AD8"/>
    <w:rsid w:val="00BE6701"/>
    <w:rsid w:val="00BF036C"/>
    <w:rsid w:val="00BF04C3"/>
    <w:rsid w:val="00BF157F"/>
    <w:rsid w:val="00BF1AD3"/>
    <w:rsid w:val="00BF33C9"/>
    <w:rsid w:val="00BF4B70"/>
    <w:rsid w:val="00C01F96"/>
    <w:rsid w:val="00C02183"/>
    <w:rsid w:val="00C041F6"/>
    <w:rsid w:val="00C061E9"/>
    <w:rsid w:val="00C0668D"/>
    <w:rsid w:val="00C0732D"/>
    <w:rsid w:val="00C079F6"/>
    <w:rsid w:val="00C10723"/>
    <w:rsid w:val="00C1163B"/>
    <w:rsid w:val="00C12DEE"/>
    <w:rsid w:val="00C13F21"/>
    <w:rsid w:val="00C142EB"/>
    <w:rsid w:val="00C145AB"/>
    <w:rsid w:val="00C16B65"/>
    <w:rsid w:val="00C16C24"/>
    <w:rsid w:val="00C20639"/>
    <w:rsid w:val="00C2151C"/>
    <w:rsid w:val="00C22543"/>
    <w:rsid w:val="00C2282E"/>
    <w:rsid w:val="00C22969"/>
    <w:rsid w:val="00C22A0C"/>
    <w:rsid w:val="00C31F94"/>
    <w:rsid w:val="00C320D3"/>
    <w:rsid w:val="00C347D8"/>
    <w:rsid w:val="00C34ACC"/>
    <w:rsid w:val="00C350A6"/>
    <w:rsid w:val="00C36648"/>
    <w:rsid w:val="00C37992"/>
    <w:rsid w:val="00C40138"/>
    <w:rsid w:val="00C40AE5"/>
    <w:rsid w:val="00C42337"/>
    <w:rsid w:val="00C4336C"/>
    <w:rsid w:val="00C44F1F"/>
    <w:rsid w:val="00C4510E"/>
    <w:rsid w:val="00C47276"/>
    <w:rsid w:val="00C50421"/>
    <w:rsid w:val="00C5369B"/>
    <w:rsid w:val="00C53E59"/>
    <w:rsid w:val="00C5441C"/>
    <w:rsid w:val="00C556C8"/>
    <w:rsid w:val="00C579DA"/>
    <w:rsid w:val="00C61FBD"/>
    <w:rsid w:val="00C64A7F"/>
    <w:rsid w:val="00C67153"/>
    <w:rsid w:val="00C67307"/>
    <w:rsid w:val="00C678B3"/>
    <w:rsid w:val="00C700A6"/>
    <w:rsid w:val="00C704F5"/>
    <w:rsid w:val="00C70CE7"/>
    <w:rsid w:val="00C73566"/>
    <w:rsid w:val="00C73937"/>
    <w:rsid w:val="00C7404E"/>
    <w:rsid w:val="00C745F3"/>
    <w:rsid w:val="00C752D9"/>
    <w:rsid w:val="00C75359"/>
    <w:rsid w:val="00C80249"/>
    <w:rsid w:val="00C80B46"/>
    <w:rsid w:val="00C83129"/>
    <w:rsid w:val="00C8331C"/>
    <w:rsid w:val="00C83820"/>
    <w:rsid w:val="00C83831"/>
    <w:rsid w:val="00C904F3"/>
    <w:rsid w:val="00C90AE2"/>
    <w:rsid w:val="00C923B0"/>
    <w:rsid w:val="00C93912"/>
    <w:rsid w:val="00C93F0B"/>
    <w:rsid w:val="00C9752C"/>
    <w:rsid w:val="00C97669"/>
    <w:rsid w:val="00CA1C0D"/>
    <w:rsid w:val="00CA3475"/>
    <w:rsid w:val="00CA35CB"/>
    <w:rsid w:val="00CA7DE4"/>
    <w:rsid w:val="00CB1512"/>
    <w:rsid w:val="00CB2C18"/>
    <w:rsid w:val="00CB3107"/>
    <w:rsid w:val="00CB3832"/>
    <w:rsid w:val="00CB488B"/>
    <w:rsid w:val="00CB4B13"/>
    <w:rsid w:val="00CB504A"/>
    <w:rsid w:val="00CB6A18"/>
    <w:rsid w:val="00CB6E8E"/>
    <w:rsid w:val="00CC080F"/>
    <w:rsid w:val="00CC0B98"/>
    <w:rsid w:val="00CC22D4"/>
    <w:rsid w:val="00CC5856"/>
    <w:rsid w:val="00CC68F6"/>
    <w:rsid w:val="00CC7692"/>
    <w:rsid w:val="00CC7BF0"/>
    <w:rsid w:val="00CD022C"/>
    <w:rsid w:val="00CD0854"/>
    <w:rsid w:val="00CD0A46"/>
    <w:rsid w:val="00CD2941"/>
    <w:rsid w:val="00CD2A88"/>
    <w:rsid w:val="00CD2C85"/>
    <w:rsid w:val="00CD4527"/>
    <w:rsid w:val="00CD47B1"/>
    <w:rsid w:val="00CD4F66"/>
    <w:rsid w:val="00CD51B4"/>
    <w:rsid w:val="00CD55E6"/>
    <w:rsid w:val="00CD617A"/>
    <w:rsid w:val="00CD71FE"/>
    <w:rsid w:val="00CD75CA"/>
    <w:rsid w:val="00CE07DC"/>
    <w:rsid w:val="00CE0BC0"/>
    <w:rsid w:val="00CE10B0"/>
    <w:rsid w:val="00CE2F6A"/>
    <w:rsid w:val="00CE31C1"/>
    <w:rsid w:val="00CE46C4"/>
    <w:rsid w:val="00CE5B70"/>
    <w:rsid w:val="00CE7C3C"/>
    <w:rsid w:val="00CF0E3C"/>
    <w:rsid w:val="00CF24B7"/>
    <w:rsid w:val="00CF28A7"/>
    <w:rsid w:val="00CF2D98"/>
    <w:rsid w:val="00CF5E59"/>
    <w:rsid w:val="00D002CB"/>
    <w:rsid w:val="00D01E1C"/>
    <w:rsid w:val="00D05389"/>
    <w:rsid w:val="00D059FE"/>
    <w:rsid w:val="00D05D89"/>
    <w:rsid w:val="00D063B2"/>
    <w:rsid w:val="00D07E87"/>
    <w:rsid w:val="00D11DE4"/>
    <w:rsid w:val="00D14BC4"/>
    <w:rsid w:val="00D208BA"/>
    <w:rsid w:val="00D2217E"/>
    <w:rsid w:val="00D22A59"/>
    <w:rsid w:val="00D23854"/>
    <w:rsid w:val="00D2504D"/>
    <w:rsid w:val="00D25F39"/>
    <w:rsid w:val="00D302EB"/>
    <w:rsid w:val="00D30C10"/>
    <w:rsid w:val="00D315E9"/>
    <w:rsid w:val="00D34126"/>
    <w:rsid w:val="00D34CD8"/>
    <w:rsid w:val="00D35E73"/>
    <w:rsid w:val="00D35FAF"/>
    <w:rsid w:val="00D37588"/>
    <w:rsid w:val="00D403EE"/>
    <w:rsid w:val="00D410A5"/>
    <w:rsid w:val="00D41548"/>
    <w:rsid w:val="00D44892"/>
    <w:rsid w:val="00D50919"/>
    <w:rsid w:val="00D509EB"/>
    <w:rsid w:val="00D50D66"/>
    <w:rsid w:val="00D51AA3"/>
    <w:rsid w:val="00D51D3E"/>
    <w:rsid w:val="00D51D62"/>
    <w:rsid w:val="00D5270B"/>
    <w:rsid w:val="00D5334D"/>
    <w:rsid w:val="00D56D05"/>
    <w:rsid w:val="00D60273"/>
    <w:rsid w:val="00D6193C"/>
    <w:rsid w:val="00D62589"/>
    <w:rsid w:val="00D631FD"/>
    <w:rsid w:val="00D64A9F"/>
    <w:rsid w:val="00D64B0D"/>
    <w:rsid w:val="00D66E65"/>
    <w:rsid w:val="00D66FEB"/>
    <w:rsid w:val="00D71215"/>
    <w:rsid w:val="00D71B5D"/>
    <w:rsid w:val="00D73C46"/>
    <w:rsid w:val="00D73CE3"/>
    <w:rsid w:val="00D74931"/>
    <w:rsid w:val="00D80EDA"/>
    <w:rsid w:val="00D83781"/>
    <w:rsid w:val="00D84DF6"/>
    <w:rsid w:val="00D85079"/>
    <w:rsid w:val="00D85D6D"/>
    <w:rsid w:val="00D86819"/>
    <w:rsid w:val="00D86C88"/>
    <w:rsid w:val="00D87466"/>
    <w:rsid w:val="00D91BEE"/>
    <w:rsid w:val="00D92B26"/>
    <w:rsid w:val="00D953A5"/>
    <w:rsid w:val="00D95CCC"/>
    <w:rsid w:val="00D95F0C"/>
    <w:rsid w:val="00D963E2"/>
    <w:rsid w:val="00DA1668"/>
    <w:rsid w:val="00DA19F0"/>
    <w:rsid w:val="00DA262C"/>
    <w:rsid w:val="00DA4649"/>
    <w:rsid w:val="00DA7507"/>
    <w:rsid w:val="00DA767F"/>
    <w:rsid w:val="00DB0999"/>
    <w:rsid w:val="00DB0F4B"/>
    <w:rsid w:val="00DB2481"/>
    <w:rsid w:val="00DB2CFF"/>
    <w:rsid w:val="00DB2DE9"/>
    <w:rsid w:val="00DB3071"/>
    <w:rsid w:val="00DB38B8"/>
    <w:rsid w:val="00DB4796"/>
    <w:rsid w:val="00DB4EE8"/>
    <w:rsid w:val="00DB545E"/>
    <w:rsid w:val="00DB7847"/>
    <w:rsid w:val="00DC1A5F"/>
    <w:rsid w:val="00DC4A22"/>
    <w:rsid w:val="00DC4B37"/>
    <w:rsid w:val="00DC6019"/>
    <w:rsid w:val="00DC6128"/>
    <w:rsid w:val="00DC6667"/>
    <w:rsid w:val="00DD1B58"/>
    <w:rsid w:val="00DD292F"/>
    <w:rsid w:val="00DD50C9"/>
    <w:rsid w:val="00DD5975"/>
    <w:rsid w:val="00DD7023"/>
    <w:rsid w:val="00DE2207"/>
    <w:rsid w:val="00DE4D03"/>
    <w:rsid w:val="00DE7148"/>
    <w:rsid w:val="00DE757D"/>
    <w:rsid w:val="00DF06FB"/>
    <w:rsid w:val="00DF07DE"/>
    <w:rsid w:val="00DF2A40"/>
    <w:rsid w:val="00DF3475"/>
    <w:rsid w:val="00DF6C01"/>
    <w:rsid w:val="00E0072A"/>
    <w:rsid w:val="00E03E9F"/>
    <w:rsid w:val="00E04930"/>
    <w:rsid w:val="00E04D70"/>
    <w:rsid w:val="00E052DA"/>
    <w:rsid w:val="00E05F85"/>
    <w:rsid w:val="00E0605C"/>
    <w:rsid w:val="00E06D4D"/>
    <w:rsid w:val="00E06F8D"/>
    <w:rsid w:val="00E11564"/>
    <w:rsid w:val="00E1373E"/>
    <w:rsid w:val="00E141A3"/>
    <w:rsid w:val="00E14565"/>
    <w:rsid w:val="00E1524A"/>
    <w:rsid w:val="00E15488"/>
    <w:rsid w:val="00E17BA2"/>
    <w:rsid w:val="00E20E60"/>
    <w:rsid w:val="00E241BA"/>
    <w:rsid w:val="00E249A0"/>
    <w:rsid w:val="00E24FDE"/>
    <w:rsid w:val="00E26464"/>
    <w:rsid w:val="00E31467"/>
    <w:rsid w:val="00E3335B"/>
    <w:rsid w:val="00E33DB6"/>
    <w:rsid w:val="00E45101"/>
    <w:rsid w:val="00E45C69"/>
    <w:rsid w:val="00E45D09"/>
    <w:rsid w:val="00E47C19"/>
    <w:rsid w:val="00E52796"/>
    <w:rsid w:val="00E54769"/>
    <w:rsid w:val="00E54A88"/>
    <w:rsid w:val="00E55510"/>
    <w:rsid w:val="00E57DD6"/>
    <w:rsid w:val="00E60E2A"/>
    <w:rsid w:val="00E61446"/>
    <w:rsid w:val="00E61605"/>
    <w:rsid w:val="00E638F6"/>
    <w:rsid w:val="00E64858"/>
    <w:rsid w:val="00E64879"/>
    <w:rsid w:val="00E65D0D"/>
    <w:rsid w:val="00E65D98"/>
    <w:rsid w:val="00E670E0"/>
    <w:rsid w:val="00E67137"/>
    <w:rsid w:val="00E67EA7"/>
    <w:rsid w:val="00E71C5E"/>
    <w:rsid w:val="00E75255"/>
    <w:rsid w:val="00E762A4"/>
    <w:rsid w:val="00E77D4E"/>
    <w:rsid w:val="00E82003"/>
    <w:rsid w:val="00E82895"/>
    <w:rsid w:val="00E842E3"/>
    <w:rsid w:val="00E844DF"/>
    <w:rsid w:val="00E8513C"/>
    <w:rsid w:val="00E85274"/>
    <w:rsid w:val="00E90915"/>
    <w:rsid w:val="00E91255"/>
    <w:rsid w:val="00E91C24"/>
    <w:rsid w:val="00E925F2"/>
    <w:rsid w:val="00E96838"/>
    <w:rsid w:val="00E973A5"/>
    <w:rsid w:val="00EA161F"/>
    <w:rsid w:val="00EA3560"/>
    <w:rsid w:val="00EA35D3"/>
    <w:rsid w:val="00EA421D"/>
    <w:rsid w:val="00EA7243"/>
    <w:rsid w:val="00EA7920"/>
    <w:rsid w:val="00EA796A"/>
    <w:rsid w:val="00EA7D95"/>
    <w:rsid w:val="00EB0545"/>
    <w:rsid w:val="00EB154A"/>
    <w:rsid w:val="00EB1FCD"/>
    <w:rsid w:val="00EB41D8"/>
    <w:rsid w:val="00EB5518"/>
    <w:rsid w:val="00EB745A"/>
    <w:rsid w:val="00EB7877"/>
    <w:rsid w:val="00EC11E9"/>
    <w:rsid w:val="00EC343D"/>
    <w:rsid w:val="00EC349E"/>
    <w:rsid w:val="00EC4C28"/>
    <w:rsid w:val="00EC4E09"/>
    <w:rsid w:val="00EC52C4"/>
    <w:rsid w:val="00EC70B8"/>
    <w:rsid w:val="00EC7DE0"/>
    <w:rsid w:val="00ED04E4"/>
    <w:rsid w:val="00ED1542"/>
    <w:rsid w:val="00ED2043"/>
    <w:rsid w:val="00ED28DB"/>
    <w:rsid w:val="00ED2EBD"/>
    <w:rsid w:val="00ED4293"/>
    <w:rsid w:val="00ED42E1"/>
    <w:rsid w:val="00ED4524"/>
    <w:rsid w:val="00ED5AC7"/>
    <w:rsid w:val="00EE08E6"/>
    <w:rsid w:val="00EE0FFF"/>
    <w:rsid w:val="00EE3D1D"/>
    <w:rsid w:val="00EE3DD5"/>
    <w:rsid w:val="00EE5950"/>
    <w:rsid w:val="00EF0896"/>
    <w:rsid w:val="00EF0D0E"/>
    <w:rsid w:val="00EF1321"/>
    <w:rsid w:val="00EF4735"/>
    <w:rsid w:val="00EF6745"/>
    <w:rsid w:val="00EF6F5C"/>
    <w:rsid w:val="00EF7F95"/>
    <w:rsid w:val="00F00256"/>
    <w:rsid w:val="00F0238E"/>
    <w:rsid w:val="00F02FBE"/>
    <w:rsid w:val="00F04979"/>
    <w:rsid w:val="00F05475"/>
    <w:rsid w:val="00F05EC3"/>
    <w:rsid w:val="00F06578"/>
    <w:rsid w:val="00F06AB3"/>
    <w:rsid w:val="00F105C3"/>
    <w:rsid w:val="00F1280D"/>
    <w:rsid w:val="00F12D3E"/>
    <w:rsid w:val="00F1589A"/>
    <w:rsid w:val="00F15952"/>
    <w:rsid w:val="00F17EE0"/>
    <w:rsid w:val="00F20849"/>
    <w:rsid w:val="00F21E0F"/>
    <w:rsid w:val="00F26BD0"/>
    <w:rsid w:val="00F26D54"/>
    <w:rsid w:val="00F27F9E"/>
    <w:rsid w:val="00F304AC"/>
    <w:rsid w:val="00F31B18"/>
    <w:rsid w:val="00F36302"/>
    <w:rsid w:val="00F36DD2"/>
    <w:rsid w:val="00F3706A"/>
    <w:rsid w:val="00F37A18"/>
    <w:rsid w:val="00F37D27"/>
    <w:rsid w:val="00F44B6B"/>
    <w:rsid w:val="00F44F09"/>
    <w:rsid w:val="00F45A61"/>
    <w:rsid w:val="00F45B58"/>
    <w:rsid w:val="00F50652"/>
    <w:rsid w:val="00F512D0"/>
    <w:rsid w:val="00F551D8"/>
    <w:rsid w:val="00F56C8B"/>
    <w:rsid w:val="00F577EE"/>
    <w:rsid w:val="00F605B2"/>
    <w:rsid w:val="00F61B20"/>
    <w:rsid w:val="00F6336E"/>
    <w:rsid w:val="00F63531"/>
    <w:rsid w:val="00F659D6"/>
    <w:rsid w:val="00F65D7B"/>
    <w:rsid w:val="00F666CF"/>
    <w:rsid w:val="00F728F6"/>
    <w:rsid w:val="00F74316"/>
    <w:rsid w:val="00F75E5B"/>
    <w:rsid w:val="00F77DFC"/>
    <w:rsid w:val="00F80361"/>
    <w:rsid w:val="00F8045F"/>
    <w:rsid w:val="00F80C8E"/>
    <w:rsid w:val="00F813B8"/>
    <w:rsid w:val="00F820B1"/>
    <w:rsid w:val="00F82606"/>
    <w:rsid w:val="00F861B4"/>
    <w:rsid w:val="00F86715"/>
    <w:rsid w:val="00F90DA9"/>
    <w:rsid w:val="00F91CFD"/>
    <w:rsid w:val="00F92FC7"/>
    <w:rsid w:val="00F938C0"/>
    <w:rsid w:val="00F963D5"/>
    <w:rsid w:val="00F977AA"/>
    <w:rsid w:val="00FA2337"/>
    <w:rsid w:val="00FA25A7"/>
    <w:rsid w:val="00FA2968"/>
    <w:rsid w:val="00FA3D7E"/>
    <w:rsid w:val="00FA4D6E"/>
    <w:rsid w:val="00FA4D9D"/>
    <w:rsid w:val="00FA5A50"/>
    <w:rsid w:val="00FA639D"/>
    <w:rsid w:val="00FA6BA9"/>
    <w:rsid w:val="00FA6CDF"/>
    <w:rsid w:val="00FA7294"/>
    <w:rsid w:val="00FA77FD"/>
    <w:rsid w:val="00FB06B4"/>
    <w:rsid w:val="00FB1DDB"/>
    <w:rsid w:val="00FB2130"/>
    <w:rsid w:val="00FB2A54"/>
    <w:rsid w:val="00FB3A14"/>
    <w:rsid w:val="00FB7D63"/>
    <w:rsid w:val="00FC131D"/>
    <w:rsid w:val="00FC285D"/>
    <w:rsid w:val="00FC29BB"/>
    <w:rsid w:val="00FC4483"/>
    <w:rsid w:val="00FC4B82"/>
    <w:rsid w:val="00FC5316"/>
    <w:rsid w:val="00FC56AD"/>
    <w:rsid w:val="00FC5C98"/>
    <w:rsid w:val="00FC68CD"/>
    <w:rsid w:val="00FD261B"/>
    <w:rsid w:val="00FD3894"/>
    <w:rsid w:val="00FD602D"/>
    <w:rsid w:val="00FD658C"/>
    <w:rsid w:val="00FD6AD2"/>
    <w:rsid w:val="00FE0AFD"/>
    <w:rsid w:val="00FE0F71"/>
    <w:rsid w:val="00FE38D6"/>
    <w:rsid w:val="00FE4C72"/>
    <w:rsid w:val="00FE5F4C"/>
    <w:rsid w:val="00FE7045"/>
    <w:rsid w:val="00FE7B44"/>
    <w:rsid w:val="00FE7F6C"/>
    <w:rsid w:val="00FF2168"/>
    <w:rsid w:val="00FF49E7"/>
    <w:rsid w:val="00FF4BB1"/>
    <w:rsid w:val="00FF5588"/>
    <w:rsid w:val="00FF5C35"/>
    <w:rsid w:val="00FF670B"/>
    <w:rsid w:val="00FF7AE9"/>
    <w:rsid w:val="00FF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0A4AC2"/>
  <w15:chartTrackingRefBased/>
  <w15:docId w15:val="{D883857F-61DC-4EFC-9B59-30C32300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1F6"/>
    <w:rPr>
      <w:sz w:val="24"/>
    </w:rPr>
  </w:style>
  <w:style w:type="paragraph" w:styleId="Heading1">
    <w:name w:val="heading 1"/>
    <w:basedOn w:val="Normal"/>
    <w:next w:val="Normal"/>
    <w:link w:val="Heading1Char"/>
    <w:autoRedefine/>
    <w:uiPriority w:val="9"/>
    <w:qFormat/>
    <w:rsid w:val="00AC392A"/>
    <w:pPr>
      <w:keepNext/>
      <w:keepLines/>
      <w:spacing w:before="24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autoRedefine/>
    <w:uiPriority w:val="9"/>
    <w:unhideWhenUsed/>
    <w:qFormat/>
    <w:rsid w:val="000E3D3C"/>
    <w:pPr>
      <w:keepNext/>
      <w:keepLines/>
      <w:spacing w:before="4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autoRedefine/>
    <w:uiPriority w:val="9"/>
    <w:unhideWhenUsed/>
    <w:qFormat/>
    <w:rsid w:val="00CC7692"/>
    <w:pPr>
      <w:keepNext/>
      <w:keepLines/>
      <w:spacing w:before="40"/>
      <w:outlineLvl w:val="2"/>
    </w:pPr>
    <w:rPr>
      <w:rFonts w:asciiTheme="majorHAnsi" w:eastAsiaTheme="majorEastAsia" w:hAnsiTheme="majorHAnsi" w:cstheme="majorBidi"/>
      <w:b/>
      <w:szCs w:val="24"/>
    </w:rPr>
  </w:style>
  <w:style w:type="paragraph" w:styleId="Heading4">
    <w:name w:val="heading 4"/>
    <w:basedOn w:val="Normal"/>
    <w:next w:val="Normal"/>
    <w:link w:val="Heading4Char"/>
    <w:autoRedefine/>
    <w:uiPriority w:val="9"/>
    <w:semiHidden/>
    <w:unhideWhenUsed/>
    <w:qFormat/>
    <w:rsid w:val="000E3D3C"/>
    <w:pPr>
      <w:keepNext/>
      <w:keepLines/>
      <w:spacing w:before="4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92A"/>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0E3D3C"/>
    <w:rPr>
      <w:rFonts w:asciiTheme="majorHAnsi" w:eastAsiaTheme="majorEastAsia" w:hAnsiTheme="majorHAnsi" w:cstheme="majorBidi"/>
      <w:b/>
      <w:sz w:val="26"/>
      <w:szCs w:val="26"/>
    </w:rPr>
  </w:style>
  <w:style w:type="paragraph" w:styleId="Title">
    <w:name w:val="Title"/>
    <w:basedOn w:val="Heading3"/>
    <w:next w:val="Normal"/>
    <w:link w:val="TitleChar"/>
    <w:autoRedefine/>
    <w:uiPriority w:val="10"/>
    <w:qFormat/>
    <w:rsid w:val="000E3D3C"/>
    <w:pPr>
      <w:contextualSpacing/>
    </w:pPr>
    <w:rPr>
      <w:b w:val="0"/>
      <w:spacing w:val="-10"/>
      <w:kern w:val="28"/>
      <w:szCs w:val="56"/>
    </w:rPr>
  </w:style>
  <w:style w:type="character" w:customStyle="1" w:styleId="TitleChar">
    <w:name w:val="Title Char"/>
    <w:basedOn w:val="DefaultParagraphFont"/>
    <w:link w:val="Title"/>
    <w:uiPriority w:val="10"/>
    <w:rsid w:val="000E3D3C"/>
    <w:rPr>
      <w:rFonts w:asciiTheme="majorHAnsi" w:eastAsiaTheme="majorEastAsia" w:hAnsiTheme="majorHAnsi" w:cstheme="majorBidi"/>
      <w:b/>
      <w:spacing w:val="-10"/>
      <w:kern w:val="28"/>
      <w:sz w:val="24"/>
      <w:szCs w:val="56"/>
    </w:rPr>
  </w:style>
  <w:style w:type="character" w:customStyle="1" w:styleId="Heading3Char">
    <w:name w:val="Heading 3 Char"/>
    <w:basedOn w:val="DefaultParagraphFont"/>
    <w:link w:val="Heading3"/>
    <w:uiPriority w:val="9"/>
    <w:rsid w:val="00CC7692"/>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0E3D3C"/>
    <w:rPr>
      <w:rFonts w:asciiTheme="majorHAnsi" w:eastAsiaTheme="majorEastAsia" w:hAnsiTheme="majorHAnsi" w:cstheme="majorBidi"/>
      <w:b/>
      <w:iCs/>
      <w:sz w:val="24"/>
    </w:rPr>
  </w:style>
  <w:style w:type="paragraph" w:styleId="ListParagraph">
    <w:name w:val="List Paragraph"/>
    <w:basedOn w:val="Normal"/>
    <w:uiPriority w:val="34"/>
    <w:qFormat/>
    <w:rsid w:val="009B1BA1"/>
    <w:pPr>
      <w:ind w:left="720"/>
      <w:contextualSpacing/>
    </w:pPr>
  </w:style>
  <w:style w:type="paragraph" w:styleId="NormalWeb">
    <w:name w:val="Normal (Web)"/>
    <w:basedOn w:val="Normal"/>
    <w:uiPriority w:val="99"/>
    <w:unhideWhenUsed/>
    <w:rsid w:val="00347B85"/>
    <w:pPr>
      <w:spacing w:before="100" w:beforeAutospacing="1" w:after="100"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246EDA"/>
    <w:pPr>
      <w:spacing w:after="0"/>
      <w:outlineLvl w:val="9"/>
    </w:pPr>
    <w:rPr>
      <w:b w:val="0"/>
      <w:color w:val="2F5496" w:themeColor="accent1" w:themeShade="BF"/>
      <w:sz w:val="32"/>
    </w:rPr>
  </w:style>
  <w:style w:type="paragraph" w:styleId="TOC1">
    <w:name w:val="toc 1"/>
    <w:basedOn w:val="Normal"/>
    <w:next w:val="Normal"/>
    <w:autoRedefine/>
    <w:uiPriority w:val="39"/>
    <w:unhideWhenUsed/>
    <w:rsid w:val="00246EDA"/>
    <w:pPr>
      <w:spacing w:after="100"/>
    </w:pPr>
  </w:style>
  <w:style w:type="paragraph" w:styleId="TOC2">
    <w:name w:val="toc 2"/>
    <w:basedOn w:val="Normal"/>
    <w:next w:val="Normal"/>
    <w:autoRedefine/>
    <w:uiPriority w:val="39"/>
    <w:unhideWhenUsed/>
    <w:rsid w:val="00246EDA"/>
    <w:pPr>
      <w:spacing w:after="100"/>
      <w:ind w:left="240"/>
    </w:pPr>
  </w:style>
  <w:style w:type="character" w:styleId="Hyperlink">
    <w:name w:val="Hyperlink"/>
    <w:basedOn w:val="DefaultParagraphFont"/>
    <w:uiPriority w:val="99"/>
    <w:unhideWhenUsed/>
    <w:rsid w:val="00246EDA"/>
    <w:rPr>
      <w:color w:val="0563C1" w:themeColor="hyperlink"/>
      <w:u w:val="single"/>
    </w:rPr>
  </w:style>
  <w:style w:type="paragraph" w:styleId="Caption">
    <w:name w:val="caption"/>
    <w:basedOn w:val="Normal"/>
    <w:next w:val="Normal"/>
    <w:uiPriority w:val="35"/>
    <w:unhideWhenUsed/>
    <w:qFormat/>
    <w:rsid w:val="00246D8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7B44"/>
    <w:pPr>
      <w:spacing w:after="0"/>
    </w:pPr>
  </w:style>
  <w:style w:type="paragraph" w:styleId="Header">
    <w:name w:val="header"/>
    <w:basedOn w:val="Normal"/>
    <w:link w:val="HeaderChar"/>
    <w:uiPriority w:val="99"/>
    <w:unhideWhenUsed/>
    <w:rsid w:val="00167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FFC"/>
    <w:rPr>
      <w:sz w:val="24"/>
    </w:rPr>
  </w:style>
  <w:style w:type="paragraph" w:styleId="Footer">
    <w:name w:val="footer"/>
    <w:basedOn w:val="Normal"/>
    <w:link w:val="FooterChar"/>
    <w:uiPriority w:val="99"/>
    <w:unhideWhenUsed/>
    <w:rsid w:val="00167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FFC"/>
    <w:rPr>
      <w:sz w:val="24"/>
    </w:rPr>
  </w:style>
  <w:style w:type="paragraph" w:styleId="Bibliography">
    <w:name w:val="Bibliography"/>
    <w:basedOn w:val="Normal"/>
    <w:next w:val="Normal"/>
    <w:uiPriority w:val="37"/>
    <w:unhideWhenUsed/>
    <w:rsid w:val="00BB486C"/>
  </w:style>
  <w:style w:type="table" w:styleId="TableGrid">
    <w:name w:val="Table Grid"/>
    <w:basedOn w:val="TableNormal"/>
    <w:uiPriority w:val="39"/>
    <w:rsid w:val="00B62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995">
      <w:bodyDiv w:val="1"/>
      <w:marLeft w:val="0"/>
      <w:marRight w:val="0"/>
      <w:marTop w:val="0"/>
      <w:marBottom w:val="0"/>
      <w:divBdr>
        <w:top w:val="none" w:sz="0" w:space="0" w:color="auto"/>
        <w:left w:val="none" w:sz="0" w:space="0" w:color="auto"/>
        <w:bottom w:val="none" w:sz="0" w:space="0" w:color="auto"/>
        <w:right w:val="none" w:sz="0" w:space="0" w:color="auto"/>
      </w:divBdr>
    </w:div>
    <w:div w:id="12583267">
      <w:bodyDiv w:val="1"/>
      <w:marLeft w:val="0"/>
      <w:marRight w:val="0"/>
      <w:marTop w:val="0"/>
      <w:marBottom w:val="0"/>
      <w:divBdr>
        <w:top w:val="none" w:sz="0" w:space="0" w:color="auto"/>
        <w:left w:val="none" w:sz="0" w:space="0" w:color="auto"/>
        <w:bottom w:val="none" w:sz="0" w:space="0" w:color="auto"/>
        <w:right w:val="none" w:sz="0" w:space="0" w:color="auto"/>
      </w:divBdr>
    </w:div>
    <w:div w:id="19403867">
      <w:bodyDiv w:val="1"/>
      <w:marLeft w:val="0"/>
      <w:marRight w:val="0"/>
      <w:marTop w:val="0"/>
      <w:marBottom w:val="0"/>
      <w:divBdr>
        <w:top w:val="none" w:sz="0" w:space="0" w:color="auto"/>
        <w:left w:val="none" w:sz="0" w:space="0" w:color="auto"/>
        <w:bottom w:val="none" w:sz="0" w:space="0" w:color="auto"/>
        <w:right w:val="none" w:sz="0" w:space="0" w:color="auto"/>
      </w:divBdr>
    </w:div>
    <w:div w:id="20058083">
      <w:bodyDiv w:val="1"/>
      <w:marLeft w:val="0"/>
      <w:marRight w:val="0"/>
      <w:marTop w:val="0"/>
      <w:marBottom w:val="0"/>
      <w:divBdr>
        <w:top w:val="none" w:sz="0" w:space="0" w:color="auto"/>
        <w:left w:val="none" w:sz="0" w:space="0" w:color="auto"/>
        <w:bottom w:val="none" w:sz="0" w:space="0" w:color="auto"/>
        <w:right w:val="none" w:sz="0" w:space="0" w:color="auto"/>
      </w:divBdr>
    </w:div>
    <w:div w:id="24065027">
      <w:bodyDiv w:val="1"/>
      <w:marLeft w:val="0"/>
      <w:marRight w:val="0"/>
      <w:marTop w:val="0"/>
      <w:marBottom w:val="0"/>
      <w:divBdr>
        <w:top w:val="none" w:sz="0" w:space="0" w:color="auto"/>
        <w:left w:val="none" w:sz="0" w:space="0" w:color="auto"/>
        <w:bottom w:val="none" w:sz="0" w:space="0" w:color="auto"/>
        <w:right w:val="none" w:sz="0" w:space="0" w:color="auto"/>
      </w:divBdr>
    </w:div>
    <w:div w:id="33121667">
      <w:bodyDiv w:val="1"/>
      <w:marLeft w:val="0"/>
      <w:marRight w:val="0"/>
      <w:marTop w:val="0"/>
      <w:marBottom w:val="0"/>
      <w:divBdr>
        <w:top w:val="none" w:sz="0" w:space="0" w:color="auto"/>
        <w:left w:val="none" w:sz="0" w:space="0" w:color="auto"/>
        <w:bottom w:val="none" w:sz="0" w:space="0" w:color="auto"/>
        <w:right w:val="none" w:sz="0" w:space="0" w:color="auto"/>
      </w:divBdr>
    </w:div>
    <w:div w:id="37897441">
      <w:bodyDiv w:val="1"/>
      <w:marLeft w:val="0"/>
      <w:marRight w:val="0"/>
      <w:marTop w:val="0"/>
      <w:marBottom w:val="0"/>
      <w:divBdr>
        <w:top w:val="none" w:sz="0" w:space="0" w:color="auto"/>
        <w:left w:val="none" w:sz="0" w:space="0" w:color="auto"/>
        <w:bottom w:val="none" w:sz="0" w:space="0" w:color="auto"/>
        <w:right w:val="none" w:sz="0" w:space="0" w:color="auto"/>
      </w:divBdr>
    </w:div>
    <w:div w:id="41491588">
      <w:bodyDiv w:val="1"/>
      <w:marLeft w:val="0"/>
      <w:marRight w:val="0"/>
      <w:marTop w:val="0"/>
      <w:marBottom w:val="0"/>
      <w:divBdr>
        <w:top w:val="none" w:sz="0" w:space="0" w:color="auto"/>
        <w:left w:val="none" w:sz="0" w:space="0" w:color="auto"/>
        <w:bottom w:val="none" w:sz="0" w:space="0" w:color="auto"/>
        <w:right w:val="none" w:sz="0" w:space="0" w:color="auto"/>
      </w:divBdr>
    </w:div>
    <w:div w:id="49962901">
      <w:bodyDiv w:val="1"/>
      <w:marLeft w:val="0"/>
      <w:marRight w:val="0"/>
      <w:marTop w:val="0"/>
      <w:marBottom w:val="0"/>
      <w:divBdr>
        <w:top w:val="none" w:sz="0" w:space="0" w:color="auto"/>
        <w:left w:val="none" w:sz="0" w:space="0" w:color="auto"/>
        <w:bottom w:val="none" w:sz="0" w:space="0" w:color="auto"/>
        <w:right w:val="none" w:sz="0" w:space="0" w:color="auto"/>
      </w:divBdr>
    </w:div>
    <w:div w:id="74597008">
      <w:bodyDiv w:val="1"/>
      <w:marLeft w:val="0"/>
      <w:marRight w:val="0"/>
      <w:marTop w:val="0"/>
      <w:marBottom w:val="0"/>
      <w:divBdr>
        <w:top w:val="none" w:sz="0" w:space="0" w:color="auto"/>
        <w:left w:val="none" w:sz="0" w:space="0" w:color="auto"/>
        <w:bottom w:val="none" w:sz="0" w:space="0" w:color="auto"/>
        <w:right w:val="none" w:sz="0" w:space="0" w:color="auto"/>
      </w:divBdr>
    </w:div>
    <w:div w:id="77480527">
      <w:bodyDiv w:val="1"/>
      <w:marLeft w:val="0"/>
      <w:marRight w:val="0"/>
      <w:marTop w:val="0"/>
      <w:marBottom w:val="0"/>
      <w:divBdr>
        <w:top w:val="none" w:sz="0" w:space="0" w:color="auto"/>
        <w:left w:val="none" w:sz="0" w:space="0" w:color="auto"/>
        <w:bottom w:val="none" w:sz="0" w:space="0" w:color="auto"/>
        <w:right w:val="none" w:sz="0" w:space="0" w:color="auto"/>
      </w:divBdr>
    </w:div>
    <w:div w:id="79764497">
      <w:bodyDiv w:val="1"/>
      <w:marLeft w:val="0"/>
      <w:marRight w:val="0"/>
      <w:marTop w:val="0"/>
      <w:marBottom w:val="0"/>
      <w:divBdr>
        <w:top w:val="none" w:sz="0" w:space="0" w:color="auto"/>
        <w:left w:val="none" w:sz="0" w:space="0" w:color="auto"/>
        <w:bottom w:val="none" w:sz="0" w:space="0" w:color="auto"/>
        <w:right w:val="none" w:sz="0" w:space="0" w:color="auto"/>
      </w:divBdr>
    </w:div>
    <w:div w:id="92552434">
      <w:bodyDiv w:val="1"/>
      <w:marLeft w:val="0"/>
      <w:marRight w:val="0"/>
      <w:marTop w:val="0"/>
      <w:marBottom w:val="0"/>
      <w:divBdr>
        <w:top w:val="none" w:sz="0" w:space="0" w:color="auto"/>
        <w:left w:val="none" w:sz="0" w:space="0" w:color="auto"/>
        <w:bottom w:val="none" w:sz="0" w:space="0" w:color="auto"/>
        <w:right w:val="none" w:sz="0" w:space="0" w:color="auto"/>
      </w:divBdr>
    </w:div>
    <w:div w:id="96952376">
      <w:bodyDiv w:val="1"/>
      <w:marLeft w:val="0"/>
      <w:marRight w:val="0"/>
      <w:marTop w:val="0"/>
      <w:marBottom w:val="0"/>
      <w:divBdr>
        <w:top w:val="none" w:sz="0" w:space="0" w:color="auto"/>
        <w:left w:val="none" w:sz="0" w:space="0" w:color="auto"/>
        <w:bottom w:val="none" w:sz="0" w:space="0" w:color="auto"/>
        <w:right w:val="none" w:sz="0" w:space="0" w:color="auto"/>
      </w:divBdr>
    </w:div>
    <w:div w:id="105317668">
      <w:bodyDiv w:val="1"/>
      <w:marLeft w:val="0"/>
      <w:marRight w:val="0"/>
      <w:marTop w:val="0"/>
      <w:marBottom w:val="0"/>
      <w:divBdr>
        <w:top w:val="none" w:sz="0" w:space="0" w:color="auto"/>
        <w:left w:val="none" w:sz="0" w:space="0" w:color="auto"/>
        <w:bottom w:val="none" w:sz="0" w:space="0" w:color="auto"/>
        <w:right w:val="none" w:sz="0" w:space="0" w:color="auto"/>
      </w:divBdr>
    </w:div>
    <w:div w:id="111170628">
      <w:bodyDiv w:val="1"/>
      <w:marLeft w:val="0"/>
      <w:marRight w:val="0"/>
      <w:marTop w:val="0"/>
      <w:marBottom w:val="0"/>
      <w:divBdr>
        <w:top w:val="none" w:sz="0" w:space="0" w:color="auto"/>
        <w:left w:val="none" w:sz="0" w:space="0" w:color="auto"/>
        <w:bottom w:val="none" w:sz="0" w:space="0" w:color="auto"/>
        <w:right w:val="none" w:sz="0" w:space="0" w:color="auto"/>
      </w:divBdr>
      <w:divsChild>
        <w:div w:id="713702668">
          <w:marLeft w:val="0"/>
          <w:marRight w:val="0"/>
          <w:marTop w:val="0"/>
          <w:marBottom w:val="0"/>
          <w:divBdr>
            <w:top w:val="none" w:sz="0" w:space="0" w:color="auto"/>
            <w:left w:val="none" w:sz="0" w:space="0" w:color="auto"/>
            <w:bottom w:val="none" w:sz="0" w:space="0" w:color="auto"/>
            <w:right w:val="none" w:sz="0" w:space="0" w:color="auto"/>
          </w:divBdr>
        </w:div>
      </w:divsChild>
    </w:div>
    <w:div w:id="120805794">
      <w:bodyDiv w:val="1"/>
      <w:marLeft w:val="0"/>
      <w:marRight w:val="0"/>
      <w:marTop w:val="0"/>
      <w:marBottom w:val="0"/>
      <w:divBdr>
        <w:top w:val="none" w:sz="0" w:space="0" w:color="auto"/>
        <w:left w:val="none" w:sz="0" w:space="0" w:color="auto"/>
        <w:bottom w:val="none" w:sz="0" w:space="0" w:color="auto"/>
        <w:right w:val="none" w:sz="0" w:space="0" w:color="auto"/>
      </w:divBdr>
    </w:div>
    <w:div w:id="146018413">
      <w:bodyDiv w:val="1"/>
      <w:marLeft w:val="0"/>
      <w:marRight w:val="0"/>
      <w:marTop w:val="0"/>
      <w:marBottom w:val="0"/>
      <w:divBdr>
        <w:top w:val="none" w:sz="0" w:space="0" w:color="auto"/>
        <w:left w:val="none" w:sz="0" w:space="0" w:color="auto"/>
        <w:bottom w:val="none" w:sz="0" w:space="0" w:color="auto"/>
        <w:right w:val="none" w:sz="0" w:space="0" w:color="auto"/>
      </w:divBdr>
    </w:div>
    <w:div w:id="151609819">
      <w:bodyDiv w:val="1"/>
      <w:marLeft w:val="0"/>
      <w:marRight w:val="0"/>
      <w:marTop w:val="0"/>
      <w:marBottom w:val="0"/>
      <w:divBdr>
        <w:top w:val="none" w:sz="0" w:space="0" w:color="auto"/>
        <w:left w:val="none" w:sz="0" w:space="0" w:color="auto"/>
        <w:bottom w:val="none" w:sz="0" w:space="0" w:color="auto"/>
        <w:right w:val="none" w:sz="0" w:space="0" w:color="auto"/>
      </w:divBdr>
    </w:div>
    <w:div w:id="152766344">
      <w:bodyDiv w:val="1"/>
      <w:marLeft w:val="0"/>
      <w:marRight w:val="0"/>
      <w:marTop w:val="0"/>
      <w:marBottom w:val="0"/>
      <w:divBdr>
        <w:top w:val="none" w:sz="0" w:space="0" w:color="auto"/>
        <w:left w:val="none" w:sz="0" w:space="0" w:color="auto"/>
        <w:bottom w:val="none" w:sz="0" w:space="0" w:color="auto"/>
        <w:right w:val="none" w:sz="0" w:space="0" w:color="auto"/>
      </w:divBdr>
    </w:div>
    <w:div w:id="156769863">
      <w:bodyDiv w:val="1"/>
      <w:marLeft w:val="0"/>
      <w:marRight w:val="0"/>
      <w:marTop w:val="0"/>
      <w:marBottom w:val="0"/>
      <w:divBdr>
        <w:top w:val="none" w:sz="0" w:space="0" w:color="auto"/>
        <w:left w:val="none" w:sz="0" w:space="0" w:color="auto"/>
        <w:bottom w:val="none" w:sz="0" w:space="0" w:color="auto"/>
        <w:right w:val="none" w:sz="0" w:space="0" w:color="auto"/>
      </w:divBdr>
    </w:div>
    <w:div w:id="180625534">
      <w:bodyDiv w:val="1"/>
      <w:marLeft w:val="0"/>
      <w:marRight w:val="0"/>
      <w:marTop w:val="0"/>
      <w:marBottom w:val="0"/>
      <w:divBdr>
        <w:top w:val="none" w:sz="0" w:space="0" w:color="auto"/>
        <w:left w:val="none" w:sz="0" w:space="0" w:color="auto"/>
        <w:bottom w:val="none" w:sz="0" w:space="0" w:color="auto"/>
        <w:right w:val="none" w:sz="0" w:space="0" w:color="auto"/>
      </w:divBdr>
    </w:div>
    <w:div w:id="197788701">
      <w:bodyDiv w:val="1"/>
      <w:marLeft w:val="0"/>
      <w:marRight w:val="0"/>
      <w:marTop w:val="0"/>
      <w:marBottom w:val="0"/>
      <w:divBdr>
        <w:top w:val="none" w:sz="0" w:space="0" w:color="auto"/>
        <w:left w:val="none" w:sz="0" w:space="0" w:color="auto"/>
        <w:bottom w:val="none" w:sz="0" w:space="0" w:color="auto"/>
        <w:right w:val="none" w:sz="0" w:space="0" w:color="auto"/>
      </w:divBdr>
    </w:div>
    <w:div w:id="198972976">
      <w:bodyDiv w:val="1"/>
      <w:marLeft w:val="0"/>
      <w:marRight w:val="0"/>
      <w:marTop w:val="0"/>
      <w:marBottom w:val="0"/>
      <w:divBdr>
        <w:top w:val="none" w:sz="0" w:space="0" w:color="auto"/>
        <w:left w:val="none" w:sz="0" w:space="0" w:color="auto"/>
        <w:bottom w:val="none" w:sz="0" w:space="0" w:color="auto"/>
        <w:right w:val="none" w:sz="0" w:space="0" w:color="auto"/>
      </w:divBdr>
    </w:div>
    <w:div w:id="203636540">
      <w:bodyDiv w:val="1"/>
      <w:marLeft w:val="0"/>
      <w:marRight w:val="0"/>
      <w:marTop w:val="0"/>
      <w:marBottom w:val="0"/>
      <w:divBdr>
        <w:top w:val="none" w:sz="0" w:space="0" w:color="auto"/>
        <w:left w:val="none" w:sz="0" w:space="0" w:color="auto"/>
        <w:bottom w:val="none" w:sz="0" w:space="0" w:color="auto"/>
        <w:right w:val="none" w:sz="0" w:space="0" w:color="auto"/>
      </w:divBdr>
    </w:div>
    <w:div w:id="222377109">
      <w:bodyDiv w:val="1"/>
      <w:marLeft w:val="0"/>
      <w:marRight w:val="0"/>
      <w:marTop w:val="0"/>
      <w:marBottom w:val="0"/>
      <w:divBdr>
        <w:top w:val="none" w:sz="0" w:space="0" w:color="auto"/>
        <w:left w:val="none" w:sz="0" w:space="0" w:color="auto"/>
        <w:bottom w:val="none" w:sz="0" w:space="0" w:color="auto"/>
        <w:right w:val="none" w:sz="0" w:space="0" w:color="auto"/>
      </w:divBdr>
    </w:div>
    <w:div w:id="229578862">
      <w:bodyDiv w:val="1"/>
      <w:marLeft w:val="0"/>
      <w:marRight w:val="0"/>
      <w:marTop w:val="0"/>
      <w:marBottom w:val="0"/>
      <w:divBdr>
        <w:top w:val="none" w:sz="0" w:space="0" w:color="auto"/>
        <w:left w:val="none" w:sz="0" w:space="0" w:color="auto"/>
        <w:bottom w:val="none" w:sz="0" w:space="0" w:color="auto"/>
        <w:right w:val="none" w:sz="0" w:space="0" w:color="auto"/>
      </w:divBdr>
    </w:div>
    <w:div w:id="230579270">
      <w:bodyDiv w:val="1"/>
      <w:marLeft w:val="0"/>
      <w:marRight w:val="0"/>
      <w:marTop w:val="0"/>
      <w:marBottom w:val="0"/>
      <w:divBdr>
        <w:top w:val="none" w:sz="0" w:space="0" w:color="auto"/>
        <w:left w:val="none" w:sz="0" w:space="0" w:color="auto"/>
        <w:bottom w:val="none" w:sz="0" w:space="0" w:color="auto"/>
        <w:right w:val="none" w:sz="0" w:space="0" w:color="auto"/>
      </w:divBdr>
    </w:div>
    <w:div w:id="237642588">
      <w:bodyDiv w:val="1"/>
      <w:marLeft w:val="0"/>
      <w:marRight w:val="0"/>
      <w:marTop w:val="0"/>
      <w:marBottom w:val="0"/>
      <w:divBdr>
        <w:top w:val="none" w:sz="0" w:space="0" w:color="auto"/>
        <w:left w:val="none" w:sz="0" w:space="0" w:color="auto"/>
        <w:bottom w:val="none" w:sz="0" w:space="0" w:color="auto"/>
        <w:right w:val="none" w:sz="0" w:space="0" w:color="auto"/>
      </w:divBdr>
    </w:div>
    <w:div w:id="238443083">
      <w:bodyDiv w:val="1"/>
      <w:marLeft w:val="0"/>
      <w:marRight w:val="0"/>
      <w:marTop w:val="0"/>
      <w:marBottom w:val="0"/>
      <w:divBdr>
        <w:top w:val="none" w:sz="0" w:space="0" w:color="auto"/>
        <w:left w:val="none" w:sz="0" w:space="0" w:color="auto"/>
        <w:bottom w:val="none" w:sz="0" w:space="0" w:color="auto"/>
        <w:right w:val="none" w:sz="0" w:space="0" w:color="auto"/>
      </w:divBdr>
    </w:div>
    <w:div w:id="253827883">
      <w:bodyDiv w:val="1"/>
      <w:marLeft w:val="0"/>
      <w:marRight w:val="0"/>
      <w:marTop w:val="0"/>
      <w:marBottom w:val="0"/>
      <w:divBdr>
        <w:top w:val="none" w:sz="0" w:space="0" w:color="auto"/>
        <w:left w:val="none" w:sz="0" w:space="0" w:color="auto"/>
        <w:bottom w:val="none" w:sz="0" w:space="0" w:color="auto"/>
        <w:right w:val="none" w:sz="0" w:space="0" w:color="auto"/>
      </w:divBdr>
    </w:div>
    <w:div w:id="264267585">
      <w:bodyDiv w:val="1"/>
      <w:marLeft w:val="0"/>
      <w:marRight w:val="0"/>
      <w:marTop w:val="0"/>
      <w:marBottom w:val="0"/>
      <w:divBdr>
        <w:top w:val="none" w:sz="0" w:space="0" w:color="auto"/>
        <w:left w:val="none" w:sz="0" w:space="0" w:color="auto"/>
        <w:bottom w:val="none" w:sz="0" w:space="0" w:color="auto"/>
        <w:right w:val="none" w:sz="0" w:space="0" w:color="auto"/>
      </w:divBdr>
    </w:div>
    <w:div w:id="277877093">
      <w:bodyDiv w:val="1"/>
      <w:marLeft w:val="0"/>
      <w:marRight w:val="0"/>
      <w:marTop w:val="0"/>
      <w:marBottom w:val="0"/>
      <w:divBdr>
        <w:top w:val="none" w:sz="0" w:space="0" w:color="auto"/>
        <w:left w:val="none" w:sz="0" w:space="0" w:color="auto"/>
        <w:bottom w:val="none" w:sz="0" w:space="0" w:color="auto"/>
        <w:right w:val="none" w:sz="0" w:space="0" w:color="auto"/>
      </w:divBdr>
    </w:div>
    <w:div w:id="279075825">
      <w:bodyDiv w:val="1"/>
      <w:marLeft w:val="0"/>
      <w:marRight w:val="0"/>
      <w:marTop w:val="0"/>
      <w:marBottom w:val="0"/>
      <w:divBdr>
        <w:top w:val="none" w:sz="0" w:space="0" w:color="auto"/>
        <w:left w:val="none" w:sz="0" w:space="0" w:color="auto"/>
        <w:bottom w:val="none" w:sz="0" w:space="0" w:color="auto"/>
        <w:right w:val="none" w:sz="0" w:space="0" w:color="auto"/>
      </w:divBdr>
    </w:div>
    <w:div w:id="295183320">
      <w:bodyDiv w:val="1"/>
      <w:marLeft w:val="0"/>
      <w:marRight w:val="0"/>
      <w:marTop w:val="0"/>
      <w:marBottom w:val="0"/>
      <w:divBdr>
        <w:top w:val="none" w:sz="0" w:space="0" w:color="auto"/>
        <w:left w:val="none" w:sz="0" w:space="0" w:color="auto"/>
        <w:bottom w:val="none" w:sz="0" w:space="0" w:color="auto"/>
        <w:right w:val="none" w:sz="0" w:space="0" w:color="auto"/>
      </w:divBdr>
    </w:div>
    <w:div w:id="295725671">
      <w:bodyDiv w:val="1"/>
      <w:marLeft w:val="0"/>
      <w:marRight w:val="0"/>
      <w:marTop w:val="0"/>
      <w:marBottom w:val="0"/>
      <w:divBdr>
        <w:top w:val="none" w:sz="0" w:space="0" w:color="auto"/>
        <w:left w:val="none" w:sz="0" w:space="0" w:color="auto"/>
        <w:bottom w:val="none" w:sz="0" w:space="0" w:color="auto"/>
        <w:right w:val="none" w:sz="0" w:space="0" w:color="auto"/>
      </w:divBdr>
    </w:div>
    <w:div w:id="301277049">
      <w:bodyDiv w:val="1"/>
      <w:marLeft w:val="0"/>
      <w:marRight w:val="0"/>
      <w:marTop w:val="0"/>
      <w:marBottom w:val="0"/>
      <w:divBdr>
        <w:top w:val="none" w:sz="0" w:space="0" w:color="auto"/>
        <w:left w:val="none" w:sz="0" w:space="0" w:color="auto"/>
        <w:bottom w:val="none" w:sz="0" w:space="0" w:color="auto"/>
        <w:right w:val="none" w:sz="0" w:space="0" w:color="auto"/>
      </w:divBdr>
    </w:div>
    <w:div w:id="312833844">
      <w:bodyDiv w:val="1"/>
      <w:marLeft w:val="0"/>
      <w:marRight w:val="0"/>
      <w:marTop w:val="0"/>
      <w:marBottom w:val="0"/>
      <w:divBdr>
        <w:top w:val="none" w:sz="0" w:space="0" w:color="auto"/>
        <w:left w:val="none" w:sz="0" w:space="0" w:color="auto"/>
        <w:bottom w:val="none" w:sz="0" w:space="0" w:color="auto"/>
        <w:right w:val="none" w:sz="0" w:space="0" w:color="auto"/>
      </w:divBdr>
    </w:div>
    <w:div w:id="315498580">
      <w:bodyDiv w:val="1"/>
      <w:marLeft w:val="0"/>
      <w:marRight w:val="0"/>
      <w:marTop w:val="0"/>
      <w:marBottom w:val="0"/>
      <w:divBdr>
        <w:top w:val="none" w:sz="0" w:space="0" w:color="auto"/>
        <w:left w:val="none" w:sz="0" w:space="0" w:color="auto"/>
        <w:bottom w:val="none" w:sz="0" w:space="0" w:color="auto"/>
        <w:right w:val="none" w:sz="0" w:space="0" w:color="auto"/>
      </w:divBdr>
    </w:div>
    <w:div w:id="317467971">
      <w:bodyDiv w:val="1"/>
      <w:marLeft w:val="0"/>
      <w:marRight w:val="0"/>
      <w:marTop w:val="0"/>
      <w:marBottom w:val="0"/>
      <w:divBdr>
        <w:top w:val="none" w:sz="0" w:space="0" w:color="auto"/>
        <w:left w:val="none" w:sz="0" w:space="0" w:color="auto"/>
        <w:bottom w:val="none" w:sz="0" w:space="0" w:color="auto"/>
        <w:right w:val="none" w:sz="0" w:space="0" w:color="auto"/>
      </w:divBdr>
    </w:div>
    <w:div w:id="327289181">
      <w:bodyDiv w:val="1"/>
      <w:marLeft w:val="0"/>
      <w:marRight w:val="0"/>
      <w:marTop w:val="0"/>
      <w:marBottom w:val="0"/>
      <w:divBdr>
        <w:top w:val="none" w:sz="0" w:space="0" w:color="auto"/>
        <w:left w:val="none" w:sz="0" w:space="0" w:color="auto"/>
        <w:bottom w:val="none" w:sz="0" w:space="0" w:color="auto"/>
        <w:right w:val="none" w:sz="0" w:space="0" w:color="auto"/>
      </w:divBdr>
    </w:div>
    <w:div w:id="336005176">
      <w:bodyDiv w:val="1"/>
      <w:marLeft w:val="0"/>
      <w:marRight w:val="0"/>
      <w:marTop w:val="0"/>
      <w:marBottom w:val="0"/>
      <w:divBdr>
        <w:top w:val="none" w:sz="0" w:space="0" w:color="auto"/>
        <w:left w:val="none" w:sz="0" w:space="0" w:color="auto"/>
        <w:bottom w:val="none" w:sz="0" w:space="0" w:color="auto"/>
        <w:right w:val="none" w:sz="0" w:space="0" w:color="auto"/>
      </w:divBdr>
    </w:div>
    <w:div w:id="348530913">
      <w:bodyDiv w:val="1"/>
      <w:marLeft w:val="0"/>
      <w:marRight w:val="0"/>
      <w:marTop w:val="0"/>
      <w:marBottom w:val="0"/>
      <w:divBdr>
        <w:top w:val="none" w:sz="0" w:space="0" w:color="auto"/>
        <w:left w:val="none" w:sz="0" w:space="0" w:color="auto"/>
        <w:bottom w:val="none" w:sz="0" w:space="0" w:color="auto"/>
        <w:right w:val="none" w:sz="0" w:space="0" w:color="auto"/>
      </w:divBdr>
    </w:div>
    <w:div w:id="348793867">
      <w:bodyDiv w:val="1"/>
      <w:marLeft w:val="0"/>
      <w:marRight w:val="0"/>
      <w:marTop w:val="0"/>
      <w:marBottom w:val="0"/>
      <w:divBdr>
        <w:top w:val="none" w:sz="0" w:space="0" w:color="auto"/>
        <w:left w:val="none" w:sz="0" w:space="0" w:color="auto"/>
        <w:bottom w:val="none" w:sz="0" w:space="0" w:color="auto"/>
        <w:right w:val="none" w:sz="0" w:space="0" w:color="auto"/>
      </w:divBdr>
    </w:div>
    <w:div w:id="366637396">
      <w:bodyDiv w:val="1"/>
      <w:marLeft w:val="0"/>
      <w:marRight w:val="0"/>
      <w:marTop w:val="0"/>
      <w:marBottom w:val="0"/>
      <w:divBdr>
        <w:top w:val="none" w:sz="0" w:space="0" w:color="auto"/>
        <w:left w:val="none" w:sz="0" w:space="0" w:color="auto"/>
        <w:bottom w:val="none" w:sz="0" w:space="0" w:color="auto"/>
        <w:right w:val="none" w:sz="0" w:space="0" w:color="auto"/>
      </w:divBdr>
    </w:div>
    <w:div w:id="366638507">
      <w:bodyDiv w:val="1"/>
      <w:marLeft w:val="0"/>
      <w:marRight w:val="0"/>
      <w:marTop w:val="0"/>
      <w:marBottom w:val="0"/>
      <w:divBdr>
        <w:top w:val="none" w:sz="0" w:space="0" w:color="auto"/>
        <w:left w:val="none" w:sz="0" w:space="0" w:color="auto"/>
        <w:bottom w:val="none" w:sz="0" w:space="0" w:color="auto"/>
        <w:right w:val="none" w:sz="0" w:space="0" w:color="auto"/>
      </w:divBdr>
    </w:div>
    <w:div w:id="389816535">
      <w:bodyDiv w:val="1"/>
      <w:marLeft w:val="0"/>
      <w:marRight w:val="0"/>
      <w:marTop w:val="0"/>
      <w:marBottom w:val="0"/>
      <w:divBdr>
        <w:top w:val="none" w:sz="0" w:space="0" w:color="auto"/>
        <w:left w:val="none" w:sz="0" w:space="0" w:color="auto"/>
        <w:bottom w:val="none" w:sz="0" w:space="0" w:color="auto"/>
        <w:right w:val="none" w:sz="0" w:space="0" w:color="auto"/>
      </w:divBdr>
    </w:div>
    <w:div w:id="397755144">
      <w:bodyDiv w:val="1"/>
      <w:marLeft w:val="0"/>
      <w:marRight w:val="0"/>
      <w:marTop w:val="0"/>
      <w:marBottom w:val="0"/>
      <w:divBdr>
        <w:top w:val="none" w:sz="0" w:space="0" w:color="auto"/>
        <w:left w:val="none" w:sz="0" w:space="0" w:color="auto"/>
        <w:bottom w:val="none" w:sz="0" w:space="0" w:color="auto"/>
        <w:right w:val="none" w:sz="0" w:space="0" w:color="auto"/>
      </w:divBdr>
    </w:div>
    <w:div w:id="410586025">
      <w:bodyDiv w:val="1"/>
      <w:marLeft w:val="0"/>
      <w:marRight w:val="0"/>
      <w:marTop w:val="0"/>
      <w:marBottom w:val="0"/>
      <w:divBdr>
        <w:top w:val="none" w:sz="0" w:space="0" w:color="auto"/>
        <w:left w:val="none" w:sz="0" w:space="0" w:color="auto"/>
        <w:bottom w:val="none" w:sz="0" w:space="0" w:color="auto"/>
        <w:right w:val="none" w:sz="0" w:space="0" w:color="auto"/>
      </w:divBdr>
    </w:div>
    <w:div w:id="417823949">
      <w:bodyDiv w:val="1"/>
      <w:marLeft w:val="0"/>
      <w:marRight w:val="0"/>
      <w:marTop w:val="0"/>
      <w:marBottom w:val="0"/>
      <w:divBdr>
        <w:top w:val="none" w:sz="0" w:space="0" w:color="auto"/>
        <w:left w:val="none" w:sz="0" w:space="0" w:color="auto"/>
        <w:bottom w:val="none" w:sz="0" w:space="0" w:color="auto"/>
        <w:right w:val="none" w:sz="0" w:space="0" w:color="auto"/>
      </w:divBdr>
    </w:div>
    <w:div w:id="438524895">
      <w:bodyDiv w:val="1"/>
      <w:marLeft w:val="0"/>
      <w:marRight w:val="0"/>
      <w:marTop w:val="0"/>
      <w:marBottom w:val="0"/>
      <w:divBdr>
        <w:top w:val="none" w:sz="0" w:space="0" w:color="auto"/>
        <w:left w:val="none" w:sz="0" w:space="0" w:color="auto"/>
        <w:bottom w:val="none" w:sz="0" w:space="0" w:color="auto"/>
        <w:right w:val="none" w:sz="0" w:space="0" w:color="auto"/>
      </w:divBdr>
    </w:div>
    <w:div w:id="450322219">
      <w:bodyDiv w:val="1"/>
      <w:marLeft w:val="0"/>
      <w:marRight w:val="0"/>
      <w:marTop w:val="0"/>
      <w:marBottom w:val="0"/>
      <w:divBdr>
        <w:top w:val="none" w:sz="0" w:space="0" w:color="auto"/>
        <w:left w:val="none" w:sz="0" w:space="0" w:color="auto"/>
        <w:bottom w:val="none" w:sz="0" w:space="0" w:color="auto"/>
        <w:right w:val="none" w:sz="0" w:space="0" w:color="auto"/>
      </w:divBdr>
    </w:div>
    <w:div w:id="454520056">
      <w:bodyDiv w:val="1"/>
      <w:marLeft w:val="0"/>
      <w:marRight w:val="0"/>
      <w:marTop w:val="0"/>
      <w:marBottom w:val="0"/>
      <w:divBdr>
        <w:top w:val="none" w:sz="0" w:space="0" w:color="auto"/>
        <w:left w:val="none" w:sz="0" w:space="0" w:color="auto"/>
        <w:bottom w:val="none" w:sz="0" w:space="0" w:color="auto"/>
        <w:right w:val="none" w:sz="0" w:space="0" w:color="auto"/>
      </w:divBdr>
    </w:div>
    <w:div w:id="467938870">
      <w:bodyDiv w:val="1"/>
      <w:marLeft w:val="0"/>
      <w:marRight w:val="0"/>
      <w:marTop w:val="0"/>
      <w:marBottom w:val="0"/>
      <w:divBdr>
        <w:top w:val="none" w:sz="0" w:space="0" w:color="auto"/>
        <w:left w:val="none" w:sz="0" w:space="0" w:color="auto"/>
        <w:bottom w:val="none" w:sz="0" w:space="0" w:color="auto"/>
        <w:right w:val="none" w:sz="0" w:space="0" w:color="auto"/>
      </w:divBdr>
    </w:div>
    <w:div w:id="476072164">
      <w:bodyDiv w:val="1"/>
      <w:marLeft w:val="0"/>
      <w:marRight w:val="0"/>
      <w:marTop w:val="0"/>
      <w:marBottom w:val="0"/>
      <w:divBdr>
        <w:top w:val="none" w:sz="0" w:space="0" w:color="auto"/>
        <w:left w:val="none" w:sz="0" w:space="0" w:color="auto"/>
        <w:bottom w:val="none" w:sz="0" w:space="0" w:color="auto"/>
        <w:right w:val="none" w:sz="0" w:space="0" w:color="auto"/>
      </w:divBdr>
    </w:div>
    <w:div w:id="490289926">
      <w:bodyDiv w:val="1"/>
      <w:marLeft w:val="0"/>
      <w:marRight w:val="0"/>
      <w:marTop w:val="0"/>
      <w:marBottom w:val="0"/>
      <w:divBdr>
        <w:top w:val="none" w:sz="0" w:space="0" w:color="auto"/>
        <w:left w:val="none" w:sz="0" w:space="0" w:color="auto"/>
        <w:bottom w:val="none" w:sz="0" w:space="0" w:color="auto"/>
        <w:right w:val="none" w:sz="0" w:space="0" w:color="auto"/>
      </w:divBdr>
    </w:div>
    <w:div w:id="522934825">
      <w:bodyDiv w:val="1"/>
      <w:marLeft w:val="0"/>
      <w:marRight w:val="0"/>
      <w:marTop w:val="0"/>
      <w:marBottom w:val="0"/>
      <w:divBdr>
        <w:top w:val="none" w:sz="0" w:space="0" w:color="auto"/>
        <w:left w:val="none" w:sz="0" w:space="0" w:color="auto"/>
        <w:bottom w:val="none" w:sz="0" w:space="0" w:color="auto"/>
        <w:right w:val="none" w:sz="0" w:space="0" w:color="auto"/>
      </w:divBdr>
    </w:div>
    <w:div w:id="523592616">
      <w:bodyDiv w:val="1"/>
      <w:marLeft w:val="0"/>
      <w:marRight w:val="0"/>
      <w:marTop w:val="0"/>
      <w:marBottom w:val="0"/>
      <w:divBdr>
        <w:top w:val="none" w:sz="0" w:space="0" w:color="auto"/>
        <w:left w:val="none" w:sz="0" w:space="0" w:color="auto"/>
        <w:bottom w:val="none" w:sz="0" w:space="0" w:color="auto"/>
        <w:right w:val="none" w:sz="0" w:space="0" w:color="auto"/>
      </w:divBdr>
    </w:div>
    <w:div w:id="537015846">
      <w:bodyDiv w:val="1"/>
      <w:marLeft w:val="0"/>
      <w:marRight w:val="0"/>
      <w:marTop w:val="0"/>
      <w:marBottom w:val="0"/>
      <w:divBdr>
        <w:top w:val="none" w:sz="0" w:space="0" w:color="auto"/>
        <w:left w:val="none" w:sz="0" w:space="0" w:color="auto"/>
        <w:bottom w:val="none" w:sz="0" w:space="0" w:color="auto"/>
        <w:right w:val="none" w:sz="0" w:space="0" w:color="auto"/>
      </w:divBdr>
    </w:div>
    <w:div w:id="554119170">
      <w:bodyDiv w:val="1"/>
      <w:marLeft w:val="0"/>
      <w:marRight w:val="0"/>
      <w:marTop w:val="0"/>
      <w:marBottom w:val="0"/>
      <w:divBdr>
        <w:top w:val="none" w:sz="0" w:space="0" w:color="auto"/>
        <w:left w:val="none" w:sz="0" w:space="0" w:color="auto"/>
        <w:bottom w:val="none" w:sz="0" w:space="0" w:color="auto"/>
        <w:right w:val="none" w:sz="0" w:space="0" w:color="auto"/>
      </w:divBdr>
    </w:div>
    <w:div w:id="561671452">
      <w:bodyDiv w:val="1"/>
      <w:marLeft w:val="0"/>
      <w:marRight w:val="0"/>
      <w:marTop w:val="0"/>
      <w:marBottom w:val="0"/>
      <w:divBdr>
        <w:top w:val="none" w:sz="0" w:space="0" w:color="auto"/>
        <w:left w:val="none" w:sz="0" w:space="0" w:color="auto"/>
        <w:bottom w:val="none" w:sz="0" w:space="0" w:color="auto"/>
        <w:right w:val="none" w:sz="0" w:space="0" w:color="auto"/>
      </w:divBdr>
    </w:div>
    <w:div w:id="567687979">
      <w:bodyDiv w:val="1"/>
      <w:marLeft w:val="0"/>
      <w:marRight w:val="0"/>
      <w:marTop w:val="0"/>
      <w:marBottom w:val="0"/>
      <w:divBdr>
        <w:top w:val="none" w:sz="0" w:space="0" w:color="auto"/>
        <w:left w:val="none" w:sz="0" w:space="0" w:color="auto"/>
        <w:bottom w:val="none" w:sz="0" w:space="0" w:color="auto"/>
        <w:right w:val="none" w:sz="0" w:space="0" w:color="auto"/>
      </w:divBdr>
    </w:div>
    <w:div w:id="583758756">
      <w:bodyDiv w:val="1"/>
      <w:marLeft w:val="0"/>
      <w:marRight w:val="0"/>
      <w:marTop w:val="0"/>
      <w:marBottom w:val="0"/>
      <w:divBdr>
        <w:top w:val="none" w:sz="0" w:space="0" w:color="auto"/>
        <w:left w:val="none" w:sz="0" w:space="0" w:color="auto"/>
        <w:bottom w:val="none" w:sz="0" w:space="0" w:color="auto"/>
        <w:right w:val="none" w:sz="0" w:space="0" w:color="auto"/>
      </w:divBdr>
    </w:div>
    <w:div w:id="598221567">
      <w:bodyDiv w:val="1"/>
      <w:marLeft w:val="0"/>
      <w:marRight w:val="0"/>
      <w:marTop w:val="0"/>
      <w:marBottom w:val="0"/>
      <w:divBdr>
        <w:top w:val="none" w:sz="0" w:space="0" w:color="auto"/>
        <w:left w:val="none" w:sz="0" w:space="0" w:color="auto"/>
        <w:bottom w:val="none" w:sz="0" w:space="0" w:color="auto"/>
        <w:right w:val="none" w:sz="0" w:space="0" w:color="auto"/>
      </w:divBdr>
    </w:div>
    <w:div w:id="602612649">
      <w:bodyDiv w:val="1"/>
      <w:marLeft w:val="0"/>
      <w:marRight w:val="0"/>
      <w:marTop w:val="0"/>
      <w:marBottom w:val="0"/>
      <w:divBdr>
        <w:top w:val="none" w:sz="0" w:space="0" w:color="auto"/>
        <w:left w:val="none" w:sz="0" w:space="0" w:color="auto"/>
        <w:bottom w:val="none" w:sz="0" w:space="0" w:color="auto"/>
        <w:right w:val="none" w:sz="0" w:space="0" w:color="auto"/>
      </w:divBdr>
    </w:div>
    <w:div w:id="603149706">
      <w:bodyDiv w:val="1"/>
      <w:marLeft w:val="0"/>
      <w:marRight w:val="0"/>
      <w:marTop w:val="0"/>
      <w:marBottom w:val="0"/>
      <w:divBdr>
        <w:top w:val="none" w:sz="0" w:space="0" w:color="auto"/>
        <w:left w:val="none" w:sz="0" w:space="0" w:color="auto"/>
        <w:bottom w:val="none" w:sz="0" w:space="0" w:color="auto"/>
        <w:right w:val="none" w:sz="0" w:space="0" w:color="auto"/>
      </w:divBdr>
    </w:div>
    <w:div w:id="609973810">
      <w:bodyDiv w:val="1"/>
      <w:marLeft w:val="0"/>
      <w:marRight w:val="0"/>
      <w:marTop w:val="0"/>
      <w:marBottom w:val="0"/>
      <w:divBdr>
        <w:top w:val="none" w:sz="0" w:space="0" w:color="auto"/>
        <w:left w:val="none" w:sz="0" w:space="0" w:color="auto"/>
        <w:bottom w:val="none" w:sz="0" w:space="0" w:color="auto"/>
        <w:right w:val="none" w:sz="0" w:space="0" w:color="auto"/>
      </w:divBdr>
    </w:div>
    <w:div w:id="611786907">
      <w:bodyDiv w:val="1"/>
      <w:marLeft w:val="0"/>
      <w:marRight w:val="0"/>
      <w:marTop w:val="0"/>
      <w:marBottom w:val="0"/>
      <w:divBdr>
        <w:top w:val="none" w:sz="0" w:space="0" w:color="auto"/>
        <w:left w:val="none" w:sz="0" w:space="0" w:color="auto"/>
        <w:bottom w:val="none" w:sz="0" w:space="0" w:color="auto"/>
        <w:right w:val="none" w:sz="0" w:space="0" w:color="auto"/>
      </w:divBdr>
    </w:div>
    <w:div w:id="614991697">
      <w:bodyDiv w:val="1"/>
      <w:marLeft w:val="0"/>
      <w:marRight w:val="0"/>
      <w:marTop w:val="0"/>
      <w:marBottom w:val="0"/>
      <w:divBdr>
        <w:top w:val="none" w:sz="0" w:space="0" w:color="auto"/>
        <w:left w:val="none" w:sz="0" w:space="0" w:color="auto"/>
        <w:bottom w:val="none" w:sz="0" w:space="0" w:color="auto"/>
        <w:right w:val="none" w:sz="0" w:space="0" w:color="auto"/>
      </w:divBdr>
    </w:div>
    <w:div w:id="625083539">
      <w:bodyDiv w:val="1"/>
      <w:marLeft w:val="0"/>
      <w:marRight w:val="0"/>
      <w:marTop w:val="0"/>
      <w:marBottom w:val="0"/>
      <w:divBdr>
        <w:top w:val="none" w:sz="0" w:space="0" w:color="auto"/>
        <w:left w:val="none" w:sz="0" w:space="0" w:color="auto"/>
        <w:bottom w:val="none" w:sz="0" w:space="0" w:color="auto"/>
        <w:right w:val="none" w:sz="0" w:space="0" w:color="auto"/>
      </w:divBdr>
    </w:div>
    <w:div w:id="630746927">
      <w:bodyDiv w:val="1"/>
      <w:marLeft w:val="0"/>
      <w:marRight w:val="0"/>
      <w:marTop w:val="0"/>
      <w:marBottom w:val="0"/>
      <w:divBdr>
        <w:top w:val="none" w:sz="0" w:space="0" w:color="auto"/>
        <w:left w:val="none" w:sz="0" w:space="0" w:color="auto"/>
        <w:bottom w:val="none" w:sz="0" w:space="0" w:color="auto"/>
        <w:right w:val="none" w:sz="0" w:space="0" w:color="auto"/>
      </w:divBdr>
    </w:div>
    <w:div w:id="633486782">
      <w:bodyDiv w:val="1"/>
      <w:marLeft w:val="0"/>
      <w:marRight w:val="0"/>
      <w:marTop w:val="0"/>
      <w:marBottom w:val="0"/>
      <w:divBdr>
        <w:top w:val="none" w:sz="0" w:space="0" w:color="auto"/>
        <w:left w:val="none" w:sz="0" w:space="0" w:color="auto"/>
        <w:bottom w:val="none" w:sz="0" w:space="0" w:color="auto"/>
        <w:right w:val="none" w:sz="0" w:space="0" w:color="auto"/>
      </w:divBdr>
    </w:div>
    <w:div w:id="634144453">
      <w:bodyDiv w:val="1"/>
      <w:marLeft w:val="0"/>
      <w:marRight w:val="0"/>
      <w:marTop w:val="0"/>
      <w:marBottom w:val="0"/>
      <w:divBdr>
        <w:top w:val="none" w:sz="0" w:space="0" w:color="auto"/>
        <w:left w:val="none" w:sz="0" w:space="0" w:color="auto"/>
        <w:bottom w:val="none" w:sz="0" w:space="0" w:color="auto"/>
        <w:right w:val="none" w:sz="0" w:space="0" w:color="auto"/>
      </w:divBdr>
    </w:div>
    <w:div w:id="637608903">
      <w:bodyDiv w:val="1"/>
      <w:marLeft w:val="0"/>
      <w:marRight w:val="0"/>
      <w:marTop w:val="0"/>
      <w:marBottom w:val="0"/>
      <w:divBdr>
        <w:top w:val="none" w:sz="0" w:space="0" w:color="auto"/>
        <w:left w:val="none" w:sz="0" w:space="0" w:color="auto"/>
        <w:bottom w:val="none" w:sz="0" w:space="0" w:color="auto"/>
        <w:right w:val="none" w:sz="0" w:space="0" w:color="auto"/>
      </w:divBdr>
    </w:div>
    <w:div w:id="638220178">
      <w:bodyDiv w:val="1"/>
      <w:marLeft w:val="0"/>
      <w:marRight w:val="0"/>
      <w:marTop w:val="0"/>
      <w:marBottom w:val="0"/>
      <w:divBdr>
        <w:top w:val="none" w:sz="0" w:space="0" w:color="auto"/>
        <w:left w:val="none" w:sz="0" w:space="0" w:color="auto"/>
        <w:bottom w:val="none" w:sz="0" w:space="0" w:color="auto"/>
        <w:right w:val="none" w:sz="0" w:space="0" w:color="auto"/>
      </w:divBdr>
    </w:div>
    <w:div w:id="646277213">
      <w:bodyDiv w:val="1"/>
      <w:marLeft w:val="0"/>
      <w:marRight w:val="0"/>
      <w:marTop w:val="0"/>
      <w:marBottom w:val="0"/>
      <w:divBdr>
        <w:top w:val="none" w:sz="0" w:space="0" w:color="auto"/>
        <w:left w:val="none" w:sz="0" w:space="0" w:color="auto"/>
        <w:bottom w:val="none" w:sz="0" w:space="0" w:color="auto"/>
        <w:right w:val="none" w:sz="0" w:space="0" w:color="auto"/>
      </w:divBdr>
    </w:div>
    <w:div w:id="653216722">
      <w:bodyDiv w:val="1"/>
      <w:marLeft w:val="0"/>
      <w:marRight w:val="0"/>
      <w:marTop w:val="0"/>
      <w:marBottom w:val="0"/>
      <w:divBdr>
        <w:top w:val="none" w:sz="0" w:space="0" w:color="auto"/>
        <w:left w:val="none" w:sz="0" w:space="0" w:color="auto"/>
        <w:bottom w:val="none" w:sz="0" w:space="0" w:color="auto"/>
        <w:right w:val="none" w:sz="0" w:space="0" w:color="auto"/>
      </w:divBdr>
    </w:div>
    <w:div w:id="665977368">
      <w:bodyDiv w:val="1"/>
      <w:marLeft w:val="0"/>
      <w:marRight w:val="0"/>
      <w:marTop w:val="0"/>
      <w:marBottom w:val="0"/>
      <w:divBdr>
        <w:top w:val="none" w:sz="0" w:space="0" w:color="auto"/>
        <w:left w:val="none" w:sz="0" w:space="0" w:color="auto"/>
        <w:bottom w:val="none" w:sz="0" w:space="0" w:color="auto"/>
        <w:right w:val="none" w:sz="0" w:space="0" w:color="auto"/>
      </w:divBdr>
    </w:div>
    <w:div w:id="670839363">
      <w:bodyDiv w:val="1"/>
      <w:marLeft w:val="0"/>
      <w:marRight w:val="0"/>
      <w:marTop w:val="0"/>
      <w:marBottom w:val="0"/>
      <w:divBdr>
        <w:top w:val="none" w:sz="0" w:space="0" w:color="auto"/>
        <w:left w:val="none" w:sz="0" w:space="0" w:color="auto"/>
        <w:bottom w:val="none" w:sz="0" w:space="0" w:color="auto"/>
        <w:right w:val="none" w:sz="0" w:space="0" w:color="auto"/>
      </w:divBdr>
    </w:div>
    <w:div w:id="687683388">
      <w:bodyDiv w:val="1"/>
      <w:marLeft w:val="0"/>
      <w:marRight w:val="0"/>
      <w:marTop w:val="0"/>
      <w:marBottom w:val="0"/>
      <w:divBdr>
        <w:top w:val="none" w:sz="0" w:space="0" w:color="auto"/>
        <w:left w:val="none" w:sz="0" w:space="0" w:color="auto"/>
        <w:bottom w:val="none" w:sz="0" w:space="0" w:color="auto"/>
        <w:right w:val="none" w:sz="0" w:space="0" w:color="auto"/>
      </w:divBdr>
    </w:div>
    <w:div w:id="689987923">
      <w:bodyDiv w:val="1"/>
      <w:marLeft w:val="0"/>
      <w:marRight w:val="0"/>
      <w:marTop w:val="0"/>
      <w:marBottom w:val="0"/>
      <w:divBdr>
        <w:top w:val="none" w:sz="0" w:space="0" w:color="auto"/>
        <w:left w:val="none" w:sz="0" w:space="0" w:color="auto"/>
        <w:bottom w:val="none" w:sz="0" w:space="0" w:color="auto"/>
        <w:right w:val="none" w:sz="0" w:space="0" w:color="auto"/>
      </w:divBdr>
    </w:div>
    <w:div w:id="707149481">
      <w:bodyDiv w:val="1"/>
      <w:marLeft w:val="0"/>
      <w:marRight w:val="0"/>
      <w:marTop w:val="0"/>
      <w:marBottom w:val="0"/>
      <w:divBdr>
        <w:top w:val="none" w:sz="0" w:space="0" w:color="auto"/>
        <w:left w:val="none" w:sz="0" w:space="0" w:color="auto"/>
        <w:bottom w:val="none" w:sz="0" w:space="0" w:color="auto"/>
        <w:right w:val="none" w:sz="0" w:space="0" w:color="auto"/>
      </w:divBdr>
    </w:div>
    <w:div w:id="720402728">
      <w:bodyDiv w:val="1"/>
      <w:marLeft w:val="0"/>
      <w:marRight w:val="0"/>
      <w:marTop w:val="0"/>
      <w:marBottom w:val="0"/>
      <w:divBdr>
        <w:top w:val="none" w:sz="0" w:space="0" w:color="auto"/>
        <w:left w:val="none" w:sz="0" w:space="0" w:color="auto"/>
        <w:bottom w:val="none" w:sz="0" w:space="0" w:color="auto"/>
        <w:right w:val="none" w:sz="0" w:space="0" w:color="auto"/>
      </w:divBdr>
    </w:div>
    <w:div w:id="753550975">
      <w:bodyDiv w:val="1"/>
      <w:marLeft w:val="0"/>
      <w:marRight w:val="0"/>
      <w:marTop w:val="0"/>
      <w:marBottom w:val="0"/>
      <w:divBdr>
        <w:top w:val="none" w:sz="0" w:space="0" w:color="auto"/>
        <w:left w:val="none" w:sz="0" w:space="0" w:color="auto"/>
        <w:bottom w:val="none" w:sz="0" w:space="0" w:color="auto"/>
        <w:right w:val="none" w:sz="0" w:space="0" w:color="auto"/>
      </w:divBdr>
    </w:div>
    <w:div w:id="761993543">
      <w:bodyDiv w:val="1"/>
      <w:marLeft w:val="0"/>
      <w:marRight w:val="0"/>
      <w:marTop w:val="0"/>
      <w:marBottom w:val="0"/>
      <w:divBdr>
        <w:top w:val="none" w:sz="0" w:space="0" w:color="auto"/>
        <w:left w:val="none" w:sz="0" w:space="0" w:color="auto"/>
        <w:bottom w:val="none" w:sz="0" w:space="0" w:color="auto"/>
        <w:right w:val="none" w:sz="0" w:space="0" w:color="auto"/>
      </w:divBdr>
    </w:div>
    <w:div w:id="769930332">
      <w:bodyDiv w:val="1"/>
      <w:marLeft w:val="0"/>
      <w:marRight w:val="0"/>
      <w:marTop w:val="0"/>
      <w:marBottom w:val="0"/>
      <w:divBdr>
        <w:top w:val="none" w:sz="0" w:space="0" w:color="auto"/>
        <w:left w:val="none" w:sz="0" w:space="0" w:color="auto"/>
        <w:bottom w:val="none" w:sz="0" w:space="0" w:color="auto"/>
        <w:right w:val="none" w:sz="0" w:space="0" w:color="auto"/>
      </w:divBdr>
    </w:div>
    <w:div w:id="770204849">
      <w:bodyDiv w:val="1"/>
      <w:marLeft w:val="0"/>
      <w:marRight w:val="0"/>
      <w:marTop w:val="0"/>
      <w:marBottom w:val="0"/>
      <w:divBdr>
        <w:top w:val="none" w:sz="0" w:space="0" w:color="auto"/>
        <w:left w:val="none" w:sz="0" w:space="0" w:color="auto"/>
        <w:bottom w:val="none" w:sz="0" w:space="0" w:color="auto"/>
        <w:right w:val="none" w:sz="0" w:space="0" w:color="auto"/>
      </w:divBdr>
    </w:div>
    <w:div w:id="782772428">
      <w:bodyDiv w:val="1"/>
      <w:marLeft w:val="0"/>
      <w:marRight w:val="0"/>
      <w:marTop w:val="0"/>
      <w:marBottom w:val="0"/>
      <w:divBdr>
        <w:top w:val="none" w:sz="0" w:space="0" w:color="auto"/>
        <w:left w:val="none" w:sz="0" w:space="0" w:color="auto"/>
        <w:bottom w:val="none" w:sz="0" w:space="0" w:color="auto"/>
        <w:right w:val="none" w:sz="0" w:space="0" w:color="auto"/>
      </w:divBdr>
    </w:div>
    <w:div w:id="788935249">
      <w:bodyDiv w:val="1"/>
      <w:marLeft w:val="0"/>
      <w:marRight w:val="0"/>
      <w:marTop w:val="0"/>
      <w:marBottom w:val="0"/>
      <w:divBdr>
        <w:top w:val="none" w:sz="0" w:space="0" w:color="auto"/>
        <w:left w:val="none" w:sz="0" w:space="0" w:color="auto"/>
        <w:bottom w:val="none" w:sz="0" w:space="0" w:color="auto"/>
        <w:right w:val="none" w:sz="0" w:space="0" w:color="auto"/>
      </w:divBdr>
    </w:div>
    <w:div w:id="791634140">
      <w:bodyDiv w:val="1"/>
      <w:marLeft w:val="0"/>
      <w:marRight w:val="0"/>
      <w:marTop w:val="0"/>
      <w:marBottom w:val="0"/>
      <w:divBdr>
        <w:top w:val="none" w:sz="0" w:space="0" w:color="auto"/>
        <w:left w:val="none" w:sz="0" w:space="0" w:color="auto"/>
        <w:bottom w:val="none" w:sz="0" w:space="0" w:color="auto"/>
        <w:right w:val="none" w:sz="0" w:space="0" w:color="auto"/>
      </w:divBdr>
    </w:div>
    <w:div w:id="803430694">
      <w:bodyDiv w:val="1"/>
      <w:marLeft w:val="0"/>
      <w:marRight w:val="0"/>
      <w:marTop w:val="0"/>
      <w:marBottom w:val="0"/>
      <w:divBdr>
        <w:top w:val="none" w:sz="0" w:space="0" w:color="auto"/>
        <w:left w:val="none" w:sz="0" w:space="0" w:color="auto"/>
        <w:bottom w:val="none" w:sz="0" w:space="0" w:color="auto"/>
        <w:right w:val="none" w:sz="0" w:space="0" w:color="auto"/>
      </w:divBdr>
    </w:div>
    <w:div w:id="805706168">
      <w:bodyDiv w:val="1"/>
      <w:marLeft w:val="0"/>
      <w:marRight w:val="0"/>
      <w:marTop w:val="0"/>
      <w:marBottom w:val="0"/>
      <w:divBdr>
        <w:top w:val="none" w:sz="0" w:space="0" w:color="auto"/>
        <w:left w:val="none" w:sz="0" w:space="0" w:color="auto"/>
        <w:bottom w:val="none" w:sz="0" w:space="0" w:color="auto"/>
        <w:right w:val="none" w:sz="0" w:space="0" w:color="auto"/>
      </w:divBdr>
    </w:div>
    <w:div w:id="806819271">
      <w:bodyDiv w:val="1"/>
      <w:marLeft w:val="0"/>
      <w:marRight w:val="0"/>
      <w:marTop w:val="0"/>
      <w:marBottom w:val="0"/>
      <w:divBdr>
        <w:top w:val="none" w:sz="0" w:space="0" w:color="auto"/>
        <w:left w:val="none" w:sz="0" w:space="0" w:color="auto"/>
        <w:bottom w:val="none" w:sz="0" w:space="0" w:color="auto"/>
        <w:right w:val="none" w:sz="0" w:space="0" w:color="auto"/>
      </w:divBdr>
    </w:div>
    <w:div w:id="827599549">
      <w:bodyDiv w:val="1"/>
      <w:marLeft w:val="0"/>
      <w:marRight w:val="0"/>
      <w:marTop w:val="0"/>
      <w:marBottom w:val="0"/>
      <w:divBdr>
        <w:top w:val="none" w:sz="0" w:space="0" w:color="auto"/>
        <w:left w:val="none" w:sz="0" w:space="0" w:color="auto"/>
        <w:bottom w:val="none" w:sz="0" w:space="0" w:color="auto"/>
        <w:right w:val="none" w:sz="0" w:space="0" w:color="auto"/>
      </w:divBdr>
    </w:div>
    <w:div w:id="833951964">
      <w:bodyDiv w:val="1"/>
      <w:marLeft w:val="0"/>
      <w:marRight w:val="0"/>
      <w:marTop w:val="0"/>
      <w:marBottom w:val="0"/>
      <w:divBdr>
        <w:top w:val="none" w:sz="0" w:space="0" w:color="auto"/>
        <w:left w:val="none" w:sz="0" w:space="0" w:color="auto"/>
        <w:bottom w:val="none" w:sz="0" w:space="0" w:color="auto"/>
        <w:right w:val="none" w:sz="0" w:space="0" w:color="auto"/>
      </w:divBdr>
    </w:div>
    <w:div w:id="847911715">
      <w:bodyDiv w:val="1"/>
      <w:marLeft w:val="0"/>
      <w:marRight w:val="0"/>
      <w:marTop w:val="0"/>
      <w:marBottom w:val="0"/>
      <w:divBdr>
        <w:top w:val="none" w:sz="0" w:space="0" w:color="auto"/>
        <w:left w:val="none" w:sz="0" w:space="0" w:color="auto"/>
        <w:bottom w:val="none" w:sz="0" w:space="0" w:color="auto"/>
        <w:right w:val="none" w:sz="0" w:space="0" w:color="auto"/>
      </w:divBdr>
    </w:div>
    <w:div w:id="850997276">
      <w:bodyDiv w:val="1"/>
      <w:marLeft w:val="0"/>
      <w:marRight w:val="0"/>
      <w:marTop w:val="0"/>
      <w:marBottom w:val="0"/>
      <w:divBdr>
        <w:top w:val="none" w:sz="0" w:space="0" w:color="auto"/>
        <w:left w:val="none" w:sz="0" w:space="0" w:color="auto"/>
        <w:bottom w:val="none" w:sz="0" w:space="0" w:color="auto"/>
        <w:right w:val="none" w:sz="0" w:space="0" w:color="auto"/>
      </w:divBdr>
    </w:div>
    <w:div w:id="857423755">
      <w:bodyDiv w:val="1"/>
      <w:marLeft w:val="0"/>
      <w:marRight w:val="0"/>
      <w:marTop w:val="0"/>
      <w:marBottom w:val="0"/>
      <w:divBdr>
        <w:top w:val="none" w:sz="0" w:space="0" w:color="auto"/>
        <w:left w:val="none" w:sz="0" w:space="0" w:color="auto"/>
        <w:bottom w:val="none" w:sz="0" w:space="0" w:color="auto"/>
        <w:right w:val="none" w:sz="0" w:space="0" w:color="auto"/>
      </w:divBdr>
    </w:div>
    <w:div w:id="864294898">
      <w:bodyDiv w:val="1"/>
      <w:marLeft w:val="0"/>
      <w:marRight w:val="0"/>
      <w:marTop w:val="0"/>
      <w:marBottom w:val="0"/>
      <w:divBdr>
        <w:top w:val="none" w:sz="0" w:space="0" w:color="auto"/>
        <w:left w:val="none" w:sz="0" w:space="0" w:color="auto"/>
        <w:bottom w:val="none" w:sz="0" w:space="0" w:color="auto"/>
        <w:right w:val="none" w:sz="0" w:space="0" w:color="auto"/>
      </w:divBdr>
    </w:div>
    <w:div w:id="900362075">
      <w:bodyDiv w:val="1"/>
      <w:marLeft w:val="0"/>
      <w:marRight w:val="0"/>
      <w:marTop w:val="0"/>
      <w:marBottom w:val="0"/>
      <w:divBdr>
        <w:top w:val="none" w:sz="0" w:space="0" w:color="auto"/>
        <w:left w:val="none" w:sz="0" w:space="0" w:color="auto"/>
        <w:bottom w:val="none" w:sz="0" w:space="0" w:color="auto"/>
        <w:right w:val="none" w:sz="0" w:space="0" w:color="auto"/>
      </w:divBdr>
    </w:div>
    <w:div w:id="900944711">
      <w:bodyDiv w:val="1"/>
      <w:marLeft w:val="0"/>
      <w:marRight w:val="0"/>
      <w:marTop w:val="0"/>
      <w:marBottom w:val="0"/>
      <w:divBdr>
        <w:top w:val="none" w:sz="0" w:space="0" w:color="auto"/>
        <w:left w:val="none" w:sz="0" w:space="0" w:color="auto"/>
        <w:bottom w:val="none" w:sz="0" w:space="0" w:color="auto"/>
        <w:right w:val="none" w:sz="0" w:space="0" w:color="auto"/>
      </w:divBdr>
    </w:div>
    <w:div w:id="907882750">
      <w:bodyDiv w:val="1"/>
      <w:marLeft w:val="0"/>
      <w:marRight w:val="0"/>
      <w:marTop w:val="0"/>
      <w:marBottom w:val="0"/>
      <w:divBdr>
        <w:top w:val="none" w:sz="0" w:space="0" w:color="auto"/>
        <w:left w:val="none" w:sz="0" w:space="0" w:color="auto"/>
        <w:bottom w:val="none" w:sz="0" w:space="0" w:color="auto"/>
        <w:right w:val="none" w:sz="0" w:space="0" w:color="auto"/>
      </w:divBdr>
    </w:div>
    <w:div w:id="916018706">
      <w:bodyDiv w:val="1"/>
      <w:marLeft w:val="0"/>
      <w:marRight w:val="0"/>
      <w:marTop w:val="0"/>
      <w:marBottom w:val="0"/>
      <w:divBdr>
        <w:top w:val="none" w:sz="0" w:space="0" w:color="auto"/>
        <w:left w:val="none" w:sz="0" w:space="0" w:color="auto"/>
        <w:bottom w:val="none" w:sz="0" w:space="0" w:color="auto"/>
        <w:right w:val="none" w:sz="0" w:space="0" w:color="auto"/>
      </w:divBdr>
    </w:div>
    <w:div w:id="921985773">
      <w:bodyDiv w:val="1"/>
      <w:marLeft w:val="0"/>
      <w:marRight w:val="0"/>
      <w:marTop w:val="0"/>
      <w:marBottom w:val="0"/>
      <w:divBdr>
        <w:top w:val="none" w:sz="0" w:space="0" w:color="auto"/>
        <w:left w:val="none" w:sz="0" w:space="0" w:color="auto"/>
        <w:bottom w:val="none" w:sz="0" w:space="0" w:color="auto"/>
        <w:right w:val="none" w:sz="0" w:space="0" w:color="auto"/>
      </w:divBdr>
    </w:div>
    <w:div w:id="930049417">
      <w:bodyDiv w:val="1"/>
      <w:marLeft w:val="0"/>
      <w:marRight w:val="0"/>
      <w:marTop w:val="0"/>
      <w:marBottom w:val="0"/>
      <w:divBdr>
        <w:top w:val="none" w:sz="0" w:space="0" w:color="auto"/>
        <w:left w:val="none" w:sz="0" w:space="0" w:color="auto"/>
        <w:bottom w:val="none" w:sz="0" w:space="0" w:color="auto"/>
        <w:right w:val="none" w:sz="0" w:space="0" w:color="auto"/>
      </w:divBdr>
    </w:div>
    <w:div w:id="965046761">
      <w:bodyDiv w:val="1"/>
      <w:marLeft w:val="0"/>
      <w:marRight w:val="0"/>
      <w:marTop w:val="0"/>
      <w:marBottom w:val="0"/>
      <w:divBdr>
        <w:top w:val="none" w:sz="0" w:space="0" w:color="auto"/>
        <w:left w:val="none" w:sz="0" w:space="0" w:color="auto"/>
        <w:bottom w:val="none" w:sz="0" w:space="0" w:color="auto"/>
        <w:right w:val="none" w:sz="0" w:space="0" w:color="auto"/>
      </w:divBdr>
    </w:div>
    <w:div w:id="968046549">
      <w:bodyDiv w:val="1"/>
      <w:marLeft w:val="0"/>
      <w:marRight w:val="0"/>
      <w:marTop w:val="0"/>
      <w:marBottom w:val="0"/>
      <w:divBdr>
        <w:top w:val="none" w:sz="0" w:space="0" w:color="auto"/>
        <w:left w:val="none" w:sz="0" w:space="0" w:color="auto"/>
        <w:bottom w:val="none" w:sz="0" w:space="0" w:color="auto"/>
        <w:right w:val="none" w:sz="0" w:space="0" w:color="auto"/>
      </w:divBdr>
    </w:div>
    <w:div w:id="969435597">
      <w:bodyDiv w:val="1"/>
      <w:marLeft w:val="0"/>
      <w:marRight w:val="0"/>
      <w:marTop w:val="0"/>
      <w:marBottom w:val="0"/>
      <w:divBdr>
        <w:top w:val="none" w:sz="0" w:space="0" w:color="auto"/>
        <w:left w:val="none" w:sz="0" w:space="0" w:color="auto"/>
        <w:bottom w:val="none" w:sz="0" w:space="0" w:color="auto"/>
        <w:right w:val="none" w:sz="0" w:space="0" w:color="auto"/>
      </w:divBdr>
    </w:div>
    <w:div w:id="972171559">
      <w:bodyDiv w:val="1"/>
      <w:marLeft w:val="0"/>
      <w:marRight w:val="0"/>
      <w:marTop w:val="0"/>
      <w:marBottom w:val="0"/>
      <w:divBdr>
        <w:top w:val="none" w:sz="0" w:space="0" w:color="auto"/>
        <w:left w:val="none" w:sz="0" w:space="0" w:color="auto"/>
        <w:bottom w:val="none" w:sz="0" w:space="0" w:color="auto"/>
        <w:right w:val="none" w:sz="0" w:space="0" w:color="auto"/>
      </w:divBdr>
    </w:div>
    <w:div w:id="977681709">
      <w:bodyDiv w:val="1"/>
      <w:marLeft w:val="0"/>
      <w:marRight w:val="0"/>
      <w:marTop w:val="0"/>
      <w:marBottom w:val="0"/>
      <w:divBdr>
        <w:top w:val="none" w:sz="0" w:space="0" w:color="auto"/>
        <w:left w:val="none" w:sz="0" w:space="0" w:color="auto"/>
        <w:bottom w:val="none" w:sz="0" w:space="0" w:color="auto"/>
        <w:right w:val="none" w:sz="0" w:space="0" w:color="auto"/>
      </w:divBdr>
    </w:div>
    <w:div w:id="1015571968">
      <w:bodyDiv w:val="1"/>
      <w:marLeft w:val="0"/>
      <w:marRight w:val="0"/>
      <w:marTop w:val="0"/>
      <w:marBottom w:val="0"/>
      <w:divBdr>
        <w:top w:val="none" w:sz="0" w:space="0" w:color="auto"/>
        <w:left w:val="none" w:sz="0" w:space="0" w:color="auto"/>
        <w:bottom w:val="none" w:sz="0" w:space="0" w:color="auto"/>
        <w:right w:val="none" w:sz="0" w:space="0" w:color="auto"/>
      </w:divBdr>
    </w:div>
    <w:div w:id="1016618736">
      <w:bodyDiv w:val="1"/>
      <w:marLeft w:val="0"/>
      <w:marRight w:val="0"/>
      <w:marTop w:val="0"/>
      <w:marBottom w:val="0"/>
      <w:divBdr>
        <w:top w:val="none" w:sz="0" w:space="0" w:color="auto"/>
        <w:left w:val="none" w:sz="0" w:space="0" w:color="auto"/>
        <w:bottom w:val="none" w:sz="0" w:space="0" w:color="auto"/>
        <w:right w:val="none" w:sz="0" w:space="0" w:color="auto"/>
      </w:divBdr>
    </w:div>
    <w:div w:id="1028407557">
      <w:bodyDiv w:val="1"/>
      <w:marLeft w:val="0"/>
      <w:marRight w:val="0"/>
      <w:marTop w:val="0"/>
      <w:marBottom w:val="0"/>
      <w:divBdr>
        <w:top w:val="none" w:sz="0" w:space="0" w:color="auto"/>
        <w:left w:val="none" w:sz="0" w:space="0" w:color="auto"/>
        <w:bottom w:val="none" w:sz="0" w:space="0" w:color="auto"/>
        <w:right w:val="none" w:sz="0" w:space="0" w:color="auto"/>
      </w:divBdr>
    </w:div>
    <w:div w:id="1054548927">
      <w:bodyDiv w:val="1"/>
      <w:marLeft w:val="0"/>
      <w:marRight w:val="0"/>
      <w:marTop w:val="0"/>
      <w:marBottom w:val="0"/>
      <w:divBdr>
        <w:top w:val="none" w:sz="0" w:space="0" w:color="auto"/>
        <w:left w:val="none" w:sz="0" w:space="0" w:color="auto"/>
        <w:bottom w:val="none" w:sz="0" w:space="0" w:color="auto"/>
        <w:right w:val="none" w:sz="0" w:space="0" w:color="auto"/>
      </w:divBdr>
    </w:div>
    <w:div w:id="1078012925">
      <w:bodyDiv w:val="1"/>
      <w:marLeft w:val="0"/>
      <w:marRight w:val="0"/>
      <w:marTop w:val="0"/>
      <w:marBottom w:val="0"/>
      <w:divBdr>
        <w:top w:val="none" w:sz="0" w:space="0" w:color="auto"/>
        <w:left w:val="none" w:sz="0" w:space="0" w:color="auto"/>
        <w:bottom w:val="none" w:sz="0" w:space="0" w:color="auto"/>
        <w:right w:val="none" w:sz="0" w:space="0" w:color="auto"/>
      </w:divBdr>
    </w:div>
    <w:div w:id="1079403306">
      <w:bodyDiv w:val="1"/>
      <w:marLeft w:val="0"/>
      <w:marRight w:val="0"/>
      <w:marTop w:val="0"/>
      <w:marBottom w:val="0"/>
      <w:divBdr>
        <w:top w:val="none" w:sz="0" w:space="0" w:color="auto"/>
        <w:left w:val="none" w:sz="0" w:space="0" w:color="auto"/>
        <w:bottom w:val="none" w:sz="0" w:space="0" w:color="auto"/>
        <w:right w:val="none" w:sz="0" w:space="0" w:color="auto"/>
      </w:divBdr>
    </w:div>
    <w:div w:id="1085884362">
      <w:bodyDiv w:val="1"/>
      <w:marLeft w:val="0"/>
      <w:marRight w:val="0"/>
      <w:marTop w:val="0"/>
      <w:marBottom w:val="0"/>
      <w:divBdr>
        <w:top w:val="none" w:sz="0" w:space="0" w:color="auto"/>
        <w:left w:val="none" w:sz="0" w:space="0" w:color="auto"/>
        <w:bottom w:val="none" w:sz="0" w:space="0" w:color="auto"/>
        <w:right w:val="none" w:sz="0" w:space="0" w:color="auto"/>
      </w:divBdr>
    </w:div>
    <w:div w:id="1094934448">
      <w:bodyDiv w:val="1"/>
      <w:marLeft w:val="0"/>
      <w:marRight w:val="0"/>
      <w:marTop w:val="0"/>
      <w:marBottom w:val="0"/>
      <w:divBdr>
        <w:top w:val="none" w:sz="0" w:space="0" w:color="auto"/>
        <w:left w:val="none" w:sz="0" w:space="0" w:color="auto"/>
        <w:bottom w:val="none" w:sz="0" w:space="0" w:color="auto"/>
        <w:right w:val="none" w:sz="0" w:space="0" w:color="auto"/>
      </w:divBdr>
    </w:div>
    <w:div w:id="1101489285">
      <w:bodyDiv w:val="1"/>
      <w:marLeft w:val="0"/>
      <w:marRight w:val="0"/>
      <w:marTop w:val="0"/>
      <w:marBottom w:val="0"/>
      <w:divBdr>
        <w:top w:val="none" w:sz="0" w:space="0" w:color="auto"/>
        <w:left w:val="none" w:sz="0" w:space="0" w:color="auto"/>
        <w:bottom w:val="none" w:sz="0" w:space="0" w:color="auto"/>
        <w:right w:val="none" w:sz="0" w:space="0" w:color="auto"/>
      </w:divBdr>
    </w:div>
    <w:div w:id="1113982381">
      <w:bodyDiv w:val="1"/>
      <w:marLeft w:val="0"/>
      <w:marRight w:val="0"/>
      <w:marTop w:val="0"/>
      <w:marBottom w:val="0"/>
      <w:divBdr>
        <w:top w:val="none" w:sz="0" w:space="0" w:color="auto"/>
        <w:left w:val="none" w:sz="0" w:space="0" w:color="auto"/>
        <w:bottom w:val="none" w:sz="0" w:space="0" w:color="auto"/>
        <w:right w:val="none" w:sz="0" w:space="0" w:color="auto"/>
      </w:divBdr>
    </w:div>
    <w:div w:id="1118448540">
      <w:bodyDiv w:val="1"/>
      <w:marLeft w:val="0"/>
      <w:marRight w:val="0"/>
      <w:marTop w:val="0"/>
      <w:marBottom w:val="0"/>
      <w:divBdr>
        <w:top w:val="none" w:sz="0" w:space="0" w:color="auto"/>
        <w:left w:val="none" w:sz="0" w:space="0" w:color="auto"/>
        <w:bottom w:val="none" w:sz="0" w:space="0" w:color="auto"/>
        <w:right w:val="none" w:sz="0" w:space="0" w:color="auto"/>
      </w:divBdr>
    </w:div>
    <w:div w:id="1135369392">
      <w:bodyDiv w:val="1"/>
      <w:marLeft w:val="0"/>
      <w:marRight w:val="0"/>
      <w:marTop w:val="0"/>
      <w:marBottom w:val="0"/>
      <w:divBdr>
        <w:top w:val="none" w:sz="0" w:space="0" w:color="auto"/>
        <w:left w:val="none" w:sz="0" w:space="0" w:color="auto"/>
        <w:bottom w:val="none" w:sz="0" w:space="0" w:color="auto"/>
        <w:right w:val="none" w:sz="0" w:space="0" w:color="auto"/>
      </w:divBdr>
    </w:div>
    <w:div w:id="1140726972">
      <w:bodyDiv w:val="1"/>
      <w:marLeft w:val="0"/>
      <w:marRight w:val="0"/>
      <w:marTop w:val="0"/>
      <w:marBottom w:val="0"/>
      <w:divBdr>
        <w:top w:val="none" w:sz="0" w:space="0" w:color="auto"/>
        <w:left w:val="none" w:sz="0" w:space="0" w:color="auto"/>
        <w:bottom w:val="none" w:sz="0" w:space="0" w:color="auto"/>
        <w:right w:val="none" w:sz="0" w:space="0" w:color="auto"/>
      </w:divBdr>
    </w:div>
    <w:div w:id="1146169808">
      <w:bodyDiv w:val="1"/>
      <w:marLeft w:val="0"/>
      <w:marRight w:val="0"/>
      <w:marTop w:val="0"/>
      <w:marBottom w:val="0"/>
      <w:divBdr>
        <w:top w:val="none" w:sz="0" w:space="0" w:color="auto"/>
        <w:left w:val="none" w:sz="0" w:space="0" w:color="auto"/>
        <w:bottom w:val="none" w:sz="0" w:space="0" w:color="auto"/>
        <w:right w:val="none" w:sz="0" w:space="0" w:color="auto"/>
      </w:divBdr>
    </w:div>
    <w:div w:id="1163820292">
      <w:bodyDiv w:val="1"/>
      <w:marLeft w:val="0"/>
      <w:marRight w:val="0"/>
      <w:marTop w:val="0"/>
      <w:marBottom w:val="0"/>
      <w:divBdr>
        <w:top w:val="none" w:sz="0" w:space="0" w:color="auto"/>
        <w:left w:val="none" w:sz="0" w:space="0" w:color="auto"/>
        <w:bottom w:val="none" w:sz="0" w:space="0" w:color="auto"/>
        <w:right w:val="none" w:sz="0" w:space="0" w:color="auto"/>
      </w:divBdr>
    </w:div>
    <w:div w:id="1172334758">
      <w:bodyDiv w:val="1"/>
      <w:marLeft w:val="0"/>
      <w:marRight w:val="0"/>
      <w:marTop w:val="0"/>
      <w:marBottom w:val="0"/>
      <w:divBdr>
        <w:top w:val="none" w:sz="0" w:space="0" w:color="auto"/>
        <w:left w:val="none" w:sz="0" w:space="0" w:color="auto"/>
        <w:bottom w:val="none" w:sz="0" w:space="0" w:color="auto"/>
        <w:right w:val="none" w:sz="0" w:space="0" w:color="auto"/>
      </w:divBdr>
    </w:div>
    <w:div w:id="1179545616">
      <w:bodyDiv w:val="1"/>
      <w:marLeft w:val="0"/>
      <w:marRight w:val="0"/>
      <w:marTop w:val="0"/>
      <w:marBottom w:val="0"/>
      <w:divBdr>
        <w:top w:val="none" w:sz="0" w:space="0" w:color="auto"/>
        <w:left w:val="none" w:sz="0" w:space="0" w:color="auto"/>
        <w:bottom w:val="none" w:sz="0" w:space="0" w:color="auto"/>
        <w:right w:val="none" w:sz="0" w:space="0" w:color="auto"/>
      </w:divBdr>
    </w:div>
    <w:div w:id="1189024636">
      <w:bodyDiv w:val="1"/>
      <w:marLeft w:val="0"/>
      <w:marRight w:val="0"/>
      <w:marTop w:val="0"/>
      <w:marBottom w:val="0"/>
      <w:divBdr>
        <w:top w:val="none" w:sz="0" w:space="0" w:color="auto"/>
        <w:left w:val="none" w:sz="0" w:space="0" w:color="auto"/>
        <w:bottom w:val="none" w:sz="0" w:space="0" w:color="auto"/>
        <w:right w:val="none" w:sz="0" w:space="0" w:color="auto"/>
      </w:divBdr>
    </w:div>
    <w:div w:id="1191530305">
      <w:bodyDiv w:val="1"/>
      <w:marLeft w:val="0"/>
      <w:marRight w:val="0"/>
      <w:marTop w:val="0"/>
      <w:marBottom w:val="0"/>
      <w:divBdr>
        <w:top w:val="none" w:sz="0" w:space="0" w:color="auto"/>
        <w:left w:val="none" w:sz="0" w:space="0" w:color="auto"/>
        <w:bottom w:val="none" w:sz="0" w:space="0" w:color="auto"/>
        <w:right w:val="none" w:sz="0" w:space="0" w:color="auto"/>
      </w:divBdr>
    </w:div>
    <w:div w:id="1204513792">
      <w:bodyDiv w:val="1"/>
      <w:marLeft w:val="0"/>
      <w:marRight w:val="0"/>
      <w:marTop w:val="0"/>
      <w:marBottom w:val="0"/>
      <w:divBdr>
        <w:top w:val="none" w:sz="0" w:space="0" w:color="auto"/>
        <w:left w:val="none" w:sz="0" w:space="0" w:color="auto"/>
        <w:bottom w:val="none" w:sz="0" w:space="0" w:color="auto"/>
        <w:right w:val="none" w:sz="0" w:space="0" w:color="auto"/>
      </w:divBdr>
    </w:div>
    <w:div w:id="1215508776">
      <w:bodyDiv w:val="1"/>
      <w:marLeft w:val="0"/>
      <w:marRight w:val="0"/>
      <w:marTop w:val="0"/>
      <w:marBottom w:val="0"/>
      <w:divBdr>
        <w:top w:val="none" w:sz="0" w:space="0" w:color="auto"/>
        <w:left w:val="none" w:sz="0" w:space="0" w:color="auto"/>
        <w:bottom w:val="none" w:sz="0" w:space="0" w:color="auto"/>
        <w:right w:val="none" w:sz="0" w:space="0" w:color="auto"/>
      </w:divBdr>
    </w:div>
    <w:div w:id="1217397758">
      <w:bodyDiv w:val="1"/>
      <w:marLeft w:val="0"/>
      <w:marRight w:val="0"/>
      <w:marTop w:val="0"/>
      <w:marBottom w:val="0"/>
      <w:divBdr>
        <w:top w:val="none" w:sz="0" w:space="0" w:color="auto"/>
        <w:left w:val="none" w:sz="0" w:space="0" w:color="auto"/>
        <w:bottom w:val="none" w:sz="0" w:space="0" w:color="auto"/>
        <w:right w:val="none" w:sz="0" w:space="0" w:color="auto"/>
      </w:divBdr>
    </w:div>
    <w:div w:id="1223640279">
      <w:bodyDiv w:val="1"/>
      <w:marLeft w:val="0"/>
      <w:marRight w:val="0"/>
      <w:marTop w:val="0"/>
      <w:marBottom w:val="0"/>
      <w:divBdr>
        <w:top w:val="none" w:sz="0" w:space="0" w:color="auto"/>
        <w:left w:val="none" w:sz="0" w:space="0" w:color="auto"/>
        <w:bottom w:val="none" w:sz="0" w:space="0" w:color="auto"/>
        <w:right w:val="none" w:sz="0" w:space="0" w:color="auto"/>
      </w:divBdr>
    </w:div>
    <w:div w:id="1256673963">
      <w:bodyDiv w:val="1"/>
      <w:marLeft w:val="0"/>
      <w:marRight w:val="0"/>
      <w:marTop w:val="0"/>
      <w:marBottom w:val="0"/>
      <w:divBdr>
        <w:top w:val="none" w:sz="0" w:space="0" w:color="auto"/>
        <w:left w:val="none" w:sz="0" w:space="0" w:color="auto"/>
        <w:bottom w:val="none" w:sz="0" w:space="0" w:color="auto"/>
        <w:right w:val="none" w:sz="0" w:space="0" w:color="auto"/>
      </w:divBdr>
    </w:div>
    <w:div w:id="1266112376">
      <w:bodyDiv w:val="1"/>
      <w:marLeft w:val="0"/>
      <w:marRight w:val="0"/>
      <w:marTop w:val="0"/>
      <w:marBottom w:val="0"/>
      <w:divBdr>
        <w:top w:val="none" w:sz="0" w:space="0" w:color="auto"/>
        <w:left w:val="none" w:sz="0" w:space="0" w:color="auto"/>
        <w:bottom w:val="none" w:sz="0" w:space="0" w:color="auto"/>
        <w:right w:val="none" w:sz="0" w:space="0" w:color="auto"/>
      </w:divBdr>
    </w:div>
    <w:div w:id="1278754240">
      <w:bodyDiv w:val="1"/>
      <w:marLeft w:val="0"/>
      <w:marRight w:val="0"/>
      <w:marTop w:val="0"/>
      <w:marBottom w:val="0"/>
      <w:divBdr>
        <w:top w:val="none" w:sz="0" w:space="0" w:color="auto"/>
        <w:left w:val="none" w:sz="0" w:space="0" w:color="auto"/>
        <w:bottom w:val="none" w:sz="0" w:space="0" w:color="auto"/>
        <w:right w:val="none" w:sz="0" w:space="0" w:color="auto"/>
      </w:divBdr>
    </w:div>
    <w:div w:id="1310741587">
      <w:bodyDiv w:val="1"/>
      <w:marLeft w:val="0"/>
      <w:marRight w:val="0"/>
      <w:marTop w:val="0"/>
      <w:marBottom w:val="0"/>
      <w:divBdr>
        <w:top w:val="none" w:sz="0" w:space="0" w:color="auto"/>
        <w:left w:val="none" w:sz="0" w:space="0" w:color="auto"/>
        <w:bottom w:val="none" w:sz="0" w:space="0" w:color="auto"/>
        <w:right w:val="none" w:sz="0" w:space="0" w:color="auto"/>
      </w:divBdr>
    </w:div>
    <w:div w:id="1330058586">
      <w:bodyDiv w:val="1"/>
      <w:marLeft w:val="0"/>
      <w:marRight w:val="0"/>
      <w:marTop w:val="0"/>
      <w:marBottom w:val="0"/>
      <w:divBdr>
        <w:top w:val="none" w:sz="0" w:space="0" w:color="auto"/>
        <w:left w:val="none" w:sz="0" w:space="0" w:color="auto"/>
        <w:bottom w:val="none" w:sz="0" w:space="0" w:color="auto"/>
        <w:right w:val="none" w:sz="0" w:space="0" w:color="auto"/>
      </w:divBdr>
    </w:div>
    <w:div w:id="1331061285">
      <w:bodyDiv w:val="1"/>
      <w:marLeft w:val="0"/>
      <w:marRight w:val="0"/>
      <w:marTop w:val="0"/>
      <w:marBottom w:val="0"/>
      <w:divBdr>
        <w:top w:val="none" w:sz="0" w:space="0" w:color="auto"/>
        <w:left w:val="none" w:sz="0" w:space="0" w:color="auto"/>
        <w:bottom w:val="none" w:sz="0" w:space="0" w:color="auto"/>
        <w:right w:val="none" w:sz="0" w:space="0" w:color="auto"/>
      </w:divBdr>
    </w:div>
    <w:div w:id="1359965026">
      <w:bodyDiv w:val="1"/>
      <w:marLeft w:val="0"/>
      <w:marRight w:val="0"/>
      <w:marTop w:val="0"/>
      <w:marBottom w:val="0"/>
      <w:divBdr>
        <w:top w:val="none" w:sz="0" w:space="0" w:color="auto"/>
        <w:left w:val="none" w:sz="0" w:space="0" w:color="auto"/>
        <w:bottom w:val="none" w:sz="0" w:space="0" w:color="auto"/>
        <w:right w:val="none" w:sz="0" w:space="0" w:color="auto"/>
      </w:divBdr>
    </w:div>
    <w:div w:id="1375959890">
      <w:bodyDiv w:val="1"/>
      <w:marLeft w:val="0"/>
      <w:marRight w:val="0"/>
      <w:marTop w:val="0"/>
      <w:marBottom w:val="0"/>
      <w:divBdr>
        <w:top w:val="none" w:sz="0" w:space="0" w:color="auto"/>
        <w:left w:val="none" w:sz="0" w:space="0" w:color="auto"/>
        <w:bottom w:val="none" w:sz="0" w:space="0" w:color="auto"/>
        <w:right w:val="none" w:sz="0" w:space="0" w:color="auto"/>
      </w:divBdr>
    </w:div>
    <w:div w:id="1383366316">
      <w:bodyDiv w:val="1"/>
      <w:marLeft w:val="0"/>
      <w:marRight w:val="0"/>
      <w:marTop w:val="0"/>
      <w:marBottom w:val="0"/>
      <w:divBdr>
        <w:top w:val="none" w:sz="0" w:space="0" w:color="auto"/>
        <w:left w:val="none" w:sz="0" w:space="0" w:color="auto"/>
        <w:bottom w:val="none" w:sz="0" w:space="0" w:color="auto"/>
        <w:right w:val="none" w:sz="0" w:space="0" w:color="auto"/>
      </w:divBdr>
    </w:div>
    <w:div w:id="1395082330">
      <w:bodyDiv w:val="1"/>
      <w:marLeft w:val="0"/>
      <w:marRight w:val="0"/>
      <w:marTop w:val="0"/>
      <w:marBottom w:val="0"/>
      <w:divBdr>
        <w:top w:val="none" w:sz="0" w:space="0" w:color="auto"/>
        <w:left w:val="none" w:sz="0" w:space="0" w:color="auto"/>
        <w:bottom w:val="none" w:sz="0" w:space="0" w:color="auto"/>
        <w:right w:val="none" w:sz="0" w:space="0" w:color="auto"/>
      </w:divBdr>
    </w:div>
    <w:div w:id="1416245762">
      <w:bodyDiv w:val="1"/>
      <w:marLeft w:val="0"/>
      <w:marRight w:val="0"/>
      <w:marTop w:val="0"/>
      <w:marBottom w:val="0"/>
      <w:divBdr>
        <w:top w:val="none" w:sz="0" w:space="0" w:color="auto"/>
        <w:left w:val="none" w:sz="0" w:space="0" w:color="auto"/>
        <w:bottom w:val="none" w:sz="0" w:space="0" w:color="auto"/>
        <w:right w:val="none" w:sz="0" w:space="0" w:color="auto"/>
      </w:divBdr>
    </w:div>
    <w:div w:id="1425808407">
      <w:bodyDiv w:val="1"/>
      <w:marLeft w:val="0"/>
      <w:marRight w:val="0"/>
      <w:marTop w:val="0"/>
      <w:marBottom w:val="0"/>
      <w:divBdr>
        <w:top w:val="none" w:sz="0" w:space="0" w:color="auto"/>
        <w:left w:val="none" w:sz="0" w:space="0" w:color="auto"/>
        <w:bottom w:val="none" w:sz="0" w:space="0" w:color="auto"/>
        <w:right w:val="none" w:sz="0" w:space="0" w:color="auto"/>
      </w:divBdr>
    </w:div>
    <w:div w:id="1427463764">
      <w:bodyDiv w:val="1"/>
      <w:marLeft w:val="0"/>
      <w:marRight w:val="0"/>
      <w:marTop w:val="0"/>
      <w:marBottom w:val="0"/>
      <w:divBdr>
        <w:top w:val="none" w:sz="0" w:space="0" w:color="auto"/>
        <w:left w:val="none" w:sz="0" w:space="0" w:color="auto"/>
        <w:bottom w:val="none" w:sz="0" w:space="0" w:color="auto"/>
        <w:right w:val="none" w:sz="0" w:space="0" w:color="auto"/>
      </w:divBdr>
    </w:div>
    <w:div w:id="1435319453">
      <w:bodyDiv w:val="1"/>
      <w:marLeft w:val="0"/>
      <w:marRight w:val="0"/>
      <w:marTop w:val="0"/>
      <w:marBottom w:val="0"/>
      <w:divBdr>
        <w:top w:val="none" w:sz="0" w:space="0" w:color="auto"/>
        <w:left w:val="none" w:sz="0" w:space="0" w:color="auto"/>
        <w:bottom w:val="none" w:sz="0" w:space="0" w:color="auto"/>
        <w:right w:val="none" w:sz="0" w:space="0" w:color="auto"/>
      </w:divBdr>
    </w:div>
    <w:div w:id="1444810442">
      <w:bodyDiv w:val="1"/>
      <w:marLeft w:val="0"/>
      <w:marRight w:val="0"/>
      <w:marTop w:val="0"/>
      <w:marBottom w:val="0"/>
      <w:divBdr>
        <w:top w:val="none" w:sz="0" w:space="0" w:color="auto"/>
        <w:left w:val="none" w:sz="0" w:space="0" w:color="auto"/>
        <w:bottom w:val="none" w:sz="0" w:space="0" w:color="auto"/>
        <w:right w:val="none" w:sz="0" w:space="0" w:color="auto"/>
      </w:divBdr>
    </w:div>
    <w:div w:id="1446734676">
      <w:bodyDiv w:val="1"/>
      <w:marLeft w:val="0"/>
      <w:marRight w:val="0"/>
      <w:marTop w:val="0"/>
      <w:marBottom w:val="0"/>
      <w:divBdr>
        <w:top w:val="none" w:sz="0" w:space="0" w:color="auto"/>
        <w:left w:val="none" w:sz="0" w:space="0" w:color="auto"/>
        <w:bottom w:val="none" w:sz="0" w:space="0" w:color="auto"/>
        <w:right w:val="none" w:sz="0" w:space="0" w:color="auto"/>
      </w:divBdr>
    </w:div>
    <w:div w:id="1482039171">
      <w:bodyDiv w:val="1"/>
      <w:marLeft w:val="0"/>
      <w:marRight w:val="0"/>
      <w:marTop w:val="0"/>
      <w:marBottom w:val="0"/>
      <w:divBdr>
        <w:top w:val="none" w:sz="0" w:space="0" w:color="auto"/>
        <w:left w:val="none" w:sz="0" w:space="0" w:color="auto"/>
        <w:bottom w:val="none" w:sz="0" w:space="0" w:color="auto"/>
        <w:right w:val="none" w:sz="0" w:space="0" w:color="auto"/>
      </w:divBdr>
    </w:div>
    <w:div w:id="1483548816">
      <w:bodyDiv w:val="1"/>
      <w:marLeft w:val="0"/>
      <w:marRight w:val="0"/>
      <w:marTop w:val="0"/>
      <w:marBottom w:val="0"/>
      <w:divBdr>
        <w:top w:val="none" w:sz="0" w:space="0" w:color="auto"/>
        <w:left w:val="none" w:sz="0" w:space="0" w:color="auto"/>
        <w:bottom w:val="none" w:sz="0" w:space="0" w:color="auto"/>
        <w:right w:val="none" w:sz="0" w:space="0" w:color="auto"/>
      </w:divBdr>
    </w:div>
    <w:div w:id="1494099777">
      <w:bodyDiv w:val="1"/>
      <w:marLeft w:val="0"/>
      <w:marRight w:val="0"/>
      <w:marTop w:val="0"/>
      <w:marBottom w:val="0"/>
      <w:divBdr>
        <w:top w:val="none" w:sz="0" w:space="0" w:color="auto"/>
        <w:left w:val="none" w:sz="0" w:space="0" w:color="auto"/>
        <w:bottom w:val="none" w:sz="0" w:space="0" w:color="auto"/>
        <w:right w:val="none" w:sz="0" w:space="0" w:color="auto"/>
      </w:divBdr>
    </w:div>
    <w:div w:id="1495222132">
      <w:bodyDiv w:val="1"/>
      <w:marLeft w:val="0"/>
      <w:marRight w:val="0"/>
      <w:marTop w:val="0"/>
      <w:marBottom w:val="0"/>
      <w:divBdr>
        <w:top w:val="none" w:sz="0" w:space="0" w:color="auto"/>
        <w:left w:val="none" w:sz="0" w:space="0" w:color="auto"/>
        <w:bottom w:val="none" w:sz="0" w:space="0" w:color="auto"/>
        <w:right w:val="none" w:sz="0" w:space="0" w:color="auto"/>
      </w:divBdr>
    </w:div>
    <w:div w:id="1499348259">
      <w:bodyDiv w:val="1"/>
      <w:marLeft w:val="0"/>
      <w:marRight w:val="0"/>
      <w:marTop w:val="0"/>
      <w:marBottom w:val="0"/>
      <w:divBdr>
        <w:top w:val="none" w:sz="0" w:space="0" w:color="auto"/>
        <w:left w:val="none" w:sz="0" w:space="0" w:color="auto"/>
        <w:bottom w:val="none" w:sz="0" w:space="0" w:color="auto"/>
        <w:right w:val="none" w:sz="0" w:space="0" w:color="auto"/>
      </w:divBdr>
    </w:div>
    <w:div w:id="1521122812">
      <w:bodyDiv w:val="1"/>
      <w:marLeft w:val="0"/>
      <w:marRight w:val="0"/>
      <w:marTop w:val="0"/>
      <w:marBottom w:val="0"/>
      <w:divBdr>
        <w:top w:val="none" w:sz="0" w:space="0" w:color="auto"/>
        <w:left w:val="none" w:sz="0" w:space="0" w:color="auto"/>
        <w:bottom w:val="none" w:sz="0" w:space="0" w:color="auto"/>
        <w:right w:val="none" w:sz="0" w:space="0" w:color="auto"/>
      </w:divBdr>
    </w:div>
    <w:div w:id="1548376195">
      <w:bodyDiv w:val="1"/>
      <w:marLeft w:val="0"/>
      <w:marRight w:val="0"/>
      <w:marTop w:val="0"/>
      <w:marBottom w:val="0"/>
      <w:divBdr>
        <w:top w:val="none" w:sz="0" w:space="0" w:color="auto"/>
        <w:left w:val="none" w:sz="0" w:space="0" w:color="auto"/>
        <w:bottom w:val="none" w:sz="0" w:space="0" w:color="auto"/>
        <w:right w:val="none" w:sz="0" w:space="0" w:color="auto"/>
      </w:divBdr>
    </w:div>
    <w:div w:id="1552958764">
      <w:bodyDiv w:val="1"/>
      <w:marLeft w:val="0"/>
      <w:marRight w:val="0"/>
      <w:marTop w:val="0"/>
      <w:marBottom w:val="0"/>
      <w:divBdr>
        <w:top w:val="none" w:sz="0" w:space="0" w:color="auto"/>
        <w:left w:val="none" w:sz="0" w:space="0" w:color="auto"/>
        <w:bottom w:val="none" w:sz="0" w:space="0" w:color="auto"/>
        <w:right w:val="none" w:sz="0" w:space="0" w:color="auto"/>
      </w:divBdr>
    </w:div>
    <w:div w:id="1564636701">
      <w:bodyDiv w:val="1"/>
      <w:marLeft w:val="0"/>
      <w:marRight w:val="0"/>
      <w:marTop w:val="0"/>
      <w:marBottom w:val="0"/>
      <w:divBdr>
        <w:top w:val="none" w:sz="0" w:space="0" w:color="auto"/>
        <w:left w:val="none" w:sz="0" w:space="0" w:color="auto"/>
        <w:bottom w:val="none" w:sz="0" w:space="0" w:color="auto"/>
        <w:right w:val="none" w:sz="0" w:space="0" w:color="auto"/>
      </w:divBdr>
    </w:div>
    <w:div w:id="1573151163">
      <w:bodyDiv w:val="1"/>
      <w:marLeft w:val="0"/>
      <w:marRight w:val="0"/>
      <w:marTop w:val="0"/>
      <w:marBottom w:val="0"/>
      <w:divBdr>
        <w:top w:val="none" w:sz="0" w:space="0" w:color="auto"/>
        <w:left w:val="none" w:sz="0" w:space="0" w:color="auto"/>
        <w:bottom w:val="none" w:sz="0" w:space="0" w:color="auto"/>
        <w:right w:val="none" w:sz="0" w:space="0" w:color="auto"/>
      </w:divBdr>
    </w:div>
    <w:div w:id="1580629404">
      <w:bodyDiv w:val="1"/>
      <w:marLeft w:val="0"/>
      <w:marRight w:val="0"/>
      <w:marTop w:val="0"/>
      <w:marBottom w:val="0"/>
      <w:divBdr>
        <w:top w:val="none" w:sz="0" w:space="0" w:color="auto"/>
        <w:left w:val="none" w:sz="0" w:space="0" w:color="auto"/>
        <w:bottom w:val="none" w:sz="0" w:space="0" w:color="auto"/>
        <w:right w:val="none" w:sz="0" w:space="0" w:color="auto"/>
      </w:divBdr>
    </w:div>
    <w:div w:id="1588226386">
      <w:bodyDiv w:val="1"/>
      <w:marLeft w:val="0"/>
      <w:marRight w:val="0"/>
      <w:marTop w:val="0"/>
      <w:marBottom w:val="0"/>
      <w:divBdr>
        <w:top w:val="none" w:sz="0" w:space="0" w:color="auto"/>
        <w:left w:val="none" w:sz="0" w:space="0" w:color="auto"/>
        <w:bottom w:val="none" w:sz="0" w:space="0" w:color="auto"/>
        <w:right w:val="none" w:sz="0" w:space="0" w:color="auto"/>
      </w:divBdr>
    </w:div>
    <w:div w:id="1589196114">
      <w:bodyDiv w:val="1"/>
      <w:marLeft w:val="0"/>
      <w:marRight w:val="0"/>
      <w:marTop w:val="0"/>
      <w:marBottom w:val="0"/>
      <w:divBdr>
        <w:top w:val="none" w:sz="0" w:space="0" w:color="auto"/>
        <w:left w:val="none" w:sz="0" w:space="0" w:color="auto"/>
        <w:bottom w:val="none" w:sz="0" w:space="0" w:color="auto"/>
        <w:right w:val="none" w:sz="0" w:space="0" w:color="auto"/>
      </w:divBdr>
    </w:div>
    <w:div w:id="1595045276">
      <w:bodyDiv w:val="1"/>
      <w:marLeft w:val="0"/>
      <w:marRight w:val="0"/>
      <w:marTop w:val="0"/>
      <w:marBottom w:val="0"/>
      <w:divBdr>
        <w:top w:val="none" w:sz="0" w:space="0" w:color="auto"/>
        <w:left w:val="none" w:sz="0" w:space="0" w:color="auto"/>
        <w:bottom w:val="none" w:sz="0" w:space="0" w:color="auto"/>
        <w:right w:val="none" w:sz="0" w:space="0" w:color="auto"/>
      </w:divBdr>
    </w:div>
    <w:div w:id="1597130377">
      <w:bodyDiv w:val="1"/>
      <w:marLeft w:val="0"/>
      <w:marRight w:val="0"/>
      <w:marTop w:val="0"/>
      <w:marBottom w:val="0"/>
      <w:divBdr>
        <w:top w:val="none" w:sz="0" w:space="0" w:color="auto"/>
        <w:left w:val="none" w:sz="0" w:space="0" w:color="auto"/>
        <w:bottom w:val="none" w:sz="0" w:space="0" w:color="auto"/>
        <w:right w:val="none" w:sz="0" w:space="0" w:color="auto"/>
      </w:divBdr>
    </w:div>
    <w:div w:id="1609317475">
      <w:bodyDiv w:val="1"/>
      <w:marLeft w:val="0"/>
      <w:marRight w:val="0"/>
      <w:marTop w:val="0"/>
      <w:marBottom w:val="0"/>
      <w:divBdr>
        <w:top w:val="none" w:sz="0" w:space="0" w:color="auto"/>
        <w:left w:val="none" w:sz="0" w:space="0" w:color="auto"/>
        <w:bottom w:val="none" w:sz="0" w:space="0" w:color="auto"/>
        <w:right w:val="none" w:sz="0" w:space="0" w:color="auto"/>
      </w:divBdr>
    </w:div>
    <w:div w:id="1609657750">
      <w:bodyDiv w:val="1"/>
      <w:marLeft w:val="0"/>
      <w:marRight w:val="0"/>
      <w:marTop w:val="0"/>
      <w:marBottom w:val="0"/>
      <w:divBdr>
        <w:top w:val="none" w:sz="0" w:space="0" w:color="auto"/>
        <w:left w:val="none" w:sz="0" w:space="0" w:color="auto"/>
        <w:bottom w:val="none" w:sz="0" w:space="0" w:color="auto"/>
        <w:right w:val="none" w:sz="0" w:space="0" w:color="auto"/>
      </w:divBdr>
    </w:div>
    <w:div w:id="1615480794">
      <w:bodyDiv w:val="1"/>
      <w:marLeft w:val="0"/>
      <w:marRight w:val="0"/>
      <w:marTop w:val="0"/>
      <w:marBottom w:val="0"/>
      <w:divBdr>
        <w:top w:val="none" w:sz="0" w:space="0" w:color="auto"/>
        <w:left w:val="none" w:sz="0" w:space="0" w:color="auto"/>
        <w:bottom w:val="none" w:sz="0" w:space="0" w:color="auto"/>
        <w:right w:val="none" w:sz="0" w:space="0" w:color="auto"/>
      </w:divBdr>
    </w:div>
    <w:div w:id="1638797859">
      <w:bodyDiv w:val="1"/>
      <w:marLeft w:val="0"/>
      <w:marRight w:val="0"/>
      <w:marTop w:val="0"/>
      <w:marBottom w:val="0"/>
      <w:divBdr>
        <w:top w:val="none" w:sz="0" w:space="0" w:color="auto"/>
        <w:left w:val="none" w:sz="0" w:space="0" w:color="auto"/>
        <w:bottom w:val="none" w:sz="0" w:space="0" w:color="auto"/>
        <w:right w:val="none" w:sz="0" w:space="0" w:color="auto"/>
      </w:divBdr>
    </w:div>
    <w:div w:id="1671982720">
      <w:bodyDiv w:val="1"/>
      <w:marLeft w:val="0"/>
      <w:marRight w:val="0"/>
      <w:marTop w:val="0"/>
      <w:marBottom w:val="0"/>
      <w:divBdr>
        <w:top w:val="none" w:sz="0" w:space="0" w:color="auto"/>
        <w:left w:val="none" w:sz="0" w:space="0" w:color="auto"/>
        <w:bottom w:val="none" w:sz="0" w:space="0" w:color="auto"/>
        <w:right w:val="none" w:sz="0" w:space="0" w:color="auto"/>
      </w:divBdr>
    </w:div>
    <w:div w:id="1676609301">
      <w:bodyDiv w:val="1"/>
      <w:marLeft w:val="0"/>
      <w:marRight w:val="0"/>
      <w:marTop w:val="0"/>
      <w:marBottom w:val="0"/>
      <w:divBdr>
        <w:top w:val="none" w:sz="0" w:space="0" w:color="auto"/>
        <w:left w:val="none" w:sz="0" w:space="0" w:color="auto"/>
        <w:bottom w:val="none" w:sz="0" w:space="0" w:color="auto"/>
        <w:right w:val="none" w:sz="0" w:space="0" w:color="auto"/>
      </w:divBdr>
    </w:div>
    <w:div w:id="1679887707">
      <w:bodyDiv w:val="1"/>
      <w:marLeft w:val="0"/>
      <w:marRight w:val="0"/>
      <w:marTop w:val="0"/>
      <w:marBottom w:val="0"/>
      <w:divBdr>
        <w:top w:val="none" w:sz="0" w:space="0" w:color="auto"/>
        <w:left w:val="none" w:sz="0" w:space="0" w:color="auto"/>
        <w:bottom w:val="none" w:sz="0" w:space="0" w:color="auto"/>
        <w:right w:val="none" w:sz="0" w:space="0" w:color="auto"/>
      </w:divBdr>
    </w:div>
    <w:div w:id="1684164602">
      <w:bodyDiv w:val="1"/>
      <w:marLeft w:val="0"/>
      <w:marRight w:val="0"/>
      <w:marTop w:val="0"/>
      <w:marBottom w:val="0"/>
      <w:divBdr>
        <w:top w:val="none" w:sz="0" w:space="0" w:color="auto"/>
        <w:left w:val="none" w:sz="0" w:space="0" w:color="auto"/>
        <w:bottom w:val="none" w:sz="0" w:space="0" w:color="auto"/>
        <w:right w:val="none" w:sz="0" w:space="0" w:color="auto"/>
      </w:divBdr>
    </w:div>
    <w:div w:id="1685672924">
      <w:bodyDiv w:val="1"/>
      <w:marLeft w:val="0"/>
      <w:marRight w:val="0"/>
      <w:marTop w:val="0"/>
      <w:marBottom w:val="0"/>
      <w:divBdr>
        <w:top w:val="none" w:sz="0" w:space="0" w:color="auto"/>
        <w:left w:val="none" w:sz="0" w:space="0" w:color="auto"/>
        <w:bottom w:val="none" w:sz="0" w:space="0" w:color="auto"/>
        <w:right w:val="none" w:sz="0" w:space="0" w:color="auto"/>
      </w:divBdr>
    </w:div>
    <w:div w:id="1703898684">
      <w:bodyDiv w:val="1"/>
      <w:marLeft w:val="0"/>
      <w:marRight w:val="0"/>
      <w:marTop w:val="0"/>
      <w:marBottom w:val="0"/>
      <w:divBdr>
        <w:top w:val="none" w:sz="0" w:space="0" w:color="auto"/>
        <w:left w:val="none" w:sz="0" w:space="0" w:color="auto"/>
        <w:bottom w:val="none" w:sz="0" w:space="0" w:color="auto"/>
        <w:right w:val="none" w:sz="0" w:space="0" w:color="auto"/>
      </w:divBdr>
    </w:div>
    <w:div w:id="1704405674">
      <w:bodyDiv w:val="1"/>
      <w:marLeft w:val="0"/>
      <w:marRight w:val="0"/>
      <w:marTop w:val="0"/>
      <w:marBottom w:val="0"/>
      <w:divBdr>
        <w:top w:val="none" w:sz="0" w:space="0" w:color="auto"/>
        <w:left w:val="none" w:sz="0" w:space="0" w:color="auto"/>
        <w:bottom w:val="none" w:sz="0" w:space="0" w:color="auto"/>
        <w:right w:val="none" w:sz="0" w:space="0" w:color="auto"/>
      </w:divBdr>
    </w:div>
    <w:div w:id="1725522955">
      <w:bodyDiv w:val="1"/>
      <w:marLeft w:val="0"/>
      <w:marRight w:val="0"/>
      <w:marTop w:val="0"/>
      <w:marBottom w:val="0"/>
      <w:divBdr>
        <w:top w:val="none" w:sz="0" w:space="0" w:color="auto"/>
        <w:left w:val="none" w:sz="0" w:space="0" w:color="auto"/>
        <w:bottom w:val="none" w:sz="0" w:space="0" w:color="auto"/>
        <w:right w:val="none" w:sz="0" w:space="0" w:color="auto"/>
      </w:divBdr>
    </w:div>
    <w:div w:id="1730613798">
      <w:bodyDiv w:val="1"/>
      <w:marLeft w:val="0"/>
      <w:marRight w:val="0"/>
      <w:marTop w:val="0"/>
      <w:marBottom w:val="0"/>
      <w:divBdr>
        <w:top w:val="none" w:sz="0" w:space="0" w:color="auto"/>
        <w:left w:val="none" w:sz="0" w:space="0" w:color="auto"/>
        <w:bottom w:val="none" w:sz="0" w:space="0" w:color="auto"/>
        <w:right w:val="none" w:sz="0" w:space="0" w:color="auto"/>
      </w:divBdr>
    </w:div>
    <w:div w:id="1732536227">
      <w:bodyDiv w:val="1"/>
      <w:marLeft w:val="0"/>
      <w:marRight w:val="0"/>
      <w:marTop w:val="0"/>
      <w:marBottom w:val="0"/>
      <w:divBdr>
        <w:top w:val="none" w:sz="0" w:space="0" w:color="auto"/>
        <w:left w:val="none" w:sz="0" w:space="0" w:color="auto"/>
        <w:bottom w:val="none" w:sz="0" w:space="0" w:color="auto"/>
        <w:right w:val="none" w:sz="0" w:space="0" w:color="auto"/>
      </w:divBdr>
    </w:div>
    <w:div w:id="1737437126">
      <w:bodyDiv w:val="1"/>
      <w:marLeft w:val="0"/>
      <w:marRight w:val="0"/>
      <w:marTop w:val="0"/>
      <w:marBottom w:val="0"/>
      <w:divBdr>
        <w:top w:val="none" w:sz="0" w:space="0" w:color="auto"/>
        <w:left w:val="none" w:sz="0" w:space="0" w:color="auto"/>
        <w:bottom w:val="none" w:sz="0" w:space="0" w:color="auto"/>
        <w:right w:val="none" w:sz="0" w:space="0" w:color="auto"/>
      </w:divBdr>
    </w:div>
    <w:div w:id="1746799677">
      <w:bodyDiv w:val="1"/>
      <w:marLeft w:val="0"/>
      <w:marRight w:val="0"/>
      <w:marTop w:val="0"/>
      <w:marBottom w:val="0"/>
      <w:divBdr>
        <w:top w:val="none" w:sz="0" w:space="0" w:color="auto"/>
        <w:left w:val="none" w:sz="0" w:space="0" w:color="auto"/>
        <w:bottom w:val="none" w:sz="0" w:space="0" w:color="auto"/>
        <w:right w:val="none" w:sz="0" w:space="0" w:color="auto"/>
      </w:divBdr>
    </w:div>
    <w:div w:id="1755282246">
      <w:bodyDiv w:val="1"/>
      <w:marLeft w:val="0"/>
      <w:marRight w:val="0"/>
      <w:marTop w:val="0"/>
      <w:marBottom w:val="0"/>
      <w:divBdr>
        <w:top w:val="none" w:sz="0" w:space="0" w:color="auto"/>
        <w:left w:val="none" w:sz="0" w:space="0" w:color="auto"/>
        <w:bottom w:val="none" w:sz="0" w:space="0" w:color="auto"/>
        <w:right w:val="none" w:sz="0" w:space="0" w:color="auto"/>
      </w:divBdr>
    </w:div>
    <w:div w:id="1761634913">
      <w:bodyDiv w:val="1"/>
      <w:marLeft w:val="0"/>
      <w:marRight w:val="0"/>
      <w:marTop w:val="0"/>
      <w:marBottom w:val="0"/>
      <w:divBdr>
        <w:top w:val="none" w:sz="0" w:space="0" w:color="auto"/>
        <w:left w:val="none" w:sz="0" w:space="0" w:color="auto"/>
        <w:bottom w:val="none" w:sz="0" w:space="0" w:color="auto"/>
        <w:right w:val="none" w:sz="0" w:space="0" w:color="auto"/>
      </w:divBdr>
    </w:div>
    <w:div w:id="1768886726">
      <w:bodyDiv w:val="1"/>
      <w:marLeft w:val="0"/>
      <w:marRight w:val="0"/>
      <w:marTop w:val="0"/>
      <w:marBottom w:val="0"/>
      <w:divBdr>
        <w:top w:val="none" w:sz="0" w:space="0" w:color="auto"/>
        <w:left w:val="none" w:sz="0" w:space="0" w:color="auto"/>
        <w:bottom w:val="none" w:sz="0" w:space="0" w:color="auto"/>
        <w:right w:val="none" w:sz="0" w:space="0" w:color="auto"/>
      </w:divBdr>
    </w:div>
    <w:div w:id="1812745038">
      <w:bodyDiv w:val="1"/>
      <w:marLeft w:val="0"/>
      <w:marRight w:val="0"/>
      <w:marTop w:val="0"/>
      <w:marBottom w:val="0"/>
      <w:divBdr>
        <w:top w:val="none" w:sz="0" w:space="0" w:color="auto"/>
        <w:left w:val="none" w:sz="0" w:space="0" w:color="auto"/>
        <w:bottom w:val="none" w:sz="0" w:space="0" w:color="auto"/>
        <w:right w:val="none" w:sz="0" w:space="0" w:color="auto"/>
      </w:divBdr>
    </w:div>
    <w:div w:id="1828278720">
      <w:bodyDiv w:val="1"/>
      <w:marLeft w:val="0"/>
      <w:marRight w:val="0"/>
      <w:marTop w:val="0"/>
      <w:marBottom w:val="0"/>
      <w:divBdr>
        <w:top w:val="none" w:sz="0" w:space="0" w:color="auto"/>
        <w:left w:val="none" w:sz="0" w:space="0" w:color="auto"/>
        <w:bottom w:val="none" w:sz="0" w:space="0" w:color="auto"/>
        <w:right w:val="none" w:sz="0" w:space="0" w:color="auto"/>
      </w:divBdr>
    </w:div>
    <w:div w:id="1829595807">
      <w:bodyDiv w:val="1"/>
      <w:marLeft w:val="0"/>
      <w:marRight w:val="0"/>
      <w:marTop w:val="0"/>
      <w:marBottom w:val="0"/>
      <w:divBdr>
        <w:top w:val="none" w:sz="0" w:space="0" w:color="auto"/>
        <w:left w:val="none" w:sz="0" w:space="0" w:color="auto"/>
        <w:bottom w:val="none" w:sz="0" w:space="0" w:color="auto"/>
        <w:right w:val="none" w:sz="0" w:space="0" w:color="auto"/>
      </w:divBdr>
    </w:div>
    <w:div w:id="1829785837">
      <w:bodyDiv w:val="1"/>
      <w:marLeft w:val="0"/>
      <w:marRight w:val="0"/>
      <w:marTop w:val="0"/>
      <w:marBottom w:val="0"/>
      <w:divBdr>
        <w:top w:val="none" w:sz="0" w:space="0" w:color="auto"/>
        <w:left w:val="none" w:sz="0" w:space="0" w:color="auto"/>
        <w:bottom w:val="none" w:sz="0" w:space="0" w:color="auto"/>
        <w:right w:val="none" w:sz="0" w:space="0" w:color="auto"/>
      </w:divBdr>
    </w:div>
    <w:div w:id="1833836076">
      <w:bodyDiv w:val="1"/>
      <w:marLeft w:val="0"/>
      <w:marRight w:val="0"/>
      <w:marTop w:val="0"/>
      <w:marBottom w:val="0"/>
      <w:divBdr>
        <w:top w:val="none" w:sz="0" w:space="0" w:color="auto"/>
        <w:left w:val="none" w:sz="0" w:space="0" w:color="auto"/>
        <w:bottom w:val="none" w:sz="0" w:space="0" w:color="auto"/>
        <w:right w:val="none" w:sz="0" w:space="0" w:color="auto"/>
      </w:divBdr>
    </w:div>
    <w:div w:id="1835146762">
      <w:bodyDiv w:val="1"/>
      <w:marLeft w:val="0"/>
      <w:marRight w:val="0"/>
      <w:marTop w:val="0"/>
      <w:marBottom w:val="0"/>
      <w:divBdr>
        <w:top w:val="none" w:sz="0" w:space="0" w:color="auto"/>
        <w:left w:val="none" w:sz="0" w:space="0" w:color="auto"/>
        <w:bottom w:val="none" w:sz="0" w:space="0" w:color="auto"/>
        <w:right w:val="none" w:sz="0" w:space="0" w:color="auto"/>
      </w:divBdr>
    </w:div>
    <w:div w:id="1839733599">
      <w:bodyDiv w:val="1"/>
      <w:marLeft w:val="0"/>
      <w:marRight w:val="0"/>
      <w:marTop w:val="0"/>
      <w:marBottom w:val="0"/>
      <w:divBdr>
        <w:top w:val="none" w:sz="0" w:space="0" w:color="auto"/>
        <w:left w:val="none" w:sz="0" w:space="0" w:color="auto"/>
        <w:bottom w:val="none" w:sz="0" w:space="0" w:color="auto"/>
        <w:right w:val="none" w:sz="0" w:space="0" w:color="auto"/>
      </w:divBdr>
    </w:div>
    <w:div w:id="1842692581">
      <w:bodyDiv w:val="1"/>
      <w:marLeft w:val="0"/>
      <w:marRight w:val="0"/>
      <w:marTop w:val="0"/>
      <w:marBottom w:val="0"/>
      <w:divBdr>
        <w:top w:val="none" w:sz="0" w:space="0" w:color="auto"/>
        <w:left w:val="none" w:sz="0" w:space="0" w:color="auto"/>
        <w:bottom w:val="none" w:sz="0" w:space="0" w:color="auto"/>
        <w:right w:val="none" w:sz="0" w:space="0" w:color="auto"/>
      </w:divBdr>
    </w:div>
    <w:div w:id="1850095626">
      <w:bodyDiv w:val="1"/>
      <w:marLeft w:val="0"/>
      <w:marRight w:val="0"/>
      <w:marTop w:val="0"/>
      <w:marBottom w:val="0"/>
      <w:divBdr>
        <w:top w:val="none" w:sz="0" w:space="0" w:color="auto"/>
        <w:left w:val="none" w:sz="0" w:space="0" w:color="auto"/>
        <w:bottom w:val="none" w:sz="0" w:space="0" w:color="auto"/>
        <w:right w:val="none" w:sz="0" w:space="0" w:color="auto"/>
      </w:divBdr>
    </w:div>
    <w:div w:id="1860972795">
      <w:bodyDiv w:val="1"/>
      <w:marLeft w:val="0"/>
      <w:marRight w:val="0"/>
      <w:marTop w:val="0"/>
      <w:marBottom w:val="0"/>
      <w:divBdr>
        <w:top w:val="none" w:sz="0" w:space="0" w:color="auto"/>
        <w:left w:val="none" w:sz="0" w:space="0" w:color="auto"/>
        <w:bottom w:val="none" w:sz="0" w:space="0" w:color="auto"/>
        <w:right w:val="none" w:sz="0" w:space="0" w:color="auto"/>
      </w:divBdr>
    </w:div>
    <w:div w:id="1863392547">
      <w:bodyDiv w:val="1"/>
      <w:marLeft w:val="0"/>
      <w:marRight w:val="0"/>
      <w:marTop w:val="0"/>
      <w:marBottom w:val="0"/>
      <w:divBdr>
        <w:top w:val="none" w:sz="0" w:space="0" w:color="auto"/>
        <w:left w:val="none" w:sz="0" w:space="0" w:color="auto"/>
        <w:bottom w:val="none" w:sz="0" w:space="0" w:color="auto"/>
        <w:right w:val="none" w:sz="0" w:space="0" w:color="auto"/>
      </w:divBdr>
    </w:div>
    <w:div w:id="1873378342">
      <w:bodyDiv w:val="1"/>
      <w:marLeft w:val="0"/>
      <w:marRight w:val="0"/>
      <w:marTop w:val="0"/>
      <w:marBottom w:val="0"/>
      <w:divBdr>
        <w:top w:val="none" w:sz="0" w:space="0" w:color="auto"/>
        <w:left w:val="none" w:sz="0" w:space="0" w:color="auto"/>
        <w:bottom w:val="none" w:sz="0" w:space="0" w:color="auto"/>
        <w:right w:val="none" w:sz="0" w:space="0" w:color="auto"/>
      </w:divBdr>
    </w:div>
    <w:div w:id="1887645704">
      <w:bodyDiv w:val="1"/>
      <w:marLeft w:val="0"/>
      <w:marRight w:val="0"/>
      <w:marTop w:val="0"/>
      <w:marBottom w:val="0"/>
      <w:divBdr>
        <w:top w:val="none" w:sz="0" w:space="0" w:color="auto"/>
        <w:left w:val="none" w:sz="0" w:space="0" w:color="auto"/>
        <w:bottom w:val="none" w:sz="0" w:space="0" w:color="auto"/>
        <w:right w:val="none" w:sz="0" w:space="0" w:color="auto"/>
      </w:divBdr>
    </w:div>
    <w:div w:id="1900314467">
      <w:bodyDiv w:val="1"/>
      <w:marLeft w:val="0"/>
      <w:marRight w:val="0"/>
      <w:marTop w:val="0"/>
      <w:marBottom w:val="0"/>
      <w:divBdr>
        <w:top w:val="none" w:sz="0" w:space="0" w:color="auto"/>
        <w:left w:val="none" w:sz="0" w:space="0" w:color="auto"/>
        <w:bottom w:val="none" w:sz="0" w:space="0" w:color="auto"/>
        <w:right w:val="none" w:sz="0" w:space="0" w:color="auto"/>
      </w:divBdr>
    </w:div>
    <w:div w:id="1900556765">
      <w:bodyDiv w:val="1"/>
      <w:marLeft w:val="0"/>
      <w:marRight w:val="0"/>
      <w:marTop w:val="0"/>
      <w:marBottom w:val="0"/>
      <w:divBdr>
        <w:top w:val="none" w:sz="0" w:space="0" w:color="auto"/>
        <w:left w:val="none" w:sz="0" w:space="0" w:color="auto"/>
        <w:bottom w:val="none" w:sz="0" w:space="0" w:color="auto"/>
        <w:right w:val="none" w:sz="0" w:space="0" w:color="auto"/>
      </w:divBdr>
    </w:div>
    <w:div w:id="1910993549">
      <w:bodyDiv w:val="1"/>
      <w:marLeft w:val="0"/>
      <w:marRight w:val="0"/>
      <w:marTop w:val="0"/>
      <w:marBottom w:val="0"/>
      <w:divBdr>
        <w:top w:val="none" w:sz="0" w:space="0" w:color="auto"/>
        <w:left w:val="none" w:sz="0" w:space="0" w:color="auto"/>
        <w:bottom w:val="none" w:sz="0" w:space="0" w:color="auto"/>
        <w:right w:val="none" w:sz="0" w:space="0" w:color="auto"/>
      </w:divBdr>
    </w:div>
    <w:div w:id="1917326490">
      <w:bodyDiv w:val="1"/>
      <w:marLeft w:val="0"/>
      <w:marRight w:val="0"/>
      <w:marTop w:val="0"/>
      <w:marBottom w:val="0"/>
      <w:divBdr>
        <w:top w:val="none" w:sz="0" w:space="0" w:color="auto"/>
        <w:left w:val="none" w:sz="0" w:space="0" w:color="auto"/>
        <w:bottom w:val="none" w:sz="0" w:space="0" w:color="auto"/>
        <w:right w:val="none" w:sz="0" w:space="0" w:color="auto"/>
      </w:divBdr>
    </w:div>
    <w:div w:id="1921061795">
      <w:bodyDiv w:val="1"/>
      <w:marLeft w:val="0"/>
      <w:marRight w:val="0"/>
      <w:marTop w:val="0"/>
      <w:marBottom w:val="0"/>
      <w:divBdr>
        <w:top w:val="none" w:sz="0" w:space="0" w:color="auto"/>
        <w:left w:val="none" w:sz="0" w:space="0" w:color="auto"/>
        <w:bottom w:val="none" w:sz="0" w:space="0" w:color="auto"/>
        <w:right w:val="none" w:sz="0" w:space="0" w:color="auto"/>
      </w:divBdr>
    </w:div>
    <w:div w:id="1940134039">
      <w:bodyDiv w:val="1"/>
      <w:marLeft w:val="0"/>
      <w:marRight w:val="0"/>
      <w:marTop w:val="0"/>
      <w:marBottom w:val="0"/>
      <w:divBdr>
        <w:top w:val="none" w:sz="0" w:space="0" w:color="auto"/>
        <w:left w:val="none" w:sz="0" w:space="0" w:color="auto"/>
        <w:bottom w:val="none" w:sz="0" w:space="0" w:color="auto"/>
        <w:right w:val="none" w:sz="0" w:space="0" w:color="auto"/>
      </w:divBdr>
    </w:div>
    <w:div w:id="1977685555">
      <w:bodyDiv w:val="1"/>
      <w:marLeft w:val="0"/>
      <w:marRight w:val="0"/>
      <w:marTop w:val="0"/>
      <w:marBottom w:val="0"/>
      <w:divBdr>
        <w:top w:val="none" w:sz="0" w:space="0" w:color="auto"/>
        <w:left w:val="none" w:sz="0" w:space="0" w:color="auto"/>
        <w:bottom w:val="none" w:sz="0" w:space="0" w:color="auto"/>
        <w:right w:val="none" w:sz="0" w:space="0" w:color="auto"/>
      </w:divBdr>
    </w:div>
    <w:div w:id="1991401921">
      <w:bodyDiv w:val="1"/>
      <w:marLeft w:val="0"/>
      <w:marRight w:val="0"/>
      <w:marTop w:val="0"/>
      <w:marBottom w:val="0"/>
      <w:divBdr>
        <w:top w:val="none" w:sz="0" w:space="0" w:color="auto"/>
        <w:left w:val="none" w:sz="0" w:space="0" w:color="auto"/>
        <w:bottom w:val="none" w:sz="0" w:space="0" w:color="auto"/>
        <w:right w:val="none" w:sz="0" w:space="0" w:color="auto"/>
      </w:divBdr>
      <w:divsChild>
        <w:div w:id="1885631205">
          <w:marLeft w:val="0"/>
          <w:marRight w:val="0"/>
          <w:marTop w:val="0"/>
          <w:marBottom w:val="0"/>
          <w:divBdr>
            <w:top w:val="none" w:sz="0" w:space="0" w:color="auto"/>
            <w:left w:val="none" w:sz="0" w:space="0" w:color="auto"/>
            <w:bottom w:val="none" w:sz="0" w:space="0" w:color="auto"/>
            <w:right w:val="none" w:sz="0" w:space="0" w:color="auto"/>
          </w:divBdr>
        </w:div>
      </w:divsChild>
    </w:div>
    <w:div w:id="1994792780">
      <w:bodyDiv w:val="1"/>
      <w:marLeft w:val="0"/>
      <w:marRight w:val="0"/>
      <w:marTop w:val="0"/>
      <w:marBottom w:val="0"/>
      <w:divBdr>
        <w:top w:val="none" w:sz="0" w:space="0" w:color="auto"/>
        <w:left w:val="none" w:sz="0" w:space="0" w:color="auto"/>
        <w:bottom w:val="none" w:sz="0" w:space="0" w:color="auto"/>
        <w:right w:val="none" w:sz="0" w:space="0" w:color="auto"/>
      </w:divBdr>
    </w:div>
    <w:div w:id="2004166369">
      <w:bodyDiv w:val="1"/>
      <w:marLeft w:val="0"/>
      <w:marRight w:val="0"/>
      <w:marTop w:val="0"/>
      <w:marBottom w:val="0"/>
      <w:divBdr>
        <w:top w:val="none" w:sz="0" w:space="0" w:color="auto"/>
        <w:left w:val="none" w:sz="0" w:space="0" w:color="auto"/>
        <w:bottom w:val="none" w:sz="0" w:space="0" w:color="auto"/>
        <w:right w:val="none" w:sz="0" w:space="0" w:color="auto"/>
      </w:divBdr>
    </w:div>
    <w:div w:id="2010449499">
      <w:bodyDiv w:val="1"/>
      <w:marLeft w:val="0"/>
      <w:marRight w:val="0"/>
      <w:marTop w:val="0"/>
      <w:marBottom w:val="0"/>
      <w:divBdr>
        <w:top w:val="none" w:sz="0" w:space="0" w:color="auto"/>
        <w:left w:val="none" w:sz="0" w:space="0" w:color="auto"/>
        <w:bottom w:val="none" w:sz="0" w:space="0" w:color="auto"/>
        <w:right w:val="none" w:sz="0" w:space="0" w:color="auto"/>
      </w:divBdr>
    </w:div>
    <w:div w:id="2017227022">
      <w:bodyDiv w:val="1"/>
      <w:marLeft w:val="0"/>
      <w:marRight w:val="0"/>
      <w:marTop w:val="0"/>
      <w:marBottom w:val="0"/>
      <w:divBdr>
        <w:top w:val="none" w:sz="0" w:space="0" w:color="auto"/>
        <w:left w:val="none" w:sz="0" w:space="0" w:color="auto"/>
        <w:bottom w:val="none" w:sz="0" w:space="0" w:color="auto"/>
        <w:right w:val="none" w:sz="0" w:space="0" w:color="auto"/>
      </w:divBdr>
    </w:div>
    <w:div w:id="2029943199">
      <w:bodyDiv w:val="1"/>
      <w:marLeft w:val="0"/>
      <w:marRight w:val="0"/>
      <w:marTop w:val="0"/>
      <w:marBottom w:val="0"/>
      <w:divBdr>
        <w:top w:val="none" w:sz="0" w:space="0" w:color="auto"/>
        <w:left w:val="none" w:sz="0" w:space="0" w:color="auto"/>
        <w:bottom w:val="none" w:sz="0" w:space="0" w:color="auto"/>
        <w:right w:val="none" w:sz="0" w:space="0" w:color="auto"/>
      </w:divBdr>
    </w:div>
    <w:div w:id="2038847368">
      <w:bodyDiv w:val="1"/>
      <w:marLeft w:val="0"/>
      <w:marRight w:val="0"/>
      <w:marTop w:val="0"/>
      <w:marBottom w:val="0"/>
      <w:divBdr>
        <w:top w:val="none" w:sz="0" w:space="0" w:color="auto"/>
        <w:left w:val="none" w:sz="0" w:space="0" w:color="auto"/>
        <w:bottom w:val="none" w:sz="0" w:space="0" w:color="auto"/>
        <w:right w:val="none" w:sz="0" w:space="0" w:color="auto"/>
      </w:divBdr>
    </w:div>
    <w:div w:id="2048217231">
      <w:bodyDiv w:val="1"/>
      <w:marLeft w:val="0"/>
      <w:marRight w:val="0"/>
      <w:marTop w:val="0"/>
      <w:marBottom w:val="0"/>
      <w:divBdr>
        <w:top w:val="none" w:sz="0" w:space="0" w:color="auto"/>
        <w:left w:val="none" w:sz="0" w:space="0" w:color="auto"/>
        <w:bottom w:val="none" w:sz="0" w:space="0" w:color="auto"/>
        <w:right w:val="none" w:sz="0" w:space="0" w:color="auto"/>
      </w:divBdr>
    </w:div>
    <w:div w:id="2055225903">
      <w:bodyDiv w:val="1"/>
      <w:marLeft w:val="0"/>
      <w:marRight w:val="0"/>
      <w:marTop w:val="0"/>
      <w:marBottom w:val="0"/>
      <w:divBdr>
        <w:top w:val="none" w:sz="0" w:space="0" w:color="auto"/>
        <w:left w:val="none" w:sz="0" w:space="0" w:color="auto"/>
        <w:bottom w:val="none" w:sz="0" w:space="0" w:color="auto"/>
        <w:right w:val="none" w:sz="0" w:space="0" w:color="auto"/>
      </w:divBdr>
    </w:div>
    <w:div w:id="2055690217">
      <w:bodyDiv w:val="1"/>
      <w:marLeft w:val="0"/>
      <w:marRight w:val="0"/>
      <w:marTop w:val="0"/>
      <w:marBottom w:val="0"/>
      <w:divBdr>
        <w:top w:val="none" w:sz="0" w:space="0" w:color="auto"/>
        <w:left w:val="none" w:sz="0" w:space="0" w:color="auto"/>
        <w:bottom w:val="none" w:sz="0" w:space="0" w:color="auto"/>
        <w:right w:val="none" w:sz="0" w:space="0" w:color="auto"/>
      </w:divBdr>
    </w:div>
    <w:div w:id="2077705701">
      <w:bodyDiv w:val="1"/>
      <w:marLeft w:val="0"/>
      <w:marRight w:val="0"/>
      <w:marTop w:val="0"/>
      <w:marBottom w:val="0"/>
      <w:divBdr>
        <w:top w:val="none" w:sz="0" w:space="0" w:color="auto"/>
        <w:left w:val="none" w:sz="0" w:space="0" w:color="auto"/>
        <w:bottom w:val="none" w:sz="0" w:space="0" w:color="auto"/>
        <w:right w:val="none" w:sz="0" w:space="0" w:color="auto"/>
      </w:divBdr>
    </w:div>
    <w:div w:id="2080636999">
      <w:bodyDiv w:val="1"/>
      <w:marLeft w:val="0"/>
      <w:marRight w:val="0"/>
      <w:marTop w:val="0"/>
      <w:marBottom w:val="0"/>
      <w:divBdr>
        <w:top w:val="none" w:sz="0" w:space="0" w:color="auto"/>
        <w:left w:val="none" w:sz="0" w:space="0" w:color="auto"/>
        <w:bottom w:val="none" w:sz="0" w:space="0" w:color="auto"/>
        <w:right w:val="none" w:sz="0" w:space="0" w:color="auto"/>
      </w:divBdr>
    </w:div>
    <w:div w:id="2084911838">
      <w:bodyDiv w:val="1"/>
      <w:marLeft w:val="0"/>
      <w:marRight w:val="0"/>
      <w:marTop w:val="0"/>
      <w:marBottom w:val="0"/>
      <w:divBdr>
        <w:top w:val="none" w:sz="0" w:space="0" w:color="auto"/>
        <w:left w:val="none" w:sz="0" w:space="0" w:color="auto"/>
        <w:bottom w:val="none" w:sz="0" w:space="0" w:color="auto"/>
        <w:right w:val="none" w:sz="0" w:space="0" w:color="auto"/>
      </w:divBdr>
    </w:div>
    <w:div w:id="2089570713">
      <w:bodyDiv w:val="1"/>
      <w:marLeft w:val="0"/>
      <w:marRight w:val="0"/>
      <w:marTop w:val="0"/>
      <w:marBottom w:val="0"/>
      <w:divBdr>
        <w:top w:val="none" w:sz="0" w:space="0" w:color="auto"/>
        <w:left w:val="none" w:sz="0" w:space="0" w:color="auto"/>
        <w:bottom w:val="none" w:sz="0" w:space="0" w:color="auto"/>
        <w:right w:val="none" w:sz="0" w:space="0" w:color="auto"/>
      </w:divBdr>
    </w:div>
    <w:div w:id="2097556808">
      <w:bodyDiv w:val="1"/>
      <w:marLeft w:val="0"/>
      <w:marRight w:val="0"/>
      <w:marTop w:val="0"/>
      <w:marBottom w:val="0"/>
      <w:divBdr>
        <w:top w:val="none" w:sz="0" w:space="0" w:color="auto"/>
        <w:left w:val="none" w:sz="0" w:space="0" w:color="auto"/>
        <w:bottom w:val="none" w:sz="0" w:space="0" w:color="auto"/>
        <w:right w:val="none" w:sz="0" w:space="0" w:color="auto"/>
      </w:divBdr>
    </w:div>
    <w:div w:id="2107455214">
      <w:bodyDiv w:val="1"/>
      <w:marLeft w:val="0"/>
      <w:marRight w:val="0"/>
      <w:marTop w:val="0"/>
      <w:marBottom w:val="0"/>
      <w:divBdr>
        <w:top w:val="none" w:sz="0" w:space="0" w:color="auto"/>
        <w:left w:val="none" w:sz="0" w:space="0" w:color="auto"/>
        <w:bottom w:val="none" w:sz="0" w:space="0" w:color="auto"/>
        <w:right w:val="none" w:sz="0" w:space="0" w:color="auto"/>
      </w:divBdr>
    </w:div>
    <w:div w:id="2115706801">
      <w:bodyDiv w:val="1"/>
      <w:marLeft w:val="0"/>
      <w:marRight w:val="0"/>
      <w:marTop w:val="0"/>
      <w:marBottom w:val="0"/>
      <w:divBdr>
        <w:top w:val="none" w:sz="0" w:space="0" w:color="auto"/>
        <w:left w:val="none" w:sz="0" w:space="0" w:color="auto"/>
        <w:bottom w:val="none" w:sz="0" w:space="0" w:color="auto"/>
        <w:right w:val="none" w:sz="0" w:space="0" w:color="auto"/>
      </w:divBdr>
    </w:div>
    <w:div w:id="2128772251">
      <w:bodyDiv w:val="1"/>
      <w:marLeft w:val="0"/>
      <w:marRight w:val="0"/>
      <w:marTop w:val="0"/>
      <w:marBottom w:val="0"/>
      <w:divBdr>
        <w:top w:val="none" w:sz="0" w:space="0" w:color="auto"/>
        <w:left w:val="none" w:sz="0" w:space="0" w:color="auto"/>
        <w:bottom w:val="none" w:sz="0" w:space="0" w:color="auto"/>
        <w:right w:val="none" w:sz="0" w:space="0" w:color="auto"/>
      </w:divBdr>
    </w:div>
    <w:div w:id="213439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Lloyds Bank digital customers (in millions)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2013</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Total no. of customer</c:v>
                </c:pt>
                <c:pt idx="1">
                  <c:v>Active online users</c:v>
                </c:pt>
                <c:pt idx="2">
                  <c:v>mobile banking users</c:v>
                </c:pt>
              </c:strCache>
            </c:strRef>
          </c:cat>
          <c:val>
            <c:numRef>
              <c:f>Sheet1!$B$2:$B$5</c:f>
              <c:numCache>
                <c:formatCode>General</c:formatCode>
                <c:ptCount val="4"/>
                <c:pt idx="0">
                  <c:v>30</c:v>
                </c:pt>
                <c:pt idx="1">
                  <c:v>10.5</c:v>
                </c:pt>
                <c:pt idx="2">
                  <c:v>4</c:v>
                </c:pt>
              </c:numCache>
            </c:numRef>
          </c:val>
          <c:extLst>
            <c:ext xmlns:c16="http://schemas.microsoft.com/office/drawing/2014/chart" uri="{C3380CC4-5D6E-409C-BE32-E72D297353CC}">
              <c16:uniqueId val="{00000000-7960-4474-8C67-E88E68E4DA5E}"/>
            </c:ext>
          </c:extLst>
        </c:ser>
        <c:ser>
          <c:idx val="1"/>
          <c:order val="1"/>
          <c:tx>
            <c:strRef>
              <c:f>Sheet1!$C$1</c:f>
              <c:strCache>
                <c:ptCount val="1"/>
                <c:pt idx="0">
                  <c:v>2018</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Total no. of customer</c:v>
                </c:pt>
                <c:pt idx="1">
                  <c:v>Active online users</c:v>
                </c:pt>
                <c:pt idx="2">
                  <c:v>mobile banking users</c:v>
                </c:pt>
              </c:strCache>
            </c:strRef>
          </c:cat>
          <c:val>
            <c:numRef>
              <c:f>Sheet1!$C$2:$C$5</c:f>
              <c:numCache>
                <c:formatCode>General</c:formatCode>
                <c:ptCount val="4"/>
                <c:pt idx="0">
                  <c:v>26</c:v>
                </c:pt>
                <c:pt idx="1">
                  <c:v>15.7</c:v>
                </c:pt>
                <c:pt idx="2">
                  <c:v>9.3000000000000007</c:v>
                </c:pt>
              </c:numCache>
            </c:numRef>
          </c:val>
          <c:extLst>
            <c:ext xmlns:c16="http://schemas.microsoft.com/office/drawing/2014/chart" uri="{C3380CC4-5D6E-409C-BE32-E72D297353CC}">
              <c16:uniqueId val="{00000001-7960-4474-8C67-E88E68E4DA5E}"/>
            </c:ext>
          </c:extLst>
        </c:ser>
        <c:ser>
          <c:idx val="3"/>
          <c:order val="2"/>
          <c:tx>
            <c:strRef>
              <c:f>Sheet1!$D$1</c:f>
              <c:strCache>
                <c:ptCount val="1"/>
                <c:pt idx="0">
                  <c:v>2022</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Total no. of customer</c:v>
                </c:pt>
                <c:pt idx="1">
                  <c:v>Active online users</c:v>
                </c:pt>
                <c:pt idx="2">
                  <c:v>mobile banking users</c:v>
                </c:pt>
              </c:strCache>
            </c:strRef>
          </c:cat>
          <c:val>
            <c:numRef>
              <c:f>Sheet1!$D$2:$D$5</c:f>
              <c:numCache>
                <c:formatCode>General</c:formatCode>
                <c:ptCount val="4"/>
                <c:pt idx="0">
                  <c:v>26</c:v>
                </c:pt>
                <c:pt idx="1">
                  <c:v>19.8</c:v>
                </c:pt>
                <c:pt idx="2">
                  <c:v>17</c:v>
                </c:pt>
              </c:numCache>
            </c:numRef>
          </c:val>
          <c:extLst>
            <c:ext xmlns:c16="http://schemas.microsoft.com/office/drawing/2014/chart" uri="{C3380CC4-5D6E-409C-BE32-E72D297353CC}">
              <c16:uniqueId val="{00000003-7960-4474-8C67-E88E68E4DA5E}"/>
            </c:ext>
          </c:extLst>
        </c:ser>
        <c:dLbls>
          <c:dLblPos val="outEnd"/>
          <c:showLegendKey val="0"/>
          <c:showVal val="1"/>
          <c:showCatName val="0"/>
          <c:showSerName val="0"/>
          <c:showPercent val="0"/>
          <c:showBubbleSize val="0"/>
        </c:dLbls>
        <c:gapWidth val="444"/>
        <c:overlap val="-90"/>
        <c:axId val="637731032"/>
        <c:axId val="637732472"/>
      </c:barChart>
      <c:catAx>
        <c:axId val="637731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37732472"/>
        <c:crosses val="autoZero"/>
        <c:auto val="1"/>
        <c:lblAlgn val="ctr"/>
        <c:lblOffset val="100"/>
        <c:noMultiLvlLbl val="0"/>
      </c:catAx>
      <c:valAx>
        <c:axId val="637732472"/>
        <c:scaling>
          <c:orientation val="minMax"/>
        </c:scaling>
        <c:delete val="1"/>
        <c:axPos val="l"/>
        <c:numFmt formatCode="General" sourceLinked="1"/>
        <c:majorTickMark val="none"/>
        <c:minorTickMark val="none"/>
        <c:tickLblPos val="nextTo"/>
        <c:crossAx val="6377310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Don20</b:Tag>
    <b:SourceType>JournalArticle</b:SourceType>
    <b:Guid>{2AFB631E-98A9-4BDF-A123-4DC923D558C5}</b:Guid>
    <b:Title>Evaluation of Service Dimensions of Traditional Banking and Digital Banking: The Case Study of Lloyds Bank, United Kingdom</b:Title>
    <b:Year>2020</b:Year>
    <b:JournalName>The International Journal of Business &amp; Management</b:JournalName>
    <b:Pages>63-69</b:Pages>
    <b:Volume>8</b:Volume>
    <b:Issue>12</b:Issue>
    <b:Author>
      <b:Author>
        <b:NameList>
          <b:Person>
            <b:Last>Dona</b:Last>
            <b:First>Indunil</b:First>
          </b:Person>
          <b:Person>
            <b:Last>Mokashi</b:Last>
            <b:Middle>Mohan </b:Middle>
            <b:First>Uma</b:First>
          </b:Person>
        </b:NameList>
      </b:Author>
    </b:Author>
    <b:RefOrder>51</b:RefOrder>
  </b:Source>
  <b:Source>
    <b:Tag>Pat15</b:Tag>
    <b:SourceType>Book</b:SourceType>
    <b:Guid>{158E826E-CB25-4247-9633-20416779BE8B}</b:Guid>
    <b:Title>Qualitative research and evaluation methods: integrating theory and practice </b:Title>
    <b:Year>2015</b:Year>
    <b:Publisher>Sage Publications</b:Publisher>
    <b:Edition>4th</b:Edition>
    <b:Author>
      <b:Author>
        <b:NameList>
          <b:Person>
            <b:Last>Patton</b:Last>
            <b:First>Michael Quinn</b:First>
          </b:Person>
        </b:NameList>
      </b:Author>
    </b:Author>
    <b:RefOrder>2</b:RefOrder>
  </b:Source>
  <b:Source>
    <b:Tag>OGo15</b:Tag>
    <b:SourceType>Book</b:SourceType>
    <b:Guid>{AAE25280-F171-427B-98C2-CBA9E216CBC7}</b:Guid>
    <b:Title>Research methods for business &amp; management : a guide to writing your dissertation</b:Title>
    <b:Year>2015</b:Year>
    <b:Publisher>Goodfellow Publishers Ltd</b:Publisher>
    <b:Edition>2nd</b:Edition>
    <b:Author>
      <b:Author>
        <b:NameList>
          <b:Person>
            <b:Last>O' Gorman</b:Last>
            <b:First>Kelvin</b:First>
          </b:Person>
        </b:NameList>
      </b:Author>
    </b:Author>
    <b:RefOrder>1</b:RefOrder>
  </b:Source>
  <b:Source>
    <b:Tag>Sau19</b:Tag>
    <b:SourceType>Book</b:SourceType>
    <b:Guid>{60AE0F5F-7C79-45A5-B2D8-D508F58059DC}</b:Guid>
    <b:Title>Research Methods for Business Students</b:Title>
    <b:Year>2019</b:Year>
    <b:Publisher>Pearson Limited</b:Publisher>
    <b:Edition>8th</b:Edition>
    <b:Author>
      <b:Author>
        <b:NameList>
          <b:Person>
            <b:Last>Saunders</b:Last>
            <b:First>Mark</b:First>
          </b:Person>
          <b:Person>
            <b:Last>Lewis</b:Last>
            <b:First>Philip</b:First>
          </b:Person>
          <b:Person>
            <b:Last>Thornhill</b:Last>
            <b:First>Adrian</b:First>
          </b:Person>
        </b:NameList>
      </b:Author>
    </b:Author>
    <b:RefOrder>3</b:RefOrder>
  </b:Source>
  <b:Source>
    <b:Tag>Bar22</b:Tag>
    <b:SourceType>Report</b:SourceType>
    <b:Guid>{7EB14DA7-B382-4672-9A87-1B3D1A93CC20}</b:Guid>
    <b:Title>Annual Report</b:Title>
    <b:Year>2022</b:Year>
    <b:Publisher>Barclays PLC</b:Publisher>
    <b:Author>
      <b:Author>
        <b:Corporate>Barclays PLC</b:Corporate>
      </b:Author>
    </b:Author>
    <b:RefOrder>21</b:RefOrder>
  </b:Source>
  <b:Source>
    <b:Tag>Bar18</b:Tag>
    <b:SourceType>Report</b:SourceType>
    <b:Guid>{C90C1D00-FF88-4B43-B5BD-3A6563B52216}</b:Guid>
    <b:Author>
      <b:Author>
        <b:Corporate>Barclays PLC</b:Corporate>
      </b:Author>
    </b:Author>
    <b:Title>Barclays becomes the first UK high street bank to allow customers to bring their other current accounts into its Mobile Banking app</b:Title>
    <b:Year>2018</b:Year>
    <b:Publisher>Barclays PLC</b:Publisher>
    <b:URL>https://home.barclays/news/press-releases/2018/090/barclays-becomes-the-first-uk-high-street-bank-to-allow-customer/#back=%2Fcontent%2Fhome-barclays%2Fen%2Fhome%2Fresults.html%3Fq%3D90%2525%2Bof%2Ball%2BBarclays%2Btransactions%2Btake%2Bplace%2Bthrough%2Bm</b:URL>
    <b:RefOrder>15</b:RefOrder>
  </b:Source>
  <b:Source>
    <b:Tag>Bar221</b:Tag>
    <b:SourceType>Report</b:SourceType>
    <b:Guid>{D6D65E1B-6102-47F9-B1E8-058EB1A82780}</b:Guid>
    <b:Author>
      <b:Author>
        <b:Corporate>Barclays PLC</b:Corporate>
      </b:Author>
    </b:Author>
    <b:Title>Strategic Report</b:Title>
    <b:Year>2022</b:Year>
    <b:Publisher>Barclays PLC</b:Publisher>
    <b:URL>https://home.barclays/content/dam/home-barclays/documents/investor-relations/reports-and-events/annual-reports/2022/AR/Barclays-PLC-Strategic-Report-2022.pdf</b:URL>
    <b:RefOrder>17</b:RefOrder>
  </b:Source>
  <b:Source>
    <b:Tag>Bar23</b:Tag>
    <b:SourceType>Report</b:SourceType>
    <b:Guid>{05C80B86-0CDB-40AE-98BD-FC8D4B797942}</b:Guid>
    <b:Title>Diversity, Equity and Inclusion Report 2022</b:Title>
    <b:Year>2023</b:Year>
    <b:URL>https://home.barclays/content/dam/home-barclays/documents/who-we-are/our-strategy/DandI/Barclays-DEI-2022-Report.pdf</b:URL>
    <b:Author>
      <b:Author>
        <b:Corporate>Barclays PLC</b:Corporate>
      </b:Author>
    </b:Author>
    <b:Publisher>Barclays PLC</b:Publisher>
    <b:RefOrder>18</b:RefOrder>
  </b:Source>
  <b:Source>
    <b:Tag>Bar242</b:Tag>
    <b:SourceType>InternetSite</b:SourceType>
    <b:Guid>{7061500E-EB38-48E0-A22A-9FB59DA51626}</b:Guid>
    <b:Author>
      <b:Author>
        <b:Corporate>Barclays PLC</b:Corporate>
      </b:Author>
    </b:Author>
    <b:Title>Accessibility at Barclays</b:Title>
    <b:Year>2024</b:Year>
    <b:YearAccessed>2024</b:YearAccessed>
    <b:MonthAccessed>01</b:MonthAccessed>
    <b:DayAccessed>02</b:DayAccessed>
    <b:RefOrder>20</b:RefOrder>
  </b:Source>
  <b:Source>
    <b:Tag>HSB22</b:Tag>
    <b:SourceType>Report</b:SourceType>
    <b:Guid>{FA89E69A-ADC2-4940-BD38-599265CC4655}</b:Guid>
    <b:Title>Strategic Report</b:Title>
    <b:Year>2022</b:Year>
    <b:Author>
      <b:Author>
        <b:Corporate>HSBC Holdings PLC</b:Corporate>
      </b:Author>
    </b:Author>
    <b:Publisher>HSBC Holdings PLC</b:Publisher>
    <b:RefOrder>6</b:RefOrder>
  </b:Source>
  <b:Source>
    <b:Tag>HSB221</b:Tag>
    <b:SourceType>Report</b:SourceType>
    <b:Guid>{975F3B27-275F-48EF-A366-809707C48B98}</b:Guid>
    <b:Author>
      <b:Author>
        <b:Corporate>HSBC Holdings PLC</b:Corporate>
      </b:Author>
    </b:Author>
    <b:Title>Annual results</b:Title>
    <b:Year>2022</b:Year>
    <b:Publisher>HSBC Holdings PLC</b:Publisher>
    <b:RefOrder>7</b:RefOrder>
  </b:Source>
  <b:Source>
    <b:Tag>HSB23</b:Tag>
    <b:SourceType>Report</b:SourceType>
    <b:Guid>{1767B276-7CA9-4AAE-8495-EFE07F0B53E3}</b:Guid>
    <b:Author>
      <b:Author>
        <b:Corporate>HSBC Holdings PLC</b:Corporate>
      </b:Author>
    </b:Author>
    <b:Title>Annual report</b:Title>
    <b:Year>2023</b:Year>
    <b:Publisher>HSBC Holdings PLC</b:Publisher>
    <b:RefOrder>8</b:RefOrder>
  </b:Source>
  <b:Source>
    <b:Tag>HSB00</b:Tag>
    <b:SourceType>InternetSite</b:SourceType>
    <b:Guid>{2ABA7766-6981-48A3-AF13-8E5A70220220}</b:Guid>
    <b:Title>Driving digital progress</b:Title>
    <b:Year>2020</b:Year>
    <b:Author>
      <b:Author>
        <b:Corporate>HSBC Holding PLC</b:Corporate>
      </b:Author>
    </b:Author>
    <b:YearAccessed>2024</b:YearAccessed>
    <b:MonthAccessed>01</b:MonthAccessed>
    <b:DayAccessed>03</b:DayAccessed>
    <b:URL>https://www.hsbc.com/news-and-views/news/hsbc-news-archive/driving-digital-progress</b:URL>
    <b:RefOrder>9</b:RefOrder>
  </b:Source>
  <b:Source>
    <b:Tag>Llo22</b:Tag>
    <b:SourceType>Report</b:SourceType>
    <b:Guid>{9F4FEA8F-89AD-4C4B-83B3-A08FA6E47856}</b:Guid>
    <b:Title>Annual report</b:Title>
    <b:Year>2022</b:Year>
    <b:Author>
      <b:Author>
        <b:Corporate>Lloyds Banking Group</b:Corporate>
      </b:Author>
    </b:Author>
    <b:Publisher>Lloyds Banking Group</b:Publisher>
    <b:RefOrder>12</b:RefOrder>
  </b:Source>
  <b:Source>
    <b:Tag>Llo221</b:Tag>
    <b:SourceType>Report</b:SourceType>
    <b:Guid>{1C78E39E-DAF4-43D3-A561-07C09EC6BFA9}</b:Guid>
    <b:Author>
      <b:Author>
        <b:Corporate>Lloyds Banking Group</b:Corporate>
      </b:Author>
    </b:Author>
    <b:Title>Environmental Sustainability Report</b:Title>
    <b:Year>2022</b:Year>
    <b:Publisher>Lloyds Banking Group</b:Publisher>
    <b:RefOrder>13</b:RefOrder>
  </b:Source>
  <b:Source>
    <b:Tag>Llo222</b:Tag>
    <b:SourceType>Report</b:SourceType>
    <b:Guid>{6D68CDB7-DEAD-4172-AF6E-7C14E052C8F5}</b:Guid>
    <b:Author>
      <b:Author>
        <b:Corporate>Lloyds Banking Group</b:Corporate>
      </b:Author>
    </b:Author>
    <b:Title>Annual Review</b:Title>
    <b:Year>2022</b:Year>
    <b:Publisher>Lloyds Banking Group</b:Publisher>
    <b:RefOrder>14</b:RefOrder>
  </b:Source>
  <b:Source>
    <b:Tag>San22</b:Tag>
    <b:SourceType>Report</b:SourceType>
    <b:Guid>{B9D5C5AB-998C-4D84-B621-F417D28510D7}</b:Guid>
    <b:Title>Annual Report</b:Title>
    <b:Year>2022</b:Year>
    <b:Author>
      <b:Author>
        <b:Corporate>Santander UK plc</b:Corporate>
      </b:Author>
    </b:Author>
    <b:Publisher>Santander UK plc</b:Publisher>
    <b:RefOrder>24</b:RefOrder>
  </b:Source>
  <b:Source>
    <b:Tag>San221</b:Tag>
    <b:SourceType>Report</b:SourceType>
    <b:Guid>{D76ED951-4867-4F89-A630-2471B4BF1117}</b:Guid>
    <b:Author>
      <b:Author>
        <b:Corporate>Santander</b:Corporate>
      </b:Author>
    </b:Author>
    <b:Title>Sustainability Report</b:Title>
    <b:Year>2022</b:Year>
    <b:Publisher>Santander</b:Publisher>
    <b:RefOrder>52</b:RefOrder>
  </b:Source>
  <b:Source>
    <b:Tag>Nat22</b:Tag>
    <b:SourceType>Report</b:SourceType>
    <b:Guid>{967B8A32-9904-4705-82D8-4F36A973B83F}</b:Guid>
    <b:Title>Annual report and Accounts</b:Title>
    <b:Year>2022</b:Year>
    <b:Author>
      <b:Author>
        <b:Corporate>Natwest Group plc</b:Corporate>
      </b:Author>
    </b:Author>
    <b:Publisher>Natwest Group plc</b:Publisher>
    <b:RefOrder>27</b:RefOrder>
  </b:Source>
  <b:Source>
    <b:Tag>HSB18</b:Tag>
    <b:SourceType>Report</b:SourceType>
    <b:Guid>{79ADAD4B-F45D-4BD6-B8CA-1CF0A86D4BA0}</b:Guid>
    <b:Title>Annual Report</b:Title>
    <b:Year>2018</b:Year>
    <b:Author>
      <b:Author>
        <b:Corporate>HSBC Holding PLC</b:Corporate>
      </b:Author>
    </b:Author>
    <b:Publisher>HSBC Holding PLC</b:Publisher>
    <b:RefOrder>53</b:RefOrder>
  </b:Source>
  <b:Source>
    <b:Tag>The18</b:Tag>
    <b:SourceType>InternetSite</b:SourceType>
    <b:Guid>{76D67A9F-3DE9-42A1-9B74-151FED3DD28E}</b:Guid>
    <b:Title>HSBC joins $36 million funding round in blockchain specialist Axoni</b:Title>
    <b:Year>2018</b:Year>
    <b:Author>
      <b:Author>
        <b:Corporate>The trade news</b:Corporate>
      </b:Author>
    </b:Author>
    <b:URL>https://www.thetradenews.com/hsbc-joins-36-million-funding-round-blockchain-specialist-axoni/</b:URL>
    <b:RefOrder>31</b:RefOrder>
  </b:Source>
  <b:Source>
    <b:Tag>Fin19</b:Tag>
    <b:SourceType>InternetSite</b:SourceType>
    <b:Guid>{487EBA1B-700D-4CD1-8F11-0FD3D872BA24}</b:Guid>
    <b:Author>
      <b:Author>
        <b:Corporate>Fintech futures</b:Corporate>
      </b:Author>
    </b:Author>
    <b:Title>HSBC seeks AI prowess with Element AI partnership</b:Title>
    <b:Year>2019</b:Year>
    <b:URL>https://www.fintechfutures.com/2019/06/hsbc-seeks-ai-prowess-with-element-ai-partnership/</b:URL>
    <b:RefOrder>32</b:RefOrder>
  </b:Source>
  <b:Source>
    <b:Tag>cor23</b:Tag>
    <b:SourceType>InternetSite</b:SourceType>
    <b:Guid>{084F0749-A8FD-4CE4-A417-25E1AD185787}</b:Guid>
    <b:Author>
      <b:Author>
        <b:Corporate>corporate blog</b:Corporate>
      </b:Author>
    </b:Author>
    <b:Title>HSBC UK partners with Nova Credit to become first UK bank to offer newcomers option to include international credit history when applying for a credit card</b:Title>
    <b:Year>2023</b:Year>
    <b:URL>https://www.novacredit.com/corporate-blog/hsbc-uk-partners-with-nova-credit-to-become-first-uk-bank-to-offer-newcomers</b:URL>
    <b:RefOrder>33</b:RefOrder>
  </b:Source>
  <b:Source>
    <b:Tag>HSB231</b:Tag>
    <b:SourceType>InternetSite</b:SourceType>
    <b:Guid>{521062EF-84D6-4F33-9A76-A7A83C77EEDB}</b:Guid>
    <b:Author>
      <b:Author>
        <b:Corporate>HSBC</b:Corporate>
      </b:Author>
    </b:Author>
    <b:Title>HSBC launches AI-Powered Equity Index using AWS</b:Title>
    <b:Year>2023</b:Year>
    <b:URL>https://www.about.us.hsbc.com/newsroom/press-releases/hsbc-launches-ai-powered-equity-index-using-aws</b:URL>
    <b:RefOrder>34</b:RefOrder>
  </b:Source>
  <b:Source>
    <b:Tag>Yot23</b:Tag>
    <b:SourceType>InternetSite</b:SourceType>
    <b:Guid>{E4ED53AA-A699-474E-B90D-5D32329377D6}</b:Guid>
    <b:Author>
      <b:Author>
        <b:Corporate>Yoti</b:Corporate>
      </b:Author>
    </b:Author>
    <b:Title>Yoti releases a new Digital ID app with Lloyds Bank</b:Title>
    <b:Year>2023</b:Year>
    <b:URL>https://www.yoti.com/blog/yoti-releases-a-new-digital-id-app-with-lloyds-bank/</b:URL>
    <b:RefOrder>39</b:RefOrder>
  </b:Source>
  <b:Source>
    <b:Tag>Llo232</b:Tag>
    <b:SourceType>InternetSite</b:SourceType>
    <b:Guid>{CEECE35A-55DF-4381-A463-864D52CAE752}</b:Guid>
    <b:Author>
      <b:Author>
        <b:Corporate>Lloyds Banking Group</b:Corporate>
      </b:Author>
    </b:Author>
    <b:Title>Lloyds Banking Group invests €3 million in Enigio to accelerate use of digital documentation in trade</b:Title>
    <b:Year>2023</b:Year>
    <b:URL>https://www.lloydsbankinggroup.com/media/press-releases/2023/lloyds-banking-group-2023/lloyds-banking-group-invests-three-million-euros-in-enigio-to-accelerate-use-of-digital-documentation-in-trade.html</b:URL>
    <b:RefOrder>38</b:RefOrder>
  </b:Source>
  <b:Source>
    <b:Tag>Fin22</b:Tag>
    <b:SourceType>InternetSite</b:SourceType>
    <b:Guid>{EC8D604B-3C9E-428A-9460-5BFB6BB6A805}</b:Guid>
    <b:Author>
      <b:Author>
        <b:Corporate>Fintech Futures</b:Corporate>
      </b:Author>
    </b:Author>
    <b:Title>Lloyds partners fintech Bink to create unified customer loyalty programme solution</b:Title>
    <b:Year>2022</b:Year>
    <b:URL>https://www.fintechfutures.com/2022/03/lloyds-partners-fintech-bink-to-create-unified-customer-loyalty-programme-solution/</b:URL>
    <b:RefOrder>37</b:RefOrder>
  </b:Source>
  <b:Source>
    <b:Tag>Pla18</b:Tag>
    <b:SourceType>InternetSite</b:SourceType>
    <b:Guid>{2668CFCF-6E5C-486D-80B1-CECE92853B96}</b:Guid>
    <b:Author>
      <b:Author>
        <b:Corporate>Planixs</b:Corporate>
      </b:Author>
    </b:Author>
    <b:Title>Planixs and Lloyds Banking Group Form a Strategic Partnership to Deliver Real-Time Intraday Cash and Liquidity Management Capabilities, Ensure BCBS248 Regulatory Compliance and to Build Out New Data Science Capabilities</b:Title>
    <b:Year>2018</b:Year>
    <b:URL>https://www.planixs.com/news/planixs-and-lloyds-banking-group-form-a-strategic-partnership-to-deliver-real-time-intraday-cash-and-liquidity-management-capabilities-ensure-bcbs248-regulatory-compliance-and-to-build-out-new-data-s/#:~:text=us%20on%20LinkedI</b:URL>
    <b:RefOrder>35</b:RefOrder>
  </b:Source>
  <b:Source>
    <b:Tag>Ins18</b:Tag>
    <b:SourceType>InternetSite</b:SourceType>
    <b:Guid>{76E28C9A-0C72-4688-BC9D-AC9EA34F593D}</b:Guid>
    <b:Author>
      <b:Author>
        <b:Corporate>Insurance age</b:Corporate>
      </b:Author>
    </b:Author>
    <b:Title>https://www.insuranceage.co.uk/broker/3449366/private-equity-injects-ps28m-into-right-choice</b:Title>
    <b:Year>2018</b:Year>
    <b:URL>https://www.insuranceage.co.uk/broker/3449366/private-equity-injects-ps28m-into-right-choice</b:URL>
    <b:RefOrder>36</b:RefOrder>
  </b:Source>
  <b:Source>
    <b:Tag>Rad23</b:Tag>
    <b:SourceType>InternetSite</b:SourceType>
    <b:Guid>{C01487C8-0A50-453D-A45B-D4021FCF8C1D}</b:Guid>
    <b:Author>
      <b:Author>
        <b:Corporate>Radical company</b:Corporate>
      </b:Author>
    </b:Author>
    <b:Title>Barclays You-Shaped Banking</b:Title>
    <b:Year>2023</b:Year>
    <b:URL>https://www.radicalcompany.com/case-studies/study/barclays</b:URL>
    <b:RefOrder>40</b:RefOrder>
  </b:Source>
  <b:Source>
    <b:Tag>Fin191</b:Tag>
    <b:SourceType>InternetSite</b:SourceType>
    <b:Guid>{D402E682-5E25-4E35-90BA-ACE8A9ADD726}</b:Guid>
    <b:Author>
      <b:Author>
        <b:Corporate>Finextra</b:Corporate>
      </b:Author>
    </b:Author>
    <b:Title>Barclays invests in simulation tech outfit Simudyne</b:Title>
    <b:Year>2019</b:Year>
    <b:URL>https://www.finextra.com/newsarticle/33651/barclays-invests-in-simulation-tech-outfit-simudyne</b:URL>
    <b:RefOrder>42</b:RefOrder>
  </b:Source>
  <b:Source>
    <b:Tag>Zdn13</b:Tag>
    <b:SourceType>InternetSite</b:SourceType>
    <b:Guid>{F70AB24A-0D2D-44D0-B2F8-117FF18F93E0}</b:Guid>
    <b:Author>
      <b:Author>
        <b:Corporate>Zdnet</b:Corporate>
      </b:Author>
    </b:Author>
    <b:Title>Barclays puts Nuance voice recognition tech to work at identifying customers</b:Title>
    <b:Year>2013</b:Year>
    <b:URL>https://www.zdnet.com/finance/barclays-puts-nuance-voice-recognition-tech-to-work-at-identifying-customers/</b:URL>
    <b:RefOrder>41</b:RefOrder>
  </b:Source>
  <b:Source>
    <b:Tag>San222</b:Tag>
    <b:SourceType>InternetSite</b:SourceType>
    <b:Guid>{B363F439-7807-4C39-BCCB-95FA819A14B5}</b:Guid>
    <b:Author>
      <b:Author>
        <b:Corporate>Santander</b:Corporate>
      </b:Author>
    </b:Author>
    <b:Title>Santander launches Zinia, its new buy now, pay later service</b:Title>
    <b:Year>2022</b:Year>
    <b:URL>https://www.santander.com/en/press-room/press-releases/2022/01/santander-launches-zinia-its-new-buy-now-pay-later-service</b:URL>
    <b:RefOrder>43</b:RefOrder>
  </b:Source>
  <b:Source>
    <b:Tag>Per20</b:Tag>
    <b:SourceType>InternetSite</b:SourceType>
    <b:Guid>{DD6A9A62-53D5-4672-85BC-BA60D59C6FB0}</b:Guid>
    <b:Author>
      <b:Author>
        <b:Corporate>Personetics</b:Corporate>
      </b:Author>
    </b:Author>
    <b:Title>Santander UK partners with Personetics to improve customer digital experience and engagement through AI-driven personalised insights</b:Title>
    <b:Year>2020</b:Year>
    <b:URL>https://personetics.com/santander-uk-partners-with-personetics-to-improve-customer-digital-experience-and-engagement-through-ai-driven-personalised-insights/</b:URL>
    <b:RefOrder>46</b:RefOrder>
  </b:Source>
  <b:Source>
    <b:Tag>Fin17</b:Tag>
    <b:SourceType>InternetSite</b:SourceType>
    <b:Guid>{CBD23217-7954-437B-B19B-7ACAD5820566}</b:Guid>
    <b:Title>Santander InnoVentures steps up fintech spending</b:Title>
    <b:Year>2017</b:Year>
    <b:URL>https://www.finextra.com/newsarticle/30826/santander-innoventures-steps-up-fintech-spending</b:URL>
    <b:Author>
      <b:Author>
        <b:Corporate>Finextra</b:Corporate>
      </b:Author>
    </b:Author>
    <b:RefOrder>47</b:RefOrder>
  </b:Source>
  <b:Source>
    <b:Tag>Fin18</b:Tag>
    <b:SourceType>InternetSite</b:SourceType>
    <b:Guid>{3E17D8C7-73B2-44CC-AB78-F859606C0EEB}</b:Guid>
    <b:Author>
      <b:Author>
        <b:Corporate>Fintech Futures</b:Corporate>
      </b:Author>
    </b:Author>
    <b:Title>Santander smartly acquires invoicing and expenses app Albert</b:Title>
    <b:Year>2018</b:Year>
    <b:URL>https://www.fintechfutures.com/2018/12/santander-smartly-acquires-invoicing-and-expenses-app-albert/</b:URL>
    <b:RefOrder>45</b:RefOrder>
  </b:Source>
  <b:Source>
    <b:Tag>PYM20</b:Tag>
    <b:SourceType>InternetSite</b:SourceType>
    <b:Guid>{39DC95C2-5F37-4C43-B322-3BF63E11951C}</b:Guid>
    <b:Author>
      <b:Author>
        <b:Corporate>PYMTS</b:Corporate>
      </b:Author>
    </b:Author>
    <b:Title>Santander To Buy U.S. Bancorp Subsidiary Elavon México</b:Title>
    <b:Year>2020</b:Year>
    <b:URL>https://www.pymnts.com/news/partnerships-acquisitions/2020/santander-to-buy-u-s-bancorp-subsidiary-elavon-mexico/</b:URL>
    <b:RefOrder>44</b:RefOrder>
  </b:Source>
  <b:Source>
    <b:Tag>Mas23</b:Tag>
    <b:SourceType>InternetSite</b:SourceType>
    <b:Guid>{C169185C-2565-453E-8343-57C0A792DEE7}</b:Guid>
    <b:Author>
      <b:Author>
        <b:Corporate>Mastercard</b:Corporate>
      </b:Author>
    </b:Author>
    <b:Title>NatWest and Mastercard make it easier and quicker for customers to shop online</b:Title>
    <b:Year>2023</b:Year>
    <b:URL>https://www.mastercard.com/news/europe/en/newsroom/press-releases/en/2023/natwest-enables-click-to-pay/</b:URL>
    <b:RefOrder>50</b:RefOrder>
  </b:Source>
  <b:Source>
    <b:Tag>IBS22</b:Tag>
    <b:SourceType>InternetSite</b:SourceType>
    <b:Guid>{8AEF9A52-66B8-464B-805A-B4B5ED6C7BA7}</b:Guid>
    <b:Author>
      <b:Author>
        <b:Corporate>IBS intelligence</b:Corporate>
      </b:Author>
    </b:Author>
    <b:Title>London FinTech Updraft raises £108m in Series A led by NatWest</b:Title>
    <b:Year>2022</b:Year>
    <b:URL>https://ibsintelligence.com/ibsi-news/london-fintech-updraft-raises-108m-in-series-a-led-by-natwest/</b:URL>
    <b:RefOrder>48</b:RefOrder>
  </b:Source>
  <b:Source>
    <b:Tag>Pen23</b:Tag>
    <b:SourceType>InternetSite</b:SourceType>
    <b:Guid>{8C13FFF2-8369-484D-8284-0AB39B00B54F}</b:Guid>
    <b:Author>
      <b:Author>
        <b:Corporate>Pensions age</b:Corporate>
      </b:Author>
    </b:Author>
    <b:Title>Natwest acquires majority shareholding in Cushon for £144m</b:Title>
    <b:Year>2023</b:Year>
    <b:URL>https://www.pensionsage.com/pa/Natwest-acquires-majority-shareholding-in-Cushon-for-144.php</b:URL>
    <b:RefOrder>49</b:RefOrder>
  </b:Source>
  <b:Source>
    <b:Tag>Bar241</b:Tag>
    <b:SourceType>InternetSite</b:SourceType>
    <b:Guid>{FD79D42C-FD7B-46C3-AA57-B32F4468B41B}</b:Guid>
    <b:Title>Accessibility at Barclays</b:Title>
    <b:Year>2024</b:Year>
    <b:Author>
      <b:Author>
        <b:Corporate>Barclays PLC</b:Corporate>
      </b:Author>
    </b:Author>
    <b:URL>https://home.barclays/accessibility/</b:URL>
    <b:RefOrder>19</b:RefOrder>
  </b:Source>
  <b:Source>
    <b:Tag>Nat232</b:Tag>
    <b:SourceType>InternetSite</b:SourceType>
    <b:Guid>{DA0498D3-4C92-40AA-B0B0-0E60469A9C45}</b:Guid>
    <b:Title>Accessible banking</b:Title>
    <b:Year>2023</b:Year>
    <b:Author>
      <b:Author>
        <b:Corporate>Natwest Group plc</b:Corporate>
      </b:Author>
    </b:Author>
    <b:URL>https://www.natwestgroup.com/sustainability/society/accessible-banking.html</b:URL>
    <b:RefOrder>28</b:RefOrder>
  </b:Source>
  <b:Source>
    <b:Tag>Nat231</b:Tag>
    <b:SourceType>InternetSite</b:SourceType>
    <b:Guid>{E7CF692A-4631-44F6-931D-C301E6836687}</b:Guid>
    <b:Author>
      <b:Author>
        <b:Corporate>Natwest Group plc</b:Corporate>
      </b:Author>
    </b:Author>
    <b:Title>Cora – helping more customers than ever, with no wait time</b:Title>
    <b:Year>2023</b:Year>
    <b:URL>https://jobs.natwestgroup.com/posts/cora-helping-more-customers-than-ever-with-no-wait-time</b:URL>
    <b:RefOrder>26</b:RefOrder>
  </b:Source>
  <b:Source>
    <b:Tag>Nat23</b:Tag>
    <b:SourceType>InternetSite</b:SourceType>
    <b:Guid>{58A177BE-18C7-4ACB-A270-93CAE9F1D52A}</b:Guid>
    <b:Title>Innovation and digitisation</b:Title>
    <b:Year>2023</b:Year>
    <b:Author>
      <b:Author>
        <b:Corporate>Natwest Group plc</b:Corporate>
      </b:Author>
    </b:Author>
    <b:URL>https://www.natwestgroup.com/sustainability/society/innovation-and-digitisation.html</b:URL>
    <b:RefOrder>25</b:RefOrder>
  </b:Source>
  <b:Source>
    <b:Tag>Nat233</b:Tag>
    <b:SourceType>InternetSite</b:SourceType>
    <b:Guid>{2FBF63A0-4C15-4680-9D34-BA81A844996A}</b:Guid>
    <b:Author>
      <b:Author>
        <b:Corporate>NatWest Group plc</b:Corporate>
      </b:Author>
    </b:Author>
    <b:Title>Innovation and digitisation</b:Title>
    <b:Year>2023</b:Year>
    <b:URL>https://www.natwestgroup.com/sustainability/society/innovation-and-digitisation.html</b:URL>
    <b:RefOrder>29</b:RefOrder>
  </b:Source>
  <b:Source>
    <b:Tag>Bar24</b:Tag>
    <b:SourceType>InternetSite</b:SourceType>
    <b:Guid>{1BDE28F9-AB9E-49A4-9988-9C33A230E9B8}</b:Guid>
    <b:Title>Innovation at Barclays</b:Title>
    <b:Year>2024</b:Year>
    <b:Author>
      <b:Author>
        <b:Corporate>Barclays PLC</b:Corporate>
      </b:Author>
    </b:Author>
    <b:URL>https://home.barclays/who-we-are/innovation/</b:URL>
    <b:RefOrder>16</b:RefOrder>
  </b:Source>
  <b:Source>
    <b:Tag>Llo231</b:Tag>
    <b:SourceType>InternetSite</b:SourceType>
    <b:Guid>{192D13B5-4F7F-48BB-B2F0-B5151031C987}</b:Guid>
    <b:Author>
      <b:Author>
        <b:Corporate>Lloyds Banking Group</b:Corporate>
      </b:Author>
    </b:Author>
    <b:Title>Lloyds Bank completes first digital trade transaction under new UK legislation</b:Title>
    <b:Year>2023</b:Year>
    <b:URL>https://www.lloydsbankinggroup.com/media/press-releases/2023/lloyds-bank-2023/lloyds-bank-completes-first-digital-trade-transaction-under-new-.html</b:URL>
    <b:RefOrder>11</b:RefOrder>
  </b:Source>
  <b:Source>
    <b:Tag>Llo23</b:Tag>
    <b:SourceType>InternetSite</b:SourceType>
    <b:Guid>{B2AB0E96-1013-4DCA-97ED-AD06600764CD}</b:Guid>
    <b:Author>
      <b:Author>
        <b:Corporate>Lloyds Banking Group</b:Corporate>
      </b:Author>
    </b:Author>
    <b:Title>Lloyds Bank develops new digital trading solution to support businesses</b:Title>
    <b:Year>2023</b:Year>
    <b:URL>https://www.lloydsbankinggroup.com/media/press-releases/2023/lloyds-bank-2023/new-digital-trading-solution.html</b:URL>
    <b:RefOrder>10</b:RefOrder>
  </b:Source>
  <b:Source>
    <b:Tag>HSB24</b:Tag>
    <b:SourceType>InternetSite</b:SourceType>
    <b:Guid>{D4FA59D6-14BB-4234-AAAA-86C83A2E84F1}</b:Guid>
    <b:Author>
      <b:Author>
        <b:Corporate>HSBC Holdings PLC</b:Corporate>
      </b:Author>
    </b:Author>
    <b:Title>News and Media</b:Title>
    <b:Year>2024</b:Year>
    <b:URL>https://www.about.hsbc.co.uk/</b:URL>
    <b:RefOrder>4</b:RefOrder>
  </b:Source>
  <b:Source>
    <b:Tag>San18</b:Tag>
    <b:SourceType>InternetSite</b:SourceType>
    <b:Guid>{CCF96301-1388-46E1-BE98-C7D98188CF19}</b:Guid>
    <b:Title>Santander launches the first blockchain-based international money transfer service across four countries</b:Title>
    <b:Year>2018</b:Year>
    <b:Author>
      <b:Author>
        <b:Corporate>Santander</b:Corporate>
      </b:Author>
    </b:Author>
    <b:URL>https://www.santander.co.uk/about-santander/media-centre/press-releases/santander-launches-the-first-blockchain-based-international-money-transfer-service-across-four#:~:text=across%20four%20countries-,Santander%20launches%20the%20first%20blockchain%2Dba</b:URL>
    <b:RefOrder>22</b:RefOrder>
  </b:Source>
  <b:Source>
    <b:Tag>Nat234</b:Tag>
    <b:SourceType>InternetSite</b:SourceType>
    <b:Guid>{2359B172-CEEF-412D-945B-B6F320E7C980}</b:Guid>
    <b:Author>
      <b:Author>
        <b:Corporate>NatWest Group plc</b:Corporate>
      </b:Author>
    </b:Author>
    <b:Title>Start saving with the Digital Regular Saver now</b:Title>
    <b:Year>2023</b:Year>
    <b:URL>https://www.natwest.com/savings/digital-regular-saver.html</b:URL>
    <b:RefOrder>30</b:RefOrder>
  </b:Source>
  <b:Source>
    <b:Tag>San19</b:Tag>
    <b:SourceType>InternetSite</b:SourceType>
    <b:Guid>{1F0476EC-48BC-4022-9DF5-432C4ADC894A}</b:Guid>
    <b:Author>
      <b:Author>
        <b:Corporate>Santander</b:Corporate>
      </b:Author>
    </b:Author>
    <b:Title>Technology, talent and size to underpin Santander's strategy</b:Title>
    <b:Year>2019</b:Year>
    <b:URL>https://www.santander.com/en/stories/technology-talent-and-size-to-underpin-santanders-strategy</b:URL>
    <b:RefOrder>23</b:RefOrder>
  </b:Source>
  <b:Source>
    <b:Tag>Wri23</b:Tag>
    <b:SourceType>InternetSite</b:SourceType>
    <b:Guid>{12E6C87E-4C16-4331-BD6F-7DA80B6C592E}</b:Guid>
    <b:Title>Innovation and transformation in banking</b:Title>
    <b:Year>2023</b:Year>
    <b:URL>https://www.raconteur.net/insights/innovation-and-transformation-in-banking</b:URL>
    <b:Author>
      <b:Author>
        <b:NameList>
          <b:Person>
            <b:Last>Wright</b:Last>
            <b:First>Alex</b:First>
          </b:Person>
          <b:Person>
            <b:Last>Wilson</b:Last>
            <b:First>Hugh</b:First>
          </b:Person>
        </b:NameList>
      </b:Author>
    </b:Author>
    <b:RefOrder>54</b:RefOrder>
  </b:Source>
  <b:Source>
    <b:Tag>Tzo18</b:Tag>
    <b:SourceType>InternetSite</b:SourceType>
    <b:Guid>{2DDE72C6-1660-4600-8F1C-44C22764F545}</b:Guid>
    <b:Title>Lloyds bank’s digital transformation</b:Title>
    <b:Year>2018</b:Year>
    <b:URL>https://www.eurofound.europa.eu/en/resources/article/2018/lloyds-banks-digital-transformation</b:URL>
    <b:Author>
      <b:Author>
        <b:NameList>
          <b:Person>
            <b:Last>Tzortzakis</b:Last>
            <b:First>Ioannis</b:First>
          </b:Person>
        </b:NameList>
      </b:Author>
    </b:Author>
    <b:RefOrder>55</b:RefOrder>
  </b:Source>
  <b:Source>
    <b:Tag>PRN22</b:Tag>
    <b:SourceType>InternetSite</b:SourceType>
    <b:Guid>{1D56E154-E051-4E95-8EDF-BBC6F432B151}</b:Guid>
    <b:Author>
      <b:Author>
        <b:Corporate>PR Newswire</b:Corporate>
      </b:Author>
    </b:Author>
    <b:Title>HSBC launches digital platform that revolutionises trade finance</b:Title>
    <b:Year>2022</b:Year>
    <b:URL>https://www.prnewswire.com/news-releases/hsbc-launches-digital-platform-that-revolutionises-trade-finance-301643270.html</b:URL>
    <b:RefOrder>5</b:RefOrder>
  </b:Source>
  <b:Source>
    <b:Tag>Placeholder1</b:Tag>
    <b:SourceType>InternetSite</b:SourceType>
    <b:Guid>{D77AFEE7-79AD-4CFC-AF3C-CA7A1A98F281}</b:Guid>
    <b:Title>Innovation at Barclays</b:Title>
    <b:Year>2024</b:Year>
    <b:Author>
      <b:Author>
        <b:Corporate>Barclays PLC</b:Corporate>
      </b:Author>
    </b:Author>
    <b:YearAccessed>2024</b:YearAccessed>
    <b:MonthAccessed>01</b:MonthAccessed>
    <b:DayAccessed>02</b:DayAccessed>
    <b:URL>https://home.barclays/who-we-are/innovation/</b:URL>
    <b:RefOrder>56</b:RefOrder>
  </b:Source>
  <b:Source>
    <b:Tag>Placeholder2</b:Tag>
    <b:SourceType>InternetSite</b:SourceType>
    <b:Guid>{2386CAB6-C3EC-4878-A707-414C630C450D}</b:Guid>
    <b:Title>Accessibility at Barclays</b:Title>
    <b:Year>2024</b:Year>
    <b:Author>
      <b:Author>
        <b:Corporate>Barclays PLC</b:Corporate>
      </b:Author>
    </b:Author>
    <b:YearAccessed>2024</b:YearAccessed>
    <b:MonthAccessed>01</b:MonthAccessed>
    <b:DayAccessed>02</b:DayAccessed>
    <b:URL>https://home.barclays/accessibility/</b:URL>
    <b:RefOrder>57</b:RefOrder>
  </b:Source>
  <b:Source>
    <b:Tag>Placeholder3</b:Tag>
    <b:SourceType>InternetSite</b:SourceType>
    <b:Guid>{90F2B170-5B3A-4289-9D92-368D116946A4}</b:Guid>
    <b:Author>
      <b:Author>
        <b:Corporate>PR Newswire</b:Corporate>
      </b:Author>
    </b:Author>
    <b:Title>HSBC launches digital platform that revolutionises trade finance</b:Title>
    <b:Year>2022</b:Year>
    <b:YearAccessed>2024</b:YearAccessed>
    <b:MonthAccessed>01</b:MonthAccessed>
    <b:DayAccessed>03</b:DayAccessed>
    <b:URL>https://www.prnewswire.com/news-releases/hsbc-launches-digital-platform-that-revolutionises-trade-finance-301643270.html</b:URL>
    <b:RefOrder>58</b:RefOrder>
  </b:Source>
  <b:Source>
    <b:Tag>Placeholder4</b:Tag>
    <b:SourceType>InternetSite</b:SourceType>
    <b:Guid>{0F52B2C9-6BCD-4479-8FBB-A3354F8C4D33}</b:Guid>
    <b:Author>
      <b:Author>
        <b:Corporate>HSBC Holdings PLC</b:Corporate>
      </b:Author>
    </b:Author>
    <b:Title>News and Media</b:Title>
    <b:Year>2024</b:Year>
    <b:YearAccessed>2024</b:YearAccessed>
    <b:MonthAccessed>01</b:MonthAccessed>
    <b:DayAccessed>03</b:DayAccessed>
    <b:URL>https://www.about.hsbc.co.uk/</b:URL>
    <b:RefOrder>59</b:RefOrder>
  </b:Source>
  <b:Source>
    <b:Tag>Placeholder5</b:Tag>
    <b:SourceType>InternetSite</b:SourceType>
    <b:Guid>{2784A9A5-DAE3-4F69-BBD7-A03154CE0E34}</b:Guid>
    <b:Author>
      <b:Author>
        <b:Corporate>Lloyds Banking Group</b:Corporate>
      </b:Author>
    </b:Author>
    <b:Title>Lloyds Bank develops new digital trading solution to support businesses</b:Title>
    <b:Year>2023</b:Year>
    <b:YearAccessed>2024</b:YearAccessed>
    <b:MonthAccessed>01</b:MonthAccessed>
    <b:DayAccessed>05</b:DayAccessed>
    <b:URL>https://www.lloydsbankinggroup.com/media/press-releases/2023/lloyds-bank-2023/new-digital-trading-solution.html</b:URL>
    <b:RefOrder>60</b:RefOrder>
  </b:Source>
  <b:Source>
    <b:Tag>Placeholder6</b:Tag>
    <b:SourceType>InternetSite</b:SourceType>
    <b:Guid>{982FBCAB-954F-4031-BC29-63D57ADC70B5}</b:Guid>
    <b:Author>
      <b:Author>
        <b:Corporate>Lloyds Banking Group</b:Corporate>
      </b:Author>
    </b:Author>
    <b:Title>Lloyds Bank completes first digital trade transaction under new UK legislation</b:Title>
    <b:Year>2023</b:Year>
    <b:YearAccessed>2024</b:YearAccessed>
    <b:MonthAccessed>01</b:MonthAccessed>
    <b:DayAccessed>05</b:DayAccessed>
    <b:URL>https://www.lloydsbankinggroup.com/media/press-releases/2023/lloyds-bank-2023/lloyds-bank-completes-first-digital-trade-transaction-under-new-.html</b:URL>
    <b:RefOrder>61</b:RefOrder>
  </b:Source>
  <b:Source>
    <b:Tag>Placeholder7</b:Tag>
    <b:SourceType>InternetSite</b:SourceType>
    <b:Guid>{36534BDF-D538-458F-AE3F-D8EA2C08F584}</b:Guid>
    <b:Title>Santander launches the first blockchain-based international money transfer service across four countries</b:Title>
    <b:Year>2018</b:Year>
    <b:Author>
      <b:Author>
        <b:Corporate>Santander</b:Corporate>
      </b:Author>
    </b:Author>
    <b:YearAccessed>2024</b:YearAccessed>
    <b:MonthAccessed>01</b:MonthAccessed>
    <b:DayAccessed>06</b:DayAccessed>
    <b:URL> https://www.santander.co.uk/about-santander/media-centre/press-releases/santander-launches-the-first-blockchain-based-international-money-transfer-service-across-four#:~:text=across%20four%20countries-,Santander%20launches%20the%20first%20blockchain%2Dba</b:URL>
    <b:RefOrder>62</b:RefOrder>
  </b:Source>
  <b:Source>
    <b:Tag>Placeholder8</b:Tag>
    <b:SourceType>InternetSite</b:SourceType>
    <b:Guid>{89DE7C5B-5BC8-4245-A6EC-34DD587E064A}</b:Guid>
    <b:Author>
      <b:Author>
        <b:Corporate>Santander</b:Corporate>
      </b:Author>
    </b:Author>
    <b:Title>Technology, talent and size to underpin Santander's strategy</b:Title>
    <b:Year>2019</b:Year>
    <b:YearAccessed>2024</b:YearAccessed>
    <b:MonthAccessed>01</b:MonthAccessed>
    <b:DayAccessed>06</b:DayAccessed>
    <b:URL>https://www.santander.com/en/stories/technology-talent-and-size-to-underpin-santanders-strategy</b:URL>
    <b:RefOrder>63</b:RefOrder>
  </b:Source>
  <b:Source>
    <b:Tag>Placeholder9</b:Tag>
    <b:SourceType>InternetSite</b:SourceType>
    <b:Guid>{7B46B955-11FB-423A-9A6F-29B1DB35C0E9}</b:Guid>
    <b:Title>Innovation and digitisation</b:Title>
    <b:Year>2023</b:Year>
    <b:Author>
      <b:Author>
        <b:Corporate>Natwest Group plc</b:Corporate>
      </b:Author>
    </b:Author>
    <b:YearAccessed>2024</b:YearAccessed>
    <b:MonthAccessed>01</b:MonthAccessed>
    <b:DayAccessed>07</b:DayAccessed>
    <b:URL>https://www.natwestgroup.com/sustainability/society/innovation-and-digitisation.html</b:URL>
    <b:RefOrder>64</b:RefOrder>
  </b:Source>
  <b:Source>
    <b:Tag>Placeholder10</b:Tag>
    <b:SourceType>InternetSite</b:SourceType>
    <b:Guid>{91C5F02B-9C00-4719-8D84-4B65A82C8695}</b:Guid>
    <b:Author>
      <b:Author>
        <b:Corporate>Natwest Group plc</b:Corporate>
      </b:Author>
    </b:Author>
    <b:Title>Cora – helping more customers than ever, with no wait time</b:Title>
    <b:Year>2023</b:Year>
    <b:YearAccessed>2024</b:YearAccessed>
    <b:MonthAccessed>01</b:MonthAccessed>
    <b:DayAccessed>07</b:DayAccessed>
    <b:URL>https://jobs.natwestgroup.com/posts/cora-helping-more-customers-than-ever-with-no-wait-time</b:URL>
    <b:RefOrder>65</b:RefOrder>
  </b:Source>
  <b:Source>
    <b:Tag>Placeholder11</b:Tag>
    <b:SourceType>InternetSite</b:SourceType>
    <b:Guid>{72E5268F-1367-4520-9420-C9CF0E892ED4}</b:Guid>
    <b:Title>Accessible banking</b:Title>
    <b:Year>2023</b:Year>
    <b:Author>
      <b:Author>
        <b:Corporate>Natwest Group plc</b:Corporate>
      </b:Author>
    </b:Author>
    <b:YearAccessed>2024</b:YearAccessed>
    <b:MonthAccessed>01</b:MonthAccessed>
    <b:DayAccessed>07</b:DayAccessed>
    <b:URL>https://www.natwestgroup.com/sustainability/society/accessible-banking.html</b:URL>
    <b:RefOrder>66</b:RefOrder>
  </b:Source>
  <b:Source>
    <b:Tag>Placeholder12</b:Tag>
    <b:SourceType>InternetSite</b:SourceType>
    <b:Guid>{F50678B8-6F5D-4187-90D2-590C5BAB4B59}</b:Guid>
    <b:Author>
      <b:Author>
        <b:Corporate>NatWest Group plc</b:Corporate>
      </b:Author>
    </b:Author>
    <b:Title>Innovation and digitisation</b:Title>
    <b:Year>2023</b:Year>
    <b:YearAccessed>2024</b:YearAccessed>
    <b:MonthAccessed>01</b:MonthAccessed>
    <b:DayAccessed>07</b:DayAccessed>
    <b:URL>https://www.natwestgroup.com/sustainability/society/innovation-and-digitisation.html</b:URL>
    <b:RefOrder>67</b:RefOrder>
  </b:Source>
  <b:Source>
    <b:Tag>Placeholder13</b:Tag>
    <b:SourceType>InternetSite</b:SourceType>
    <b:Guid>{B0E5C912-46A6-49D0-9AFB-0F1E8FE3E11D}</b:Guid>
    <b:Author>
      <b:Author>
        <b:Corporate>NatWest Group plc</b:Corporate>
      </b:Author>
    </b:Author>
    <b:Title>Start saving with the Digital Regular Saver now</b:Title>
    <b:Year>2023</b:Year>
    <b:YearAccessed>2024</b:YearAccessed>
    <b:MonthAccessed>01</b:MonthAccessed>
    <b:DayAccessed>07</b:DayAccessed>
    <b:URL>https://www.natwest.com/savings/digital-regular-saver.html</b:URL>
    <b:RefOrder>68</b:RefOrder>
  </b:Source>
</b:Sources>
</file>

<file path=customXml/itemProps1.xml><?xml version="1.0" encoding="utf-8"?>
<ds:datastoreItem xmlns:ds="http://schemas.openxmlformats.org/officeDocument/2006/customXml" ds:itemID="{BD7B7389-EC56-4876-8327-2A210E120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64</Pages>
  <Words>19489</Words>
  <Characters>111090</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GHANWA KHAN</dc:creator>
  <cp:keywords/>
  <dc:description/>
  <cp:lastModifiedBy>deena palanchoke</cp:lastModifiedBy>
  <cp:revision>287</cp:revision>
  <dcterms:created xsi:type="dcterms:W3CDTF">2024-02-10T13:38:00Z</dcterms:created>
  <dcterms:modified xsi:type="dcterms:W3CDTF">2024-02-13T08:44:00Z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ea733bfeb066e0bde18fedd9ea8e182dfe7b3c519c25310fb065cdee4ad841b1</vt:lpwstr>
  </property>
</Properties>
</file>