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E73D534" w14:textId="77777777" w:rsidR="00ED7A58" w:rsidRDefault="00ED7A58">
      <w:pPr>
        <w:spacing w:line="360" w:lineRule="auto"/>
        <w:jc w:val="center"/>
        <w:rPr>
          <w:rFonts w:ascii="Times New Roman" w:eastAsia="Times New Roman" w:hAnsi="Times New Roman" w:cs="Times New Roman"/>
          <w:sz w:val="24"/>
          <w:szCs w:val="24"/>
        </w:rPr>
      </w:pPr>
    </w:p>
    <w:p w14:paraId="4CC70534" w14:textId="77777777" w:rsidR="00ED7A58" w:rsidRDefault="00ED7A58">
      <w:pPr>
        <w:spacing w:line="360" w:lineRule="auto"/>
        <w:jc w:val="center"/>
        <w:rPr>
          <w:rFonts w:ascii="Times New Roman" w:eastAsia="Times New Roman" w:hAnsi="Times New Roman" w:cs="Times New Roman"/>
          <w:sz w:val="24"/>
          <w:szCs w:val="24"/>
        </w:rPr>
      </w:pPr>
    </w:p>
    <w:p w14:paraId="0A1F8984" w14:textId="77777777" w:rsidR="00ED7A58" w:rsidRDefault="00ED7A58">
      <w:pPr>
        <w:spacing w:line="360" w:lineRule="auto"/>
        <w:jc w:val="center"/>
        <w:rPr>
          <w:rFonts w:ascii="Times New Roman" w:eastAsia="Times New Roman" w:hAnsi="Times New Roman" w:cs="Times New Roman"/>
          <w:sz w:val="24"/>
          <w:szCs w:val="24"/>
        </w:rPr>
      </w:pPr>
    </w:p>
    <w:p w14:paraId="76EB3676" w14:textId="77777777" w:rsidR="00ED7A58" w:rsidRDefault="00ED7A58">
      <w:pPr>
        <w:spacing w:line="360" w:lineRule="auto"/>
        <w:jc w:val="center"/>
        <w:rPr>
          <w:rFonts w:ascii="Times New Roman" w:eastAsia="Times New Roman" w:hAnsi="Times New Roman" w:cs="Times New Roman"/>
          <w:sz w:val="24"/>
          <w:szCs w:val="24"/>
        </w:rPr>
      </w:pPr>
    </w:p>
    <w:p w14:paraId="38953ED5" w14:textId="77777777" w:rsidR="00ED7A58" w:rsidRDefault="00ED7A58">
      <w:pPr>
        <w:spacing w:line="360" w:lineRule="auto"/>
        <w:jc w:val="center"/>
        <w:rPr>
          <w:rFonts w:ascii="Times New Roman" w:eastAsia="Times New Roman" w:hAnsi="Times New Roman" w:cs="Times New Roman"/>
          <w:sz w:val="24"/>
          <w:szCs w:val="24"/>
        </w:rPr>
      </w:pPr>
    </w:p>
    <w:p w14:paraId="509855DB" w14:textId="77777777" w:rsidR="00ED7A58" w:rsidRDefault="00D1602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Dissertation</w:t>
      </w:r>
    </w:p>
    <w:p w14:paraId="7F22A2A6" w14:textId="77777777" w:rsidR="00ED7A58" w:rsidRDefault="00D1602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Consumer trust in AI </w:t>
      </w:r>
      <w:proofErr w:type="spellStart"/>
      <w:r>
        <w:rPr>
          <w:rFonts w:ascii="Times New Roman" w:eastAsia="Times New Roman" w:hAnsi="Times New Roman" w:cs="Times New Roman"/>
          <w:b/>
          <w:bCs/>
          <w:sz w:val="24"/>
          <w:szCs w:val="24"/>
        </w:rPr>
        <w:t>personalised</w:t>
      </w:r>
      <w:proofErr w:type="spellEnd"/>
      <w:r>
        <w:rPr>
          <w:rFonts w:ascii="Times New Roman" w:eastAsia="Times New Roman" w:hAnsi="Times New Roman" w:cs="Times New Roman"/>
          <w:b/>
          <w:bCs/>
          <w:sz w:val="24"/>
          <w:szCs w:val="24"/>
        </w:rPr>
        <w:t xml:space="preserve"> marketing and purchase intention in UK online beauty retail</w:t>
      </w:r>
    </w:p>
    <w:p w14:paraId="6EC6B050" w14:textId="77777777" w:rsidR="00ED7A58" w:rsidRDefault="00ED7A58">
      <w:pPr>
        <w:spacing w:line="360" w:lineRule="auto"/>
        <w:rPr>
          <w:rFonts w:ascii="Times New Roman" w:eastAsia="Times New Roman" w:hAnsi="Times New Roman" w:cs="Times New Roman"/>
          <w:sz w:val="24"/>
          <w:szCs w:val="24"/>
        </w:rPr>
      </w:pPr>
    </w:p>
    <w:tbl>
      <w:tblPr>
        <w:tblStyle w:val="a"/>
        <w:tblW w:w="864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539"/>
        <w:gridCol w:w="5101"/>
      </w:tblGrid>
      <w:tr w:rsidR="00ED7A58" w14:paraId="40A91E53" w14:textId="77777777">
        <w:trPr>
          <w:jc w:val="center"/>
        </w:trPr>
        <w:tc>
          <w:tcPr>
            <w:tcW w:w="3539" w:type="dxa"/>
            <w:tcBorders>
              <w:top w:val="single" w:sz="4" w:space="0" w:color="000000"/>
              <w:left w:val="single" w:sz="4" w:space="0" w:color="000000"/>
              <w:bottom w:val="single" w:sz="4" w:space="0" w:color="000000"/>
              <w:right w:val="single" w:sz="4" w:space="0" w:color="000000"/>
            </w:tcBorders>
            <w:vAlign w:val="center"/>
          </w:tcPr>
          <w:p w14:paraId="5766F090"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Student name:</w:t>
            </w:r>
          </w:p>
        </w:tc>
        <w:tc>
          <w:tcPr>
            <w:tcW w:w="5101" w:type="dxa"/>
            <w:tcBorders>
              <w:top w:val="single" w:sz="4" w:space="0" w:color="000000"/>
              <w:left w:val="single" w:sz="4" w:space="0" w:color="000000"/>
              <w:bottom w:val="single" w:sz="4" w:space="0" w:color="000000"/>
              <w:right w:val="single" w:sz="4" w:space="0" w:color="000000"/>
            </w:tcBorders>
            <w:vAlign w:val="center"/>
          </w:tcPr>
          <w:p w14:paraId="232795C3"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Rajwinder Kaur</w:t>
            </w:r>
          </w:p>
        </w:tc>
      </w:tr>
      <w:tr w:rsidR="00ED7A58" w14:paraId="5E4FE435" w14:textId="77777777">
        <w:trPr>
          <w:jc w:val="center"/>
        </w:trPr>
        <w:tc>
          <w:tcPr>
            <w:tcW w:w="3539" w:type="dxa"/>
            <w:tcBorders>
              <w:top w:val="single" w:sz="4" w:space="0" w:color="000000"/>
              <w:left w:val="single" w:sz="4" w:space="0" w:color="000000"/>
              <w:bottom w:val="single" w:sz="4" w:space="0" w:color="000000"/>
              <w:right w:val="single" w:sz="4" w:space="0" w:color="000000"/>
            </w:tcBorders>
            <w:vAlign w:val="center"/>
          </w:tcPr>
          <w:p w14:paraId="32FD30BE"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Student ID:</w:t>
            </w:r>
          </w:p>
        </w:tc>
        <w:tc>
          <w:tcPr>
            <w:tcW w:w="5101" w:type="dxa"/>
            <w:tcBorders>
              <w:top w:val="single" w:sz="4" w:space="0" w:color="000000"/>
              <w:left w:val="single" w:sz="4" w:space="0" w:color="000000"/>
              <w:bottom w:val="single" w:sz="4" w:space="0" w:color="000000"/>
              <w:right w:val="single" w:sz="4" w:space="0" w:color="000000"/>
            </w:tcBorders>
            <w:vAlign w:val="center"/>
          </w:tcPr>
          <w:p w14:paraId="3643B3A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2214604</w:t>
            </w:r>
          </w:p>
        </w:tc>
      </w:tr>
      <w:tr w:rsidR="00ED7A58" w14:paraId="71A28837" w14:textId="77777777">
        <w:trPr>
          <w:jc w:val="center"/>
        </w:trPr>
        <w:tc>
          <w:tcPr>
            <w:tcW w:w="3539" w:type="dxa"/>
            <w:tcBorders>
              <w:top w:val="single" w:sz="4" w:space="0" w:color="000000"/>
              <w:left w:val="single" w:sz="4" w:space="0" w:color="000000"/>
              <w:bottom w:val="single" w:sz="4" w:space="0" w:color="000000"/>
              <w:right w:val="single" w:sz="4" w:space="0" w:color="000000"/>
            </w:tcBorders>
            <w:vAlign w:val="center"/>
          </w:tcPr>
          <w:p w14:paraId="39F2BD97" w14:textId="77777777" w:rsidR="00ED7A58" w:rsidRDefault="00D16022">
            <w:pPr>
              <w:spacing w:after="16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Programme</w:t>
            </w:r>
            <w:proofErr w:type="spellEnd"/>
            <w:r>
              <w:rPr>
                <w:rFonts w:ascii="Times New Roman" w:eastAsia="Times New Roman" w:hAnsi="Times New Roman" w:cs="Times New Roman"/>
                <w:b/>
                <w:bCs/>
                <w:sz w:val="24"/>
                <w:szCs w:val="24"/>
              </w:rPr>
              <w:t>/module code:</w:t>
            </w:r>
          </w:p>
        </w:tc>
        <w:tc>
          <w:tcPr>
            <w:tcW w:w="5101" w:type="dxa"/>
            <w:tcBorders>
              <w:top w:val="single" w:sz="4" w:space="0" w:color="000000"/>
              <w:left w:val="single" w:sz="4" w:space="0" w:color="000000"/>
              <w:bottom w:val="single" w:sz="4" w:space="0" w:color="000000"/>
              <w:right w:val="single" w:sz="4" w:space="0" w:color="000000"/>
            </w:tcBorders>
            <w:vAlign w:val="center"/>
          </w:tcPr>
          <w:p w14:paraId="306018C2"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LCBB6000</w:t>
            </w:r>
          </w:p>
        </w:tc>
      </w:tr>
      <w:tr w:rsidR="00ED7A58" w14:paraId="04B61D06" w14:textId="77777777">
        <w:trPr>
          <w:jc w:val="center"/>
        </w:trPr>
        <w:tc>
          <w:tcPr>
            <w:tcW w:w="3539" w:type="dxa"/>
            <w:tcBorders>
              <w:top w:val="single" w:sz="4" w:space="0" w:color="000000"/>
              <w:left w:val="single" w:sz="4" w:space="0" w:color="000000"/>
              <w:bottom w:val="single" w:sz="4" w:space="0" w:color="000000"/>
              <w:right w:val="single" w:sz="4" w:space="0" w:color="000000"/>
            </w:tcBorders>
            <w:vAlign w:val="center"/>
          </w:tcPr>
          <w:p w14:paraId="03509999"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Name of university:</w:t>
            </w:r>
          </w:p>
        </w:tc>
        <w:tc>
          <w:tcPr>
            <w:tcW w:w="5101" w:type="dxa"/>
            <w:tcBorders>
              <w:top w:val="single" w:sz="4" w:space="0" w:color="000000"/>
              <w:left w:val="single" w:sz="4" w:space="0" w:color="000000"/>
              <w:bottom w:val="single" w:sz="4" w:space="0" w:color="000000"/>
              <w:right w:val="single" w:sz="4" w:space="0" w:color="000000"/>
            </w:tcBorders>
            <w:vAlign w:val="center"/>
          </w:tcPr>
          <w:p w14:paraId="4621408C"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of Wales trinity Saint David</w:t>
            </w:r>
          </w:p>
        </w:tc>
      </w:tr>
      <w:tr w:rsidR="00ED7A58" w14:paraId="4DF83E09" w14:textId="77777777">
        <w:trPr>
          <w:jc w:val="center"/>
        </w:trPr>
        <w:tc>
          <w:tcPr>
            <w:tcW w:w="3539" w:type="dxa"/>
            <w:tcBorders>
              <w:top w:val="single" w:sz="4" w:space="0" w:color="000000"/>
              <w:left w:val="single" w:sz="4" w:space="0" w:color="000000"/>
              <w:bottom w:val="single" w:sz="4" w:space="0" w:color="000000"/>
              <w:right w:val="single" w:sz="4" w:space="0" w:color="000000"/>
            </w:tcBorders>
            <w:vAlign w:val="center"/>
          </w:tcPr>
          <w:p w14:paraId="59841159"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Supervisor:</w:t>
            </w:r>
          </w:p>
        </w:tc>
        <w:tc>
          <w:tcPr>
            <w:tcW w:w="5101" w:type="dxa"/>
            <w:tcBorders>
              <w:top w:val="single" w:sz="4" w:space="0" w:color="000000"/>
              <w:left w:val="single" w:sz="4" w:space="0" w:color="000000"/>
              <w:bottom w:val="single" w:sz="4" w:space="0" w:color="000000"/>
              <w:right w:val="single" w:sz="4" w:space="0" w:color="000000"/>
            </w:tcBorders>
            <w:vAlign w:val="center"/>
          </w:tcPr>
          <w:p w14:paraId="3A9A5694" w14:textId="77777777" w:rsidR="00ED7A58" w:rsidRDefault="00D16022">
            <w:pPr>
              <w:spacing w:after="16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Shujun</w:t>
            </w:r>
            <w:proofErr w:type="spellEnd"/>
            <w:r>
              <w:rPr>
                <w:rFonts w:ascii="Times New Roman" w:eastAsia="Times New Roman" w:hAnsi="Times New Roman" w:cs="Times New Roman"/>
                <w:sz w:val="24"/>
                <w:szCs w:val="24"/>
              </w:rPr>
              <w:t xml:space="preserve"> Xiao</w:t>
            </w:r>
          </w:p>
        </w:tc>
      </w:tr>
      <w:tr w:rsidR="00ED7A58" w14:paraId="280D0B26" w14:textId="77777777">
        <w:trPr>
          <w:jc w:val="center"/>
        </w:trPr>
        <w:tc>
          <w:tcPr>
            <w:tcW w:w="3539" w:type="dxa"/>
            <w:tcBorders>
              <w:top w:val="single" w:sz="4" w:space="0" w:color="000000"/>
              <w:left w:val="single" w:sz="4" w:space="0" w:color="000000"/>
              <w:bottom w:val="single" w:sz="4" w:space="0" w:color="000000"/>
              <w:right w:val="single" w:sz="4" w:space="0" w:color="000000"/>
            </w:tcBorders>
            <w:vAlign w:val="center"/>
          </w:tcPr>
          <w:p w14:paraId="4770CA0B"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Submission date:</w:t>
            </w:r>
          </w:p>
        </w:tc>
        <w:tc>
          <w:tcPr>
            <w:tcW w:w="5101" w:type="dxa"/>
            <w:tcBorders>
              <w:top w:val="single" w:sz="4" w:space="0" w:color="000000"/>
              <w:left w:val="single" w:sz="4" w:space="0" w:color="000000"/>
              <w:bottom w:val="single" w:sz="4" w:space="0" w:color="000000"/>
              <w:right w:val="single" w:sz="4" w:space="0" w:color="000000"/>
            </w:tcBorders>
            <w:vAlign w:val="center"/>
          </w:tcPr>
          <w:p w14:paraId="4D03DB9E"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 July 2026</w:t>
            </w:r>
          </w:p>
        </w:tc>
      </w:tr>
      <w:tr w:rsidR="00ED7A58" w14:paraId="1FF6F4C9" w14:textId="77777777">
        <w:trPr>
          <w:jc w:val="center"/>
        </w:trPr>
        <w:tc>
          <w:tcPr>
            <w:tcW w:w="3539" w:type="dxa"/>
            <w:tcBorders>
              <w:top w:val="single" w:sz="4" w:space="0" w:color="000000"/>
              <w:left w:val="single" w:sz="4" w:space="0" w:color="000000"/>
              <w:bottom w:val="single" w:sz="4" w:space="0" w:color="000000"/>
              <w:right w:val="single" w:sz="4" w:space="0" w:color="000000"/>
            </w:tcBorders>
            <w:vAlign w:val="center"/>
          </w:tcPr>
          <w:p w14:paraId="177186FA"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Word count:</w:t>
            </w:r>
          </w:p>
        </w:tc>
        <w:tc>
          <w:tcPr>
            <w:tcW w:w="5101" w:type="dxa"/>
            <w:tcBorders>
              <w:top w:val="single" w:sz="4" w:space="0" w:color="000000"/>
              <w:left w:val="single" w:sz="4" w:space="0" w:color="000000"/>
              <w:bottom w:val="single" w:sz="4" w:space="0" w:color="000000"/>
              <w:right w:val="single" w:sz="4" w:space="0" w:color="000000"/>
            </w:tcBorders>
            <w:vAlign w:val="center"/>
          </w:tcPr>
          <w:p w14:paraId="7953D3F2"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6361</w:t>
            </w:r>
          </w:p>
        </w:tc>
      </w:tr>
    </w:tbl>
    <w:p w14:paraId="60197EE3"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br/>
      </w:r>
    </w:p>
    <w:p w14:paraId="4D25A953" w14:textId="77777777" w:rsidR="00ED7A58" w:rsidRDefault="00D16022">
      <w:pPr>
        <w:rPr>
          <w:rFonts w:ascii="Times New Roman" w:eastAsia="Times New Roman" w:hAnsi="Times New Roman" w:cs="Times New Roman"/>
          <w:b/>
          <w:bCs/>
          <w:sz w:val="24"/>
          <w:szCs w:val="24"/>
        </w:rPr>
      </w:pPr>
      <w:r>
        <w:br w:type="page"/>
      </w:r>
    </w:p>
    <w:p w14:paraId="38DDAD58"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Declaration</w:t>
      </w:r>
    </w:p>
    <w:p w14:paraId="2B4FDACB"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declare that this dissertation is my own original work and has not been submitted, in whole or in part, for any other award or qualification. All sources used in this work have been acknowledged through Harvard-style in-text citations and a complete reference list.</w:t>
      </w:r>
    </w:p>
    <w:p w14:paraId="31895EB6"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confirm that work has been prepared in accordance with university guidance on academic integrity, plagiarism, copyright and ethical research practice. Where secondary sources, reports, journal articles, brand examples or government documents have been used, they has been interpreted, paraphrased and cited appropriately.</w:t>
      </w:r>
    </w:p>
    <w:p w14:paraId="7E03321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understand that university may use plagiarism detection software and other academic integrity processes for verify originality of this work.</w:t>
      </w:r>
    </w:p>
    <w:p w14:paraId="5BA5DBF2" w14:textId="77777777" w:rsidR="00ED7A58" w:rsidRDefault="00ED7A58">
      <w:pPr>
        <w:spacing w:line="360" w:lineRule="auto"/>
        <w:rPr>
          <w:rFonts w:ascii="Times New Roman" w:eastAsia="Times New Roman" w:hAnsi="Times New Roman" w:cs="Times New Roman"/>
          <w:sz w:val="24"/>
          <w:szCs w:val="24"/>
        </w:rPr>
      </w:pPr>
    </w:p>
    <w:p w14:paraId="04F3BE4A"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Signed: Rajwinder Kaur</w:t>
      </w:r>
    </w:p>
    <w:p w14:paraId="15D7DB8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Date: 12 July 2026</w:t>
      </w:r>
    </w:p>
    <w:p w14:paraId="150D77D4" w14:textId="77777777" w:rsidR="00ED7A58" w:rsidRDefault="00D16022">
      <w:pPr>
        <w:rPr>
          <w:rFonts w:ascii="Times New Roman" w:eastAsia="Times New Roman" w:hAnsi="Times New Roman" w:cs="Times New Roman"/>
          <w:b/>
          <w:bCs/>
          <w:sz w:val="24"/>
          <w:szCs w:val="24"/>
        </w:rPr>
      </w:pPr>
      <w:r>
        <w:br w:type="page"/>
      </w:r>
    </w:p>
    <w:p w14:paraId="40BAB2D1"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Abstract</w:t>
      </w:r>
    </w:p>
    <w:p w14:paraId="556ADB9C"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dissertation investigates about how the consumer trust in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influences purchase intention in the UK online beauty retail. The study responds to growing use of artificial intelligence in the cosmetic marketing include product recommendation systems, targeted digital promotions, chatbots and virtual try on tools. Although AI can make online beauty shopping more convenient,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and interactive, the literature also shows that consumer trust may be weakened by privacy concerns, limited transparency, algorithmic opacity, data misuse and con</w:t>
      </w:r>
      <w:r>
        <w:rPr>
          <w:rFonts w:ascii="Times New Roman" w:eastAsia="Times New Roman" w:hAnsi="Times New Roman" w:cs="Times New Roman"/>
          <w:sz w:val="24"/>
          <w:szCs w:val="24"/>
        </w:rPr>
        <w:t xml:space="preserve">cerns about unrealistic beauty outcomes. The research is based on secondary qualitative research and uses a structured literature review, content analysis and thematic synthesis. Academic journal articles, UK Government publications,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market reports, business reports and brand examples from Boots and </w:t>
      </w:r>
      <w:proofErr w:type="spellStart"/>
      <w:r>
        <w:rPr>
          <w:rFonts w:ascii="Times New Roman" w:eastAsia="Times New Roman" w:hAnsi="Times New Roman" w:cs="Times New Roman"/>
          <w:sz w:val="24"/>
          <w:szCs w:val="24"/>
        </w:rPr>
        <w:t>L’Oreal</w:t>
      </w:r>
      <w:proofErr w:type="spellEnd"/>
      <w:r>
        <w:rPr>
          <w:rFonts w:ascii="Times New Roman" w:eastAsia="Times New Roman" w:hAnsi="Times New Roman" w:cs="Times New Roman"/>
          <w:sz w:val="24"/>
          <w:szCs w:val="24"/>
        </w:rPr>
        <w:t xml:space="preserve"> Paris are used to examine the relationship between transparency, privacy assurance, consumer trust and purchase intention. Privacy Calculus Theory provides the main theoretical lens because it e</w:t>
      </w:r>
      <w:r>
        <w:rPr>
          <w:rFonts w:ascii="Times New Roman" w:eastAsia="Times New Roman" w:hAnsi="Times New Roman" w:cs="Times New Roman"/>
          <w:sz w:val="24"/>
          <w:szCs w:val="24"/>
        </w:rPr>
        <w:t xml:space="preserve">xplains how consumers weigh the benefits of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against the risks of data disclosure. The findings indicate that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can support purchase intention when it is perceived as useful, accurate, transparent and privacy-protective. However, AI does not automatically create trust or buying intention. Trust acts as central bridge between AI enabled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and consumer response. The dissertation contributes business management and digital marketing by showing that </w:t>
      </w:r>
      <w:r>
        <w:rPr>
          <w:rFonts w:ascii="Times New Roman" w:eastAsia="Times New Roman" w:hAnsi="Times New Roman" w:cs="Times New Roman"/>
          <w:sz w:val="24"/>
          <w:szCs w:val="24"/>
        </w:rPr>
        <w:t>responsible AI use, clear data communication and privacy assurance are essential to sustainable customer engagement in the UK online beauty retail.</w:t>
      </w:r>
    </w:p>
    <w:p w14:paraId="7F77C7C9" w14:textId="77777777" w:rsidR="00ED7A58" w:rsidRDefault="00D16022">
      <w:pPr>
        <w:spacing w:line="360" w:lineRule="auto"/>
        <w:rPr>
          <w:rFonts w:ascii="Times New Roman" w:eastAsia="Times New Roman" w:hAnsi="Times New Roman" w:cs="Times New Roman"/>
          <w:sz w:val="24"/>
          <w:szCs w:val="24"/>
        </w:rPr>
      </w:pPr>
      <w:r>
        <w:br w:type="page"/>
      </w:r>
    </w:p>
    <w:p w14:paraId="31385B3D"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Acknowledgements</w:t>
      </w:r>
    </w:p>
    <w:p w14:paraId="5A10F851"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would really like to express my sincere gratitude to my dissertation supervisor for guidance, feedback and support throughout the development of this research. Their advice helped me to narrow the topic, improve the research questions and adopt structured secondary research approach.</w:t>
      </w:r>
    </w:p>
    <w:p w14:paraId="58132E5D"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am also grateful my lecturers and university module materials, journal articles and research guidance. Their assistance helped me for develop strong understanding of literature review, methodology, content analysis and academic referencing.</w:t>
      </w:r>
    </w:p>
    <w:p w14:paraId="72E6980C"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Finally, I would like to thank my family and friends for their patience, encouragement and motivation during the dissertation process.</w:t>
      </w:r>
    </w:p>
    <w:p w14:paraId="136404A4" w14:textId="77777777" w:rsidR="00ED7A58" w:rsidRDefault="00D16022">
      <w:pPr>
        <w:rPr>
          <w:rFonts w:ascii="Times New Roman" w:eastAsia="Times New Roman" w:hAnsi="Times New Roman" w:cs="Times New Roman"/>
          <w:b/>
          <w:bCs/>
          <w:sz w:val="24"/>
          <w:szCs w:val="24"/>
        </w:rPr>
      </w:pPr>
      <w:r>
        <w:br w:type="page"/>
      </w:r>
    </w:p>
    <w:p w14:paraId="7F12B9DA"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of Contents</w:t>
      </w:r>
    </w:p>
    <w:tbl>
      <w:tblPr>
        <w:tblStyle w:val="a0"/>
        <w:tblW w:w="9508" w:type="dxa"/>
        <w:tblInd w:w="-5"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6485"/>
        <w:gridCol w:w="3023"/>
      </w:tblGrid>
      <w:tr w:rsidR="00ED7A58" w14:paraId="1372CFA2" w14:textId="77777777">
        <w:trPr>
          <w:trHeight w:val="613"/>
        </w:trPr>
        <w:tc>
          <w:tcPr>
            <w:tcW w:w="6485" w:type="dxa"/>
          </w:tcPr>
          <w:p w14:paraId="0C70DBD5"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Section</w:t>
            </w:r>
          </w:p>
        </w:tc>
        <w:tc>
          <w:tcPr>
            <w:tcW w:w="3023" w:type="dxa"/>
          </w:tcPr>
          <w:p w14:paraId="60AE229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Page Number</w:t>
            </w:r>
          </w:p>
        </w:tc>
      </w:tr>
      <w:tr w:rsidR="00ED7A58" w14:paraId="719CAA24" w14:textId="77777777">
        <w:trPr>
          <w:trHeight w:val="587"/>
        </w:trPr>
        <w:tc>
          <w:tcPr>
            <w:tcW w:w="6485" w:type="dxa"/>
          </w:tcPr>
          <w:p w14:paraId="36943139"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Chapter 1: Introduction</w:t>
            </w:r>
          </w:p>
        </w:tc>
        <w:tc>
          <w:tcPr>
            <w:tcW w:w="3023" w:type="dxa"/>
          </w:tcPr>
          <w:p w14:paraId="6E313A76"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9</w:t>
            </w:r>
          </w:p>
        </w:tc>
      </w:tr>
      <w:tr w:rsidR="00ED7A58" w14:paraId="7BFA7CAA" w14:textId="77777777">
        <w:trPr>
          <w:trHeight w:val="613"/>
        </w:trPr>
        <w:tc>
          <w:tcPr>
            <w:tcW w:w="6485" w:type="dxa"/>
          </w:tcPr>
          <w:p w14:paraId="223808D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1.1 Introduction</w:t>
            </w:r>
          </w:p>
        </w:tc>
        <w:tc>
          <w:tcPr>
            <w:tcW w:w="3023" w:type="dxa"/>
          </w:tcPr>
          <w:p w14:paraId="5AB8BB68"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r>
      <w:tr w:rsidR="00ED7A58" w14:paraId="7796CDE2" w14:textId="77777777">
        <w:trPr>
          <w:trHeight w:val="587"/>
        </w:trPr>
        <w:tc>
          <w:tcPr>
            <w:tcW w:w="6485" w:type="dxa"/>
          </w:tcPr>
          <w:p w14:paraId="538D7793"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1.2 Background of the study</w:t>
            </w:r>
          </w:p>
        </w:tc>
        <w:tc>
          <w:tcPr>
            <w:tcW w:w="3023" w:type="dxa"/>
          </w:tcPr>
          <w:p w14:paraId="753118F1"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r>
      <w:tr w:rsidR="00ED7A58" w14:paraId="62E72B06" w14:textId="77777777">
        <w:trPr>
          <w:trHeight w:val="613"/>
        </w:trPr>
        <w:tc>
          <w:tcPr>
            <w:tcW w:w="6485" w:type="dxa"/>
          </w:tcPr>
          <w:p w14:paraId="6F654C5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1.3 Problem statement</w:t>
            </w:r>
          </w:p>
        </w:tc>
        <w:tc>
          <w:tcPr>
            <w:tcW w:w="3023" w:type="dxa"/>
          </w:tcPr>
          <w:p w14:paraId="1C2F6FF8"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r>
      <w:tr w:rsidR="00ED7A58" w14:paraId="4EEA0F72" w14:textId="77777777">
        <w:trPr>
          <w:trHeight w:val="587"/>
        </w:trPr>
        <w:tc>
          <w:tcPr>
            <w:tcW w:w="6485" w:type="dxa"/>
          </w:tcPr>
          <w:p w14:paraId="596A6C48"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1.4 Aim, objectives, research questions and propositions</w:t>
            </w:r>
          </w:p>
        </w:tc>
        <w:tc>
          <w:tcPr>
            <w:tcW w:w="3023" w:type="dxa"/>
          </w:tcPr>
          <w:p w14:paraId="62C8DD99"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ED7A58" w14:paraId="2BB7DB13" w14:textId="77777777">
        <w:trPr>
          <w:trHeight w:val="613"/>
        </w:trPr>
        <w:tc>
          <w:tcPr>
            <w:tcW w:w="6485" w:type="dxa"/>
          </w:tcPr>
          <w:p w14:paraId="045F7297"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1.5 Rationale/importance of the research</w:t>
            </w:r>
          </w:p>
        </w:tc>
        <w:tc>
          <w:tcPr>
            <w:tcW w:w="3023" w:type="dxa"/>
          </w:tcPr>
          <w:p w14:paraId="5CBBCD17"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ED7A58" w14:paraId="6614A0C8" w14:textId="77777777">
        <w:trPr>
          <w:trHeight w:val="587"/>
        </w:trPr>
        <w:tc>
          <w:tcPr>
            <w:tcW w:w="6485" w:type="dxa"/>
          </w:tcPr>
          <w:p w14:paraId="475C3B13"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1.6 Methodology</w:t>
            </w:r>
          </w:p>
        </w:tc>
        <w:tc>
          <w:tcPr>
            <w:tcW w:w="3023" w:type="dxa"/>
          </w:tcPr>
          <w:p w14:paraId="38531335"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ED7A58" w14:paraId="6FA3173A" w14:textId="77777777">
        <w:trPr>
          <w:trHeight w:val="613"/>
        </w:trPr>
        <w:tc>
          <w:tcPr>
            <w:tcW w:w="6485" w:type="dxa"/>
          </w:tcPr>
          <w:p w14:paraId="40691244"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1.7 Scope of the study</w:t>
            </w:r>
          </w:p>
        </w:tc>
        <w:tc>
          <w:tcPr>
            <w:tcW w:w="3023" w:type="dxa"/>
          </w:tcPr>
          <w:p w14:paraId="19EE8CFA"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r>
      <w:tr w:rsidR="00ED7A58" w14:paraId="0B4A88EA" w14:textId="77777777">
        <w:trPr>
          <w:trHeight w:val="587"/>
        </w:trPr>
        <w:tc>
          <w:tcPr>
            <w:tcW w:w="6485" w:type="dxa"/>
          </w:tcPr>
          <w:p w14:paraId="5EBF060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1.8 Structure of the dissertation</w:t>
            </w:r>
          </w:p>
        </w:tc>
        <w:tc>
          <w:tcPr>
            <w:tcW w:w="3023" w:type="dxa"/>
          </w:tcPr>
          <w:p w14:paraId="615815D5"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r>
      <w:tr w:rsidR="00ED7A58" w14:paraId="05AA0894" w14:textId="77777777">
        <w:trPr>
          <w:trHeight w:val="613"/>
        </w:trPr>
        <w:tc>
          <w:tcPr>
            <w:tcW w:w="6485" w:type="dxa"/>
          </w:tcPr>
          <w:p w14:paraId="45732823"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1.9 Summary of Chapter 1</w:t>
            </w:r>
          </w:p>
        </w:tc>
        <w:tc>
          <w:tcPr>
            <w:tcW w:w="3023" w:type="dxa"/>
          </w:tcPr>
          <w:p w14:paraId="6DD7AA38"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r>
      <w:tr w:rsidR="00ED7A58" w14:paraId="7D0A751D" w14:textId="77777777">
        <w:trPr>
          <w:trHeight w:val="587"/>
        </w:trPr>
        <w:tc>
          <w:tcPr>
            <w:tcW w:w="6485" w:type="dxa"/>
          </w:tcPr>
          <w:p w14:paraId="6717CE56"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Chapter 2: Literature Review</w:t>
            </w:r>
          </w:p>
        </w:tc>
        <w:tc>
          <w:tcPr>
            <w:tcW w:w="3023" w:type="dxa"/>
          </w:tcPr>
          <w:p w14:paraId="17539867"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12</w:t>
            </w:r>
          </w:p>
        </w:tc>
      </w:tr>
      <w:tr w:rsidR="00ED7A58" w14:paraId="0778910B" w14:textId="77777777">
        <w:trPr>
          <w:trHeight w:val="613"/>
        </w:trPr>
        <w:tc>
          <w:tcPr>
            <w:tcW w:w="6485" w:type="dxa"/>
          </w:tcPr>
          <w:p w14:paraId="153BE79A"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2.1 Introduction</w:t>
            </w:r>
          </w:p>
        </w:tc>
        <w:tc>
          <w:tcPr>
            <w:tcW w:w="3023" w:type="dxa"/>
          </w:tcPr>
          <w:p w14:paraId="3630C168"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r w:rsidR="00ED7A58" w14:paraId="4707AEAB" w14:textId="77777777">
        <w:trPr>
          <w:trHeight w:val="587"/>
        </w:trPr>
        <w:tc>
          <w:tcPr>
            <w:tcW w:w="6485" w:type="dxa"/>
          </w:tcPr>
          <w:p w14:paraId="376119CE"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2.2 Base theory of the sub-discipline/background aspects to the concept</w:t>
            </w:r>
          </w:p>
        </w:tc>
        <w:tc>
          <w:tcPr>
            <w:tcW w:w="3023" w:type="dxa"/>
          </w:tcPr>
          <w:p w14:paraId="2327C044"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r w:rsidR="00ED7A58" w14:paraId="793D3CE2" w14:textId="77777777">
        <w:trPr>
          <w:trHeight w:val="613"/>
        </w:trPr>
        <w:tc>
          <w:tcPr>
            <w:tcW w:w="6485" w:type="dxa"/>
          </w:tcPr>
          <w:p w14:paraId="0CC4B848"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2.3 Theoretical frameworks/models and related research issues</w:t>
            </w:r>
          </w:p>
        </w:tc>
        <w:tc>
          <w:tcPr>
            <w:tcW w:w="3023" w:type="dxa"/>
          </w:tcPr>
          <w:p w14:paraId="71DE53AE"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r>
      <w:tr w:rsidR="00ED7A58" w14:paraId="1439663C" w14:textId="77777777">
        <w:trPr>
          <w:trHeight w:val="587"/>
        </w:trPr>
        <w:tc>
          <w:tcPr>
            <w:tcW w:w="6485" w:type="dxa"/>
          </w:tcPr>
          <w:p w14:paraId="3D55A1EA"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2.4 Previous studies and lessons learnt</w:t>
            </w:r>
          </w:p>
        </w:tc>
        <w:tc>
          <w:tcPr>
            <w:tcW w:w="3023" w:type="dxa"/>
          </w:tcPr>
          <w:p w14:paraId="19315292"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r>
      <w:tr w:rsidR="00ED7A58" w14:paraId="77A3790F" w14:textId="77777777">
        <w:trPr>
          <w:trHeight w:val="613"/>
        </w:trPr>
        <w:tc>
          <w:tcPr>
            <w:tcW w:w="6485" w:type="dxa"/>
          </w:tcPr>
          <w:p w14:paraId="7913D24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2.5 Gaps identified to situate own research</w:t>
            </w:r>
          </w:p>
        </w:tc>
        <w:tc>
          <w:tcPr>
            <w:tcW w:w="3023" w:type="dxa"/>
          </w:tcPr>
          <w:p w14:paraId="0877D142"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r>
      <w:tr w:rsidR="00ED7A58" w14:paraId="1225D30C" w14:textId="77777777">
        <w:trPr>
          <w:trHeight w:val="587"/>
        </w:trPr>
        <w:tc>
          <w:tcPr>
            <w:tcW w:w="6485" w:type="dxa"/>
          </w:tcPr>
          <w:p w14:paraId="55683B78"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2.6 Summary of Chapter 2</w:t>
            </w:r>
          </w:p>
        </w:tc>
        <w:tc>
          <w:tcPr>
            <w:tcW w:w="3023" w:type="dxa"/>
          </w:tcPr>
          <w:p w14:paraId="1ABE5093"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r>
      <w:tr w:rsidR="00ED7A58" w14:paraId="625B2018" w14:textId="77777777">
        <w:trPr>
          <w:trHeight w:val="613"/>
        </w:trPr>
        <w:tc>
          <w:tcPr>
            <w:tcW w:w="6485" w:type="dxa"/>
          </w:tcPr>
          <w:p w14:paraId="501E3D50"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Chapter 3: Research Methods and Methodologies</w:t>
            </w:r>
          </w:p>
        </w:tc>
        <w:tc>
          <w:tcPr>
            <w:tcW w:w="3023" w:type="dxa"/>
          </w:tcPr>
          <w:p w14:paraId="33230A9E"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17</w:t>
            </w:r>
          </w:p>
        </w:tc>
      </w:tr>
      <w:tr w:rsidR="00ED7A58" w14:paraId="4115790E" w14:textId="77777777">
        <w:trPr>
          <w:trHeight w:val="587"/>
        </w:trPr>
        <w:tc>
          <w:tcPr>
            <w:tcW w:w="6485" w:type="dxa"/>
          </w:tcPr>
          <w:p w14:paraId="5CEB2A9C"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3.1 Introduction</w:t>
            </w:r>
          </w:p>
        </w:tc>
        <w:tc>
          <w:tcPr>
            <w:tcW w:w="3023" w:type="dxa"/>
          </w:tcPr>
          <w:p w14:paraId="44CE801C"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ED7A58" w14:paraId="39090C5C" w14:textId="77777777">
        <w:trPr>
          <w:trHeight w:val="613"/>
        </w:trPr>
        <w:tc>
          <w:tcPr>
            <w:tcW w:w="6485" w:type="dxa"/>
          </w:tcPr>
          <w:p w14:paraId="6FD1E17B"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3.2 Philosophical position of the research and why</w:t>
            </w:r>
          </w:p>
        </w:tc>
        <w:tc>
          <w:tcPr>
            <w:tcW w:w="3023" w:type="dxa"/>
          </w:tcPr>
          <w:p w14:paraId="61C40BE4"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ED7A58" w14:paraId="06BD3D77" w14:textId="77777777">
        <w:trPr>
          <w:trHeight w:val="613"/>
        </w:trPr>
        <w:tc>
          <w:tcPr>
            <w:tcW w:w="6485" w:type="dxa"/>
          </w:tcPr>
          <w:p w14:paraId="2B2BF9CB"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3.3 Paradigm position of the research and why</w:t>
            </w:r>
          </w:p>
        </w:tc>
        <w:tc>
          <w:tcPr>
            <w:tcW w:w="3023" w:type="dxa"/>
          </w:tcPr>
          <w:p w14:paraId="511AA874"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ED7A58" w14:paraId="01ED65DE" w14:textId="77777777">
        <w:trPr>
          <w:trHeight w:val="613"/>
        </w:trPr>
        <w:tc>
          <w:tcPr>
            <w:tcW w:w="6485" w:type="dxa"/>
          </w:tcPr>
          <w:p w14:paraId="24EBB11C"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3.4 Position of research approach and why</w:t>
            </w:r>
          </w:p>
        </w:tc>
        <w:tc>
          <w:tcPr>
            <w:tcW w:w="3023" w:type="dxa"/>
          </w:tcPr>
          <w:p w14:paraId="00F63F77"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r>
      <w:tr w:rsidR="00ED7A58" w14:paraId="1E9D737A" w14:textId="77777777">
        <w:trPr>
          <w:trHeight w:val="587"/>
        </w:trPr>
        <w:tc>
          <w:tcPr>
            <w:tcW w:w="6485" w:type="dxa"/>
          </w:tcPr>
          <w:p w14:paraId="0B699A85"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3.5 Methodological stance of the research and why</w:t>
            </w:r>
          </w:p>
        </w:tc>
        <w:tc>
          <w:tcPr>
            <w:tcW w:w="3023" w:type="dxa"/>
          </w:tcPr>
          <w:p w14:paraId="6D598703"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r>
      <w:tr w:rsidR="00ED7A58" w14:paraId="3BC9C28E" w14:textId="77777777">
        <w:trPr>
          <w:trHeight w:val="613"/>
        </w:trPr>
        <w:tc>
          <w:tcPr>
            <w:tcW w:w="6485" w:type="dxa"/>
          </w:tcPr>
          <w:p w14:paraId="1963D395"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3.6 Stance of the research strategy and design and why</w:t>
            </w:r>
          </w:p>
        </w:tc>
        <w:tc>
          <w:tcPr>
            <w:tcW w:w="3023" w:type="dxa"/>
          </w:tcPr>
          <w:p w14:paraId="25B8C0D0"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r>
      <w:tr w:rsidR="00ED7A58" w14:paraId="2DE7A6E8" w14:textId="77777777">
        <w:trPr>
          <w:trHeight w:val="587"/>
        </w:trPr>
        <w:tc>
          <w:tcPr>
            <w:tcW w:w="6485" w:type="dxa"/>
          </w:tcPr>
          <w:p w14:paraId="46399701"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3.7 Research sample and population</w:t>
            </w:r>
          </w:p>
        </w:tc>
        <w:tc>
          <w:tcPr>
            <w:tcW w:w="3023" w:type="dxa"/>
          </w:tcPr>
          <w:p w14:paraId="2A62DDE7"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r>
      <w:tr w:rsidR="00ED7A58" w14:paraId="5059796F" w14:textId="77777777">
        <w:trPr>
          <w:trHeight w:val="613"/>
        </w:trPr>
        <w:tc>
          <w:tcPr>
            <w:tcW w:w="6485" w:type="dxa"/>
          </w:tcPr>
          <w:p w14:paraId="2AFAF0C4"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3.8 Data collection and data analysis tools/techniques</w:t>
            </w:r>
          </w:p>
        </w:tc>
        <w:tc>
          <w:tcPr>
            <w:tcW w:w="3023" w:type="dxa"/>
          </w:tcPr>
          <w:p w14:paraId="77F36AEA"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ED7A58" w14:paraId="402BEFCB" w14:textId="77777777">
        <w:trPr>
          <w:trHeight w:val="587"/>
        </w:trPr>
        <w:tc>
          <w:tcPr>
            <w:tcW w:w="6485" w:type="dxa"/>
          </w:tcPr>
          <w:p w14:paraId="13947CDB"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3.9 Ethical consideration of the research</w:t>
            </w:r>
          </w:p>
        </w:tc>
        <w:tc>
          <w:tcPr>
            <w:tcW w:w="3023" w:type="dxa"/>
          </w:tcPr>
          <w:p w14:paraId="428695C1"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ED7A58" w14:paraId="33C0565E" w14:textId="77777777">
        <w:trPr>
          <w:trHeight w:val="613"/>
        </w:trPr>
        <w:tc>
          <w:tcPr>
            <w:tcW w:w="6485" w:type="dxa"/>
          </w:tcPr>
          <w:p w14:paraId="709B210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3.10 Summary of Chapter 3</w:t>
            </w:r>
          </w:p>
        </w:tc>
        <w:tc>
          <w:tcPr>
            <w:tcW w:w="3023" w:type="dxa"/>
          </w:tcPr>
          <w:p w14:paraId="0A4FD58E"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r>
      <w:tr w:rsidR="00ED7A58" w14:paraId="4763B894" w14:textId="77777777">
        <w:trPr>
          <w:trHeight w:val="587"/>
        </w:trPr>
        <w:tc>
          <w:tcPr>
            <w:tcW w:w="6485" w:type="dxa"/>
          </w:tcPr>
          <w:p w14:paraId="74BE2D4F"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Chapter 4: Data Analysis and Discussions</w:t>
            </w:r>
          </w:p>
        </w:tc>
        <w:tc>
          <w:tcPr>
            <w:tcW w:w="3023" w:type="dxa"/>
          </w:tcPr>
          <w:p w14:paraId="3EDD35BF"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22</w:t>
            </w:r>
          </w:p>
        </w:tc>
      </w:tr>
      <w:tr w:rsidR="00ED7A58" w14:paraId="11DC4A46" w14:textId="77777777">
        <w:trPr>
          <w:trHeight w:val="613"/>
        </w:trPr>
        <w:tc>
          <w:tcPr>
            <w:tcW w:w="6485" w:type="dxa"/>
          </w:tcPr>
          <w:p w14:paraId="57ACD796"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4.1 Introduction</w:t>
            </w:r>
          </w:p>
        </w:tc>
        <w:tc>
          <w:tcPr>
            <w:tcW w:w="3023" w:type="dxa"/>
          </w:tcPr>
          <w:p w14:paraId="1CD77CD2"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r>
      <w:tr w:rsidR="00ED7A58" w14:paraId="1038D484" w14:textId="77777777">
        <w:trPr>
          <w:trHeight w:val="587"/>
        </w:trPr>
        <w:tc>
          <w:tcPr>
            <w:tcW w:w="6485" w:type="dxa"/>
          </w:tcPr>
          <w:p w14:paraId="4B1A2BEE"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4.2 Analysis and discussions of findings/data</w:t>
            </w:r>
          </w:p>
        </w:tc>
        <w:tc>
          <w:tcPr>
            <w:tcW w:w="3023" w:type="dxa"/>
          </w:tcPr>
          <w:p w14:paraId="461434C2"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r>
      <w:tr w:rsidR="00ED7A58" w14:paraId="417D209D" w14:textId="77777777">
        <w:trPr>
          <w:trHeight w:val="613"/>
        </w:trPr>
        <w:tc>
          <w:tcPr>
            <w:tcW w:w="6485" w:type="dxa"/>
          </w:tcPr>
          <w:p w14:paraId="6F3D7DDA"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4.2.1 Coding of the secondary data</w:t>
            </w:r>
          </w:p>
        </w:tc>
        <w:tc>
          <w:tcPr>
            <w:tcW w:w="3023" w:type="dxa"/>
          </w:tcPr>
          <w:p w14:paraId="2512135A"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r>
      <w:tr w:rsidR="00ED7A58" w14:paraId="208C8916" w14:textId="77777777">
        <w:trPr>
          <w:trHeight w:val="587"/>
        </w:trPr>
        <w:tc>
          <w:tcPr>
            <w:tcW w:w="6485" w:type="dxa"/>
          </w:tcPr>
          <w:p w14:paraId="7858F45C"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4.2.2 Transparency and privacy assurance as trust mechanisms</w:t>
            </w:r>
          </w:p>
        </w:tc>
        <w:tc>
          <w:tcPr>
            <w:tcW w:w="3023" w:type="dxa"/>
          </w:tcPr>
          <w:p w14:paraId="07A358A6"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r w:rsidR="00ED7A58" w14:paraId="653CEF34" w14:textId="77777777">
        <w:trPr>
          <w:trHeight w:val="613"/>
        </w:trPr>
        <w:tc>
          <w:tcPr>
            <w:tcW w:w="6485" w:type="dxa"/>
          </w:tcPr>
          <w:p w14:paraId="4A73CDFC"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4.2.3 AI/</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beauty experience and purchase value</w:t>
            </w:r>
          </w:p>
        </w:tc>
        <w:tc>
          <w:tcPr>
            <w:tcW w:w="3023" w:type="dxa"/>
          </w:tcPr>
          <w:p w14:paraId="57B210D7"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r w:rsidR="00ED7A58" w14:paraId="3B1C2938" w14:textId="77777777">
        <w:trPr>
          <w:trHeight w:val="587"/>
        </w:trPr>
        <w:tc>
          <w:tcPr>
            <w:tcW w:w="6485" w:type="dxa"/>
          </w:tcPr>
          <w:p w14:paraId="6DB19BB1"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4.2.4 Critical evaluation of source strength</w:t>
            </w:r>
          </w:p>
        </w:tc>
        <w:tc>
          <w:tcPr>
            <w:tcW w:w="3023" w:type="dxa"/>
          </w:tcPr>
          <w:p w14:paraId="51AED487"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r>
      <w:tr w:rsidR="00ED7A58" w14:paraId="5A6C9437" w14:textId="77777777">
        <w:trPr>
          <w:trHeight w:val="613"/>
        </w:trPr>
        <w:tc>
          <w:tcPr>
            <w:tcW w:w="6485" w:type="dxa"/>
          </w:tcPr>
          <w:p w14:paraId="42660B95"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4.2.5 Consumer trust as the bridge to purchase intention</w:t>
            </w:r>
          </w:p>
        </w:tc>
        <w:tc>
          <w:tcPr>
            <w:tcW w:w="3023" w:type="dxa"/>
          </w:tcPr>
          <w:p w14:paraId="5FD71C7B"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r>
      <w:tr w:rsidR="00ED7A58" w14:paraId="1ADEB7FD" w14:textId="77777777">
        <w:trPr>
          <w:trHeight w:val="587"/>
        </w:trPr>
        <w:tc>
          <w:tcPr>
            <w:tcW w:w="6485" w:type="dxa"/>
          </w:tcPr>
          <w:p w14:paraId="127EF3A6"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4.2.6 Integrated interpretation of findings</w:t>
            </w:r>
          </w:p>
        </w:tc>
        <w:tc>
          <w:tcPr>
            <w:tcW w:w="3023" w:type="dxa"/>
          </w:tcPr>
          <w:p w14:paraId="2B55EFD6"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r>
      <w:tr w:rsidR="00ED7A58" w14:paraId="4FFECABE" w14:textId="77777777">
        <w:trPr>
          <w:trHeight w:val="613"/>
        </w:trPr>
        <w:tc>
          <w:tcPr>
            <w:tcW w:w="6485" w:type="dxa"/>
          </w:tcPr>
          <w:p w14:paraId="6D45372E"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4.2.7 Brand exhibit and practical interpretation</w:t>
            </w:r>
          </w:p>
        </w:tc>
        <w:tc>
          <w:tcPr>
            <w:tcW w:w="3023" w:type="dxa"/>
          </w:tcPr>
          <w:p w14:paraId="1362CA7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r>
      <w:tr w:rsidR="00ED7A58" w14:paraId="39FFF77C" w14:textId="77777777">
        <w:trPr>
          <w:trHeight w:val="587"/>
        </w:trPr>
        <w:tc>
          <w:tcPr>
            <w:tcW w:w="6485" w:type="dxa"/>
          </w:tcPr>
          <w:p w14:paraId="7CB4B0B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4.2.8 Validity and reliability of the secondary data</w:t>
            </w:r>
          </w:p>
        </w:tc>
        <w:tc>
          <w:tcPr>
            <w:tcW w:w="3023" w:type="dxa"/>
          </w:tcPr>
          <w:p w14:paraId="3AED3B12"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r>
      <w:tr w:rsidR="00ED7A58" w14:paraId="0603A1F4" w14:textId="77777777">
        <w:trPr>
          <w:trHeight w:val="613"/>
        </w:trPr>
        <w:tc>
          <w:tcPr>
            <w:tcW w:w="6485" w:type="dxa"/>
          </w:tcPr>
          <w:p w14:paraId="2BC610A3"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4.3 Summary of Chapter 4</w:t>
            </w:r>
          </w:p>
        </w:tc>
        <w:tc>
          <w:tcPr>
            <w:tcW w:w="3023" w:type="dxa"/>
          </w:tcPr>
          <w:p w14:paraId="687906B8"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r>
      <w:tr w:rsidR="00ED7A58" w14:paraId="373F5CB0" w14:textId="77777777">
        <w:trPr>
          <w:trHeight w:val="587"/>
        </w:trPr>
        <w:tc>
          <w:tcPr>
            <w:tcW w:w="6485" w:type="dxa"/>
          </w:tcPr>
          <w:p w14:paraId="5468D0B3"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Chapter 5: Conclusions, Limitations and Recommendations</w:t>
            </w:r>
          </w:p>
        </w:tc>
        <w:tc>
          <w:tcPr>
            <w:tcW w:w="3023" w:type="dxa"/>
          </w:tcPr>
          <w:p w14:paraId="541B52AB"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28</w:t>
            </w:r>
          </w:p>
        </w:tc>
      </w:tr>
      <w:tr w:rsidR="00ED7A58" w14:paraId="23A32252" w14:textId="77777777">
        <w:trPr>
          <w:trHeight w:val="613"/>
        </w:trPr>
        <w:tc>
          <w:tcPr>
            <w:tcW w:w="6485" w:type="dxa"/>
          </w:tcPr>
          <w:p w14:paraId="14D39B5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5.1 Introduction</w:t>
            </w:r>
          </w:p>
        </w:tc>
        <w:tc>
          <w:tcPr>
            <w:tcW w:w="3023" w:type="dxa"/>
          </w:tcPr>
          <w:p w14:paraId="14FC06F2"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ED7A58" w14:paraId="77C63E3D" w14:textId="77777777">
        <w:trPr>
          <w:trHeight w:val="587"/>
        </w:trPr>
        <w:tc>
          <w:tcPr>
            <w:tcW w:w="6485" w:type="dxa"/>
          </w:tcPr>
          <w:p w14:paraId="4468644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5.2 Conclusions on each research issue, objective and proposition</w:t>
            </w:r>
          </w:p>
        </w:tc>
        <w:tc>
          <w:tcPr>
            <w:tcW w:w="3023" w:type="dxa"/>
          </w:tcPr>
          <w:p w14:paraId="73DCC6DF"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ED7A58" w14:paraId="0A0D7272" w14:textId="77777777">
        <w:trPr>
          <w:trHeight w:val="613"/>
        </w:trPr>
        <w:tc>
          <w:tcPr>
            <w:tcW w:w="6485" w:type="dxa"/>
          </w:tcPr>
          <w:p w14:paraId="0B4E934A"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5.3 Conclusions on the research problem</w:t>
            </w:r>
          </w:p>
        </w:tc>
        <w:tc>
          <w:tcPr>
            <w:tcW w:w="3023" w:type="dxa"/>
          </w:tcPr>
          <w:p w14:paraId="60752B5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ED7A58" w14:paraId="6E1A5149" w14:textId="77777777">
        <w:trPr>
          <w:trHeight w:val="613"/>
        </w:trPr>
        <w:tc>
          <w:tcPr>
            <w:tcW w:w="6485" w:type="dxa"/>
          </w:tcPr>
          <w:p w14:paraId="40EC22DB"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5.4 Summary of research findings and outcomes</w:t>
            </w:r>
          </w:p>
        </w:tc>
        <w:tc>
          <w:tcPr>
            <w:tcW w:w="3023" w:type="dxa"/>
          </w:tcPr>
          <w:p w14:paraId="3E02022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r>
      <w:tr w:rsidR="00ED7A58" w14:paraId="62E2941B" w14:textId="77777777">
        <w:trPr>
          <w:trHeight w:val="587"/>
        </w:trPr>
        <w:tc>
          <w:tcPr>
            <w:tcW w:w="6485" w:type="dxa"/>
          </w:tcPr>
          <w:p w14:paraId="02AD4EAA"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5.5 Original contribution of the research</w:t>
            </w:r>
          </w:p>
        </w:tc>
        <w:tc>
          <w:tcPr>
            <w:tcW w:w="3023" w:type="dxa"/>
          </w:tcPr>
          <w:p w14:paraId="4DAF8DDF"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r>
      <w:tr w:rsidR="00ED7A58" w14:paraId="3B940984" w14:textId="77777777">
        <w:trPr>
          <w:trHeight w:val="613"/>
        </w:trPr>
        <w:tc>
          <w:tcPr>
            <w:tcW w:w="6485" w:type="dxa"/>
          </w:tcPr>
          <w:p w14:paraId="2958B676"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5.6 Limitations of the research</w:t>
            </w:r>
          </w:p>
        </w:tc>
        <w:tc>
          <w:tcPr>
            <w:tcW w:w="3023" w:type="dxa"/>
          </w:tcPr>
          <w:p w14:paraId="4B5CA0D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ED7A58" w14:paraId="12299CB0" w14:textId="77777777">
        <w:trPr>
          <w:trHeight w:val="587"/>
        </w:trPr>
        <w:tc>
          <w:tcPr>
            <w:tcW w:w="6485" w:type="dxa"/>
          </w:tcPr>
          <w:p w14:paraId="393DCE84"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5.7 Recommendations and areas for future research</w:t>
            </w:r>
          </w:p>
        </w:tc>
        <w:tc>
          <w:tcPr>
            <w:tcW w:w="3023" w:type="dxa"/>
          </w:tcPr>
          <w:p w14:paraId="13287553"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ED7A58" w14:paraId="18B50541" w14:textId="77777777">
        <w:trPr>
          <w:trHeight w:val="613"/>
        </w:trPr>
        <w:tc>
          <w:tcPr>
            <w:tcW w:w="6485" w:type="dxa"/>
          </w:tcPr>
          <w:p w14:paraId="616CD3DE"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References</w:t>
            </w:r>
          </w:p>
        </w:tc>
        <w:tc>
          <w:tcPr>
            <w:tcW w:w="3023" w:type="dxa"/>
          </w:tcPr>
          <w:p w14:paraId="2708D3E0"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31</w:t>
            </w:r>
          </w:p>
        </w:tc>
      </w:tr>
      <w:tr w:rsidR="00ED7A58" w14:paraId="24B45B99" w14:textId="77777777">
        <w:trPr>
          <w:trHeight w:val="587"/>
        </w:trPr>
        <w:tc>
          <w:tcPr>
            <w:tcW w:w="6485" w:type="dxa"/>
          </w:tcPr>
          <w:p w14:paraId="73975006"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Glossary of Terms</w:t>
            </w:r>
          </w:p>
        </w:tc>
        <w:tc>
          <w:tcPr>
            <w:tcW w:w="3023" w:type="dxa"/>
          </w:tcPr>
          <w:p w14:paraId="0EE5E5FA"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35</w:t>
            </w:r>
          </w:p>
        </w:tc>
      </w:tr>
      <w:tr w:rsidR="00ED7A58" w14:paraId="51DBA4E5" w14:textId="77777777">
        <w:trPr>
          <w:trHeight w:val="613"/>
        </w:trPr>
        <w:tc>
          <w:tcPr>
            <w:tcW w:w="6485" w:type="dxa"/>
          </w:tcPr>
          <w:p w14:paraId="362AC3C4"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Appendix</w:t>
            </w:r>
          </w:p>
        </w:tc>
        <w:tc>
          <w:tcPr>
            <w:tcW w:w="3023" w:type="dxa"/>
          </w:tcPr>
          <w:p w14:paraId="21A4FF1C"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38</w:t>
            </w:r>
          </w:p>
        </w:tc>
      </w:tr>
      <w:tr w:rsidR="00ED7A58" w14:paraId="366CB349" w14:textId="77777777">
        <w:trPr>
          <w:trHeight w:val="587"/>
        </w:trPr>
        <w:tc>
          <w:tcPr>
            <w:tcW w:w="6485" w:type="dxa"/>
          </w:tcPr>
          <w:p w14:paraId="7251C938"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Appendix A: Source Category Plan</w:t>
            </w:r>
          </w:p>
        </w:tc>
        <w:tc>
          <w:tcPr>
            <w:tcW w:w="3023" w:type="dxa"/>
          </w:tcPr>
          <w:p w14:paraId="46A155FD"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r>
      <w:tr w:rsidR="00ED7A58" w14:paraId="11173AB1" w14:textId="77777777">
        <w:trPr>
          <w:trHeight w:val="613"/>
        </w:trPr>
        <w:tc>
          <w:tcPr>
            <w:tcW w:w="6485" w:type="dxa"/>
          </w:tcPr>
          <w:p w14:paraId="0326D256"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Appendix B: Search Strategy and Keywords</w:t>
            </w:r>
          </w:p>
        </w:tc>
        <w:tc>
          <w:tcPr>
            <w:tcW w:w="3023" w:type="dxa"/>
          </w:tcPr>
          <w:p w14:paraId="035FE66B"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r>
      <w:tr w:rsidR="00ED7A58" w14:paraId="575180BF" w14:textId="77777777">
        <w:trPr>
          <w:trHeight w:val="587"/>
        </w:trPr>
        <w:tc>
          <w:tcPr>
            <w:tcW w:w="6485" w:type="dxa"/>
          </w:tcPr>
          <w:p w14:paraId="43335C08"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Appendix C: Inclusion and Exclusion Criteria</w:t>
            </w:r>
          </w:p>
        </w:tc>
        <w:tc>
          <w:tcPr>
            <w:tcW w:w="3023" w:type="dxa"/>
          </w:tcPr>
          <w:p w14:paraId="245E78EA"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39</w:t>
            </w:r>
          </w:p>
        </w:tc>
      </w:tr>
      <w:tr w:rsidR="00ED7A58" w14:paraId="61808C3C" w14:textId="77777777">
        <w:trPr>
          <w:trHeight w:val="613"/>
        </w:trPr>
        <w:tc>
          <w:tcPr>
            <w:tcW w:w="6485" w:type="dxa"/>
          </w:tcPr>
          <w:p w14:paraId="6CC5141F"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Appendix D: Evidence to Research Question Map</w:t>
            </w:r>
          </w:p>
        </w:tc>
        <w:tc>
          <w:tcPr>
            <w:tcW w:w="3023" w:type="dxa"/>
          </w:tcPr>
          <w:p w14:paraId="5FA1E950"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39</w:t>
            </w:r>
          </w:p>
        </w:tc>
      </w:tr>
      <w:tr w:rsidR="00ED7A58" w14:paraId="60DD6B50" w14:textId="77777777">
        <w:trPr>
          <w:trHeight w:val="613"/>
        </w:trPr>
        <w:tc>
          <w:tcPr>
            <w:tcW w:w="6485" w:type="dxa"/>
          </w:tcPr>
          <w:p w14:paraId="1B90C266"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Appendix F: Conceptual Framework Diagram</w:t>
            </w:r>
          </w:p>
        </w:tc>
        <w:tc>
          <w:tcPr>
            <w:tcW w:w="3023" w:type="dxa"/>
          </w:tcPr>
          <w:p w14:paraId="1B7E8C69" w14:textId="77777777" w:rsidR="00ED7A58" w:rsidRDefault="00D16022">
            <w:pPr>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bl>
    <w:p w14:paraId="296ACDBB" w14:textId="77777777" w:rsidR="00ED7A58" w:rsidRDefault="00D16022">
      <w:pPr>
        <w:spacing w:line="360" w:lineRule="auto"/>
        <w:rPr>
          <w:rFonts w:ascii="Times New Roman" w:eastAsia="Times New Roman" w:hAnsi="Times New Roman" w:cs="Times New Roman"/>
          <w:sz w:val="24"/>
          <w:szCs w:val="24"/>
        </w:rPr>
      </w:pPr>
      <w:r>
        <w:br w:type="page"/>
      </w:r>
    </w:p>
    <w:p w14:paraId="01634778"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List of Tables</w:t>
      </w:r>
    </w:p>
    <w:tbl>
      <w:tblPr>
        <w:tblStyle w:val="a1"/>
        <w:tblW w:w="9061" w:type="dxa"/>
        <w:tblInd w:w="-5"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7853"/>
        <w:gridCol w:w="1208"/>
      </w:tblGrid>
      <w:tr w:rsidR="00ED7A58" w14:paraId="73CE5417" w14:textId="77777777">
        <w:trPr>
          <w:trHeight w:val="866"/>
        </w:trPr>
        <w:tc>
          <w:tcPr>
            <w:tcW w:w="7853" w:type="dxa"/>
          </w:tcPr>
          <w:p w14:paraId="58B9737A"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Table</w:t>
            </w:r>
          </w:p>
        </w:tc>
        <w:tc>
          <w:tcPr>
            <w:tcW w:w="1208" w:type="dxa"/>
          </w:tcPr>
          <w:p w14:paraId="5D8FE19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Page Number</w:t>
            </w:r>
          </w:p>
        </w:tc>
      </w:tr>
      <w:tr w:rsidR="00ED7A58" w14:paraId="566AFECB" w14:textId="77777777">
        <w:trPr>
          <w:trHeight w:val="433"/>
        </w:trPr>
        <w:tc>
          <w:tcPr>
            <w:tcW w:w="7853" w:type="dxa"/>
          </w:tcPr>
          <w:p w14:paraId="4D7CE852"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3.1: Theory and framework selection</w:t>
            </w:r>
          </w:p>
        </w:tc>
        <w:tc>
          <w:tcPr>
            <w:tcW w:w="1208" w:type="dxa"/>
          </w:tcPr>
          <w:p w14:paraId="4BE97644"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r>
      <w:tr w:rsidR="00ED7A58" w14:paraId="0E0A6A8A" w14:textId="77777777">
        <w:trPr>
          <w:trHeight w:val="433"/>
        </w:trPr>
        <w:tc>
          <w:tcPr>
            <w:tcW w:w="7853" w:type="dxa"/>
          </w:tcPr>
          <w:p w14:paraId="61BDA7C2"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3.2: Planned source sample</w:t>
            </w:r>
          </w:p>
        </w:tc>
        <w:tc>
          <w:tcPr>
            <w:tcW w:w="1208" w:type="dxa"/>
          </w:tcPr>
          <w:p w14:paraId="43D99A8A"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r>
      <w:tr w:rsidR="00ED7A58" w14:paraId="587E9BB1" w14:textId="77777777">
        <w:trPr>
          <w:trHeight w:val="433"/>
        </w:trPr>
        <w:tc>
          <w:tcPr>
            <w:tcW w:w="7853" w:type="dxa"/>
          </w:tcPr>
          <w:p w14:paraId="40A5F1C5"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3.3: Source screening process</w:t>
            </w:r>
          </w:p>
        </w:tc>
        <w:tc>
          <w:tcPr>
            <w:tcW w:w="1208" w:type="dxa"/>
          </w:tcPr>
          <w:p w14:paraId="3938F0E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r>
      <w:tr w:rsidR="00ED7A58" w14:paraId="4D9DA1BE" w14:textId="77777777">
        <w:trPr>
          <w:trHeight w:val="433"/>
        </w:trPr>
        <w:tc>
          <w:tcPr>
            <w:tcW w:w="7853" w:type="dxa"/>
          </w:tcPr>
          <w:p w14:paraId="0C27C3F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3.4: Inclusion and exclusion criteria</w:t>
            </w:r>
          </w:p>
        </w:tc>
        <w:tc>
          <w:tcPr>
            <w:tcW w:w="1208" w:type="dxa"/>
          </w:tcPr>
          <w:p w14:paraId="6C95E5CC"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ED7A58" w14:paraId="7E829B36" w14:textId="77777777">
        <w:trPr>
          <w:trHeight w:val="433"/>
        </w:trPr>
        <w:tc>
          <w:tcPr>
            <w:tcW w:w="7853" w:type="dxa"/>
          </w:tcPr>
          <w:p w14:paraId="3352DFC0"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4.1: Content analysis coding matrix</w:t>
            </w:r>
          </w:p>
        </w:tc>
        <w:tc>
          <w:tcPr>
            <w:tcW w:w="1208" w:type="dxa"/>
          </w:tcPr>
          <w:p w14:paraId="0D5E878B"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r>
      <w:tr w:rsidR="00ED7A58" w14:paraId="0B9218D9" w14:textId="77777777">
        <w:trPr>
          <w:trHeight w:val="433"/>
        </w:trPr>
        <w:tc>
          <w:tcPr>
            <w:tcW w:w="7853" w:type="dxa"/>
          </w:tcPr>
          <w:p w14:paraId="73895DE6"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4.2: Evidence synthesis by research question</w:t>
            </w:r>
          </w:p>
        </w:tc>
        <w:tc>
          <w:tcPr>
            <w:tcW w:w="1208" w:type="dxa"/>
          </w:tcPr>
          <w:p w14:paraId="77E4475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r>
      <w:tr w:rsidR="00ED7A58" w14:paraId="39D7FDA5" w14:textId="77777777">
        <w:trPr>
          <w:trHeight w:val="433"/>
        </w:trPr>
        <w:tc>
          <w:tcPr>
            <w:tcW w:w="7853" w:type="dxa"/>
          </w:tcPr>
          <w:p w14:paraId="7ECFE584"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4.3: Brand evidence exhibit</w:t>
            </w:r>
          </w:p>
        </w:tc>
        <w:tc>
          <w:tcPr>
            <w:tcW w:w="1208" w:type="dxa"/>
          </w:tcPr>
          <w:p w14:paraId="08A4EAFF"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r>
      <w:tr w:rsidR="00ED7A58" w14:paraId="2383CF9E" w14:textId="77777777">
        <w:trPr>
          <w:trHeight w:val="433"/>
        </w:trPr>
        <w:tc>
          <w:tcPr>
            <w:tcW w:w="7853" w:type="dxa"/>
          </w:tcPr>
          <w:p w14:paraId="2E2A87F2"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A table: Source Category Plan</w:t>
            </w:r>
          </w:p>
        </w:tc>
        <w:tc>
          <w:tcPr>
            <w:tcW w:w="1208" w:type="dxa"/>
          </w:tcPr>
          <w:p w14:paraId="30AE230F"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r>
      <w:tr w:rsidR="00ED7A58" w14:paraId="09C94B39" w14:textId="77777777">
        <w:trPr>
          <w:trHeight w:val="433"/>
        </w:trPr>
        <w:tc>
          <w:tcPr>
            <w:tcW w:w="7853" w:type="dxa"/>
          </w:tcPr>
          <w:p w14:paraId="12C099B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B table: Search Strategy and Keywords</w:t>
            </w:r>
          </w:p>
        </w:tc>
        <w:tc>
          <w:tcPr>
            <w:tcW w:w="1208" w:type="dxa"/>
          </w:tcPr>
          <w:p w14:paraId="01D5FFF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r>
      <w:tr w:rsidR="00ED7A58" w14:paraId="1B17DA66" w14:textId="77777777">
        <w:trPr>
          <w:trHeight w:val="459"/>
        </w:trPr>
        <w:tc>
          <w:tcPr>
            <w:tcW w:w="7853" w:type="dxa"/>
          </w:tcPr>
          <w:p w14:paraId="0A578ECC"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C table: Inclusion and Exclusion Criteria</w:t>
            </w:r>
          </w:p>
        </w:tc>
        <w:tc>
          <w:tcPr>
            <w:tcW w:w="1208" w:type="dxa"/>
          </w:tcPr>
          <w:p w14:paraId="5C0DDE5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39</w:t>
            </w:r>
          </w:p>
        </w:tc>
      </w:tr>
      <w:tr w:rsidR="00ED7A58" w14:paraId="4AF1C120" w14:textId="77777777">
        <w:trPr>
          <w:trHeight w:val="433"/>
        </w:trPr>
        <w:tc>
          <w:tcPr>
            <w:tcW w:w="7853" w:type="dxa"/>
          </w:tcPr>
          <w:p w14:paraId="7D22345F"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D table: Evidence to Research Question Map</w:t>
            </w:r>
          </w:p>
        </w:tc>
        <w:tc>
          <w:tcPr>
            <w:tcW w:w="1208" w:type="dxa"/>
          </w:tcPr>
          <w:p w14:paraId="24401EFE"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39</w:t>
            </w:r>
          </w:p>
        </w:tc>
      </w:tr>
    </w:tbl>
    <w:p w14:paraId="378AD413" w14:textId="77777777" w:rsidR="00ED7A58" w:rsidRDefault="00ED7A58">
      <w:pPr>
        <w:spacing w:line="360" w:lineRule="auto"/>
        <w:rPr>
          <w:rFonts w:ascii="Times New Roman" w:eastAsia="Times New Roman" w:hAnsi="Times New Roman" w:cs="Times New Roman"/>
          <w:sz w:val="24"/>
          <w:szCs w:val="24"/>
        </w:rPr>
      </w:pPr>
    </w:p>
    <w:p w14:paraId="63F6A282" w14:textId="77777777" w:rsidR="00ED7A58" w:rsidRDefault="00ED7A58">
      <w:pPr>
        <w:spacing w:line="360" w:lineRule="auto"/>
        <w:rPr>
          <w:rFonts w:ascii="Times New Roman" w:eastAsia="Times New Roman" w:hAnsi="Times New Roman" w:cs="Times New Roman"/>
          <w:b/>
          <w:bCs/>
          <w:sz w:val="24"/>
          <w:szCs w:val="24"/>
        </w:rPr>
      </w:pPr>
    </w:p>
    <w:p w14:paraId="07C54B9E" w14:textId="77777777" w:rsidR="00ED7A58" w:rsidRDefault="00ED7A58">
      <w:pPr>
        <w:spacing w:line="360" w:lineRule="auto"/>
        <w:rPr>
          <w:rFonts w:ascii="Times New Roman" w:eastAsia="Times New Roman" w:hAnsi="Times New Roman" w:cs="Times New Roman"/>
          <w:b/>
          <w:bCs/>
          <w:sz w:val="24"/>
          <w:szCs w:val="24"/>
        </w:rPr>
      </w:pPr>
    </w:p>
    <w:p w14:paraId="36F29F93" w14:textId="77777777" w:rsidR="00ED7A58" w:rsidRDefault="00D16022">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List of Figures</w:t>
      </w:r>
    </w:p>
    <w:tbl>
      <w:tblPr>
        <w:tblStyle w:val="a2"/>
        <w:tblW w:w="9161"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83"/>
        <w:gridCol w:w="2078"/>
      </w:tblGrid>
      <w:tr w:rsidR="00ED7A58" w14:paraId="2E401A2A" w14:textId="77777777">
        <w:trPr>
          <w:trHeight w:val="523"/>
        </w:trPr>
        <w:tc>
          <w:tcPr>
            <w:tcW w:w="7083" w:type="dxa"/>
          </w:tcPr>
          <w:p w14:paraId="14E0A691"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w:t>
            </w:r>
          </w:p>
        </w:tc>
        <w:tc>
          <w:tcPr>
            <w:tcW w:w="2078" w:type="dxa"/>
          </w:tcPr>
          <w:p w14:paraId="0962CC31"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Page Number</w:t>
            </w:r>
          </w:p>
        </w:tc>
      </w:tr>
      <w:tr w:rsidR="00ED7A58" w14:paraId="4E77A481" w14:textId="77777777">
        <w:trPr>
          <w:trHeight w:val="617"/>
        </w:trPr>
        <w:tc>
          <w:tcPr>
            <w:tcW w:w="7083" w:type="dxa"/>
          </w:tcPr>
          <w:p w14:paraId="6C389718"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4.1: Thematic findings model created from the content analysis</w:t>
            </w:r>
          </w:p>
        </w:tc>
        <w:tc>
          <w:tcPr>
            <w:tcW w:w="2078" w:type="dxa"/>
          </w:tcPr>
          <w:p w14:paraId="52096BC1"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r>
      <w:tr w:rsidR="00ED7A58" w14:paraId="28B43327" w14:textId="77777777">
        <w:trPr>
          <w:trHeight w:val="617"/>
        </w:trPr>
        <w:tc>
          <w:tcPr>
            <w:tcW w:w="7083" w:type="dxa"/>
          </w:tcPr>
          <w:p w14:paraId="5EEEB716"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F: Conceptual Framework Diagram</w:t>
            </w:r>
          </w:p>
        </w:tc>
        <w:tc>
          <w:tcPr>
            <w:tcW w:w="2078" w:type="dxa"/>
          </w:tcPr>
          <w:p w14:paraId="06F2B91D"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bl>
    <w:p w14:paraId="241B19B0" w14:textId="77777777" w:rsidR="00ED7A58" w:rsidRDefault="00ED7A58">
      <w:pPr>
        <w:spacing w:line="360" w:lineRule="auto"/>
        <w:rPr>
          <w:rFonts w:ascii="Times New Roman" w:eastAsia="Times New Roman" w:hAnsi="Times New Roman" w:cs="Times New Roman"/>
          <w:sz w:val="24"/>
          <w:szCs w:val="24"/>
        </w:rPr>
      </w:pPr>
    </w:p>
    <w:p w14:paraId="3EB54975" w14:textId="77777777" w:rsidR="00ED7A58" w:rsidRDefault="00D16022">
      <w:pPr>
        <w:rPr>
          <w:rFonts w:ascii="Times New Roman" w:eastAsia="Times New Roman" w:hAnsi="Times New Roman" w:cs="Times New Roman"/>
          <w:sz w:val="24"/>
          <w:szCs w:val="24"/>
        </w:rPr>
      </w:pPr>
      <w:r>
        <w:br w:type="page"/>
      </w:r>
    </w:p>
    <w:p w14:paraId="4BCFE326" w14:textId="77777777" w:rsidR="00ED7A58" w:rsidRDefault="00D1602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Chapter 1: Introduction</w:t>
      </w:r>
    </w:p>
    <w:p w14:paraId="0149F3E3"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1.1 Introduction</w:t>
      </w:r>
    </w:p>
    <w:p w14:paraId="0D1DFF18"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is shaping the business management, digital marketing and online retail by help the firms </w:t>
      </w:r>
      <w:proofErr w:type="spellStart"/>
      <w:r>
        <w:rPr>
          <w:rFonts w:ascii="Times New Roman" w:eastAsia="Times New Roman" w:hAnsi="Times New Roman" w:cs="Times New Roman"/>
          <w:sz w:val="24"/>
          <w:szCs w:val="24"/>
        </w:rPr>
        <w:t>personalise</w:t>
      </w:r>
      <w:proofErr w:type="spellEnd"/>
      <w:r>
        <w:rPr>
          <w:rFonts w:ascii="Times New Roman" w:eastAsia="Times New Roman" w:hAnsi="Times New Roman" w:cs="Times New Roman"/>
          <w:sz w:val="24"/>
          <w:szCs w:val="24"/>
        </w:rPr>
        <w:t xml:space="preserve"> customer journeys, automate interactions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consumer data at scale (Huang and Rust, 2021; Davenport et al., 2020). In this research,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refers to AI tools such as product recommendation systems, targeted advertisements, chatbots and virtual </w:t>
      </w:r>
      <w:proofErr w:type="spellStart"/>
      <w:r>
        <w:rPr>
          <w:rFonts w:ascii="Times New Roman" w:eastAsia="Times New Roman" w:hAnsi="Times New Roman" w:cs="Times New Roman"/>
          <w:sz w:val="24"/>
          <w:szCs w:val="24"/>
        </w:rPr>
        <w:t>tryon</w:t>
      </w:r>
      <w:proofErr w:type="spellEnd"/>
      <w:r>
        <w:rPr>
          <w:rFonts w:ascii="Times New Roman" w:eastAsia="Times New Roman" w:hAnsi="Times New Roman" w:cs="Times New Roman"/>
          <w:sz w:val="24"/>
          <w:szCs w:val="24"/>
        </w:rPr>
        <w:t xml:space="preserve"> technologies that tailor the beauty messages and product suggestions for each individual customers. The proposed title of this research is: Consumer trust in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and purchase intention in UK online b</w:t>
      </w:r>
      <w:r>
        <w:rPr>
          <w:rFonts w:ascii="Times New Roman" w:eastAsia="Times New Roman" w:hAnsi="Times New Roman" w:cs="Times New Roman"/>
          <w:sz w:val="24"/>
          <w:szCs w:val="24"/>
        </w:rPr>
        <w:t xml:space="preserve">eauty retail. The focus is not all AI in business but how trust in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cosmetic marketing is discussed in relation to purchase intention.</w:t>
      </w:r>
    </w:p>
    <w:p w14:paraId="52CFF4F7"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1.2 Background of the study</w:t>
      </w:r>
    </w:p>
    <w:p w14:paraId="0EF58462"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beauty and cosmetics sector is becoming more digital, visual and data driven. AI powered recommendations, augmented reality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tryon</w:t>
      </w:r>
      <w:proofErr w:type="spellEnd"/>
      <w:r>
        <w:rPr>
          <w:rFonts w:ascii="Times New Roman" w:eastAsia="Times New Roman" w:hAnsi="Times New Roman" w:cs="Times New Roman"/>
          <w:sz w:val="24"/>
          <w:szCs w:val="24"/>
        </w:rPr>
        <w:t xml:space="preserve"> tools and chatbot consultations are visible in online beauty journeys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Perret and </w:t>
      </w:r>
      <w:proofErr w:type="spellStart"/>
      <w:r>
        <w:rPr>
          <w:rFonts w:ascii="Times New Roman" w:eastAsia="Times New Roman" w:hAnsi="Times New Roman" w:cs="Times New Roman"/>
          <w:sz w:val="24"/>
          <w:szCs w:val="24"/>
        </w:rPr>
        <w:t>Schwientek</w:t>
      </w:r>
      <w:proofErr w:type="spellEnd"/>
      <w:r>
        <w:rPr>
          <w:rFonts w:ascii="Times New Roman" w:eastAsia="Times New Roman" w:hAnsi="Times New Roman" w:cs="Times New Roman"/>
          <w:sz w:val="24"/>
          <w:szCs w:val="24"/>
        </w:rPr>
        <w:t xml:space="preserve">, 2025). Beauty technology matters because the cosmetics are personal products linked to appearance, identity and confidence of customer. Customers may use virtual </w:t>
      </w:r>
      <w:proofErr w:type="spellStart"/>
      <w:r>
        <w:rPr>
          <w:rFonts w:ascii="Times New Roman" w:eastAsia="Times New Roman" w:hAnsi="Times New Roman" w:cs="Times New Roman"/>
          <w:sz w:val="24"/>
          <w:szCs w:val="24"/>
        </w:rPr>
        <w:t>tryon</w:t>
      </w:r>
      <w:proofErr w:type="spellEnd"/>
      <w:r>
        <w:rPr>
          <w:rFonts w:ascii="Times New Roman" w:eastAsia="Times New Roman" w:hAnsi="Times New Roman" w:cs="Times New Roman"/>
          <w:sz w:val="24"/>
          <w:szCs w:val="24"/>
        </w:rPr>
        <w:t xml:space="preserve"> tools for reduce uncertainty before buying online while brands use AI for improve targeting customer and engagement. However, these benefits depend on the customers believe that the tools are accurate, usefu</w:t>
      </w:r>
      <w:r>
        <w:rPr>
          <w:rFonts w:ascii="Times New Roman" w:eastAsia="Times New Roman" w:hAnsi="Times New Roman" w:cs="Times New Roman"/>
          <w:sz w:val="24"/>
          <w:szCs w:val="24"/>
        </w:rPr>
        <w:t xml:space="preserve">l and safe. Research show that AI driven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can be improve value, satisfaction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intentions but privacy concerns, algorithmic opacity and weak transparency can reduce trust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xml:space="preserve">, 2026; </w:t>
      </w: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Gurme</w:t>
      </w:r>
      <w:proofErr w:type="spellEnd"/>
      <w:r>
        <w:rPr>
          <w:rFonts w:ascii="Times New Roman" w:eastAsia="Times New Roman" w:hAnsi="Times New Roman" w:cs="Times New Roman"/>
          <w:sz w:val="24"/>
          <w:szCs w:val="24"/>
        </w:rPr>
        <w:t>, 2026).</w:t>
      </w:r>
    </w:p>
    <w:p w14:paraId="7BE45AE5"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1.3 Problem statement</w:t>
      </w:r>
    </w:p>
    <w:p w14:paraId="0280055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central problem is that UK online cosmetic retailers may use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for increase engagement and sales but consumers may not trust these tools if they do not understand how their data and images, preferences or online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are collected and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and used. This matters because AI driven beauty tools rely on the consumer data for </w:t>
      </w:r>
      <w:proofErr w:type="spellStart"/>
      <w:r>
        <w:rPr>
          <w:rFonts w:ascii="Times New Roman" w:eastAsia="Times New Roman" w:hAnsi="Times New Roman" w:cs="Times New Roman"/>
          <w:sz w:val="24"/>
          <w:szCs w:val="24"/>
        </w:rPr>
        <w:t>personalise</w:t>
      </w:r>
      <w:proofErr w:type="spellEnd"/>
      <w:r>
        <w:rPr>
          <w:rFonts w:ascii="Times New Roman" w:eastAsia="Times New Roman" w:hAnsi="Times New Roman" w:cs="Times New Roman"/>
          <w:sz w:val="24"/>
          <w:szCs w:val="24"/>
        </w:rPr>
        <w:t xml:space="preserve"> recommendations, yet consumers may worry about data misuse, surveillance, algorithmic bias, manipulation or unrealistic beauty outcomes (Hermann, 2021;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Therefore, the issue </w:t>
      </w:r>
      <w:r>
        <w:rPr>
          <w:rFonts w:ascii="Times New Roman" w:eastAsia="Times New Roman" w:hAnsi="Times New Roman" w:cs="Times New Roman"/>
          <w:sz w:val="24"/>
          <w:szCs w:val="24"/>
        </w:rPr>
        <w:t xml:space="preserve">is not simply whether AI can </w:t>
      </w:r>
      <w:proofErr w:type="spellStart"/>
      <w:r>
        <w:rPr>
          <w:rFonts w:ascii="Times New Roman" w:eastAsia="Times New Roman" w:hAnsi="Times New Roman" w:cs="Times New Roman"/>
          <w:sz w:val="24"/>
          <w:szCs w:val="24"/>
        </w:rPr>
        <w:t>personalise</w:t>
      </w:r>
      <w:proofErr w:type="spellEnd"/>
      <w:r>
        <w:rPr>
          <w:rFonts w:ascii="Times New Roman" w:eastAsia="Times New Roman" w:hAnsi="Times New Roman" w:cs="Times New Roman"/>
          <w:sz w:val="24"/>
          <w:szCs w:val="24"/>
        </w:rPr>
        <w:t xml:space="preserve"> marketing. The deeper issue is whether transparency and privacy assurance build consumer trust, and whether that trust can influence purchase intention in UK online beauty retail.</w:t>
      </w:r>
    </w:p>
    <w:p w14:paraId="0459C814"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1.4 Aim, objectives, research questions and propositions</w:t>
      </w:r>
    </w:p>
    <w:p w14:paraId="035D6935"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is to examine how consumer trust in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influences purchase intention in UK online beauty retail. The objectives are: 1)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how transparency and privacy assurance influence consumer trust in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and 2) to evaluate how consumer trust influences purchase intention. RQ1 asks: How is the relationship between transparency/privacy assurance and consumer trust discussed in existing academic and industry literature on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cosmetic marketing? RQ2 asks: What evidence do </w:t>
      </w:r>
      <w:r>
        <w:rPr>
          <w:rFonts w:ascii="Times New Roman" w:eastAsia="Times New Roman" w:hAnsi="Times New Roman" w:cs="Times New Roman"/>
          <w:sz w:val="24"/>
          <w:szCs w:val="24"/>
        </w:rPr>
        <w:t xml:space="preserve">existing sources provide on the link between consumer trust in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marketing and purchase intention in the UK online beauty retail context? As this is a secondary qualitative dissertation, statistical hypotheses are not used. Instead, two propositions guide the analysis: transparency and privacy assurance are expected to appear as trust-building factors, and consumer trust as a link between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marketing and purchase intention.</w:t>
      </w:r>
    </w:p>
    <w:p w14:paraId="3199DABC"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1.5 Rationale/importance of the research</w:t>
      </w:r>
    </w:p>
    <w:p w14:paraId="76693141"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topic is important because the UK Government promotes AI adoption as a driver of growth and productivity, while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that trusted and responsible innovation is necessary for adoption (Department for Science, Innovation and Technology, 2025a; 2025b). It is also relevant because UK online advertising faces pressure around transparency, accountability and consumer protection (Department for Culture, Media and Sport, 2026). Commercially, the UK beauty and online retail market provides a suitable context because online channels are central to how consumers discover, compare and purchase beauty products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w:t>
      </w:r>
      <w:r>
        <w:rPr>
          <w:rFonts w:ascii="Times New Roman" w:eastAsia="Times New Roman" w:hAnsi="Times New Roman" w:cs="Times New Roman"/>
          <w:sz w:val="24"/>
          <w:szCs w:val="24"/>
        </w:rPr>
        <w:t xml:space="preserve">026a; 2026b). For businesses, the research can help cosmetic retailers use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marketing responsibly. For consumers, it highlights why privacy, transparency and control matter in digital beauty experiences.</w:t>
      </w:r>
    </w:p>
    <w:p w14:paraId="3C937E44"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1.6 Methodology</w:t>
      </w:r>
    </w:p>
    <w:p w14:paraId="015FCB4D"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dissertation will use secondary research. No primary data will be collected from human participants. Sources will include peer-reviewed journal articles, UK Government publications,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market reports, industry reports and brand examples such as Boots and </w:t>
      </w:r>
      <w:proofErr w:type="spellStart"/>
      <w:r>
        <w:rPr>
          <w:rFonts w:ascii="Times New Roman" w:eastAsia="Times New Roman" w:hAnsi="Times New Roman" w:cs="Times New Roman"/>
          <w:sz w:val="24"/>
          <w:szCs w:val="24"/>
        </w:rPr>
        <w:t>L'Oreal</w:t>
      </w:r>
      <w:proofErr w:type="spellEnd"/>
      <w:r>
        <w:rPr>
          <w:rFonts w:ascii="Times New Roman" w:eastAsia="Times New Roman" w:hAnsi="Times New Roman" w:cs="Times New Roman"/>
          <w:sz w:val="24"/>
          <w:szCs w:val="24"/>
        </w:rPr>
        <w:t xml:space="preserve"> Paris. The population is not individual consumers, but existing academic, government, industry and brand literature on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marketing, consumer trust and purchase intention. The sample will be selected purposively according to relevance, credibility, recency and connection to the research questions. A coding matrix will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evidence under themes. Data will be collected through desk-based searching and </w:t>
      </w:r>
      <w:proofErr w:type="spellStart"/>
      <w:r>
        <w:rPr>
          <w:rFonts w:ascii="Times New Roman" w:eastAsia="Times New Roman" w:hAnsi="Times New Roman" w:cs="Times New Roman"/>
          <w:sz w:val="24"/>
          <w:szCs w:val="24"/>
        </w:rPr>
        <w:t>anal</w:t>
      </w:r>
      <w:r>
        <w:rPr>
          <w:rFonts w:ascii="Times New Roman" w:eastAsia="Times New Roman" w:hAnsi="Times New Roman" w:cs="Times New Roman"/>
          <w:sz w:val="24"/>
          <w:szCs w:val="24"/>
        </w:rPr>
        <w:t>ysed</w:t>
      </w:r>
      <w:proofErr w:type="spellEnd"/>
      <w:r>
        <w:rPr>
          <w:rFonts w:ascii="Times New Roman" w:eastAsia="Times New Roman" w:hAnsi="Times New Roman" w:cs="Times New Roman"/>
          <w:sz w:val="24"/>
          <w:szCs w:val="24"/>
        </w:rPr>
        <w:t xml:space="preserve"> using content analysis and thematic discussion which are suitable for identifying repeated patterns in written sources.</w:t>
      </w:r>
    </w:p>
    <w:p w14:paraId="5306FF38"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1.7 Scope of the study</w:t>
      </w:r>
    </w:p>
    <w:p w14:paraId="4E79F4AA"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scope is limited to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in the UK online beauty retail context. It includes AI product recommendations, virtual try-on tools, targeted digital promotions and chatbot-supported beauty journeys. The study excludes AI in manufacturing, supply chains, medical beauty procedures and non-beauty sectors. International literature will be used only where it explains theory or transferable evidence, while UK sources will be </w:t>
      </w:r>
      <w:proofErr w:type="spellStart"/>
      <w:r>
        <w:rPr>
          <w:rFonts w:ascii="Times New Roman" w:eastAsia="Times New Roman" w:hAnsi="Times New Roman" w:cs="Times New Roman"/>
          <w:sz w:val="24"/>
          <w:szCs w:val="24"/>
        </w:rPr>
        <w:t>prioritised</w:t>
      </w:r>
      <w:proofErr w:type="spellEnd"/>
      <w:r>
        <w:rPr>
          <w:rFonts w:ascii="Times New Roman" w:eastAsia="Times New Roman" w:hAnsi="Times New Roman" w:cs="Times New Roman"/>
          <w:sz w:val="24"/>
          <w:szCs w:val="24"/>
        </w:rPr>
        <w:t xml:space="preserve"> for market and policy context.</w:t>
      </w:r>
    </w:p>
    <w:p w14:paraId="37AC0396"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1.8 Structure of the dissertation</w:t>
      </w:r>
    </w:p>
    <w:p w14:paraId="5D12658F"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Chapter 1 introduces the study, problem, aim, objectives, research questions, rationale, methodology and scope. Chapter 2 reviews AI marketing, beauty technology, transparency, privacy, trust, purchase intention and Privacy Calculus Theory. Chapter 3 explains methodology, source selection and content analysis. Chapter 4 discusses findings against both research questions. Chapter 5 concludes with findings, limitations and recommendations.</w:t>
      </w:r>
    </w:p>
    <w:p w14:paraId="25CF1783"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1.9 Summary of Chapter 1</w:t>
      </w:r>
    </w:p>
    <w:p w14:paraId="14C5BA0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established that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offers business value, but its success depends on consumer trust. The study investigates how sources discuss transparency, privacy assurance, trust and purchase intention in UK online beauty retail.</w:t>
      </w:r>
    </w:p>
    <w:p w14:paraId="007E9CA7" w14:textId="77777777" w:rsidR="00ED7A58" w:rsidRDefault="00D16022">
      <w:pPr>
        <w:rPr>
          <w:rFonts w:ascii="Times New Roman" w:eastAsia="Times New Roman" w:hAnsi="Times New Roman" w:cs="Times New Roman"/>
          <w:sz w:val="24"/>
          <w:szCs w:val="24"/>
        </w:rPr>
      </w:pPr>
      <w:r>
        <w:br w:type="page"/>
      </w:r>
    </w:p>
    <w:p w14:paraId="144C5AAF" w14:textId="77777777" w:rsidR="00ED7A58" w:rsidRDefault="00D1602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Chapter 2: Literature Review</w:t>
      </w:r>
    </w:p>
    <w:p w14:paraId="503F9EE7"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2.1 Introduction</w:t>
      </w:r>
    </w:p>
    <w:p w14:paraId="33BFD328"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reviews academic evidence on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cosmetic marketing, consumer trust and purchase intention. Following the systematic review style, the literature is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thematically rather than as the list of authors. The review first defines the background of AI marketing and beauty technology, then examines relevant theories, previous studies, research issues and literature current gaps. The purpose is to position the dissertation within current business and marketing knowledge and for show why trust is a critical issue in UK online b</w:t>
      </w:r>
      <w:r>
        <w:rPr>
          <w:rFonts w:ascii="Times New Roman" w:eastAsia="Times New Roman" w:hAnsi="Times New Roman" w:cs="Times New Roman"/>
          <w:sz w:val="24"/>
          <w:szCs w:val="24"/>
        </w:rPr>
        <w:t xml:space="preserve">eauty retail. The chapter focuses on two research questions: how transparency or privacy assurance and consumer trust are discussed in existing literature and what is evidence links trust in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with purchase intention. The literature indicates that AI can be improve the relevance, convenience and customer experience but its effectiveness depends on whether the consumers perceive AI systems as transparent, ethical and safe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2026).</w:t>
      </w:r>
    </w:p>
    <w:p w14:paraId="61146F7C"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2.2 Base theory of the sub-discipline/background aspects to the concept</w:t>
      </w:r>
    </w:p>
    <w:p w14:paraId="6805CC9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marketing belongs to the wider field of digital marketing and customer experience management. Huang and Rust (2021) explain that AI can support the marketing research, strategy and action through mechanical, thinking and also feeling intelligence. In this view, AI is not only an automation it also supports the segmentation, targeting,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and relationship building. Davenport et al. (2020) similarly argue that AI is likely to change both marketing strategies and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while it also creating policy concerns around privacy, bias and ethics. These perspectives are very important because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cosmetic marketing depends on consumer data, predictive analytics and on the automated recommendations.</w:t>
      </w:r>
    </w:p>
    <w:p w14:paraId="418700A5"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Vlacic</w:t>
      </w:r>
      <w:proofErr w:type="spellEnd"/>
      <w:r>
        <w:rPr>
          <w:rFonts w:ascii="Times New Roman" w:eastAsia="Times New Roman" w:hAnsi="Times New Roman" w:cs="Times New Roman"/>
          <w:sz w:val="24"/>
          <w:szCs w:val="24"/>
        </w:rPr>
        <w:t xml:space="preserve"> et al. (2021) define marketing AI as the artificial agents that use an information about consumers, competitors and the firm for suggest or take marketing actions. This definition fits with the current research title and research questions because online beauty retailers use data about searches, preferences, images, previous purchases and social media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for offer the tailor recommendations or promotional messages for customers. </w:t>
      </w:r>
      <w:proofErr w:type="spellStart"/>
      <w:r>
        <w:rPr>
          <w:rFonts w:ascii="Times New Roman" w:eastAsia="Times New Roman" w:hAnsi="Times New Roman" w:cs="Times New Roman"/>
          <w:sz w:val="24"/>
          <w:szCs w:val="24"/>
        </w:rPr>
        <w:t>Verma</w:t>
      </w:r>
      <w:proofErr w:type="spellEnd"/>
      <w:r>
        <w:rPr>
          <w:rFonts w:ascii="Times New Roman" w:eastAsia="Times New Roman" w:hAnsi="Times New Roman" w:cs="Times New Roman"/>
          <w:sz w:val="24"/>
          <w:szCs w:val="24"/>
        </w:rPr>
        <w:t xml:space="preserve"> et al. (2021) show that AI in marketing has become a major resear</w:t>
      </w:r>
      <w:r>
        <w:rPr>
          <w:rFonts w:ascii="Times New Roman" w:eastAsia="Times New Roman" w:hAnsi="Times New Roman" w:cs="Times New Roman"/>
          <w:sz w:val="24"/>
          <w:szCs w:val="24"/>
        </w:rPr>
        <w:t>ch area because it support customer attraction, customer retention and real time market intelligence. However, the same literature warns about that AI expansion requires focused research on customer facing consequences particularly in trust and ethical data use.</w:t>
      </w:r>
    </w:p>
    <w:p w14:paraId="7330857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Beauty retail makes the issue more specific. Cosmetics are visual, personal and linked to identity, appearance and confidence of person.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argue that in the UK and in the Ireland personal care and cosmetics sector is highly consumer driven and used of AI tools such as virtual try on, algorithmic recommendations and chatbot consultations are reshaping the consumer interaction in the market. Perret and </w:t>
      </w:r>
      <w:proofErr w:type="spellStart"/>
      <w:r>
        <w:rPr>
          <w:rFonts w:ascii="Times New Roman" w:eastAsia="Times New Roman" w:hAnsi="Times New Roman" w:cs="Times New Roman"/>
          <w:sz w:val="24"/>
          <w:szCs w:val="24"/>
        </w:rPr>
        <w:t>Schwientek</w:t>
      </w:r>
      <w:proofErr w:type="spellEnd"/>
      <w:r>
        <w:rPr>
          <w:rFonts w:ascii="Times New Roman" w:eastAsia="Times New Roman" w:hAnsi="Times New Roman" w:cs="Times New Roman"/>
          <w:sz w:val="24"/>
          <w:szCs w:val="24"/>
        </w:rPr>
        <w:t xml:space="preserve"> (2025) describe this as beauty tech in which cosmetics companies integrate augmented reality and artificial intelligence into digital and physical services for customers. For online beauty retail, AI may can reduce un</w:t>
      </w:r>
      <w:r>
        <w:rPr>
          <w:rFonts w:ascii="Times New Roman" w:eastAsia="Times New Roman" w:hAnsi="Times New Roman" w:cs="Times New Roman"/>
          <w:sz w:val="24"/>
          <w:szCs w:val="24"/>
        </w:rPr>
        <w:t xml:space="preserve">certainty because customers can test </w:t>
      </w:r>
      <w:proofErr w:type="spellStart"/>
      <w:r>
        <w:rPr>
          <w:rFonts w:ascii="Times New Roman" w:eastAsia="Times New Roman" w:hAnsi="Times New Roman" w:cs="Times New Roman"/>
          <w:sz w:val="24"/>
          <w:szCs w:val="24"/>
        </w:rPr>
        <w:t>colours</w:t>
      </w:r>
      <w:proofErr w:type="spellEnd"/>
      <w:r>
        <w:rPr>
          <w:rFonts w:ascii="Times New Roman" w:eastAsia="Times New Roman" w:hAnsi="Times New Roman" w:cs="Times New Roman"/>
          <w:sz w:val="24"/>
          <w:szCs w:val="24"/>
        </w:rPr>
        <w:t xml:space="preserve">, receive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advice or compare products digitally. However, this results in a twin problem because same data driven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that make life more convenient also have potential to cause customers for be concerned about invasions of privacy, surveillance and manipulation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2026).</w:t>
      </w:r>
    </w:p>
    <w:p w14:paraId="277D2A08"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2.3 Theoretical frameworks/models and related research issues</w:t>
      </w:r>
    </w:p>
    <w:p w14:paraId="07C23BDE"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theory used in this research is Privacy Calculus Theory. </w:t>
      </w:r>
      <w:proofErr w:type="spellStart"/>
      <w:r>
        <w:rPr>
          <w:rFonts w:ascii="Times New Roman" w:eastAsia="Times New Roman" w:hAnsi="Times New Roman" w:cs="Times New Roman"/>
          <w:sz w:val="24"/>
          <w:szCs w:val="24"/>
        </w:rPr>
        <w:t>Trepte</w:t>
      </w:r>
      <w:proofErr w:type="spellEnd"/>
      <w:r>
        <w:rPr>
          <w:rFonts w:ascii="Times New Roman" w:eastAsia="Times New Roman" w:hAnsi="Times New Roman" w:cs="Times New Roman"/>
          <w:sz w:val="24"/>
          <w:szCs w:val="24"/>
        </w:rPr>
        <w:t xml:space="preserve"> et al. (2017) explain that online users make disclosure decisions by balancing the perceived benefits against perceived privacy risks. This theory is highly relevant because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cosmetic marketing offer benefits such as convenience, accurate recommendations, virtual try on and faster decision making but also there is risks such as unclear data collection, image use, algorithmic profiling and loss of control. In beauty retail, customers may accept AI if the perceived value is greater than </w:t>
      </w:r>
      <w:r>
        <w:rPr>
          <w:rFonts w:ascii="Times New Roman" w:eastAsia="Times New Roman" w:hAnsi="Times New Roman" w:cs="Times New Roman"/>
          <w:sz w:val="24"/>
          <w:szCs w:val="24"/>
        </w:rPr>
        <w:t>the perceived privacy risk. However, if risks are poorly explained, trust may decline in the customers.</w:t>
      </w:r>
    </w:p>
    <w:p w14:paraId="417F67A6"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Privacy Calculus Theory is supported by recent AI customer experience literature.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xml:space="preserve"> (2026) present the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Privacy Value tension and argue that AI driven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can be create utilitarian, hedonic, emotional and relational value but privacy concerns, perceived surveillance and algorithmic bias can erode the trust of customer. This supports the first research question because transparency and privacy assurance become conditions for trust rather than optional features. </w:t>
      </w: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Gurme</w:t>
      </w:r>
      <w:proofErr w:type="spellEnd"/>
      <w:r>
        <w:rPr>
          <w:rFonts w:ascii="Times New Roman" w:eastAsia="Times New Roman" w:hAnsi="Times New Roman" w:cs="Times New Roman"/>
          <w:sz w:val="24"/>
          <w:szCs w:val="24"/>
        </w:rPr>
        <w:t xml:space="preserve"> (2026) also link the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with trust and privacy in s</w:t>
      </w:r>
      <w:r>
        <w:rPr>
          <w:rFonts w:ascii="Times New Roman" w:eastAsia="Times New Roman" w:hAnsi="Times New Roman" w:cs="Times New Roman"/>
          <w:sz w:val="24"/>
          <w:szCs w:val="24"/>
        </w:rPr>
        <w:t xml:space="preserve">ocial media marketing. They argue that the recommendation systems, predictive analytics and chatbots can be create </w:t>
      </w:r>
      <w:proofErr w:type="spellStart"/>
      <w:r>
        <w:rPr>
          <w:rFonts w:ascii="Times New Roman" w:eastAsia="Times New Roman" w:hAnsi="Times New Roman" w:cs="Times New Roman"/>
          <w:sz w:val="24"/>
          <w:szCs w:val="24"/>
        </w:rPr>
        <w:t>individualised</w:t>
      </w:r>
      <w:proofErr w:type="spellEnd"/>
      <w:r>
        <w:rPr>
          <w:rFonts w:ascii="Times New Roman" w:eastAsia="Times New Roman" w:hAnsi="Times New Roman" w:cs="Times New Roman"/>
          <w:sz w:val="24"/>
          <w:szCs w:val="24"/>
        </w:rPr>
        <w:t xml:space="preserve"> brand experiences but algorithmic opacity, data misuse and reduced autonomy can also undermine consumer reliability perceptions.</w:t>
      </w:r>
    </w:p>
    <w:p w14:paraId="4FB82764"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Stimulus-Organism-Response (SOR) model is also relevant in this research because In AI and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retail studies, the technology is often treated as the stimulus, consumer perceptions such as value, trust or satisfaction are the organism and purchase intention or continuance intention is the response (Yin and </w:t>
      </w:r>
      <w:proofErr w:type="spellStart"/>
      <w:r>
        <w:rPr>
          <w:rFonts w:ascii="Times New Roman" w:eastAsia="Times New Roman" w:hAnsi="Times New Roman" w:cs="Times New Roman"/>
          <w:sz w:val="24"/>
          <w:szCs w:val="24"/>
        </w:rPr>
        <w:t>Qiu</w:t>
      </w:r>
      <w:proofErr w:type="spellEnd"/>
      <w:r>
        <w:rPr>
          <w:rFonts w:ascii="Times New Roman" w:eastAsia="Times New Roman" w:hAnsi="Times New Roman" w:cs="Times New Roman"/>
          <w:sz w:val="24"/>
          <w:szCs w:val="24"/>
        </w:rPr>
        <w:t xml:space="preserve">, 2021; Gabriel et al., 2023). This is useful because it explains how the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may be influence internal consumer states before affecting buying intention. Nevertheless, Privacy Calculus Theory is more aligned with this research because the central concern is the </w:t>
      </w:r>
      <w:proofErr w:type="spellStart"/>
      <w:r>
        <w:rPr>
          <w:rFonts w:ascii="Times New Roman" w:eastAsia="Times New Roman" w:hAnsi="Times New Roman" w:cs="Times New Roman"/>
          <w:sz w:val="24"/>
          <w:szCs w:val="24"/>
        </w:rPr>
        <w:t>personal</w:t>
      </w:r>
      <w:r>
        <w:rPr>
          <w:rFonts w:ascii="Times New Roman" w:eastAsia="Times New Roman" w:hAnsi="Times New Roman" w:cs="Times New Roman"/>
          <w:sz w:val="24"/>
          <w:szCs w:val="24"/>
        </w:rPr>
        <w:t>isation</w:t>
      </w:r>
      <w:proofErr w:type="spellEnd"/>
      <w:r>
        <w:rPr>
          <w:rFonts w:ascii="Times New Roman" w:eastAsia="Times New Roman" w:hAnsi="Times New Roman" w:cs="Times New Roman"/>
          <w:sz w:val="24"/>
          <w:szCs w:val="24"/>
        </w:rPr>
        <w:t xml:space="preserve"> privacy tradeoff.</w:t>
      </w:r>
    </w:p>
    <w:p w14:paraId="66CC0A3B"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2.4 Previous studies and lessons learnt</w:t>
      </w:r>
    </w:p>
    <w:p w14:paraId="3CB170A5"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Previous studies show two connected streams. Critical studies that focus on privacy, openness and trust and the optimistic studies that highlight consumer experience and purchase intention. Positively, Yin and </w:t>
      </w:r>
      <w:proofErr w:type="spellStart"/>
      <w:r>
        <w:rPr>
          <w:rFonts w:ascii="Times New Roman" w:eastAsia="Times New Roman" w:hAnsi="Times New Roman" w:cs="Times New Roman"/>
          <w:sz w:val="24"/>
          <w:szCs w:val="24"/>
        </w:rPr>
        <w:t>Qiu</w:t>
      </w:r>
      <w:proofErr w:type="spellEnd"/>
      <w:r>
        <w:rPr>
          <w:rFonts w:ascii="Times New Roman" w:eastAsia="Times New Roman" w:hAnsi="Times New Roman" w:cs="Times New Roman"/>
          <w:sz w:val="24"/>
          <w:szCs w:val="24"/>
        </w:rPr>
        <w:t xml:space="preserve"> (2021) discovered that the AI technology in online purchase including accuracy, insight and interaction experience, is positively improves perceived utilitarian and also improve hedonic value which is ultimately supports purchase intention. This implies that when AI marketing makes the purchasing experience practical and satisfying, it can be also increase purchase intention. In the area of beauty technology, Perret and </w:t>
      </w:r>
      <w:proofErr w:type="spellStart"/>
      <w:r>
        <w:rPr>
          <w:rFonts w:ascii="Times New Roman" w:eastAsia="Times New Roman" w:hAnsi="Times New Roman" w:cs="Times New Roman"/>
          <w:sz w:val="24"/>
          <w:szCs w:val="24"/>
        </w:rPr>
        <w:t>Schwientek</w:t>
      </w:r>
      <w:proofErr w:type="spellEnd"/>
      <w:r>
        <w:rPr>
          <w:rFonts w:ascii="Times New Roman" w:eastAsia="Times New Roman" w:hAnsi="Times New Roman" w:cs="Times New Roman"/>
          <w:sz w:val="24"/>
          <w:szCs w:val="24"/>
        </w:rPr>
        <w:t xml:space="preserve"> (2025) introduce the similar conclusion. According to their research, cus</w:t>
      </w:r>
      <w:r>
        <w:rPr>
          <w:rFonts w:ascii="Times New Roman" w:eastAsia="Times New Roman" w:hAnsi="Times New Roman" w:cs="Times New Roman"/>
          <w:sz w:val="24"/>
          <w:szCs w:val="24"/>
        </w:rPr>
        <w:t xml:space="preserve">tomer happiness, purchase intention, advocacy and repurchase intention are all influenced by the utilitarian and hedonistic customer experiences which are shaped by interaction, informativeness,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and service quality.</w:t>
      </w:r>
    </w:p>
    <w:p w14:paraId="7E3B4367"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and virtual try on literature adds important detail. </w:t>
      </w:r>
      <w:proofErr w:type="spellStart"/>
      <w:r>
        <w:rPr>
          <w:rFonts w:ascii="Times New Roman" w:eastAsia="Times New Roman" w:hAnsi="Times New Roman" w:cs="Times New Roman"/>
          <w:sz w:val="24"/>
          <w:szCs w:val="24"/>
        </w:rPr>
        <w:t>Flavián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Ibáñez-Sánchez</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Orús</w:t>
      </w:r>
      <w:proofErr w:type="spellEnd"/>
      <w:r>
        <w:rPr>
          <w:rFonts w:ascii="Times New Roman" w:eastAsia="Times New Roman" w:hAnsi="Times New Roman" w:cs="Times New Roman"/>
          <w:sz w:val="24"/>
          <w:szCs w:val="24"/>
        </w:rPr>
        <w:t xml:space="preserve"> (2019) argue that virtual, augmented and mixed reality technologies create hybrid customer experiences across the customer journey. </w:t>
      </w:r>
      <w:proofErr w:type="spellStart"/>
      <w:r>
        <w:rPr>
          <w:rFonts w:ascii="Times New Roman" w:eastAsia="Times New Roman" w:hAnsi="Times New Roman" w:cs="Times New Roman"/>
          <w:sz w:val="24"/>
          <w:szCs w:val="24"/>
        </w:rPr>
        <w:t>Voicu</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Sîrghi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Toth</w:t>
      </w:r>
      <w:proofErr w:type="spellEnd"/>
      <w:r>
        <w:rPr>
          <w:rFonts w:ascii="Times New Roman" w:eastAsia="Times New Roman" w:hAnsi="Times New Roman" w:cs="Times New Roman"/>
          <w:sz w:val="24"/>
          <w:szCs w:val="24"/>
        </w:rPr>
        <w:t xml:space="preserve"> (2023) show that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apps in makeup e-shopping influence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through fit confidence, social value, innovativeness, immersion and utilitarian and hedonic value. Gabriel et al. (2023) similarly found that interactivity, novelty, hedonic value and the satisfa</w:t>
      </w:r>
      <w:r>
        <w:rPr>
          <w:rFonts w:ascii="Times New Roman" w:eastAsia="Times New Roman" w:hAnsi="Times New Roman" w:cs="Times New Roman"/>
          <w:sz w:val="24"/>
          <w:szCs w:val="24"/>
        </w:rPr>
        <w:t xml:space="preserve">ction influence continuance intention and that continuance intention significantly affect purchase intention of customers in fashion and beauty </w:t>
      </w:r>
      <w:proofErr w:type="spellStart"/>
      <w:r>
        <w:rPr>
          <w:rFonts w:ascii="Times New Roman" w:eastAsia="Times New Roman" w:hAnsi="Times New Roman" w:cs="Times New Roman"/>
          <w:sz w:val="24"/>
          <w:szCs w:val="24"/>
        </w:rPr>
        <w:t>ecommerce</w:t>
      </w:r>
      <w:proofErr w:type="spellEnd"/>
      <w:r>
        <w:rPr>
          <w:rFonts w:ascii="Times New Roman" w:eastAsia="Times New Roman" w:hAnsi="Times New Roman" w:cs="Times New Roman"/>
          <w:sz w:val="24"/>
          <w:szCs w:val="24"/>
        </w:rPr>
        <w:t>. These all of studies show that virtual try on and AI supported beauty tools can reduce product uncertainty and support to customer confidence. The lesson for this current research is that online beauty consumers may be more willing for buy when the technology help them imagine product fit before purchase.</w:t>
      </w:r>
    </w:p>
    <w:p w14:paraId="4295C1FA"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trust literature give more cautious interpretation.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found that the consumer trust in AI driven beauty solutions is influence because of the transparency, efficiency and ethical handle of AI technologies. They also argue that privacy concerns remain significant barrier for AI adoption in cosmetics and personal care. Cosmetic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may involve images, skin tone, preferences and sensitive appearance related information. Hermann (2021) strengthens this argument by show that AI in marketing creates ethical controversies because large </w:t>
      </w:r>
      <w:r>
        <w:rPr>
          <w:rFonts w:ascii="Times New Roman" w:eastAsia="Times New Roman" w:hAnsi="Times New Roman" w:cs="Times New Roman"/>
          <w:sz w:val="24"/>
          <w:szCs w:val="24"/>
        </w:rPr>
        <w:t xml:space="preserve">scale consumer data can be enable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offers but may also produce the privacy, discrimination and fairness concerns. Therefore, AI beauty marketing cannot be judged only based on commercial benefits.</w:t>
      </w:r>
    </w:p>
    <w:p w14:paraId="063F5B88"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media perspective is also significant because beauty consumers frequently discover products to buy through the influencers, targeted advertisements, TikTok and by Instagram. </w:t>
      </w: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Gurme</w:t>
      </w:r>
      <w:proofErr w:type="spellEnd"/>
      <w:r>
        <w:rPr>
          <w:rFonts w:ascii="Times New Roman" w:eastAsia="Times New Roman" w:hAnsi="Times New Roman" w:cs="Times New Roman"/>
          <w:sz w:val="24"/>
          <w:szCs w:val="24"/>
        </w:rPr>
        <w:t xml:space="preserve"> (2026) discovered consumer trust and perceived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increase loyalty while the privacy concerns have been detrimental impact on consumer responses. Their research also explain the  significance of ethical data use and transparent AI design in order for support sustainable engagement of customers. Chen et al. (2022), demonstrate that consumers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negative comments and when these customers read available online information of companies significantly influences their pur</w:t>
      </w:r>
      <w:r>
        <w:rPr>
          <w:rFonts w:ascii="Times New Roman" w:eastAsia="Times New Roman" w:hAnsi="Times New Roman" w:cs="Times New Roman"/>
          <w:sz w:val="24"/>
          <w:szCs w:val="24"/>
        </w:rPr>
        <w:t xml:space="preserve">chasing decisions. This is very significant because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beauty marketing can be undermine by distrust, negative reviews or concerns regarding AI fairness.</w:t>
      </w:r>
    </w:p>
    <w:p w14:paraId="47A71D5D"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conclusion from these research is that both AI and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solutions can improve the customer experience but consumer trust functions as a bridge between technology and customer purchase intention. Perret and </w:t>
      </w:r>
      <w:proofErr w:type="spellStart"/>
      <w:r>
        <w:rPr>
          <w:rFonts w:ascii="Times New Roman" w:eastAsia="Times New Roman" w:hAnsi="Times New Roman" w:cs="Times New Roman"/>
          <w:sz w:val="24"/>
          <w:szCs w:val="24"/>
        </w:rPr>
        <w:t>Schwientek</w:t>
      </w:r>
      <w:proofErr w:type="spellEnd"/>
      <w:r>
        <w:rPr>
          <w:rFonts w:ascii="Times New Roman" w:eastAsia="Times New Roman" w:hAnsi="Times New Roman" w:cs="Times New Roman"/>
          <w:sz w:val="24"/>
          <w:szCs w:val="24"/>
        </w:rPr>
        <w:t xml:space="preserve"> (2025), Yin and </w:t>
      </w:r>
      <w:proofErr w:type="spellStart"/>
      <w:r>
        <w:rPr>
          <w:rFonts w:ascii="Times New Roman" w:eastAsia="Times New Roman" w:hAnsi="Times New Roman" w:cs="Times New Roman"/>
          <w:sz w:val="24"/>
          <w:szCs w:val="24"/>
        </w:rPr>
        <w:t>Qiu</w:t>
      </w:r>
      <w:proofErr w:type="spellEnd"/>
      <w:r>
        <w:rPr>
          <w:rFonts w:ascii="Times New Roman" w:eastAsia="Times New Roman" w:hAnsi="Times New Roman" w:cs="Times New Roman"/>
          <w:sz w:val="24"/>
          <w:szCs w:val="24"/>
        </w:rPr>
        <w:t xml:space="preserve"> (2021), Gabriel et al. (2023) and </w:t>
      </w:r>
      <w:proofErr w:type="spellStart"/>
      <w:r>
        <w:rPr>
          <w:rFonts w:ascii="Times New Roman" w:eastAsia="Times New Roman" w:hAnsi="Times New Roman" w:cs="Times New Roman"/>
          <w:sz w:val="24"/>
          <w:szCs w:val="24"/>
        </w:rPr>
        <w:t>Voicu</w:t>
      </w:r>
      <w:proofErr w:type="spellEnd"/>
      <w:r>
        <w:rPr>
          <w:rFonts w:ascii="Times New Roman" w:eastAsia="Times New Roman" w:hAnsi="Times New Roman" w:cs="Times New Roman"/>
          <w:sz w:val="24"/>
          <w:szCs w:val="24"/>
        </w:rPr>
        <w:t xml:space="preserve"> et al. (2023) study the buyers’ value, satisfaction and purchase intention. However,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xml:space="preserve"> (2026), </w:t>
      </w: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Gurme</w:t>
      </w:r>
      <w:proofErr w:type="spellEnd"/>
      <w:r>
        <w:rPr>
          <w:rFonts w:ascii="Times New Roman" w:eastAsia="Times New Roman" w:hAnsi="Times New Roman" w:cs="Times New Roman"/>
          <w:sz w:val="24"/>
          <w:szCs w:val="24"/>
        </w:rPr>
        <w:t xml:space="preserve"> (2026) and Hermann (2021) show that consumers accept or not accept AI depending on privacy, transparency, bias and ethical g</w:t>
      </w:r>
      <w:r>
        <w:rPr>
          <w:rFonts w:ascii="Times New Roman" w:eastAsia="Times New Roman" w:hAnsi="Times New Roman" w:cs="Times New Roman"/>
          <w:sz w:val="24"/>
          <w:szCs w:val="24"/>
        </w:rPr>
        <w:t xml:space="preserve">overnance. Thus, the most balanced interpretation is that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may be support purchase intention when it is regarded to be beneficial, transparent, accurate and privacy protective by customers of brands.</w:t>
      </w:r>
    </w:p>
    <w:p w14:paraId="711E5206"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2.5 Gaps identified to situate own research</w:t>
      </w:r>
    </w:p>
    <w:p w14:paraId="333D96D5"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reviewed literature reveals four gaps. First of all, the majority of artificial intelligence marketing research is quite general and it </w:t>
      </w:r>
      <w:proofErr w:type="spellStart"/>
      <w:r>
        <w:rPr>
          <w:rFonts w:ascii="Times New Roman" w:eastAsia="Times New Roman" w:hAnsi="Times New Roman" w:cs="Times New Roman"/>
          <w:sz w:val="24"/>
          <w:szCs w:val="24"/>
        </w:rPr>
        <w:t>donot</w:t>
      </w:r>
      <w:proofErr w:type="spellEnd"/>
      <w:r>
        <w:rPr>
          <w:rFonts w:ascii="Times New Roman" w:eastAsia="Times New Roman" w:hAnsi="Times New Roman" w:cs="Times New Roman"/>
          <w:sz w:val="24"/>
          <w:szCs w:val="24"/>
        </w:rPr>
        <w:t xml:space="preserve"> concentrate very much on retail beauty or cosmetics industry (Davenport et al., 2020; </w:t>
      </w:r>
      <w:proofErr w:type="spellStart"/>
      <w:r>
        <w:rPr>
          <w:rFonts w:ascii="Times New Roman" w:eastAsia="Times New Roman" w:hAnsi="Times New Roman" w:cs="Times New Roman"/>
          <w:sz w:val="24"/>
          <w:szCs w:val="24"/>
        </w:rPr>
        <w:t>Verma</w:t>
      </w:r>
      <w:proofErr w:type="spellEnd"/>
      <w:r>
        <w:rPr>
          <w:rFonts w:ascii="Times New Roman" w:eastAsia="Times New Roman" w:hAnsi="Times New Roman" w:cs="Times New Roman"/>
          <w:sz w:val="24"/>
          <w:szCs w:val="24"/>
        </w:rPr>
        <w:t xml:space="preserve"> et al., 2021). Exist studies mainly examine broader </w:t>
      </w:r>
      <w:proofErr w:type="spellStart"/>
      <w:r>
        <w:rPr>
          <w:rFonts w:ascii="Times New Roman" w:eastAsia="Times New Roman" w:hAnsi="Times New Roman" w:cs="Times New Roman"/>
          <w:sz w:val="24"/>
          <w:szCs w:val="24"/>
        </w:rPr>
        <w:t>ecommerce</w:t>
      </w:r>
      <w:proofErr w:type="spellEnd"/>
      <w:r>
        <w:rPr>
          <w:rFonts w:ascii="Times New Roman" w:eastAsia="Times New Roman" w:hAnsi="Times New Roman" w:cs="Times New Roman"/>
          <w:sz w:val="24"/>
          <w:szCs w:val="24"/>
        </w:rPr>
        <w:t xml:space="preserve">, social media AI marketing or international online shopping rather than UK online beauty retail.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identify specific lack of research on how trust in AI develops within cosmetics industry. Secondly, researches on beauty technology frequently focus on the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pleasure and experience or on loyalty but they pay less attenti</w:t>
      </w:r>
      <w:r>
        <w:rPr>
          <w:rFonts w:ascii="Times New Roman" w:eastAsia="Times New Roman" w:hAnsi="Times New Roman" w:cs="Times New Roman"/>
          <w:sz w:val="24"/>
          <w:szCs w:val="24"/>
        </w:rPr>
        <w:t xml:space="preserve">on for the assurance of transparency and privacy (Perret and </w:t>
      </w:r>
      <w:proofErr w:type="spellStart"/>
      <w:r>
        <w:rPr>
          <w:rFonts w:ascii="Times New Roman" w:eastAsia="Times New Roman" w:hAnsi="Times New Roman" w:cs="Times New Roman"/>
          <w:sz w:val="24"/>
          <w:szCs w:val="24"/>
        </w:rPr>
        <w:t>Schwientek</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Voicu</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Sîrghi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Toth</w:t>
      </w:r>
      <w:proofErr w:type="spellEnd"/>
      <w:r>
        <w:rPr>
          <w:rFonts w:ascii="Times New Roman" w:eastAsia="Times New Roman" w:hAnsi="Times New Roman" w:cs="Times New Roman"/>
          <w:sz w:val="24"/>
          <w:szCs w:val="24"/>
        </w:rPr>
        <w:t>, 2023). Third, the privacy and trust studies highlight AI concerns but they are most not located in the UK online beauty retail industry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xml:space="preserve">, 2026; </w:t>
      </w: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Gurme</w:t>
      </w:r>
      <w:proofErr w:type="spellEnd"/>
      <w:r>
        <w:rPr>
          <w:rFonts w:ascii="Times New Roman" w:eastAsia="Times New Roman" w:hAnsi="Times New Roman" w:cs="Times New Roman"/>
          <w:sz w:val="24"/>
          <w:szCs w:val="24"/>
        </w:rPr>
        <w:t>, 2026). Fourth, existing evidence is fragment across academic articles, industry reports, government sources and brand examples. This research addresses the gap by using secondary research and content analysis to bring these sou</w:t>
      </w:r>
      <w:r>
        <w:rPr>
          <w:rFonts w:ascii="Times New Roman" w:eastAsia="Times New Roman" w:hAnsi="Times New Roman" w:cs="Times New Roman"/>
          <w:sz w:val="24"/>
          <w:szCs w:val="24"/>
        </w:rPr>
        <w:t>rces together and examine how transparency, privacy assurance, consumer trust and purchase intention are connected in UK online beauty retail.</w:t>
      </w:r>
    </w:p>
    <w:p w14:paraId="5CD03D5F" w14:textId="77777777" w:rsidR="00ED7A58" w:rsidRDefault="00ED7A58">
      <w:pPr>
        <w:spacing w:line="360" w:lineRule="auto"/>
        <w:rPr>
          <w:rFonts w:ascii="Times New Roman" w:eastAsia="Times New Roman" w:hAnsi="Times New Roman" w:cs="Times New Roman"/>
          <w:sz w:val="24"/>
          <w:szCs w:val="24"/>
        </w:rPr>
      </w:pPr>
    </w:p>
    <w:p w14:paraId="3BCF571B"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2.6 Summary of Chapter 2</w:t>
      </w:r>
    </w:p>
    <w:p w14:paraId="1C4D6860"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has shown that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sits between opportunity and risk. AI,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and virtual try on tools can improve customer experience, confidence and purchase intention when they provide useful, enjoyable support. However, literature also shows that trust is fragile when the customers are uncertain about data use, privacy protection, algorithmic bias or manipulation. Privacy Calculus Theory provides main theoretical lens because it explains how consumers compare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benefits with privacy risks. </w:t>
      </w:r>
      <w:r>
        <w:rPr>
          <w:rFonts w:ascii="Times New Roman" w:eastAsia="Times New Roman" w:hAnsi="Times New Roman" w:cs="Times New Roman"/>
          <w:sz w:val="24"/>
          <w:szCs w:val="24"/>
        </w:rPr>
        <w:t xml:space="preserve">Overall, the review supports the dissertation's focus on consumer trust as the key link between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marketing and purchase intention in UK online beauty retail.</w:t>
      </w:r>
    </w:p>
    <w:p w14:paraId="60A9DBE0" w14:textId="77777777" w:rsidR="00ED7A58" w:rsidRDefault="00D16022">
      <w:pPr>
        <w:rPr>
          <w:rFonts w:ascii="Times New Roman" w:eastAsia="Times New Roman" w:hAnsi="Times New Roman" w:cs="Times New Roman"/>
          <w:sz w:val="24"/>
          <w:szCs w:val="24"/>
        </w:rPr>
      </w:pPr>
      <w:r>
        <w:br w:type="page"/>
      </w:r>
    </w:p>
    <w:p w14:paraId="6F6518A2" w14:textId="77777777" w:rsidR="00ED7A58" w:rsidRDefault="00D1602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Chapter 3: Research Methods and Methodologies</w:t>
      </w:r>
    </w:p>
    <w:p w14:paraId="146EED26"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3.1 Introduction</w:t>
      </w:r>
    </w:p>
    <w:p w14:paraId="7E8C8CAA"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explains how the dissertation will be conducted. The study investigates how existing academic, government, market, industry and brand sources discuss consumer trust in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and purchase intention in UK online beauty retail. As the research questions ask what existing sources provide, the study is designed as secondary qualitative research rather than primary survey research. The chapter sets out the philosophical position, paradigm, approach, methodology, research strategy, sample, data collection, analysis and ethics.</w:t>
      </w:r>
    </w:p>
    <w:p w14:paraId="70FD48FF"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3.2 Philosophical position of the research and why</w:t>
      </w:r>
    </w:p>
    <w:p w14:paraId="3FE6466A"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philosophical position is critical realism. Critical realism is appropriate because the study accepts that real business issues exist, such as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privacy risk, transparency and consumer trust, but these issues are understood through interpretation of published evidence rather than direct measurement of consumers. This position fits the systematic review style because it allows the researcher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both visible evidence, such as brand AI tools and market reports, and deeper mechanisms, such as privacy assurance, perceived risk and ethical trust formation (Saunders, Lewis and </w:t>
      </w:r>
      <w:proofErr w:type="spellStart"/>
      <w:r>
        <w:rPr>
          <w:rFonts w:ascii="Times New Roman" w:eastAsia="Times New Roman" w:hAnsi="Times New Roman" w:cs="Times New Roman"/>
          <w:sz w:val="24"/>
          <w:szCs w:val="24"/>
        </w:rPr>
        <w:t>Thornhill</w:t>
      </w:r>
      <w:proofErr w:type="spellEnd"/>
      <w:r>
        <w:rPr>
          <w:rFonts w:ascii="Times New Roman" w:eastAsia="Times New Roman" w:hAnsi="Times New Roman" w:cs="Times New Roman"/>
          <w:sz w:val="24"/>
          <w:szCs w:val="24"/>
        </w:rPr>
        <w:t xml:space="preserve">, 2019; Bell, </w:t>
      </w:r>
      <w:proofErr w:type="spellStart"/>
      <w:r>
        <w:rPr>
          <w:rFonts w:ascii="Times New Roman" w:eastAsia="Times New Roman" w:hAnsi="Times New Roman" w:cs="Times New Roman"/>
          <w:sz w:val="24"/>
          <w:szCs w:val="24"/>
        </w:rPr>
        <w:t>Bryman</w:t>
      </w:r>
      <w:proofErr w:type="spellEnd"/>
      <w:r>
        <w:rPr>
          <w:rFonts w:ascii="Times New Roman" w:eastAsia="Times New Roman" w:hAnsi="Times New Roman" w:cs="Times New Roman"/>
          <w:sz w:val="24"/>
          <w:szCs w:val="24"/>
        </w:rPr>
        <w:t xml:space="preserve"> and Harley, 2019). O'Higg</w:t>
      </w:r>
      <w:r>
        <w:rPr>
          <w:rFonts w:ascii="Times New Roman" w:eastAsia="Times New Roman" w:hAnsi="Times New Roman" w:cs="Times New Roman"/>
          <w:sz w:val="24"/>
          <w:szCs w:val="24"/>
        </w:rPr>
        <w:t xml:space="preserve">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also use a critical realist view in a sector-specific review of AI trust in cosmetics, making this stance strongly aligned with this dissertation.</w:t>
      </w:r>
    </w:p>
    <w:p w14:paraId="00281A04"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3.3 Paradigm position of the research and why</w:t>
      </w:r>
    </w:p>
    <w:p w14:paraId="1D7AC633"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paradigm is a critical realist qualitative paradigm. It is not positivist because the dissertation will not test numerical hypotheses with primary respondents. It is also not purely </w:t>
      </w:r>
      <w:proofErr w:type="spellStart"/>
      <w:r>
        <w:rPr>
          <w:rFonts w:ascii="Times New Roman" w:eastAsia="Times New Roman" w:hAnsi="Times New Roman" w:cs="Times New Roman"/>
          <w:sz w:val="24"/>
          <w:szCs w:val="24"/>
        </w:rPr>
        <w:t>interpretivist</w:t>
      </w:r>
      <w:proofErr w:type="spellEnd"/>
      <w:r>
        <w:rPr>
          <w:rFonts w:ascii="Times New Roman" w:eastAsia="Times New Roman" w:hAnsi="Times New Roman" w:cs="Times New Roman"/>
          <w:sz w:val="24"/>
          <w:szCs w:val="24"/>
        </w:rPr>
        <w:t xml:space="preserve"> because the study does not only describe meanings and it compares evidence from journals, government reports, market data and brand examples to explain why trust may influence purchase intention. Therefore, this paradigm supports a balanced analysis of academic theory and practical business evidence.</w:t>
      </w:r>
    </w:p>
    <w:p w14:paraId="0A125598"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3.4 Position of research approach and why</w:t>
      </w:r>
    </w:p>
    <w:p w14:paraId="7C6A5985"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approach is </w:t>
      </w:r>
      <w:proofErr w:type="spellStart"/>
      <w:r>
        <w:rPr>
          <w:rFonts w:ascii="Times New Roman" w:eastAsia="Times New Roman" w:hAnsi="Times New Roman" w:cs="Times New Roman"/>
          <w:sz w:val="24"/>
          <w:szCs w:val="24"/>
        </w:rPr>
        <w:t>abductive</w:t>
      </w:r>
      <w:proofErr w:type="spellEnd"/>
      <w:r>
        <w:rPr>
          <w:rFonts w:ascii="Times New Roman" w:eastAsia="Times New Roman" w:hAnsi="Times New Roman" w:cs="Times New Roman"/>
          <w:sz w:val="24"/>
          <w:szCs w:val="24"/>
        </w:rPr>
        <w:t xml:space="preserve">. Abduction is suitable because the dissertation moves between theory and evidence. Privacy Calculus Theory provides the theoretical lens, while journal articles and industry sources provide evidence about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transparency, privacy, trust and purchase intention. This allows the study to develop an evidence-based explanation rather than only confirm or reject a fixed hypothesis (Saunders, Lewis and </w:t>
      </w:r>
      <w:proofErr w:type="spellStart"/>
      <w:r>
        <w:rPr>
          <w:rFonts w:ascii="Times New Roman" w:eastAsia="Times New Roman" w:hAnsi="Times New Roman" w:cs="Times New Roman"/>
          <w:sz w:val="24"/>
          <w:szCs w:val="24"/>
        </w:rPr>
        <w:t>Thornhill</w:t>
      </w:r>
      <w:proofErr w:type="spellEnd"/>
      <w:r>
        <w:rPr>
          <w:rFonts w:ascii="Times New Roman" w:eastAsia="Times New Roman" w:hAnsi="Times New Roman" w:cs="Times New Roman"/>
          <w:sz w:val="24"/>
          <w:szCs w:val="24"/>
        </w:rPr>
        <w:t>, 2019).</w:t>
      </w:r>
    </w:p>
    <w:p w14:paraId="16F93117"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3.5 Methodological stance of the research and why</w:t>
      </w:r>
    </w:p>
    <w:p w14:paraId="70DCF6E0"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methodological stance is secondary qualitative research. No questionnaires, interviews or experiments will be used. This is suitable because both research questions focus on existing academic and industry literature. Secondary research also allows comparison across multiple source types and is appropriate when the aim is to </w:t>
      </w:r>
      <w:proofErr w:type="spellStart"/>
      <w:r>
        <w:rPr>
          <w:rFonts w:ascii="Times New Roman" w:eastAsia="Times New Roman" w:hAnsi="Times New Roman" w:cs="Times New Roman"/>
          <w:sz w:val="24"/>
          <w:szCs w:val="24"/>
        </w:rPr>
        <w:t>synthesise</w:t>
      </w:r>
      <w:proofErr w:type="spellEnd"/>
      <w:r>
        <w:rPr>
          <w:rFonts w:ascii="Times New Roman" w:eastAsia="Times New Roman" w:hAnsi="Times New Roman" w:cs="Times New Roman"/>
          <w:sz w:val="24"/>
          <w:szCs w:val="24"/>
        </w:rPr>
        <w:t xml:space="preserve"> knowledge, identify themes and position a clear research gap (Snyder, 2019;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2026).</w:t>
      </w:r>
    </w:p>
    <w:p w14:paraId="67F7E011"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3.6 Stance of the research strategy and design and why</w:t>
      </w:r>
    </w:p>
    <w:p w14:paraId="2B5BCD36"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strategy is a desk based structured literature review with content analysis and thematic synthesis. This design follows the systematic review style. It uses transparent source selection, inclusion/exclusion criteria, coding and theme development. Content analysis is suitable because the data are written documents and thematic synthesis allows the study to compare recurring meanings across different sources (Snyder, 2019; </w:t>
      </w:r>
      <w:proofErr w:type="spellStart"/>
      <w:r>
        <w:rPr>
          <w:rFonts w:ascii="Times New Roman" w:eastAsia="Times New Roman" w:hAnsi="Times New Roman" w:cs="Times New Roman"/>
          <w:sz w:val="24"/>
          <w:szCs w:val="24"/>
        </w:rPr>
        <w:t>Vlačić</w:t>
      </w:r>
      <w:proofErr w:type="spellEnd"/>
      <w:r>
        <w:rPr>
          <w:rFonts w:ascii="Times New Roman" w:eastAsia="Times New Roman" w:hAnsi="Times New Roman" w:cs="Times New Roman"/>
          <w:sz w:val="24"/>
          <w:szCs w:val="24"/>
        </w:rPr>
        <w:t xml:space="preserve"> et al., 2021).</w:t>
      </w:r>
    </w:p>
    <w:p w14:paraId="7BDC4CB5"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Table 3.1: Theory and framework selection</w:t>
      </w:r>
    </w:p>
    <w:tbl>
      <w:tblPr>
        <w:tblStyle w:val="a3"/>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95"/>
        <w:gridCol w:w="2822"/>
        <w:gridCol w:w="3999"/>
      </w:tblGrid>
      <w:tr w:rsidR="00ED7A58" w14:paraId="1614B79F" w14:textId="77777777">
        <w:tc>
          <w:tcPr>
            <w:tcW w:w="2195" w:type="dxa"/>
          </w:tcPr>
          <w:p w14:paraId="4D77AF85"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Framework</w:t>
            </w:r>
          </w:p>
        </w:tc>
        <w:tc>
          <w:tcPr>
            <w:tcW w:w="2822" w:type="dxa"/>
          </w:tcPr>
          <w:p w14:paraId="03954D39"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Use in this dissertation</w:t>
            </w:r>
          </w:p>
        </w:tc>
        <w:tc>
          <w:tcPr>
            <w:tcW w:w="3999" w:type="dxa"/>
          </w:tcPr>
          <w:p w14:paraId="11C03743"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Reason for selection</w:t>
            </w:r>
          </w:p>
        </w:tc>
      </w:tr>
      <w:tr w:rsidR="00ED7A58" w14:paraId="2E2DD26D" w14:textId="77777777">
        <w:tc>
          <w:tcPr>
            <w:tcW w:w="2195" w:type="dxa"/>
          </w:tcPr>
          <w:p w14:paraId="33D4FDAB"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Privacy Calculus Theory</w:t>
            </w:r>
          </w:p>
        </w:tc>
        <w:tc>
          <w:tcPr>
            <w:tcW w:w="2822" w:type="dxa"/>
          </w:tcPr>
          <w:p w14:paraId="0D1457B9"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Main theory</w:t>
            </w:r>
          </w:p>
        </w:tc>
        <w:tc>
          <w:tcPr>
            <w:tcW w:w="3999" w:type="dxa"/>
          </w:tcPr>
          <w:p w14:paraId="60761C70"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Explains how consumers compare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benefits with privacy risks (</w:t>
            </w:r>
            <w:proofErr w:type="spellStart"/>
            <w:r>
              <w:rPr>
                <w:rFonts w:ascii="Times New Roman" w:eastAsia="Times New Roman" w:hAnsi="Times New Roman" w:cs="Times New Roman"/>
                <w:sz w:val="24"/>
                <w:szCs w:val="24"/>
              </w:rPr>
              <w:t>Trepte</w:t>
            </w:r>
            <w:proofErr w:type="spellEnd"/>
            <w:r>
              <w:rPr>
                <w:rFonts w:ascii="Times New Roman" w:eastAsia="Times New Roman" w:hAnsi="Times New Roman" w:cs="Times New Roman"/>
                <w:sz w:val="24"/>
                <w:szCs w:val="24"/>
              </w:rPr>
              <w:t xml:space="preserve"> et al., 2017).</w:t>
            </w:r>
          </w:p>
        </w:tc>
      </w:tr>
      <w:tr w:rsidR="00ED7A58" w14:paraId="56DDFB19" w14:textId="77777777">
        <w:tc>
          <w:tcPr>
            <w:tcW w:w="2195" w:type="dxa"/>
          </w:tcPr>
          <w:p w14:paraId="2EEE5BFE"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SOR model</w:t>
            </w:r>
          </w:p>
        </w:tc>
        <w:tc>
          <w:tcPr>
            <w:tcW w:w="2822" w:type="dxa"/>
          </w:tcPr>
          <w:p w14:paraId="094BE230"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model</w:t>
            </w:r>
          </w:p>
        </w:tc>
        <w:tc>
          <w:tcPr>
            <w:tcW w:w="3999" w:type="dxa"/>
          </w:tcPr>
          <w:p w14:paraId="3F3106C8"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Explains how AI/</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stimuli may shape value, trust and purchase intention (Yin and </w:t>
            </w:r>
            <w:proofErr w:type="spellStart"/>
            <w:r>
              <w:rPr>
                <w:rFonts w:ascii="Times New Roman" w:eastAsia="Times New Roman" w:hAnsi="Times New Roman" w:cs="Times New Roman"/>
                <w:sz w:val="24"/>
                <w:szCs w:val="24"/>
              </w:rPr>
              <w:t>Qiu</w:t>
            </w:r>
            <w:proofErr w:type="spellEnd"/>
            <w:r>
              <w:rPr>
                <w:rFonts w:ascii="Times New Roman" w:eastAsia="Times New Roman" w:hAnsi="Times New Roman" w:cs="Times New Roman"/>
                <w:sz w:val="24"/>
                <w:szCs w:val="24"/>
              </w:rPr>
              <w:t>, 2021; Gabriel et al., 2023).</w:t>
            </w:r>
          </w:p>
        </w:tc>
      </w:tr>
      <w:tr w:rsidR="00ED7A58" w14:paraId="37E93CD1" w14:textId="77777777">
        <w:tc>
          <w:tcPr>
            <w:tcW w:w="2195" w:type="dxa"/>
          </w:tcPr>
          <w:p w14:paraId="1CF6E31F"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AI marketing strategy framework</w:t>
            </w:r>
          </w:p>
        </w:tc>
        <w:tc>
          <w:tcPr>
            <w:tcW w:w="2822" w:type="dxa"/>
          </w:tcPr>
          <w:p w14:paraId="4673EB76"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Background framework</w:t>
            </w:r>
          </w:p>
        </w:tc>
        <w:tc>
          <w:tcPr>
            <w:tcW w:w="3999" w:type="dxa"/>
          </w:tcPr>
          <w:p w14:paraId="681CE77B"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Explains AI use in segmentation, targeting,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relationalisation</w:t>
            </w:r>
            <w:proofErr w:type="spellEnd"/>
            <w:r>
              <w:rPr>
                <w:rFonts w:ascii="Times New Roman" w:eastAsia="Times New Roman" w:hAnsi="Times New Roman" w:cs="Times New Roman"/>
                <w:sz w:val="24"/>
                <w:szCs w:val="24"/>
              </w:rPr>
              <w:t xml:space="preserve"> (Huang and Rust, 2021).</w:t>
            </w:r>
          </w:p>
        </w:tc>
      </w:tr>
    </w:tbl>
    <w:p w14:paraId="09CEDD52" w14:textId="77777777" w:rsidR="00ED7A58" w:rsidRDefault="00ED7A58">
      <w:pPr>
        <w:spacing w:line="360" w:lineRule="auto"/>
        <w:rPr>
          <w:rFonts w:ascii="Times New Roman" w:eastAsia="Times New Roman" w:hAnsi="Times New Roman" w:cs="Times New Roman"/>
          <w:sz w:val="24"/>
          <w:szCs w:val="24"/>
        </w:rPr>
      </w:pPr>
    </w:p>
    <w:p w14:paraId="600D3986"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3.7 Research sample and population</w:t>
      </w:r>
    </w:p>
    <w:p w14:paraId="7664C65B"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population is not individual consumers. The population is the body of existing literature and documents relating to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marketing, cosmetics, privacy, transparency, trust, purchase intention and UK online beauty retail. The sample will be selected purposively because sources must be relevant, credible, recent and connected to the research questions.</w:t>
      </w:r>
    </w:p>
    <w:p w14:paraId="131A9ADB"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Table 3.2: Planned source sample</w:t>
      </w:r>
    </w:p>
    <w:tbl>
      <w:tblPr>
        <w:tblStyle w:val="a4"/>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83"/>
        <w:gridCol w:w="1141"/>
        <w:gridCol w:w="4992"/>
      </w:tblGrid>
      <w:tr w:rsidR="00ED7A58" w14:paraId="4F0EDAD5" w14:textId="77777777">
        <w:tc>
          <w:tcPr>
            <w:tcW w:w="2883" w:type="dxa"/>
          </w:tcPr>
          <w:p w14:paraId="7EB37888"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Source type</w:t>
            </w:r>
          </w:p>
        </w:tc>
        <w:tc>
          <w:tcPr>
            <w:tcW w:w="1141" w:type="dxa"/>
          </w:tcPr>
          <w:p w14:paraId="4623E35B"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Number</w:t>
            </w:r>
          </w:p>
        </w:tc>
        <w:tc>
          <w:tcPr>
            <w:tcW w:w="4992" w:type="dxa"/>
          </w:tcPr>
          <w:p w14:paraId="69D5EDC0"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Purpose</w:t>
            </w:r>
          </w:p>
        </w:tc>
      </w:tr>
      <w:tr w:rsidR="00ED7A58" w14:paraId="731E3A9A" w14:textId="77777777">
        <w:tc>
          <w:tcPr>
            <w:tcW w:w="2883" w:type="dxa"/>
          </w:tcPr>
          <w:p w14:paraId="07EDEF6E"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Peer-reviewed journal articles</w:t>
            </w:r>
          </w:p>
        </w:tc>
        <w:tc>
          <w:tcPr>
            <w:tcW w:w="1141" w:type="dxa"/>
          </w:tcPr>
          <w:p w14:paraId="4E06FE7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4992" w:type="dxa"/>
          </w:tcPr>
          <w:p w14:paraId="7D5CFB36"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Academic foundation on AI marketing, beauty tech, trust, privacy and purchase intention.</w:t>
            </w:r>
          </w:p>
        </w:tc>
      </w:tr>
      <w:tr w:rsidR="00ED7A58" w14:paraId="73A7E6E2" w14:textId="77777777">
        <w:tc>
          <w:tcPr>
            <w:tcW w:w="2883" w:type="dxa"/>
          </w:tcPr>
          <w:p w14:paraId="69BB2D0A" w14:textId="77777777" w:rsidR="00ED7A58" w:rsidRDefault="00D16022">
            <w:pPr>
              <w:spacing w:after="16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reports</w:t>
            </w:r>
          </w:p>
        </w:tc>
        <w:tc>
          <w:tcPr>
            <w:tcW w:w="1141" w:type="dxa"/>
          </w:tcPr>
          <w:p w14:paraId="4CBBC5A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992" w:type="dxa"/>
          </w:tcPr>
          <w:p w14:paraId="5A9A7C85"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UK beauty, cosmetics and e-commerce market context.</w:t>
            </w:r>
          </w:p>
        </w:tc>
      </w:tr>
      <w:tr w:rsidR="00ED7A58" w14:paraId="64C6ED9A" w14:textId="77777777">
        <w:tc>
          <w:tcPr>
            <w:tcW w:w="2883" w:type="dxa"/>
          </w:tcPr>
          <w:p w14:paraId="0B5173E0"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UK Government reports</w:t>
            </w:r>
          </w:p>
        </w:tc>
        <w:tc>
          <w:tcPr>
            <w:tcW w:w="1141" w:type="dxa"/>
          </w:tcPr>
          <w:p w14:paraId="4ED710F2"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992" w:type="dxa"/>
          </w:tcPr>
          <w:p w14:paraId="2BB1F313"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AI adoption, responsible innovation and online advertising transparency.</w:t>
            </w:r>
          </w:p>
        </w:tc>
      </w:tr>
      <w:tr w:rsidR="00ED7A58" w14:paraId="2A395B0A" w14:textId="77777777">
        <w:tc>
          <w:tcPr>
            <w:tcW w:w="2883" w:type="dxa"/>
          </w:tcPr>
          <w:p w14:paraId="3E9614A5"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Business/industry reports</w:t>
            </w:r>
          </w:p>
        </w:tc>
        <w:tc>
          <w:tcPr>
            <w:tcW w:w="1141" w:type="dxa"/>
          </w:tcPr>
          <w:p w14:paraId="1EA2E6C5"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992" w:type="dxa"/>
          </w:tcPr>
          <w:p w14:paraId="6A7BCB76"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Practical evidence on AI, beauty retail and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w:t>
            </w:r>
          </w:p>
        </w:tc>
      </w:tr>
      <w:tr w:rsidR="00ED7A58" w14:paraId="1C2D999E" w14:textId="77777777">
        <w:tc>
          <w:tcPr>
            <w:tcW w:w="2883" w:type="dxa"/>
          </w:tcPr>
          <w:p w14:paraId="75665B0F"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Brand examples</w:t>
            </w:r>
          </w:p>
        </w:tc>
        <w:tc>
          <w:tcPr>
            <w:tcW w:w="1141" w:type="dxa"/>
          </w:tcPr>
          <w:p w14:paraId="72C032C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992" w:type="dxa"/>
          </w:tcPr>
          <w:p w14:paraId="5268DE86"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Boots and L'Oréal Paris virtual beauty tools.</w:t>
            </w:r>
          </w:p>
        </w:tc>
      </w:tr>
      <w:tr w:rsidR="00ED7A58" w14:paraId="06254760" w14:textId="77777777">
        <w:tc>
          <w:tcPr>
            <w:tcW w:w="2883" w:type="dxa"/>
          </w:tcPr>
          <w:p w14:paraId="1C6AFB32"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Methods/theory sources</w:t>
            </w:r>
          </w:p>
        </w:tc>
        <w:tc>
          <w:tcPr>
            <w:tcW w:w="1141" w:type="dxa"/>
          </w:tcPr>
          <w:p w14:paraId="4F337ADD"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4992" w:type="dxa"/>
          </w:tcPr>
          <w:p w14:paraId="04FD57FD"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design, secondary research, content analysis and Privacy Calculus Theory.</w:t>
            </w:r>
          </w:p>
        </w:tc>
      </w:tr>
    </w:tbl>
    <w:p w14:paraId="5F2FE5C5" w14:textId="77777777" w:rsidR="00ED7A58" w:rsidRDefault="00ED7A58">
      <w:pPr>
        <w:spacing w:line="360" w:lineRule="auto"/>
        <w:rPr>
          <w:rFonts w:ascii="Times New Roman" w:eastAsia="Times New Roman" w:hAnsi="Times New Roman" w:cs="Times New Roman"/>
          <w:sz w:val="24"/>
          <w:szCs w:val="24"/>
        </w:rPr>
      </w:pPr>
    </w:p>
    <w:p w14:paraId="4B8EA3BD"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Table 3.3: Source screening process</w:t>
      </w:r>
    </w:p>
    <w:tbl>
      <w:tblPr>
        <w:tblStyle w:val="a5"/>
        <w:tblW w:w="9016"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03"/>
        <w:gridCol w:w="1722"/>
        <w:gridCol w:w="4991"/>
      </w:tblGrid>
      <w:tr w:rsidR="00ED7A58" w14:paraId="5AEB18CE" w14:textId="77777777">
        <w:trPr>
          <w:cantSplit/>
          <w:jc w:val="center"/>
        </w:trPr>
        <w:tc>
          <w:tcPr>
            <w:tcW w:w="2303" w:type="dxa"/>
            <w:tcBorders>
              <w:top w:val="single" w:sz="4" w:space="0" w:color="000000"/>
              <w:left w:val="single" w:sz="4" w:space="0" w:color="000000"/>
              <w:bottom w:val="single" w:sz="4" w:space="0" w:color="000000"/>
              <w:right w:val="single" w:sz="4" w:space="0" w:color="000000"/>
            </w:tcBorders>
            <w:vAlign w:val="center"/>
          </w:tcPr>
          <w:p w14:paraId="3A2C5616"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Stage</w:t>
            </w:r>
          </w:p>
        </w:tc>
        <w:tc>
          <w:tcPr>
            <w:tcW w:w="1722" w:type="dxa"/>
            <w:tcBorders>
              <w:top w:val="single" w:sz="4" w:space="0" w:color="000000"/>
              <w:left w:val="single" w:sz="4" w:space="0" w:color="000000"/>
              <w:bottom w:val="single" w:sz="4" w:space="0" w:color="000000"/>
              <w:right w:val="single" w:sz="4" w:space="0" w:color="000000"/>
            </w:tcBorders>
            <w:vAlign w:val="center"/>
          </w:tcPr>
          <w:p w14:paraId="51EF6E52"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Number of sources</w:t>
            </w:r>
          </w:p>
        </w:tc>
        <w:tc>
          <w:tcPr>
            <w:tcW w:w="4991" w:type="dxa"/>
            <w:tcBorders>
              <w:top w:val="single" w:sz="4" w:space="0" w:color="000000"/>
              <w:left w:val="single" w:sz="4" w:space="0" w:color="000000"/>
              <w:bottom w:val="single" w:sz="4" w:space="0" w:color="000000"/>
              <w:right w:val="single" w:sz="4" w:space="0" w:color="000000"/>
            </w:tcBorders>
            <w:vAlign w:val="center"/>
          </w:tcPr>
          <w:p w14:paraId="696821F1"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Reason</w:t>
            </w:r>
          </w:p>
        </w:tc>
      </w:tr>
      <w:tr w:rsidR="00ED7A58" w14:paraId="1652EDAC" w14:textId="77777777">
        <w:trPr>
          <w:cantSplit/>
          <w:jc w:val="center"/>
        </w:trPr>
        <w:tc>
          <w:tcPr>
            <w:tcW w:w="2303" w:type="dxa"/>
            <w:tcBorders>
              <w:top w:val="single" w:sz="4" w:space="0" w:color="000000"/>
              <w:left w:val="single" w:sz="4" w:space="0" w:color="000000"/>
              <w:bottom w:val="single" w:sz="4" w:space="0" w:color="000000"/>
              <w:right w:val="single" w:sz="4" w:space="0" w:color="000000"/>
            </w:tcBorders>
            <w:vAlign w:val="center"/>
          </w:tcPr>
          <w:p w14:paraId="0823732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Sources initially identified</w:t>
            </w:r>
          </w:p>
        </w:tc>
        <w:tc>
          <w:tcPr>
            <w:tcW w:w="1722" w:type="dxa"/>
            <w:tcBorders>
              <w:top w:val="single" w:sz="4" w:space="0" w:color="000000"/>
              <w:left w:val="single" w:sz="4" w:space="0" w:color="000000"/>
              <w:bottom w:val="single" w:sz="4" w:space="0" w:color="000000"/>
              <w:right w:val="single" w:sz="4" w:space="0" w:color="000000"/>
            </w:tcBorders>
            <w:vAlign w:val="center"/>
          </w:tcPr>
          <w:p w14:paraId="53054A40"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52</w:t>
            </w:r>
          </w:p>
        </w:tc>
        <w:tc>
          <w:tcPr>
            <w:tcW w:w="4991" w:type="dxa"/>
            <w:tcBorders>
              <w:top w:val="single" w:sz="4" w:space="0" w:color="000000"/>
              <w:left w:val="single" w:sz="4" w:space="0" w:color="000000"/>
              <w:bottom w:val="single" w:sz="4" w:space="0" w:color="000000"/>
              <w:right w:val="single" w:sz="4" w:space="0" w:color="000000"/>
            </w:tcBorders>
            <w:vAlign w:val="center"/>
          </w:tcPr>
          <w:p w14:paraId="0CFE641A"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Found through Google Scholar, ScienceDirect, Taylor &amp; Francis, MDPI, gov.uk,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and industry websites.</w:t>
            </w:r>
          </w:p>
        </w:tc>
      </w:tr>
      <w:tr w:rsidR="00ED7A58" w14:paraId="2D231910" w14:textId="77777777">
        <w:trPr>
          <w:cantSplit/>
          <w:jc w:val="center"/>
        </w:trPr>
        <w:tc>
          <w:tcPr>
            <w:tcW w:w="2303" w:type="dxa"/>
            <w:tcBorders>
              <w:top w:val="single" w:sz="4" w:space="0" w:color="000000"/>
              <w:left w:val="single" w:sz="4" w:space="0" w:color="000000"/>
              <w:bottom w:val="single" w:sz="4" w:space="0" w:color="000000"/>
              <w:right w:val="single" w:sz="4" w:space="0" w:color="000000"/>
            </w:tcBorders>
            <w:vAlign w:val="center"/>
          </w:tcPr>
          <w:p w14:paraId="0674AA1E"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Removed as irrelevant</w:t>
            </w:r>
          </w:p>
        </w:tc>
        <w:tc>
          <w:tcPr>
            <w:tcW w:w="1722" w:type="dxa"/>
            <w:tcBorders>
              <w:top w:val="single" w:sz="4" w:space="0" w:color="000000"/>
              <w:left w:val="single" w:sz="4" w:space="0" w:color="000000"/>
              <w:bottom w:val="single" w:sz="4" w:space="0" w:color="000000"/>
              <w:right w:val="single" w:sz="4" w:space="0" w:color="000000"/>
            </w:tcBorders>
            <w:vAlign w:val="center"/>
          </w:tcPr>
          <w:p w14:paraId="44AEF114"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4991" w:type="dxa"/>
            <w:tcBorders>
              <w:top w:val="single" w:sz="4" w:space="0" w:color="000000"/>
              <w:left w:val="single" w:sz="4" w:space="0" w:color="000000"/>
              <w:bottom w:val="single" w:sz="4" w:space="0" w:color="000000"/>
              <w:right w:val="single" w:sz="4" w:space="0" w:color="000000"/>
            </w:tcBorders>
            <w:vAlign w:val="center"/>
          </w:tcPr>
          <w:p w14:paraId="06635E3E"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Not focused on AI, trust, privacy, beauty retail or purchase intention.</w:t>
            </w:r>
          </w:p>
        </w:tc>
      </w:tr>
      <w:tr w:rsidR="00ED7A58" w14:paraId="55C5DED3" w14:textId="77777777">
        <w:trPr>
          <w:cantSplit/>
          <w:jc w:val="center"/>
        </w:trPr>
        <w:tc>
          <w:tcPr>
            <w:tcW w:w="2303" w:type="dxa"/>
            <w:tcBorders>
              <w:top w:val="single" w:sz="4" w:space="0" w:color="000000"/>
              <w:left w:val="single" w:sz="4" w:space="0" w:color="000000"/>
              <w:bottom w:val="single" w:sz="4" w:space="0" w:color="000000"/>
              <w:right w:val="single" w:sz="4" w:space="0" w:color="000000"/>
            </w:tcBorders>
            <w:vAlign w:val="center"/>
          </w:tcPr>
          <w:p w14:paraId="3685388E"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Removed as weak/duplicate</w:t>
            </w:r>
          </w:p>
        </w:tc>
        <w:tc>
          <w:tcPr>
            <w:tcW w:w="1722" w:type="dxa"/>
            <w:tcBorders>
              <w:top w:val="single" w:sz="4" w:space="0" w:color="000000"/>
              <w:left w:val="single" w:sz="4" w:space="0" w:color="000000"/>
              <w:bottom w:val="single" w:sz="4" w:space="0" w:color="000000"/>
              <w:right w:val="single" w:sz="4" w:space="0" w:color="000000"/>
            </w:tcBorders>
            <w:vAlign w:val="center"/>
          </w:tcPr>
          <w:p w14:paraId="2FD76CD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4991" w:type="dxa"/>
            <w:tcBorders>
              <w:top w:val="single" w:sz="4" w:space="0" w:color="000000"/>
              <w:left w:val="single" w:sz="4" w:space="0" w:color="000000"/>
              <w:bottom w:val="single" w:sz="4" w:space="0" w:color="000000"/>
              <w:right w:val="single" w:sz="4" w:space="0" w:color="000000"/>
            </w:tcBorders>
            <w:vAlign w:val="center"/>
          </w:tcPr>
          <w:p w14:paraId="767731FE"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Blogs, weak websites, duplicates or non-academic sources.</w:t>
            </w:r>
          </w:p>
        </w:tc>
      </w:tr>
      <w:tr w:rsidR="00ED7A58" w14:paraId="19D5AA26" w14:textId="77777777">
        <w:trPr>
          <w:cantSplit/>
          <w:jc w:val="center"/>
        </w:trPr>
        <w:tc>
          <w:tcPr>
            <w:tcW w:w="2303" w:type="dxa"/>
            <w:tcBorders>
              <w:top w:val="single" w:sz="4" w:space="0" w:color="000000"/>
              <w:left w:val="single" w:sz="4" w:space="0" w:color="000000"/>
              <w:bottom w:val="single" w:sz="4" w:space="0" w:color="000000"/>
              <w:right w:val="single" w:sz="4" w:space="0" w:color="000000"/>
            </w:tcBorders>
            <w:vAlign w:val="center"/>
          </w:tcPr>
          <w:p w14:paraId="230220BE"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Final sources included</w:t>
            </w:r>
          </w:p>
        </w:tc>
        <w:tc>
          <w:tcPr>
            <w:tcW w:w="1722" w:type="dxa"/>
            <w:tcBorders>
              <w:top w:val="single" w:sz="4" w:space="0" w:color="000000"/>
              <w:left w:val="single" w:sz="4" w:space="0" w:color="000000"/>
              <w:bottom w:val="single" w:sz="4" w:space="0" w:color="000000"/>
              <w:right w:val="single" w:sz="4" w:space="0" w:color="000000"/>
            </w:tcBorders>
            <w:vAlign w:val="center"/>
          </w:tcPr>
          <w:p w14:paraId="23AED591"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4991" w:type="dxa"/>
            <w:tcBorders>
              <w:top w:val="single" w:sz="4" w:space="0" w:color="000000"/>
              <w:left w:val="single" w:sz="4" w:space="0" w:color="000000"/>
              <w:bottom w:val="single" w:sz="4" w:space="0" w:color="000000"/>
              <w:right w:val="single" w:sz="4" w:space="0" w:color="000000"/>
            </w:tcBorders>
            <w:vAlign w:val="center"/>
          </w:tcPr>
          <w:p w14:paraId="0543EC8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Best match with research questions and dissertation scope.</w:t>
            </w:r>
          </w:p>
        </w:tc>
      </w:tr>
    </w:tbl>
    <w:p w14:paraId="34ED22A3" w14:textId="77777777" w:rsidR="00ED7A58" w:rsidRDefault="00ED7A58">
      <w:pPr>
        <w:spacing w:line="360" w:lineRule="auto"/>
        <w:rPr>
          <w:rFonts w:ascii="Times New Roman" w:eastAsia="Times New Roman" w:hAnsi="Times New Roman" w:cs="Times New Roman"/>
          <w:sz w:val="24"/>
          <w:szCs w:val="24"/>
        </w:rPr>
      </w:pPr>
    </w:p>
    <w:p w14:paraId="08568EDA"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3.8 Data collection and data analysis tools/techniques</w:t>
      </w:r>
    </w:p>
    <w:p w14:paraId="7BB2E72E"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will be collected through desk-based searching of academic databases and credible websites, including Google Scholar, ScienceDirect, Taylor &amp; Francis, MDPI, gov.uk,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McKinsey, Boots and L'Oréal Paris. Search terms will include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consumer trust, privacy assurance, AI transparency, beauty tech, virtual try-on, cosmetic marketing and purchase intention. The data collection tool will be a source matrix recording author, year, source type, aim, method, key findings, relevance to RQ1/RQ2 and limitations.</w:t>
      </w:r>
    </w:p>
    <w:p w14:paraId="195BD370"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Table 3.4: Inclusion and exclusion criteria</w:t>
      </w:r>
    </w:p>
    <w:tbl>
      <w:tblPr>
        <w:tblStyle w:val="a6"/>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1"/>
        <w:gridCol w:w="4505"/>
      </w:tblGrid>
      <w:tr w:rsidR="00ED7A58" w14:paraId="0047D4B4" w14:textId="77777777">
        <w:tc>
          <w:tcPr>
            <w:tcW w:w="4511" w:type="dxa"/>
          </w:tcPr>
          <w:p w14:paraId="72CB2F99"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Inclusion criteria</w:t>
            </w:r>
          </w:p>
        </w:tc>
        <w:tc>
          <w:tcPr>
            <w:tcW w:w="4505" w:type="dxa"/>
          </w:tcPr>
          <w:p w14:paraId="77EDFE75"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Exclusion criteria</w:t>
            </w:r>
          </w:p>
        </w:tc>
      </w:tr>
      <w:tr w:rsidR="00ED7A58" w14:paraId="426035A2" w14:textId="77777777">
        <w:tc>
          <w:tcPr>
            <w:tcW w:w="4511" w:type="dxa"/>
          </w:tcPr>
          <w:p w14:paraId="5EB7BD2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Peer-reviewed, government, market, industry, brand or methods sources.</w:t>
            </w:r>
          </w:p>
        </w:tc>
        <w:tc>
          <w:tcPr>
            <w:tcW w:w="4505" w:type="dxa"/>
          </w:tcPr>
          <w:p w14:paraId="49E0711D"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Blogs, weak websites, opinion posts or unclear authorship.</w:t>
            </w:r>
          </w:p>
        </w:tc>
      </w:tr>
      <w:tr w:rsidR="00ED7A58" w14:paraId="62F0BE30" w14:textId="77777777">
        <w:tc>
          <w:tcPr>
            <w:tcW w:w="4511" w:type="dxa"/>
          </w:tcPr>
          <w:p w14:paraId="7FF6685B"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Mostly 2020-2026, except key theory/method sources.</w:t>
            </w:r>
          </w:p>
        </w:tc>
        <w:tc>
          <w:tcPr>
            <w:tcW w:w="4505" w:type="dxa"/>
          </w:tcPr>
          <w:p w14:paraId="2B0E697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Outdated sources unless theoretically important.</w:t>
            </w:r>
          </w:p>
        </w:tc>
      </w:tr>
      <w:tr w:rsidR="00ED7A58" w14:paraId="4A59F4BE" w14:textId="77777777">
        <w:tc>
          <w:tcPr>
            <w:tcW w:w="4511" w:type="dxa"/>
          </w:tcPr>
          <w:p w14:paraId="48BD2DF9"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Direct link to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trust, privacy, transparency or purchase intention.</w:t>
            </w:r>
          </w:p>
        </w:tc>
        <w:tc>
          <w:tcPr>
            <w:tcW w:w="4505" w:type="dxa"/>
          </w:tcPr>
          <w:p w14:paraId="1C9990EF"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Sources about AI manufacturing, supply chain or medical beauty only.</w:t>
            </w:r>
          </w:p>
        </w:tc>
      </w:tr>
      <w:tr w:rsidR="00ED7A58" w14:paraId="235530E7" w14:textId="77777777">
        <w:tc>
          <w:tcPr>
            <w:tcW w:w="4511" w:type="dxa"/>
          </w:tcPr>
          <w:p w14:paraId="780F07A5"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English-language and credible sources.</w:t>
            </w:r>
          </w:p>
        </w:tc>
        <w:tc>
          <w:tcPr>
            <w:tcW w:w="4505" w:type="dxa"/>
          </w:tcPr>
          <w:p w14:paraId="73A530FC"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Non-English or duplicate sources.</w:t>
            </w:r>
          </w:p>
        </w:tc>
      </w:tr>
    </w:tbl>
    <w:p w14:paraId="1641E36A" w14:textId="77777777" w:rsidR="00ED7A58" w:rsidRDefault="00ED7A58">
      <w:pPr>
        <w:spacing w:line="360" w:lineRule="auto"/>
        <w:rPr>
          <w:rFonts w:ascii="Times New Roman" w:eastAsia="Times New Roman" w:hAnsi="Times New Roman" w:cs="Times New Roman"/>
          <w:sz w:val="24"/>
          <w:szCs w:val="24"/>
        </w:rPr>
      </w:pPr>
    </w:p>
    <w:p w14:paraId="78BE16A5"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using content analysis. Key phrases and meanings will be coded under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transparency, privacy assurance, consumer trust, beauty tech/virtual try-on and purchase intention. Thematic synthesis will then compare how sources agree, disagree or leave gaps. This method directly answers RQ1 by identifying how transparency/privacy assurance and trust are discussed, and RQ2 by examining evidence linking trust with purchase intention.</w:t>
      </w:r>
    </w:p>
    <w:p w14:paraId="2F77C089"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3.9 Ethical consideration of the research</w:t>
      </w:r>
    </w:p>
    <w:p w14:paraId="202226B5"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is low ethical risk because no primary human participants are involved. However, ethical practice still matters. The study will use proper Harvard referencing, avoid plagiarism, represent sources accurately and respect copyright by </w:t>
      </w:r>
      <w:proofErr w:type="spellStart"/>
      <w:r>
        <w:rPr>
          <w:rFonts w:ascii="Times New Roman" w:eastAsia="Times New Roman" w:hAnsi="Times New Roman" w:cs="Times New Roman"/>
          <w:sz w:val="24"/>
          <w:szCs w:val="24"/>
        </w:rPr>
        <w:t>summarising</w:t>
      </w:r>
      <w:proofErr w:type="spellEnd"/>
      <w:r>
        <w:rPr>
          <w:rFonts w:ascii="Times New Roman" w:eastAsia="Times New Roman" w:hAnsi="Times New Roman" w:cs="Times New Roman"/>
          <w:sz w:val="24"/>
          <w:szCs w:val="24"/>
        </w:rPr>
        <w:t xml:space="preserve"> rather than copying long text. The university ethics checklist will still be completed because the dissertation analyses online and published material.</w:t>
      </w:r>
    </w:p>
    <w:p w14:paraId="5933A68C"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3.10 Summary of Chapter 3</w:t>
      </w:r>
    </w:p>
    <w:p w14:paraId="2D893CED"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justified a critical realist, </w:t>
      </w:r>
      <w:proofErr w:type="spellStart"/>
      <w:r>
        <w:rPr>
          <w:rFonts w:ascii="Times New Roman" w:eastAsia="Times New Roman" w:hAnsi="Times New Roman" w:cs="Times New Roman"/>
          <w:sz w:val="24"/>
          <w:szCs w:val="24"/>
        </w:rPr>
        <w:t>abductive</w:t>
      </w:r>
      <w:proofErr w:type="spellEnd"/>
      <w:r>
        <w:rPr>
          <w:rFonts w:ascii="Times New Roman" w:eastAsia="Times New Roman" w:hAnsi="Times New Roman" w:cs="Times New Roman"/>
          <w:sz w:val="24"/>
          <w:szCs w:val="24"/>
        </w:rPr>
        <w:t>, secondary qualitative design. A structured literature review with purposive source selection, content analysis and thematic synthesis is appropriate because the dissertation examines existing evidence, not new participant data. The method is systematic, transparent and directly aligned with both research questions.</w:t>
      </w:r>
    </w:p>
    <w:p w14:paraId="04F31170" w14:textId="77777777" w:rsidR="00ED7A58" w:rsidRDefault="00ED7A58">
      <w:pPr>
        <w:spacing w:line="360" w:lineRule="auto"/>
        <w:rPr>
          <w:rFonts w:ascii="Times New Roman" w:eastAsia="Times New Roman" w:hAnsi="Times New Roman" w:cs="Times New Roman"/>
          <w:sz w:val="24"/>
          <w:szCs w:val="24"/>
        </w:rPr>
      </w:pPr>
    </w:p>
    <w:p w14:paraId="7BF0B825" w14:textId="77777777" w:rsidR="00ED7A58" w:rsidRDefault="00D16022">
      <w:pPr>
        <w:rPr>
          <w:rFonts w:ascii="Times New Roman" w:eastAsia="Times New Roman" w:hAnsi="Times New Roman" w:cs="Times New Roman"/>
          <w:sz w:val="24"/>
          <w:szCs w:val="24"/>
        </w:rPr>
      </w:pPr>
      <w:r>
        <w:br w:type="page"/>
      </w:r>
    </w:p>
    <w:p w14:paraId="5CD56810" w14:textId="77777777" w:rsidR="00ED7A58" w:rsidRDefault="00ED7A58">
      <w:pPr>
        <w:spacing w:line="360" w:lineRule="auto"/>
        <w:rPr>
          <w:rFonts w:ascii="Times New Roman" w:eastAsia="Times New Roman" w:hAnsi="Times New Roman" w:cs="Times New Roman"/>
          <w:sz w:val="24"/>
          <w:szCs w:val="24"/>
        </w:rPr>
      </w:pPr>
    </w:p>
    <w:p w14:paraId="02061AFD" w14:textId="77777777" w:rsidR="00ED7A58" w:rsidRDefault="00D1602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Chapter 4: Data Analysis and Discussions</w:t>
      </w:r>
    </w:p>
    <w:p w14:paraId="3F4601F9"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4.1 Introduction</w:t>
      </w:r>
    </w:p>
    <w:p w14:paraId="7BC691C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presents the findings from content analysis of selected secondary sources. The dataset includes peer-reviewed journals,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reports, UK Government publications, industry reports and brand examples. The aim is not to report primary survey results, but to interpret how existing evidence explains consumer trust in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and purchase intention in UK online beauty retail. Following the supervisor-recommended systematic review style, the chapter uses coding, themes, tables and one original analytical model. Content analysis is suitable because the evidence is written and can be coded into repeated</w:t>
      </w:r>
      <w:r>
        <w:rPr>
          <w:rFonts w:ascii="Times New Roman" w:eastAsia="Times New Roman" w:hAnsi="Times New Roman" w:cs="Times New Roman"/>
          <w:sz w:val="24"/>
          <w:szCs w:val="24"/>
        </w:rPr>
        <w:t xml:space="preserve"> concepts, while thematic synthesis enables comparison across academic, policy and industry sources (</w:t>
      </w:r>
      <w:proofErr w:type="spellStart"/>
      <w:r>
        <w:rPr>
          <w:rFonts w:ascii="Times New Roman" w:eastAsia="Times New Roman" w:hAnsi="Times New Roman" w:cs="Times New Roman"/>
          <w:sz w:val="24"/>
          <w:szCs w:val="24"/>
        </w:rPr>
        <w:t>Hsieh</w:t>
      </w:r>
      <w:proofErr w:type="spellEnd"/>
      <w:r>
        <w:rPr>
          <w:rFonts w:ascii="Times New Roman" w:eastAsia="Times New Roman" w:hAnsi="Times New Roman" w:cs="Times New Roman"/>
          <w:sz w:val="24"/>
          <w:szCs w:val="24"/>
        </w:rPr>
        <w:t xml:space="preserve"> and Shannon, 2005; Snyder, 2019).</w:t>
      </w:r>
    </w:p>
    <w:p w14:paraId="0BD3C52F" w14:textId="77777777" w:rsidR="00ED7A58" w:rsidRDefault="00ED7A58">
      <w:pPr>
        <w:spacing w:line="360" w:lineRule="auto"/>
        <w:rPr>
          <w:rFonts w:ascii="Times New Roman" w:eastAsia="Times New Roman" w:hAnsi="Times New Roman" w:cs="Times New Roman"/>
          <w:sz w:val="24"/>
          <w:szCs w:val="24"/>
        </w:rPr>
      </w:pPr>
    </w:p>
    <w:p w14:paraId="5640449C"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 Analysis and discussions of findings/data</w:t>
      </w:r>
    </w:p>
    <w:p w14:paraId="7A94F8C6"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4.2.1 Coding of the secondary data</w:t>
      </w:r>
    </w:p>
    <w:p w14:paraId="4018B78B"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source was reviewed for aim, method, key findings, relevance to RQ1/RQ2 and limitations. Six repeated codes were identified and used to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the findings.</w:t>
      </w:r>
    </w:p>
    <w:p w14:paraId="0F4633D4"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4.1: Content analysis coding matrix</w:t>
      </w:r>
    </w:p>
    <w:tbl>
      <w:tblPr>
        <w:tblStyle w:val="a7"/>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01"/>
        <w:gridCol w:w="2247"/>
        <w:gridCol w:w="2735"/>
        <w:gridCol w:w="3033"/>
      </w:tblGrid>
      <w:tr w:rsidR="00ED7A58" w14:paraId="0E0BF887" w14:textId="77777777">
        <w:tc>
          <w:tcPr>
            <w:tcW w:w="1001" w:type="dxa"/>
          </w:tcPr>
          <w:p w14:paraId="133F07D0"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Code</w:t>
            </w:r>
          </w:p>
        </w:tc>
        <w:tc>
          <w:tcPr>
            <w:tcW w:w="2247" w:type="dxa"/>
          </w:tcPr>
          <w:p w14:paraId="741B6816"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Meaning</w:t>
            </w:r>
          </w:p>
        </w:tc>
        <w:tc>
          <w:tcPr>
            <w:tcW w:w="2735" w:type="dxa"/>
          </w:tcPr>
          <w:p w14:paraId="5A7516AA"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Main sources</w:t>
            </w:r>
          </w:p>
        </w:tc>
        <w:tc>
          <w:tcPr>
            <w:tcW w:w="3033" w:type="dxa"/>
          </w:tcPr>
          <w:p w14:paraId="58F36F91"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Interpretation</w:t>
            </w:r>
          </w:p>
        </w:tc>
      </w:tr>
      <w:tr w:rsidR="00ED7A58" w14:paraId="2ECB8DF9" w14:textId="77777777">
        <w:tc>
          <w:tcPr>
            <w:tcW w:w="1001" w:type="dxa"/>
          </w:tcPr>
          <w:p w14:paraId="7C4A0744"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AI-PER</w:t>
            </w:r>
          </w:p>
        </w:tc>
        <w:tc>
          <w:tcPr>
            <w:tcW w:w="2247" w:type="dxa"/>
          </w:tcPr>
          <w:p w14:paraId="3F05ACB2"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Recommendations, chatbots, targeted adverts and virtual try-on.</w:t>
            </w:r>
          </w:p>
        </w:tc>
        <w:tc>
          <w:tcPr>
            <w:tcW w:w="2735" w:type="dxa"/>
          </w:tcPr>
          <w:p w14:paraId="57BEFF35"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Huang and Rust (2021); Boots (2026); L’Oréal Paris (2026)</w:t>
            </w:r>
          </w:p>
        </w:tc>
        <w:tc>
          <w:tcPr>
            <w:tcW w:w="3033" w:type="dxa"/>
          </w:tcPr>
          <w:p w14:paraId="55516639"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w:t>
            </w:r>
            <w:proofErr w:type="spellStart"/>
            <w:r>
              <w:rPr>
                <w:rFonts w:ascii="Times New Roman" w:eastAsia="Times New Roman" w:hAnsi="Times New Roman" w:cs="Times New Roman"/>
                <w:sz w:val="24"/>
                <w:szCs w:val="24"/>
              </w:rPr>
              <w:t>personalises</w:t>
            </w:r>
            <w:proofErr w:type="spellEnd"/>
            <w:r>
              <w:rPr>
                <w:rFonts w:ascii="Times New Roman" w:eastAsia="Times New Roman" w:hAnsi="Times New Roman" w:cs="Times New Roman"/>
                <w:sz w:val="24"/>
                <w:szCs w:val="24"/>
              </w:rPr>
              <w:t xml:space="preserve"> beauty journeys but depends on customer data.</w:t>
            </w:r>
          </w:p>
        </w:tc>
      </w:tr>
      <w:tr w:rsidR="00ED7A58" w14:paraId="012F7860" w14:textId="77777777">
        <w:tc>
          <w:tcPr>
            <w:tcW w:w="1001" w:type="dxa"/>
          </w:tcPr>
          <w:p w14:paraId="52124732"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TRAN</w:t>
            </w:r>
          </w:p>
        </w:tc>
        <w:tc>
          <w:tcPr>
            <w:tcW w:w="2247" w:type="dxa"/>
          </w:tcPr>
          <w:p w14:paraId="22423CC8"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Clear explanation of AI, advertising and data practices.</w:t>
            </w:r>
          </w:p>
        </w:tc>
        <w:tc>
          <w:tcPr>
            <w:tcW w:w="2735" w:type="dxa"/>
          </w:tcPr>
          <w:p w14:paraId="6222828C"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DCMS (2026)</w:t>
            </w:r>
          </w:p>
        </w:tc>
        <w:tc>
          <w:tcPr>
            <w:tcW w:w="3033" w:type="dxa"/>
          </w:tcPr>
          <w:p w14:paraId="60F7100C"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Transparency is a trust-building condition.</w:t>
            </w:r>
          </w:p>
        </w:tc>
      </w:tr>
      <w:tr w:rsidR="00ED7A58" w14:paraId="6D9078C9" w14:textId="77777777">
        <w:tc>
          <w:tcPr>
            <w:tcW w:w="1001" w:type="dxa"/>
          </w:tcPr>
          <w:p w14:paraId="1529B074"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PRIV</w:t>
            </w:r>
          </w:p>
        </w:tc>
        <w:tc>
          <w:tcPr>
            <w:tcW w:w="2247" w:type="dxa"/>
          </w:tcPr>
          <w:p w14:paraId="7B6300BE"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Privacy assurance, image/data use, surveillance and control.</w:t>
            </w:r>
          </w:p>
        </w:tc>
        <w:tc>
          <w:tcPr>
            <w:tcW w:w="2735" w:type="dxa"/>
          </w:tcPr>
          <w:p w14:paraId="202083FB" w14:textId="77777777" w:rsidR="00ED7A58" w:rsidRDefault="00D16022">
            <w:pPr>
              <w:spacing w:after="16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Trepte</w:t>
            </w:r>
            <w:proofErr w:type="spellEnd"/>
            <w:r>
              <w:rPr>
                <w:rFonts w:ascii="Times New Roman" w:eastAsia="Times New Roman" w:hAnsi="Times New Roman" w:cs="Times New Roman"/>
                <w:sz w:val="24"/>
                <w:szCs w:val="24"/>
              </w:rPr>
              <w:t xml:space="preserve"> et al. (2017);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xml:space="preserve"> (2026)</w:t>
            </w:r>
          </w:p>
        </w:tc>
        <w:tc>
          <w:tcPr>
            <w:tcW w:w="3033" w:type="dxa"/>
          </w:tcPr>
          <w:p w14:paraId="1A73F526"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compare benefits with privacy risks.</w:t>
            </w:r>
          </w:p>
        </w:tc>
      </w:tr>
      <w:tr w:rsidR="00ED7A58" w14:paraId="020E63C2" w14:textId="77777777">
        <w:tc>
          <w:tcPr>
            <w:tcW w:w="1001" w:type="dxa"/>
          </w:tcPr>
          <w:p w14:paraId="5A76A9E2"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TRUST</w:t>
            </w:r>
          </w:p>
        </w:tc>
        <w:tc>
          <w:tcPr>
            <w:tcW w:w="2247" w:type="dxa"/>
          </w:tcPr>
          <w:p w14:paraId="15602E7A"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Confidence in the AI tool, brand and data handling.</w:t>
            </w:r>
          </w:p>
        </w:tc>
        <w:tc>
          <w:tcPr>
            <w:tcW w:w="2735" w:type="dxa"/>
          </w:tcPr>
          <w:p w14:paraId="25E3BCF6"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Gurme</w:t>
            </w:r>
            <w:proofErr w:type="spellEnd"/>
            <w:r>
              <w:rPr>
                <w:rFonts w:ascii="Times New Roman" w:eastAsia="Times New Roman" w:hAnsi="Times New Roman" w:cs="Times New Roman"/>
                <w:sz w:val="24"/>
                <w:szCs w:val="24"/>
              </w:rPr>
              <w:t xml:space="preserve"> (2026)</w:t>
            </w:r>
          </w:p>
        </w:tc>
        <w:tc>
          <w:tcPr>
            <w:tcW w:w="3033" w:type="dxa"/>
          </w:tcPr>
          <w:p w14:paraId="2CD4FD83"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Trust links AI marketing with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w:t>
            </w:r>
          </w:p>
        </w:tc>
      </w:tr>
      <w:tr w:rsidR="00ED7A58" w14:paraId="4BC5EF3A" w14:textId="77777777">
        <w:tc>
          <w:tcPr>
            <w:tcW w:w="1001" w:type="dxa"/>
          </w:tcPr>
          <w:p w14:paraId="7D15C2CB"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PI</w:t>
            </w:r>
          </w:p>
        </w:tc>
        <w:tc>
          <w:tcPr>
            <w:tcW w:w="2247" w:type="dxa"/>
          </w:tcPr>
          <w:p w14:paraId="46DEE43A"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Purchase intention, repurchase, loyalty and buying confidence.</w:t>
            </w:r>
          </w:p>
        </w:tc>
        <w:tc>
          <w:tcPr>
            <w:tcW w:w="2735" w:type="dxa"/>
          </w:tcPr>
          <w:p w14:paraId="6FE666D9"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Yin and </w:t>
            </w:r>
            <w:proofErr w:type="spellStart"/>
            <w:r>
              <w:rPr>
                <w:rFonts w:ascii="Times New Roman" w:eastAsia="Times New Roman" w:hAnsi="Times New Roman" w:cs="Times New Roman"/>
                <w:sz w:val="24"/>
                <w:szCs w:val="24"/>
              </w:rPr>
              <w:t>Qiu</w:t>
            </w:r>
            <w:proofErr w:type="spellEnd"/>
            <w:r>
              <w:rPr>
                <w:rFonts w:ascii="Times New Roman" w:eastAsia="Times New Roman" w:hAnsi="Times New Roman" w:cs="Times New Roman"/>
                <w:sz w:val="24"/>
                <w:szCs w:val="24"/>
              </w:rPr>
              <w:t xml:space="preserve"> (2021); Perret and </w:t>
            </w:r>
            <w:proofErr w:type="spellStart"/>
            <w:r>
              <w:rPr>
                <w:rFonts w:ascii="Times New Roman" w:eastAsia="Times New Roman" w:hAnsi="Times New Roman" w:cs="Times New Roman"/>
                <w:sz w:val="24"/>
                <w:szCs w:val="24"/>
              </w:rPr>
              <w:t>Schwientek</w:t>
            </w:r>
            <w:proofErr w:type="spellEnd"/>
            <w:r>
              <w:rPr>
                <w:rFonts w:ascii="Times New Roman" w:eastAsia="Times New Roman" w:hAnsi="Times New Roman" w:cs="Times New Roman"/>
                <w:sz w:val="24"/>
                <w:szCs w:val="24"/>
              </w:rPr>
              <w:t xml:space="preserve"> (2025)</w:t>
            </w:r>
          </w:p>
        </w:tc>
        <w:tc>
          <w:tcPr>
            <w:tcW w:w="3033" w:type="dxa"/>
          </w:tcPr>
          <w:p w14:paraId="7504949B"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Purchase intention improves when AI creates value and confidence.</w:t>
            </w:r>
          </w:p>
        </w:tc>
      </w:tr>
      <w:tr w:rsidR="00ED7A58" w14:paraId="7FBE4EBC" w14:textId="77777777">
        <w:tc>
          <w:tcPr>
            <w:tcW w:w="1001" w:type="dxa"/>
          </w:tcPr>
          <w:p w14:paraId="037753B9"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UK-CTX</w:t>
            </w:r>
          </w:p>
        </w:tc>
        <w:tc>
          <w:tcPr>
            <w:tcW w:w="2247" w:type="dxa"/>
          </w:tcPr>
          <w:p w14:paraId="13D396E8"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UK beauty market, AI policy and online advertising context.</w:t>
            </w:r>
          </w:p>
        </w:tc>
        <w:tc>
          <w:tcPr>
            <w:tcW w:w="2735" w:type="dxa"/>
          </w:tcPr>
          <w:p w14:paraId="37510CB0" w14:textId="77777777" w:rsidR="00ED7A58" w:rsidRDefault="00D16022">
            <w:pPr>
              <w:spacing w:after="16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(2026a; 2026b); DSIT (2025a; 2025b)</w:t>
            </w:r>
          </w:p>
        </w:tc>
        <w:tc>
          <w:tcPr>
            <w:tcW w:w="3033" w:type="dxa"/>
          </w:tcPr>
          <w:p w14:paraId="3B607D93"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The UK context makes trust commercially and politically relevant.</w:t>
            </w:r>
          </w:p>
        </w:tc>
      </w:tr>
    </w:tbl>
    <w:p w14:paraId="42DF7670" w14:textId="77777777" w:rsidR="00ED7A58" w:rsidRDefault="00ED7A58">
      <w:pPr>
        <w:spacing w:line="360" w:lineRule="auto"/>
        <w:rPr>
          <w:rFonts w:ascii="Times New Roman" w:eastAsia="Times New Roman" w:hAnsi="Times New Roman" w:cs="Times New Roman"/>
          <w:sz w:val="24"/>
          <w:szCs w:val="24"/>
        </w:rPr>
      </w:pPr>
    </w:p>
    <w:p w14:paraId="11CF6EFF"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4.2.2 Transparency and privacy assurance as trust mechanisms</w:t>
      </w:r>
    </w:p>
    <w:p w14:paraId="5DE1EAFA"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strongest finding is that transparency and privacy assurance are consistently presented as conditions for consumer trust.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provide the closest sector evidence, showing that trust in AI beauty solutions is shaped by transparency, ethical AI governance, data privacy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digital experience. This answers RQ1 because trust is not formed only by attractive technology and it is formed by how clearly and responsibly that technology is explained.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xml:space="preserve"> (2026) add that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creates value, but perceived surveillance, algorithmic bias and weak control can erode trust. Therefore, more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is not automatically better. The customer must feel informed, protected and in control.</w:t>
      </w:r>
    </w:p>
    <w:p w14:paraId="3F005775"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finding reflects Privacy Calculus Theory. </w:t>
      </w:r>
      <w:proofErr w:type="spellStart"/>
      <w:r>
        <w:rPr>
          <w:rFonts w:ascii="Times New Roman" w:eastAsia="Times New Roman" w:hAnsi="Times New Roman" w:cs="Times New Roman"/>
          <w:sz w:val="24"/>
          <w:szCs w:val="24"/>
        </w:rPr>
        <w:t>Trepte</w:t>
      </w:r>
      <w:proofErr w:type="spellEnd"/>
      <w:r>
        <w:rPr>
          <w:rFonts w:ascii="Times New Roman" w:eastAsia="Times New Roman" w:hAnsi="Times New Roman" w:cs="Times New Roman"/>
          <w:sz w:val="24"/>
          <w:szCs w:val="24"/>
        </w:rPr>
        <w:t xml:space="preserve"> et al. (2017) argue that online users balance disclosure benefits against the privacy risks. In this study, benefits include the convenience, better product matching and virtual try on confidence while risks include the unclear data collection, image use, profiling and manipulation. </w:t>
      </w: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Gurme</w:t>
      </w:r>
      <w:proofErr w:type="spellEnd"/>
      <w:r>
        <w:rPr>
          <w:rFonts w:ascii="Times New Roman" w:eastAsia="Times New Roman" w:hAnsi="Times New Roman" w:cs="Times New Roman"/>
          <w:sz w:val="24"/>
          <w:szCs w:val="24"/>
        </w:rPr>
        <w:t xml:space="preserve"> (2026) support this by show that the AI enabled marketing may be improving engagement but algorithmic opacity, data misuse and also reduce autonomy can weak the customer trust level. Hermann (2022) al</w:t>
      </w:r>
      <w:r>
        <w:rPr>
          <w:rFonts w:ascii="Times New Roman" w:eastAsia="Times New Roman" w:hAnsi="Times New Roman" w:cs="Times New Roman"/>
          <w:sz w:val="24"/>
          <w:szCs w:val="24"/>
        </w:rPr>
        <w:t>so warns that AI marketing raises privacy, fairness and discrimination concerns. The critical interpretation is that privacy assurance is not only a compliance issue and it is part of the value proposition that decides whether AI beauty marketing feels useful or intrusive.</w:t>
      </w:r>
    </w:p>
    <w:p w14:paraId="0B27E6CB"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4.2.3 AI/</w:t>
      </w:r>
      <w:proofErr w:type="spellStart"/>
      <w:r>
        <w:rPr>
          <w:rFonts w:ascii="Times New Roman" w:eastAsia="Times New Roman" w:hAnsi="Times New Roman" w:cs="Times New Roman"/>
          <w:b/>
          <w:bCs/>
          <w:sz w:val="24"/>
          <w:szCs w:val="24"/>
        </w:rPr>
        <w:t>AR</w:t>
      </w:r>
      <w:proofErr w:type="spellEnd"/>
      <w:r>
        <w:rPr>
          <w:rFonts w:ascii="Times New Roman" w:eastAsia="Times New Roman" w:hAnsi="Times New Roman" w:cs="Times New Roman"/>
          <w:b/>
          <w:bCs/>
          <w:sz w:val="24"/>
          <w:szCs w:val="24"/>
        </w:rPr>
        <w:t xml:space="preserve"> beauty experience and purchase value</w:t>
      </w:r>
    </w:p>
    <w:p w14:paraId="14CDB192"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theme is that AI and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beauty tools can increase purchase value when they reduce uncertainty. Cosmetics are difficult to judge online because </w:t>
      </w:r>
      <w:proofErr w:type="spellStart"/>
      <w:r>
        <w:rPr>
          <w:rFonts w:ascii="Times New Roman" w:eastAsia="Times New Roman" w:hAnsi="Times New Roman" w:cs="Times New Roman"/>
          <w:sz w:val="24"/>
          <w:szCs w:val="24"/>
        </w:rPr>
        <w:t>colour</w:t>
      </w:r>
      <w:proofErr w:type="spellEnd"/>
      <w:r>
        <w:rPr>
          <w:rFonts w:ascii="Times New Roman" w:eastAsia="Times New Roman" w:hAnsi="Times New Roman" w:cs="Times New Roman"/>
          <w:sz w:val="24"/>
          <w:szCs w:val="24"/>
        </w:rPr>
        <w:t xml:space="preserve">, skin tone, texture and personal appearance matter. Perret and </w:t>
      </w:r>
      <w:proofErr w:type="spellStart"/>
      <w:r>
        <w:rPr>
          <w:rFonts w:ascii="Times New Roman" w:eastAsia="Times New Roman" w:hAnsi="Times New Roman" w:cs="Times New Roman"/>
          <w:sz w:val="24"/>
          <w:szCs w:val="24"/>
        </w:rPr>
        <w:t>Schwientek</w:t>
      </w:r>
      <w:proofErr w:type="spellEnd"/>
      <w:r>
        <w:rPr>
          <w:rFonts w:ascii="Times New Roman" w:eastAsia="Times New Roman" w:hAnsi="Times New Roman" w:cs="Times New Roman"/>
          <w:sz w:val="24"/>
          <w:szCs w:val="24"/>
        </w:rPr>
        <w:t xml:space="preserve"> (2025) show that beauty tech features such as interactivity, informativeness,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and service quality influence a customer experience and satisfaction, purchase intention and </w:t>
      </w:r>
      <w:proofErr w:type="spellStart"/>
      <w:r>
        <w:rPr>
          <w:rFonts w:ascii="Times New Roman" w:eastAsia="Times New Roman" w:hAnsi="Times New Roman" w:cs="Times New Roman"/>
          <w:sz w:val="24"/>
          <w:szCs w:val="24"/>
        </w:rPr>
        <w:t>aso</w:t>
      </w:r>
      <w:proofErr w:type="spellEnd"/>
      <w:r>
        <w:rPr>
          <w:rFonts w:ascii="Times New Roman" w:eastAsia="Times New Roman" w:hAnsi="Times New Roman" w:cs="Times New Roman"/>
          <w:sz w:val="24"/>
          <w:szCs w:val="24"/>
        </w:rPr>
        <w:t xml:space="preserve"> repurchase intention of the customers. Yin and </w:t>
      </w:r>
      <w:proofErr w:type="spellStart"/>
      <w:r>
        <w:rPr>
          <w:rFonts w:ascii="Times New Roman" w:eastAsia="Times New Roman" w:hAnsi="Times New Roman" w:cs="Times New Roman"/>
          <w:sz w:val="24"/>
          <w:szCs w:val="24"/>
        </w:rPr>
        <w:t>Qiu</w:t>
      </w:r>
      <w:proofErr w:type="spellEnd"/>
      <w:r>
        <w:rPr>
          <w:rFonts w:ascii="Times New Roman" w:eastAsia="Times New Roman" w:hAnsi="Times New Roman" w:cs="Times New Roman"/>
          <w:sz w:val="24"/>
          <w:szCs w:val="24"/>
        </w:rPr>
        <w:t xml:space="preserve"> (2021) similarly find that AI accuracy, insight and interaction exp</w:t>
      </w:r>
      <w:r>
        <w:rPr>
          <w:rFonts w:ascii="Times New Roman" w:eastAsia="Times New Roman" w:hAnsi="Times New Roman" w:cs="Times New Roman"/>
          <w:sz w:val="24"/>
          <w:szCs w:val="24"/>
        </w:rPr>
        <w:t>erience increase utilitarian and hedonic value which then support again purchase intention. These studies answer RQ2 by show that AI can support purchase intention when it create useful and enjoyable value.</w:t>
      </w:r>
    </w:p>
    <w:p w14:paraId="3221EDE1"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evidence adds detail but must be interpreted cautiously. </w:t>
      </w:r>
      <w:proofErr w:type="spellStart"/>
      <w:r>
        <w:rPr>
          <w:rFonts w:ascii="Times New Roman" w:eastAsia="Times New Roman" w:hAnsi="Times New Roman" w:cs="Times New Roman"/>
          <w:sz w:val="24"/>
          <w:szCs w:val="24"/>
        </w:rPr>
        <w:t>Voicu</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Sirghi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Toth</w:t>
      </w:r>
      <w:proofErr w:type="spellEnd"/>
      <w:r>
        <w:rPr>
          <w:rFonts w:ascii="Times New Roman" w:eastAsia="Times New Roman" w:hAnsi="Times New Roman" w:cs="Times New Roman"/>
          <w:sz w:val="24"/>
          <w:szCs w:val="24"/>
        </w:rPr>
        <w:t xml:space="preserve"> (2023) find out that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makeup applications influence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through </w:t>
      </w:r>
      <w:proofErr w:type="spellStart"/>
      <w:r>
        <w:rPr>
          <w:rFonts w:ascii="Times New Roman" w:eastAsia="Times New Roman" w:hAnsi="Times New Roman" w:cs="Times New Roman"/>
          <w:sz w:val="24"/>
          <w:szCs w:val="24"/>
        </w:rPr>
        <w:t>fiting</w:t>
      </w:r>
      <w:proofErr w:type="spellEnd"/>
      <w:r>
        <w:rPr>
          <w:rFonts w:ascii="Times New Roman" w:eastAsia="Times New Roman" w:hAnsi="Times New Roman" w:cs="Times New Roman"/>
          <w:sz w:val="24"/>
          <w:szCs w:val="24"/>
        </w:rPr>
        <w:t xml:space="preserve"> confidence, immersion, social value and innovativeness. Moreover, Gabriel et al. (2023) find that interactivity, novelty, hedonic value and the satisfaction affects continuance intention which is then affects to the purchase intention in fashion and beauty </w:t>
      </w:r>
      <w:proofErr w:type="spellStart"/>
      <w:r>
        <w:rPr>
          <w:rFonts w:ascii="Times New Roman" w:eastAsia="Times New Roman" w:hAnsi="Times New Roman" w:cs="Times New Roman"/>
          <w:sz w:val="24"/>
          <w:szCs w:val="24"/>
        </w:rPr>
        <w:t>ecommerce</w:t>
      </w:r>
      <w:proofErr w:type="spellEnd"/>
      <w:r>
        <w:rPr>
          <w:rFonts w:ascii="Times New Roman" w:eastAsia="Times New Roman" w:hAnsi="Times New Roman" w:cs="Times New Roman"/>
          <w:sz w:val="24"/>
          <w:szCs w:val="24"/>
        </w:rPr>
        <w:t>. These findings suggest that virtual try on can make the online cosmetic shopping mor</w:t>
      </w:r>
      <w:r>
        <w:rPr>
          <w:rFonts w:ascii="Times New Roman" w:eastAsia="Times New Roman" w:hAnsi="Times New Roman" w:cs="Times New Roman"/>
          <w:sz w:val="24"/>
          <w:szCs w:val="24"/>
        </w:rPr>
        <w:t xml:space="preserve">e confident in customers. However, several studies are not UK-specific and focus more on experience than privacy. Therefore, they are transferable evidence, not direct proof of UK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The balanced finding is that AI/</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creates purchase value, but the effect is stronger when accuracy, trust and privacy protection are present.</w:t>
      </w:r>
    </w:p>
    <w:p w14:paraId="5AAFA14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4.2: Evidence synthesis by research question</w:t>
      </w:r>
    </w:p>
    <w:tbl>
      <w:tblPr>
        <w:tblStyle w:val="a8"/>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60"/>
        <w:gridCol w:w="2302"/>
        <w:gridCol w:w="2414"/>
        <w:gridCol w:w="2640"/>
      </w:tblGrid>
      <w:tr w:rsidR="00ED7A58" w14:paraId="4651279F" w14:textId="77777777">
        <w:tc>
          <w:tcPr>
            <w:tcW w:w="1660" w:type="dxa"/>
          </w:tcPr>
          <w:p w14:paraId="1ECB517A"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Research question</w:t>
            </w:r>
          </w:p>
        </w:tc>
        <w:tc>
          <w:tcPr>
            <w:tcW w:w="2302" w:type="dxa"/>
          </w:tcPr>
          <w:p w14:paraId="790174A2"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Evidence pattern</w:t>
            </w:r>
          </w:p>
        </w:tc>
        <w:tc>
          <w:tcPr>
            <w:tcW w:w="2414" w:type="dxa"/>
          </w:tcPr>
          <w:p w14:paraId="47E45759"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Critical discussion</w:t>
            </w:r>
          </w:p>
        </w:tc>
        <w:tc>
          <w:tcPr>
            <w:tcW w:w="2640" w:type="dxa"/>
          </w:tcPr>
          <w:p w14:paraId="1DF7CBC6"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Answer from data</w:t>
            </w:r>
          </w:p>
        </w:tc>
      </w:tr>
      <w:tr w:rsidR="00ED7A58" w14:paraId="649BA0C7" w14:textId="77777777">
        <w:tc>
          <w:tcPr>
            <w:tcW w:w="1660" w:type="dxa"/>
          </w:tcPr>
          <w:p w14:paraId="3269DD8C"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RQ1</w:t>
            </w:r>
          </w:p>
        </w:tc>
        <w:tc>
          <w:tcPr>
            <w:tcW w:w="2302" w:type="dxa"/>
          </w:tcPr>
          <w:p w14:paraId="22651515"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Cosmetics and AI-CXM studies link trust to transparency, ethical data use, privacy and control.</w:t>
            </w:r>
          </w:p>
        </w:tc>
        <w:tc>
          <w:tcPr>
            <w:tcW w:w="2414" w:type="dxa"/>
          </w:tcPr>
          <w:p w14:paraId="1AE69C93"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Sources agree on privacy risk, but treat it differently: barrier, moderator or ethical condition.</w:t>
            </w:r>
          </w:p>
        </w:tc>
        <w:tc>
          <w:tcPr>
            <w:tcW w:w="2640" w:type="dxa"/>
          </w:tcPr>
          <w:p w14:paraId="1C1173FE"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Transparency/privacy assurance build trust by reducing uncertainty and perceived risk.</w:t>
            </w:r>
          </w:p>
        </w:tc>
      </w:tr>
      <w:tr w:rsidR="00ED7A58" w14:paraId="6F313F52" w14:textId="77777777">
        <w:tc>
          <w:tcPr>
            <w:tcW w:w="1660" w:type="dxa"/>
          </w:tcPr>
          <w:p w14:paraId="4173D366"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RQ2</w:t>
            </w:r>
          </w:p>
        </w:tc>
        <w:tc>
          <w:tcPr>
            <w:tcW w:w="2302" w:type="dxa"/>
          </w:tcPr>
          <w:p w14:paraId="1381D97B"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AI/</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studies link usefulness, enjoyment, confidence and satisfaction with purchase intention.</w:t>
            </w:r>
          </w:p>
        </w:tc>
        <w:tc>
          <w:tcPr>
            <w:tcW w:w="2414" w:type="dxa"/>
          </w:tcPr>
          <w:p w14:paraId="77810CF6"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Evidence is positive, but industry reports may overstate commercial benefit.</w:t>
            </w:r>
          </w:p>
        </w:tc>
        <w:tc>
          <w:tcPr>
            <w:tcW w:w="2640" w:type="dxa"/>
          </w:tcPr>
          <w:p w14:paraId="2CDB2BEF"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Trust appears to bridge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marketing and purchase intention.</w:t>
            </w:r>
          </w:p>
        </w:tc>
      </w:tr>
      <w:tr w:rsidR="00ED7A58" w14:paraId="3481EE60" w14:textId="77777777">
        <w:tc>
          <w:tcPr>
            <w:tcW w:w="1660" w:type="dxa"/>
          </w:tcPr>
          <w:p w14:paraId="4F572247"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UK context</w:t>
            </w:r>
          </w:p>
        </w:tc>
        <w:tc>
          <w:tcPr>
            <w:tcW w:w="2302" w:type="dxa"/>
          </w:tcPr>
          <w:p w14:paraId="5CCAD070"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Market and policy sources show a strong online beauty context and growing concern with responsible AI.</w:t>
            </w:r>
          </w:p>
        </w:tc>
        <w:tc>
          <w:tcPr>
            <w:tcW w:w="2414" w:type="dxa"/>
          </w:tcPr>
          <w:p w14:paraId="6BAB3FF0"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They justify the setting but do not prove causality.</w:t>
            </w:r>
          </w:p>
        </w:tc>
        <w:tc>
          <w:tcPr>
            <w:tcW w:w="2640" w:type="dxa"/>
          </w:tcPr>
          <w:p w14:paraId="23C0BF91"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The UK setting makes trusted AI beauty marketing highly relevant.</w:t>
            </w:r>
          </w:p>
        </w:tc>
      </w:tr>
    </w:tbl>
    <w:p w14:paraId="77A2A466" w14:textId="77777777" w:rsidR="00ED7A58" w:rsidRDefault="00ED7A58">
      <w:pPr>
        <w:spacing w:line="360" w:lineRule="auto"/>
        <w:rPr>
          <w:rFonts w:ascii="Times New Roman" w:eastAsia="Times New Roman" w:hAnsi="Times New Roman" w:cs="Times New Roman"/>
          <w:sz w:val="24"/>
          <w:szCs w:val="24"/>
        </w:rPr>
      </w:pPr>
    </w:p>
    <w:p w14:paraId="3589E0DB"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Critical evaluation of source strength:</w:t>
      </w:r>
      <w:r>
        <w:rPr>
          <w:rFonts w:ascii="Times New Roman" w:eastAsia="Times New Roman" w:hAnsi="Times New Roman" w:cs="Times New Roman"/>
          <w:sz w:val="24"/>
          <w:szCs w:val="24"/>
        </w:rPr>
        <w:t xml:space="preserve"> Peer reviewed journal articles provide the strongest academic evidence because these are research based and theory driven. Government reports provides strong UK policy context but </w:t>
      </w:r>
      <w:proofErr w:type="spellStart"/>
      <w:r>
        <w:rPr>
          <w:rFonts w:ascii="Times New Roman" w:eastAsia="Times New Roman" w:hAnsi="Times New Roman" w:cs="Times New Roman"/>
          <w:sz w:val="24"/>
          <w:szCs w:val="24"/>
        </w:rPr>
        <w:t>donot</w:t>
      </w:r>
      <w:proofErr w:type="spellEnd"/>
      <w:r>
        <w:rPr>
          <w:rFonts w:ascii="Times New Roman" w:eastAsia="Times New Roman" w:hAnsi="Times New Roman" w:cs="Times New Roman"/>
          <w:sz w:val="24"/>
          <w:szCs w:val="24"/>
        </w:rPr>
        <w:t xml:space="preserve"> directly measure cosmetic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provides the useful market context but does not explain trust mechanisms. McKinsey and Vogue Business are useful industry sources but may be over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commercial opportunities. Boots and L’Oréal Paris are practical examples but these are the promotional brand evide</w:t>
      </w:r>
      <w:r>
        <w:rPr>
          <w:rFonts w:ascii="Times New Roman" w:eastAsia="Times New Roman" w:hAnsi="Times New Roman" w:cs="Times New Roman"/>
          <w:sz w:val="24"/>
          <w:szCs w:val="24"/>
        </w:rPr>
        <w:t>nce rather than independent proof of consumer trust.</w:t>
      </w:r>
    </w:p>
    <w:p w14:paraId="0583F885" w14:textId="77777777" w:rsidR="00ED7A58" w:rsidRDefault="00ED7A58">
      <w:pPr>
        <w:spacing w:line="360" w:lineRule="auto"/>
        <w:rPr>
          <w:rFonts w:ascii="Times New Roman" w:eastAsia="Times New Roman" w:hAnsi="Times New Roman" w:cs="Times New Roman"/>
          <w:sz w:val="24"/>
          <w:szCs w:val="24"/>
        </w:rPr>
      </w:pPr>
    </w:p>
    <w:p w14:paraId="32E1BA51"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4.2.4 Consumer trust as the bridge to purchase intention</w:t>
      </w:r>
    </w:p>
    <w:p w14:paraId="18B59184"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theme is that consumer trust is the link between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marketing and purchase intention. McKinsey (2021) argues that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can be influence customer relationships and the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while the McKinsey (2025) shows that beauty firms use generative AI for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targeting, product discovery, chatbots and virtual try on. These industry sources explain why the businesses invest in AI but they mainly stress opportunity only. Academic literature gives the necessary caution.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xml:space="preserve"> (2026)</w:t>
      </w:r>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Gurme</w:t>
      </w:r>
      <w:proofErr w:type="spellEnd"/>
      <w:r>
        <w:rPr>
          <w:rFonts w:ascii="Times New Roman" w:eastAsia="Times New Roman" w:hAnsi="Times New Roman" w:cs="Times New Roman"/>
          <w:sz w:val="24"/>
          <w:szCs w:val="24"/>
        </w:rPr>
        <w:t xml:space="preserve"> (2026) show that trust may decline when AI is opaque, privacy-invasive or ethically weak. Thus,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marketing may fail if customers perceive it as manipulative or unsafe.</w:t>
      </w:r>
    </w:p>
    <w:p w14:paraId="089C3180"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market reinforces this interpretation.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(2026a; 2026b; 2026c) shows the commercial importance of beauty, cosmetics and </w:t>
      </w:r>
      <w:proofErr w:type="spellStart"/>
      <w:r>
        <w:rPr>
          <w:rFonts w:ascii="Times New Roman" w:eastAsia="Times New Roman" w:hAnsi="Times New Roman" w:cs="Times New Roman"/>
          <w:sz w:val="24"/>
          <w:szCs w:val="24"/>
        </w:rPr>
        <w:t>ecommerce</w:t>
      </w:r>
      <w:proofErr w:type="spellEnd"/>
      <w:r>
        <w:rPr>
          <w:rFonts w:ascii="Times New Roman" w:eastAsia="Times New Roman" w:hAnsi="Times New Roman" w:cs="Times New Roman"/>
          <w:sz w:val="24"/>
          <w:szCs w:val="24"/>
        </w:rPr>
        <w:t xml:space="preserve"> while the UK Government promotes AI adoption but it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responsible innovation (Department for Science, Innovation and Technology, 2025a; 2025b). The Online Advertising Taskforce also highlights the transparency and accountability in digital advertising industry (Department for Culture, Media and Sport, 2026). These sources do not measure trust directly, but they show why the issue matters in the UK busi</w:t>
      </w:r>
      <w:r>
        <w:rPr>
          <w:rFonts w:ascii="Times New Roman" w:eastAsia="Times New Roman" w:hAnsi="Times New Roman" w:cs="Times New Roman"/>
          <w:sz w:val="24"/>
          <w:szCs w:val="24"/>
        </w:rPr>
        <w:t xml:space="preserve">ness environment. If beauty retailers use AI to influence discovery and purchase decisions, trust becomes a commercial asset. The finding is therefore that purchase intention is not driven by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alone, but by trusted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w:t>
      </w:r>
    </w:p>
    <w:p w14:paraId="6B23A5FB" w14:textId="77777777" w:rsidR="00ED7A58" w:rsidRDefault="00D1602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880ADB2" wp14:editId="2B9461C1">
            <wp:extent cx="5182828" cy="214426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r="15403"/>
                    <a:stretch>
                      <a:fillRect/>
                    </a:stretch>
                  </pic:blipFill>
                  <pic:spPr>
                    <a:xfrm>
                      <a:off x="0" y="0"/>
                      <a:ext cx="5182828" cy="2144268"/>
                    </a:xfrm>
                    <a:prstGeom prst="rect">
                      <a:avLst/>
                    </a:prstGeom>
                    <a:ln/>
                  </pic:spPr>
                </pic:pic>
              </a:graphicData>
            </a:graphic>
          </wp:inline>
        </w:drawing>
      </w:r>
    </w:p>
    <w:p w14:paraId="51A38E03"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Figure 4.1: Thematic findings model created from the content analysis</w:t>
      </w:r>
    </w:p>
    <w:p w14:paraId="0A8BDE49"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4.2.5 Integrated interpretation of findings</w:t>
      </w:r>
    </w:p>
    <w:p w14:paraId="32DB5E2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integrated finding is that the literature does not support a simple technology-positive argument.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can improve relevance, speed and confidence, but these benefits depend on whether the customer accepts the exchange of personal data for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This is why Privacy Calculus Theory is more suitable than a purely technology-adoption model. Technology-adoption studies explain usefulness and enjoyment, but they do not fully explain why a customer may still reject a helpful AI tool if it feels intrusive. In cosmetic marketing, this is particularly important because beauty data can inclu</w:t>
      </w:r>
      <w:r>
        <w:rPr>
          <w:rFonts w:ascii="Times New Roman" w:eastAsia="Times New Roman" w:hAnsi="Times New Roman" w:cs="Times New Roman"/>
          <w:sz w:val="24"/>
          <w:szCs w:val="24"/>
        </w:rPr>
        <w:t>de images, skin tone, appearance preferences and sensitive identity-related information. The chapter therefore interprets consumer trust as a control point: without trust, AI remains a technical feature and with the trust, it becomes a persuasive marketing resource.</w:t>
      </w:r>
    </w:p>
    <w:p w14:paraId="24B7CA86"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4.2.6 Brand exhibit and practical interpretation</w:t>
      </w:r>
    </w:p>
    <w:p w14:paraId="39E12DAE"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Brand examples were used sparingly as exhibits, not as core proof. Boots (2026) illustrates how a UK retailer uses virtual beauty tools, product finders and online advice. L’Oréal Paris (2026) illustrates virtual make-up try-on as a way to test cosmetics digitally before purchase. These examples show that AI/</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beauty marketing is already visible in consumer journeys, but brand pages are promotional and cannot prove consumer trust alone.</w:t>
      </w:r>
    </w:p>
    <w:p w14:paraId="0EA22C21"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 4.3: Brand evidence exhibit</w:t>
      </w:r>
    </w:p>
    <w:tbl>
      <w:tblPr>
        <w:tblStyle w:val="a9"/>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43"/>
        <w:gridCol w:w="3178"/>
        <w:gridCol w:w="3195"/>
      </w:tblGrid>
      <w:tr w:rsidR="00ED7A58" w14:paraId="67BE8482" w14:textId="77777777">
        <w:tc>
          <w:tcPr>
            <w:tcW w:w="2643" w:type="dxa"/>
          </w:tcPr>
          <w:p w14:paraId="7E839F23"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Brand source</w:t>
            </w:r>
          </w:p>
        </w:tc>
        <w:tc>
          <w:tcPr>
            <w:tcW w:w="3178" w:type="dxa"/>
          </w:tcPr>
          <w:p w14:paraId="1A7D07EA"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Observed feature</w:t>
            </w:r>
          </w:p>
        </w:tc>
        <w:tc>
          <w:tcPr>
            <w:tcW w:w="3195" w:type="dxa"/>
          </w:tcPr>
          <w:p w14:paraId="49A55BC6"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Use in analysis</w:t>
            </w:r>
          </w:p>
        </w:tc>
      </w:tr>
      <w:tr w:rsidR="00ED7A58" w14:paraId="55907775" w14:textId="77777777">
        <w:tc>
          <w:tcPr>
            <w:tcW w:w="2643" w:type="dxa"/>
          </w:tcPr>
          <w:p w14:paraId="12EE574E"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Boots (2026)</w:t>
            </w:r>
          </w:p>
        </w:tc>
        <w:tc>
          <w:tcPr>
            <w:tcW w:w="3178" w:type="dxa"/>
          </w:tcPr>
          <w:p w14:paraId="5C980A46"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Virtual beauty tools, product finders and advice.</w:t>
            </w:r>
          </w:p>
        </w:tc>
        <w:tc>
          <w:tcPr>
            <w:tcW w:w="3195" w:type="dxa"/>
          </w:tcPr>
          <w:p w14:paraId="4FCF0F72"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Shows UK online beauty retail adoption.</w:t>
            </w:r>
          </w:p>
        </w:tc>
      </w:tr>
      <w:tr w:rsidR="00ED7A58" w14:paraId="672AC230" w14:textId="77777777">
        <w:tc>
          <w:tcPr>
            <w:tcW w:w="2643" w:type="dxa"/>
          </w:tcPr>
          <w:p w14:paraId="2243A4B0"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L’Oréal Paris (2026)</w:t>
            </w:r>
          </w:p>
        </w:tc>
        <w:tc>
          <w:tcPr>
            <w:tcW w:w="3178" w:type="dxa"/>
          </w:tcPr>
          <w:p w14:paraId="1811BDF8"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Virtual make-up try-on.</w:t>
            </w:r>
          </w:p>
        </w:tc>
        <w:tc>
          <w:tcPr>
            <w:tcW w:w="3195" w:type="dxa"/>
          </w:tcPr>
          <w:p w14:paraId="7BB19840" w14:textId="77777777" w:rsidR="00ED7A58" w:rsidRDefault="00D16022">
            <w:pPr>
              <w:spacing w:after="160"/>
              <w:rPr>
                <w:rFonts w:ascii="Times New Roman" w:eastAsia="Times New Roman" w:hAnsi="Times New Roman" w:cs="Times New Roman"/>
                <w:sz w:val="24"/>
                <w:szCs w:val="24"/>
              </w:rPr>
            </w:pPr>
            <w:r>
              <w:rPr>
                <w:rFonts w:ascii="Times New Roman" w:eastAsia="Times New Roman" w:hAnsi="Times New Roman" w:cs="Times New Roman"/>
                <w:sz w:val="24"/>
                <w:szCs w:val="24"/>
              </w:rPr>
              <w:t>Shows how digital testing may reduce purchase uncertainty.</w:t>
            </w:r>
          </w:p>
        </w:tc>
      </w:tr>
    </w:tbl>
    <w:p w14:paraId="6E689DB3" w14:textId="77777777" w:rsidR="00ED7A58" w:rsidRDefault="00ED7A58">
      <w:pPr>
        <w:spacing w:line="360" w:lineRule="auto"/>
        <w:rPr>
          <w:rFonts w:ascii="Times New Roman" w:eastAsia="Times New Roman" w:hAnsi="Times New Roman" w:cs="Times New Roman"/>
          <w:sz w:val="24"/>
          <w:szCs w:val="24"/>
        </w:rPr>
      </w:pPr>
    </w:p>
    <w:p w14:paraId="3E76DC4E"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4.2.7 Validity and reliability of the secondary data</w:t>
      </w:r>
    </w:p>
    <w:p w14:paraId="70EE74F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Validity was strengthened through triangulation. Peer-reviewed studies provided theoretical and empirical credibility,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supported market context, government reports provided policy context, McKinsey and Vogue Business added industry evidence, Boots and L’Oréal provided practical examples. Reliability was supported through a repeatable coding matrix using the same codes for each source. Limitations remain because some evidence is international, industry sources may be commercially biased and secondary research cannot directly measure current UK consumer opinions. Therefore, the findings are interpreted as a careful s</w:t>
      </w:r>
      <w:r>
        <w:rPr>
          <w:rFonts w:ascii="Times New Roman" w:eastAsia="Times New Roman" w:hAnsi="Times New Roman" w:cs="Times New Roman"/>
          <w:sz w:val="24"/>
          <w:szCs w:val="24"/>
        </w:rPr>
        <w:t>ynthesis of existing evidence, not as primary proof.</w:t>
      </w:r>
    </w:p>
    <w:p w14:paraId="070A7018"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4.3 Summary of Chapter 4</w:t>
      </w:r>
    </w:p>
    <w:p w14:paraId="367AF0F5"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the secondary data through content analysis and thematic synthesis. The answer to RQ1 is that transparency and privacy assurance are consistently discussed as trust-building mechanisms in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They reduce the uncertainty by help consumers in understand data use, AI recommendations and privacy protection. The answer for RQ2 is that consumer trust appears for connect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with the purchase intention. AI and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tools can be improve value, confidence,</w:t>
      </w:r>
      <w:r>
        <w:rPr>
          <w:rFonts w:ascii="Times New Roman" w:eastAsia="Times New Roman" w:hAnsi="Times New Roman" w:cs="Times New Roman"/>
          <w:sz w:val="24"/>
          <w:szCs w:val="24"/>
        </w:rPr>
        <w:t xml:space="preserve"> satisfaction and the purchase intention but only when consumers perceive them as useful, accurate, ethical and safe. Overall,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beauty marketing should not be evaluated only by the innovation or sales potential. Its long term value depend on trusted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w:t>
      </w:r>
    </w:p>
    <w:p w14:paraId="257AAF3D" w14:textId="77777777" w:rsidR="00ED7A58" w:rsidRDefault="00D16022">
      <w:pPr>
        <w:rPr>
          <w:rFonts w:ascii="Times New Roman" w:eastAsia="Times New Roman" w:hAnsi="Times New Roman" w:cs="Times New Roman"/>
          <w:sz w:val="24"/>
          <w:szCs w:val="24"/>
        </w:rPr>
      </w:pPr>
      <w:r>
        <w:br w:type="page"/>
      </w:r>
    </w:p>
    <w:p w14:paraId="6EA16E88"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Chapter 5: Conclusions, Limitations and Recommendations</w:t>
      </w:r>
    </w:p>
    <w:p w14:paraId="421A3A29"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5.1 Introduction</w:t>
      </w:r>
    </w:p>
    <w:p w14:paraId="0336202C"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concludes the research by linking the content analysis to the aim, objectives and research questions. The study examined how existing academic, government, market, industry and brand evidence discusses consumer trust in AI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cosmetic marketing and purchase intention in UK online beauty retail. The core conclusion is that AI does not automatically increase online sales. AI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becomes valuable when consumers judge it as transparent, privacy-protective and useful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xml:space="preserve">, 2026). </w:t>
      </w:r>
    </w:p>
    <w:p w14:paraId="4E7CF354"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5.2 Conclusions on each research issue, objective and proposition</w:t>
      </w:r>
    </w:p>
    <w:p w14:paraId="2A8FB1F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Objective 1 was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how transparency and privacy assurance influence consumer trust. The evidence supports the proposition that both operate as trust building factors. O'Higgins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(2025) show that trust in the AI beauty solutions depend on transparency, moral leadership and on data security. </w:t>
      </w: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Gurme</w:t>
      </w:r>
      <w:proofErr w:type="spellEnd"/>
      <w:r>
        <w:rPr>
          <w:rFonts w:ascii="Times New Roman" w:eastAsia="Times New Roman" w:hAnsi="Times New Roman" w:cs="Times New Roman"/>
          <w:sz w:val="24"/>
          <w:szCs w:val="24"/>
        </w:rPr>
        <w:t xml:space="preserve"> (2026) on the other hand said that algorithmic privacy and data misuse hurt trust. So, trust is not only founded on how useful is AI and it is also based on how well customers understand how their</w:t>
      </w:r>
      <w:r>
        <w:rPr>
          <w:rFonts w:ascii="Times New Roman" w:eastAsia="Times New Roman" w:hAnsi="Times New Roman" w:cs="Times New Roman"/>
          <w:sz w:val="24"/>
          <w:szCs w:val="24"/>
        </w:rPr>
        <w:t xml:space="preserve"> data, images and tastes are used.</w:t>
      </w:r>
    </w:p>
    <w:p w14:paraId="65AB100B"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objective was to find out how customer trust affects their decision to buy. The results support the idea that trust is the factor that connects AI based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to people's plans to buy. It has been demonstrate that beauty tech experiences has potential for increase levels of satisfaction as well as purchase and repurchase intentions (Perret and </w:t>
      </w:r>
      <w:proofErr w:type="spellStart"/>
      <w:r>
        <w:rPr>
          <w:rFonts w:ascii="Times New Roman" w:eastAsia="Times New Roman" w:hAnsi="Times New Roman" w:cs="Times New Roman"/>
          <w:sz w:val="24"/>
          <w:szCs w:val="24"/>
        </w:rPr>
        <w:t>Schwientek</w:t>
      </w:r>
      <w:proofErr w:type="spellEnd"/>
      <w:r>
        <w:rPr>
          <w:rFonts w:ascii="Times New Roman" w:eastAsia="Times New Roman" w:hAnsi="Times New Roman" w:cs="Times New Roman"/>
          <w:sz w:val="24"/>
          <w:szCs w:val="24"/>
        </w:rPr>
        <w:t xml:space="preserve">, 2025). In same way, Yin and </w:t>
      </w:r>
      <w:proofErr w:type="spellStart"/>
      <w:r>
        <w:rPr>
          <w:rFonts w:ascii="Times New Roman" w:eastAsia="Times New Roman" w:hAnsi="Times New Roman" w:cs="Times New Roman"/>
          <w:sz w:val="24"/>
          <w:szCs w:val="24"/>
        </w:rPr>
        <w:t>Qiu</w:t>
      </w:r>
      <w:proofErr w:type="spellEnd"/>
      <w:r>
        <w:rPr>
          <w:rFonts w:ascii="Times New Roman" w:eastAsia="Times New Roman" w:hAnsi="Times New Roman" w:cs="Times New Roman"/>
          <w:sz w:val="24"/>
          <w:szCs w:val="24"/>
        </w:rPr>
        <w:t xml:space="preserve"> (2021) show that AI accuracy, understanding and interaction increase both the utilitarian and hedonic value which makes people more likely for buy. However, this effect is conditional because if the AI appears intrusive, biassed or manipulative, purchase int</w:t>
      </w:r>
      <w:r>
        <w:rPr>
          <w:rFonts w:ascii="Times New Roman" w:eastAsia="Times New Roman" w:hAnsi="Times New Roman" w:cs="Times New Roman"/>
          <w:sz w:val="24"/>
          <w:szCs w:val="24"/>
        </w:rPr>
        <w:t xml:space="preserve">ention may be decline (Hermann, 2022; </w:t>
      </w: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2026).</w:t>
      </w:r>
    </w:p>
    <w:p w14:paraId="6E93627D"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5.3 Conclusions on the research problem</w:t>
      </w:r>
    </w:p>
    <w:p w14:paraId="2736563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problem was that UK online cosmetic retailers may use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marketing to increase engagement and sales, but consumers may not trust these tools if data practices are unclear. The study concludes that this problem is real and commercially significant. Recommendations, chatbots and virtual try-on can reduce uncertainty because customers cannot physically test cosmetics before. Yet these tools may require sensitive appearance-related data. Therefore, the management issue is not simply AI adoption, but responsible adoption. Trust must be designed through</w:t>
      </w:r>
      <w:r>
        <w:rPr>
          <w:rFonts w:ascii="Times New Roman" w:eastAsia="Times New Roman" w:hAnsi="Times New Roman" w:cs="Times New Roman"/>
          <w:sz w:val="24"/>
          <w:szCs w:val="24"/>
        </w:rPr>
        <w:t xml:space="preserve"> clear explanations, privacy assurance, accuracy and consumer control.</w:t>
      </w:r>
    </w:p>
    <w:p w14:paraId="6A9638BF"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5.4 Summary of research findings and outcomes</w:t>
      </w:r>
    </w:p>
    <w:p w14:paraId="200BDD24"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RQ1, transparency and privacy assurance are repeatedly discussed as conditions for consumer trust. This supports Privacy Calculus Theory because customers compare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benefits with disclosure risks before accepting AI services. For RQ2, trust can support purchase intention when AI tools create value, confidence, convenience and enjoyment. However, the evidence shows a tension: business sources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conversion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experience, while academic sources highlight privacy, algorithmic bias and ethical governance.</w:t>
      </w:r>
    </w:p>
    <w:p w14:paraId="3A3258A5" w14:textId="387F7933" w:rsidR="004F6105"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5.5</w:t>
      </w:r>
      <w:r w:rsidR="00E12F00">
        <w:rPr>
          <w:rFonts w:ascii="Times New Roman" w:eastAsia="Times New Roman" w:hAnsi="Times New Roman" w:cs="Times New Roman"/>
          <w:b/>
          <w:bCs/>
          <w:sz w:val="24"/>
          <w:szCs w:val="24"/>
        </w:rPr>
        <w:t xml:space="preserve"> Contribution</w:t>
      </w:r>
      <w:r w:rsidR="002F3823">
        <w:rPr>
          <w:rFonts w:ascii="Times New Roman" w:eastAsia="Times New Roman" w:hAnsi="Times New Roman" w:cs="Times New Roman"/>
          <w:b/>
          <w:bCs/>
          <w:sz w:val="24"/>
          <w:szCs w:val="24"/>
        </w:rPr>
        <w:t xml:space="preserve"> </w:t>
      </w:r>
      <w:r w:rsidR="000958C9">
        <w:rPr>
          <w:rFonts w:ascii="Times New Roman" w:eastAsia="Times New Roman" w:hAnsi="Times New Roman" w:cs="Times New Roman"/>
          <w:b/>
          <w:bCs/>
          <w:sz w:val="24"/>
          <w:szCs w:val="24"/>
        </w:rPr>
        <w:t xml:space="preserve">to knowledge </w:t>
      </w:r>
    </w:p>
    <w:p w14:paraId="72956A0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original contribution is a focused synthesis of fragmented evidence. Previous studies often examine AI marketing broadly,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shopping generally or consumer trust separately. This dissertation connects these areas within one UK online beauty retail context. For management, it provides a trust-based explanation of how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should be implemented. For academia, it applies Privacy Calculus Theory to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and explains how privacy, transparency, trust and purchase intention interact. For future scholars, it offers a clear route for empirical testing. The specific contributio</w:t>
      </w:r>
      <w:r>
        <w:rPr>
          <w:rFonts w:ascii="Times New Roman" w:eastAsia="Times New Roman" w:hAnsi="Times New Roman" w:cs="Times New Roman"/>
          <w:sz w:val="24"/>
          <w:szCs w:val="24"/>
        </w:rPr>
        <w:t xml:space="preserve">n is development of trust based secondary framework for </w:t>
      </w:r>
      <w:proofErr w:type="spellStart"/>
      <w:r>
        <w:rPr>
          <w:rFonts w:ascii="Times New Roman" w:eastAsia="Times New Roman" w:hAnsi="Times New Roman" w:cs="Times New Roman"/>
          <w:sz w:val="24"/>
          <w:szCs w:val="24"/>
        </w:rPr>
        <w:t>AIpersonalised</w:t>
      </w:r>
      <w:proofErr w:type="spellEnd"/>
      <w:r>
        <w:rPr>
          <w:rFonts w:ascii="Times New Roman" w:eastAsia="Times New Roman" w:hAnsi="Times New Roman" w:cs="Times New Roman"/>
          <w:sz w:val="24"/>
          <w:szCs w:val="24"/>
        </w:rPr>
        <w:t xml:space="preserve"> cosmetic marketing in UK online beauty retail. It connects Privacy Calculus Theory with practical AI beauty tools, showing that trust is shaped by transparency, privacy assurance, perceived usefulness and consumer control. This is valuable because it bring together academic evidence, government policy, market context and brand examples into the one focused management explanation.</w:t>
      </w:r>
    </w:p>
    <w:p w14:paraId="691171F9"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5.6 Limitations of the research</w:t>
      </w:r>
    </w:p>
    <w:p w14:paraId="5D4E4FB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limitation is that the study used secondary data only. This enabled comparison of journals, reports and brand examples, but did not collect direct views from UK beauty consumers. Therefore, the conclusions are interpretive rather than statistically </w:t>
      </w:r>
      <w:proofErr w:type="spellStart"/>
      <w:r>
        <w:rPr>
          <w:rFonts w:ascii="Times New Roman" w:eastAsia="Times New Roman" w:hAnsi="Times New Roman" w:cs="Times New Roman"/>
          <w:sz w:val="24"/>
          <w:szCs w:val="24"/>
        </w:rPr>
        <w:t>generalisable</w:t>
      </w:r>
      <w:proofErr w:type="spellEnd"/>
      <w:r>
        <w:rPr>
          <w:rFonts w:ascii="Times New Roman" w:eastAsia="Times New Roman" w:hAnsi="Times New Roman" w:cs="Times New Roman"/>
          <w:sz w:val="24"/>
          <w:szCs w:val="24"/>
        </w:rPr>
        <w:t xml:space="preserve">. A second limitation is that some market evidence, such as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data, may depend on restricted access or changing forecasts. A third limitation is that Boots and L'Oréal Paris show company claims, not actual consumer experiences.</w:t>
      </w:r>
    </w:p>
    <w:p w14:paraId="20554620"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5.7 Recommendations and areas for future research</w:t>
      </w:r>
    </w:p>
    <w:p w14:paraId="026FEBE8"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Cosmetic retailers should make AI use visible by explaining when recommendations, adverts or virtual try on tools are AI-supported. In accordance with the United Kingdom's strategy on the responsible adoption of artificial intelligence and transparent online advertising (Department for Science, Innovation and Technology, 2025a; Department for Culture, Media and Sport, 2026), they should give clear privacy notifications, explanations of image use and accessible opt out choices. It is recommended that future </w:t>
      </w:r>
      <w:r>
        <w:rPr>
          <w:rFonts w:ascii="Times New Roman" w:eastAsia="Times New Roman" w:hAnsi="Times New Roman" w:cs="Times New Roman"/>
          <w:sz w:val="24"/>
          <w:szCs w:val="24"/>
        </w:rPr>
        <w:t>research make use of primary data from consumers of beauty products purchased online in the United Kingdom particularly members of Generation Z and young millennials to investigate whether or not the assurance of privacy enhances trust and whether or not trust predicts the intention to make a purchase. It is also possible for studies to compare different merchants in order to investigate whether or not different transparency methods result in varying levels of trust.</w:t>
      </w:r>
    </w:p>
    <w:p w14:paraId="1AB9D230" w14:textId="77777777" w:rsidR="00ED7A58" w:rsidRDefault="00D16022">
      <w:pPr>
        <w:rPr>
          <w:rFonts w:ascii="Times New Roman" w:eastAsia="Times New Roman" w:hAnsi="Times New Roman" w:cs="Times New Roman"/>
          <w:b/>
          <w:bCs/>
          <w:sz w:val="24"/>
          <w:szCs w:val="24"/>
        </w:rPr>
      </w:pPr>
      <w:r>
        <w:br w:type="page"/>
      </w:r>
    </w:p>
    <w:p w14:paraId="65C14A0A"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References</w:t>
      </w:r>
    </w:p>
    <w:p w14:paraId="434240DE"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Bell, E., </w:t>
      </w:r>
      <w:proofErr w:type="spellStart"/>
      <w:r>
        <w:rPr>
          <w:rFonts w:ascii="Times New Roman" w:eastAsia="Times New Roman" w:hAnsi="Times New Roman" w:cs="Times New Roman"/>
          <w:sz w:val="24"/>
          <w:szCs w:val="24"/>
        </w:rPr>
        <w:t>Bryman</w:t>
      </w:r>
      <w:proofErr w:type="spellEnd"/>
      <w:r>
        <w:rPr>
          <w:rFonts w:ascii="Times New Roman" w:eastAsia="Times New Roman" w:hAnsi="Times New Roman" w:cs="Times New Roman"/>
          <w:sz w:val="24"/>
          <w:szCs w:val="24"/>
        </w:rPr>
        <w:t xml:space="preserve">, A. and Harley, B., 2019. Business Research Methods. 5th ed. Oxford: Oxford University Press. </w:t>
      </w:r>
    </w:p>
    <w:p w14:paraId="5FBF5951"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Boots, 2026. Virtual Beauty. Available at: </w:t>
      </w:r>
      <w:hyperlink r:id="rId7">
        <w:r>
          <w:rPr>
            <w:rFonts w:ascii="Times New Roman" w:eastAsia="Times New Roman" w:hAnsi="Times New Roman" w:cs="Times New Roman"/>
            <w:color w:val="467886"/>
            <w:sz w:val="24"/>
            <w:szCs w:val="24"/>
            <w:u w:val="single"/>
          </w:rPr>
          <w:t>https://www.boots.com/beauty/virtual-beauty?srsltid=AfmBOoqwUOXRF2jBhGf6hXlZazgiw4YJQJti5kcHGh-Ne7_eUXtMaflm</w:t>
        </w:r>
      </w:hyperlink>
      <w:r>
        <w:rPr>
          <w:rFonts w:ascii="Times New Roman" w:eastAsia="Times New Roman" w:hAnsi="Times New Roman" w:cs="Times New Roman"/>
          <w:sz w:val="24"/>
          <w:szCs w:val="24"/>
        </w:rPr>
        <w:t xml:space="preserve"> [Accessed 11 June 2026].</w:t>
      </w:r>
    </w:p>
    <w:p w14:paraId="4AD25C01"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T., </w:t>
      </w:r>
      <w:proofErr w:type="spellStart"/>
      <w:r>
        <w:rPr>
          <w:rFonts w:ascii="Times New Roman" w:eastAsia="Times New Roman" w:hAnsi="Times New Roman" w:cs="Times New Roman"/>
          <w:sz w:val="24"/>
          <w:szCs w:val="24"/>
        </w:rPr>
        <w:t>Samaranayake</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Cen</w:t>
      </w:r>
      <w:proofErr w:type="spellEnd"/>
      <w:r>
        <w:rPr>
          <w:rFonts w:ascii="Times New Roman" w:eastAsia="Times New Roman" w:hAnsi="Times New Roman" w:cs="Times New Roman"/>
          <w:sz w:val="24"/>
          <w:szCs w:val="24"/>
        </w:rPr>
        <w:t xml:space="preserve">, X., Qi, M. and Lan, Y.C., 2022. The impact of online reviews on consumers' purchasing decisions: Evidence from an eye-tracking study. Frontiers in Psychology, 13, 865702. Available at: </w:t>
      </w:r>
      <w:hyperlink r:id="rId8">
        <w:r>
          <w:rPr>
            <w:rFonts w:ascii="Times New Roman" w:eastAsia="Times New Roman" w:hAnsi="Times New Roman" w:cs="Times New Roman"/>
            <w:color w:val="467886"/>
            <w:sz w:val="24"/>
            <w:szCs w:val="24"/>
            <w:u w:val="single"/>
          </w:rPr>
          <w:t>https://doi.org/10.3389/fpsyg.2022.865702</w:t>
        </w:r>
      </w:hyperlink>
      <w:r>
        <w:rPr>
          <w:rFonts w:ascii="Times New Roman" w:eastAsia="Times New Roman" w:hAnsi="Times New Roman" w:cs="Times New Roman"/>
          <w:sz w:val="24"/>
          <w:szCs w:val="24"/>
        </w:rPr>
        <w:t xml:space="preserve"> [Accessed 22 June 2026].</w:t>
      </w:r>
    </w:p>
    <w:p w14:paraId="03207B91"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Davenport, T., </w:t>
      </w:r>
      <w:proofErr w:type="spellStart"/>
      <w:r>
        <w:rPr>
          <w:rFonts w:ascii="Times New Roman" w:eastAsia="Times New Roman" w:hAnsi="Times New Roman" w:cs="Times New Roman"/>
          <w:sz w:val="24"/>
          <w:szCs w:val="24"/>
        </w:rPr>
        <w:t>Guha</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Grewal</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Bressgott</w:t>
      </w:r>
      <w:proofErr w:type="spellEnd"/>
      <w:r>
        <w:rPr>
          <w:rFonts w:ascii="Times New Roman" w:eastAsia="Times New Roman" w:hAnsi="Times New Roman" w:cs="Times New Roman"/>
          <w:sz w:val="24"/>
          <w:szCs w:val="24"/>
        </w:rPr>
        <w:t xml:space="preserve">, T., 2020. How artificial intelligence will change the future of marketing. Journal of the Academy of Marketing Science, 48, pp.24-42. Available at: </w:t>
      </w:r>
      <w:hyperlink r:id="rId9">
        <w:r>
          <w:rPr>
            <w:rFonts w:ascii="Times New Roman" w:eastAsia="Times New Roman" w:hAnsi="Times New Roman" w:cs="Times New Roman"/>
            <w:color w:val="467886"/>
            <w:sz w:val="24"/>
            <w:szCs w:val="24"/>
            <w:u w:val="single"/>
          </w:rPr>
          <w:t>https://doi.org/10.1007/s11747-019-00696-0</w:t>
        </w:r>
      </w:hyperlink>
      <w:r>
        <w:rPr>
          <w:rFonts w:ascii="Times New Roman" w:eastAsia="Times New Roman" w:hAnsi="Times New Roman" w:cs="Times New Roman"/>
          <w:sz w:val="24"/>
          <w:szCs w:val="24"/>
        </w:rPr>
        <w:t xml:space="preserve"> [Accessed 12 June 2026].</w:t>
      </w:r>
    </w:p>
    <w:p w14:paraId="10311E0E"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Department for Culture, Media and Sport, 2026. Online Advertising Taskforce: Progress Report 2025. Available at: </w:t>
      </w:r>
      <w:hyperlink r:id="rId10">
        <w:r>
          <w:rPr>
            <w:rFonts w:ascii="Times New Roman" w:eastAsia="Times New Roman" w:hAnsi="Times New Roman" w:cs="Times New Roman"/>
            <w:color w:val="467886"/>
            <w:sz w:val="24"/>
            <w:szCs w:val="24"/>
            <w:u w:val="single"/>
          </w:rPr>
          <w:t>https://www.gov.uk/government/publications/online-advertising-taskforce-progress-report-2025/online-advertising-taskforce-progress-report-2025</w:t>
        </w:r>
      </w:hyperlink>
      <w:r>
        <w:rPr>
          <w:rFonts w:ascii="Times New Roman" w:eastAsia="Times New Roman" w:hAnsi="Times New Roman" w:cs="Times New Roman"/>
          <w:sz w:val="24"/>
          <w:szCs w:val="24"/>
        </w:rPr>
        <w:t xml:space="preserve"> [Accessed 16 June 2026].</w:t>
      </w:r>
    </w:p>
    <w:p w14:paraId="475AB14A"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Department for Science, Innovation and Technology, 2025a. AI Opportunities Action Plan. Available at: </w:t>
      </w:r>
      <w:hyperlink r:id="rId11">
        <w:r>
          <w:rPr>
            <w:rFonts w:ascii="Times New Roman" w:eastAsia="Times New Roman" w:hAnsi="Times New Roman" w:cs="Times New Roman"/>
            <w:color w:val="467886"/>
            <w:sz w:val="24"/>
            <w:szCs w:val="24"/>
            <w:u w:val="single"/>
          </w:rPr>
          <w:t>https://www.gov.uk/government/publications/ai-opportunities-action-plan</w:t>
        </w:r>
      </w:hyperlink>
      <w:r>
        <w:rPr>
          <w:rFonts w:ascii="Times New Roman" w:eastAsia="Times New Roman" w:hAnsi="Times New Roman" w:cs="Times New Roman"/>
          <w:sz w:val="24"/>
          <w:szCs w:val="24"/>
        </w:rPr>
        <w:t xml:space="preserve"> [Accessed 13 June 2026].</w:t>
      </w:r>
    </w:p>
    <w:p w14:paraId="7D50492F"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Department for Science, Innovation and Technology, 2025b. AI Opportunities Action Plan: Government Response. Available at: </w:t>
      </w:r>
      <w:hyperlink r:id="rId12">
        <w:r>
          <w:rPr>
            <w:rFonts w:ascii="Times New Roman" w:eastAsia="Times New Roman" w:hAnsi="Times New Roman" w:cs="Times New Roman"/>
            <w:color w:val="467886"/>
            <w:sz w:val="24"/>
            <w:szCs w:val="24"/>
            <w:u w:val="single"/>
          </w:rPr>
          <w:t>https://www.gov.uk/government/publications/ai-opportunities-action-plan-government-response/ai-opportunities-action-plan-government-response</w:t>
        </w:r>
      </w:hyperlink>
      <w:r>
        <w:rPr>
          <w:rFonts w:ascii="Times New Roman" w:eastAsia="Times New Roman" w:hAnsi="Times New Roman" w:cs="Times New Roman"/>
          <w:sz w:val="24"/>
          <w:szCs w:val="24"/>
        </w:rPr>
        <w:t xml:space="preserve"> [Accessed 17 June 2026].</w:t>
      </w:r>
    </w:p>
    <w:p w14:paraId="0C148018"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Flavián</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Ibáñez-Sánchez</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Orús</w:t>
      </w:r>
      <w:proofErr w:type="spellEnd"/>
      <w:r>
        <w:rPr>
          <w:rFonts w:ascii="Times New Roman" w:eastAsia="Times New Roman" w:hAnsi="Times New Roman" w:cs="Times New Roman"/>
          <w:sz w:val="24"/>
          <w:szCs w:val="24"/>
        </w:rPr>
        <w:t xml:space="preserve">, C., 2019. The impact of virtual, augmented and mixed reality technologies on the customer experience. Journal of Business Research, 100, pp.547-560. Available at: </w:t>
      </w:r>
      <w:hyperlink r:id="rId13">
        <w:r>
          <w:rPr>
            <w:rFonts w:ascii="Times New Roman" w:eastAsia="Times New Roman" w:hAnsi="Times New Roman" w:cs="Times New Roman"/>
            <w:color w:val="467886"/>
            <w:sz w:val="24"/>
            <w:szCs w:val="24"/>
            <w:u w:val="single"/>
          </w:rPr>
          <w:t>https://doi.org/10.1016/j.jbusres.2018.10.050</w:t>
        </w:r>
      </w:hyperlink>
      <w:r>
        <w:rPr>
          <w:rFonts w:ascii="Times New Roman" w:eastAsia="Times New Roman" w:hAnsi="Times New Roman" w:cs="Times New Roman"/>
          <w:sz w:val="24"/>
          <w:szCs w:val="24"/>
        </w:rPr>
        <w:t xml:space="preserve"> [Accessed 25 June 2026].</w:t>
      </w:r>
    </w:p>
    <w:p w14:paraId="0982E17A"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Gabriel, A., </w:t>
      </w:r>
      <w:proofErr w:type="spellStart"/>
      <w:r>
        <w:rPr>
          <w:rFonts w:ascii="Times New Roman" w:eastAsia="Times New Roman" w:hAnsi="Times New Roman" w:cs="Times New Roman"/>
          <w:sz w:val="24"/>
          <w:szCs w:val="24"/>
        </w:rPr>
        <w:t>Ajriya</w:t>
      </w:r>
      <w:proofErr w:type="spellEnd"/>
      <w:r>
        <w:rPr>
          <w:rFonts w:ascii="Times New Roman" w:eastAsia="Times New Roman" w:hAnsi="Times New Roman" w:cs="Times New Roman"/>
          <w:sz w:val="24"/>
          <w:szCs w:val="24"/>
        </w:rPr>
        <w:t xml:space="preserve">, A.D., </w:t>
      </w:r>
      <w:proofErr w:type="spellStart"/>
      <w:r>
        <w:rPr>
          <w:rFonts w:ascii="Times New Roman" w:eastAsia="Times New Roman" w:hAnsi="Times New Roman" w:cs="Times New Roman"/>
          <w:sz w:val="24"/>
          <w:szCs w:val="24"/>
        </w:rPr>
        <w:t>Fahmi</w:t>
      </w:r>
      <w:proofErr w:type="spellEnd"/>
      <w:r>
        <w:rPr>
          <w:rFonts w:ascii="Times New Roman" w:eastAsia="Times New Roman" w:hAnsi="Times New Roman" w:cs="Times New Roman"/>
          <w:sz w:val="24"/>
          <w:szCs w:val="24"/>
        </w:rPr>
        <w:t xml:space="preserve">, C.Z.N. and </w:t>
      </w:r>
      <w:proofErr w:type="spellStart"/>
      <w:r>
        <w:rPr>
          <w:rFonts w:ascii="Times New Roman" w:eastAsia="Times New Roman" w:hAnsi="Times New Roman" w:cs="Times New Roman"/>
          <w:sz w:val="24"/>
          <w:szCs w:val="24"/>
        </w:rPr>
        <w:t>Handayani</w:t>
      </w:r>
      <w:proofErr w:type="spellEnd"/>
      <w:r>
        <w:rPr>
          <w:rFonts w:ascii="Times New Roman" w:eastAsia="Times New Roman" w:hAnsi="Times New Roman" w:cs="Times New Roman"/>
          <w:sz w:val="24"/>
          <w:szCs w:val="24"/>
        </w:rPr>
        <w:t xml:space="preserve">, P.W., 2023. The influence of augmented reality on e-commerce: A case study on fashion and beauty products. Cogent Business &amp; Management, 10(2), 2208716. Available at: </w:t>
      </w:r>
      <w:hyperlink r:id="rId14">
        <w:r>
          <w:rPr>
            <w:rFonts w:ascii="Times New Roman" w:eastAsia="Times New Roman" w:hAnsi="Times New Roman" w:cs="Times New Roman"/>
            <w:color w:val="467886"/>
            <w:sz w:val="24"/>
            <w:szCs w:val="24"/>
            <w:u w:val="single"/>
          </w:rPr>
          <w:t>https://doi.org/10.1080/23311975.2023.2208716</w:t>
        </w:r>
      </w:hyperlink>
      <w:r>
        <w:rPr>
          <w:rFonts w:ascii="Times New Roman" w:eastAsia="Times New Roman" w:hAnsi="Times New Roman" w:cs="Times New Roman"/>
          <w:sz w:val="24"/>
          <w:szCs w:val="24"/>
        </w:rPr>
        <w:t xml:space="preserve"> [Accessed 17 June 2026].</w:t>
      </w:r>
    </w:p>
    <w:p w14:paraId="7D10C71B"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Hermann, E., 2022. Leveraging artificial intelligence in marketing for social good—An ethical perspective. </w:t>
      </w:r>
      <w:r>
        <w:rPr>
          <w:rFonts w:ascii="Times New Roman" w:eastAsia="Times New Roman" w:hAnsi="Times New Roman" w:cs="Times New Roman"/>
          <w:i/>
          <w:iCs/>
          <w:sz w:val="24"/>
          <w:szCs w:val="24"/>
        </w:rPr>
        <w:t>Journal of business ethics</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179</w:t>
      </w:r>
      <w:r>
        <w:rPr>
          <w:rFonts w:ascii="Times New Roman" w:eastAsia="Times New Roman" w:hAnsi="Times New Roman" w:cs="Times New Roman"/>
          <w:sz w:val="24"/>
          <w:szCs w:val="24"/>
        </w:rPr>
        <w:t>(1), pp.43-61. [Accessed 17 June 2026].</w:t>
      </w:r>
    </w:p>
    <w:p w14:paraId="07B34315"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Hsieh</w:t>
      </w:r>
      <w:proofErr w:type="spellEnd"/>
      <w:r>
        <w:rPr>
          <w:rFonts w:ascii="Times New Roman" w:eastAsia="Times New Roman" w:hAnsi="Times New Roman" w:cs="Times New Roman"/>
          <w:sz w:val="24"/>
          <w:szCs w:val="24"/>
        </w:rPr>
        <w:t>, H.F. and Shannon, S.E., 2005. Three approaches to qualitative content analysis. </w:t>
      </w:r>
      <w:r>
        <w:rPr>
          <w:rFonts w:ascii="Times New Roman" w:eastAsia="Times New Roman" w:hAnsi="Times New Roman" w:cs="Times New Roman"/>
          <w:i/>
          <w:iCs/>
          <w:sz w:val="24"/>
          <w:szCs w:val="24"/>
        </w:rPr>
        <w:t>Qualitative health research</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15</w:t>
      </w:r>
      <w:r>
        <w:rPr>
          <w:rFonts w:ascii="Times New Roman" w:eastAsia="Times New Roman" w:hAnsi="Times New Roman" w:cs="Times New Roman"/>
          <w:sz w:val="24"/>
          <w:szCs w:val="24"/>
        </w:rPr>
        <w:t>(9), pp.1277-1288. [Accessed 27 June 2026].</w:t>
      </w:r>
    </w:p>
    <w:p w14:paraId="0321423E"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Huang, M.H. and Rust, R.T., 2021. A strategic framework for artificial intelligence in marketing. Journal of the Academy of Marketing Science, 49, pp.30-50. Available at: </w:t>
      </w:r>
      <w:hyperlink r:id="rId15">
        <w:r>
          <w:rPr>
            <w:rFonts w:ascii="Times New Roman" w:eastAsia="Times New Roman" w:hAnsi="Times New Roman" w:cs="Times New Roman"/>
            <w:color w:val="467886"/>
            <w:sz w:val="24"/>
            <w:szCs w:val="24"/>
            <w:u w:val="single"/>
          </w:rPr>
          <w:t>https://doi.org/10.1007/s11747-020-00749-9</w:t>
        </w:r>
      </w:hyperlink>
      <w:r>
        <w:rPr>
          <w:rFonts w:ascii="Times New Roman" w:eastAsia="Times New Roman" w:hAnsi="Times New Roman" w:cs="Times New Roman"/>
          <w:sz w:val="24"/>
          <w:szCs w:val="24"/>
        </w:rPr>
        <w:t xml:space="preserve"> [Accessed 15 June 2026].</w:t>
      </w:r>
    </w:p>
    <w:p w14:paraId="2DF6EE2F"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L'Oreal</w:t>
      </w:r>
      <w:proofErr w:type="spellEnd"/>
      <w:r>
        <w:rPr>
          <w:rFonts w:ascii="Times New Roman" w:eastAsia="Times New Roman" w:hAnsi="Times New Roman" w:cs="Times New Roman"/>
          <w:sz w:val="24"/>
          <w:szCs w:val="24"/>
        </w:rPr>
        <w:t xml:space="preserve"> Paris, 2026. Virtual Makeup Try-On. Available at: </w:t>
      </w:r>
      <w:hyperlink r:id="rId16">
        <w:r>
          <w:rPr>
            <w:rFonts w:ascii="Times New Roman" w:eastAsia="Times New Roman" w:hAnsi="Times New Roman" w:cs="Times New Roman"/>
            <w:color w:val="467886"/>
            <w:sz w:val="24"/>
            <w:szCs w:val="24"/>
            <w:u w:val="single"/>
          </w:rPr>
          <w:t>https://www.loreal-paris.co.uk/service-detail-pages/make-up-try-on-detail-page</w:t>
        </w:r>
      </w:hyperlink>
      <w:r>
        <w:rPr>
          <w:rFonts w:ascii="Times New Roman" w:eastAsia="Times New Roman" w:hAnsi="Times New Roman" w:cs="Times New Roman"/>
          <w:sz w:val="24"/>
          <w:szCs w:val="24"/>
        </w:rPr>
        <w:t xml:space="preserve"> [Accessed 10 June 2026].</w:t>
      </w:r>
    </w:p>
    <w:p w14:paraId="751C5A9D"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McKinsey &amp; Company, 2021. The value of getting personalization right-or wrong-is multiplying. Available at: </w:t>
      </w:r>
      <w:hyperlink r:id="rId17">
        <w:r>
          <w:rPr>
            <w:rFonts w:ascii="Times New Roman" w:eastAsia="Times New Roman" w:hAnsi="Times New Roman" w:cs="Times New Roman"/>
            <w:color w:val="467886"/>
            <w:sz w:val="24"/>
            <w:szCs w:val="24"/>
            <w:u w:val="single"/>
          </w:rPr>
          <w:t>https://www.mckinsey.com/capabilities/growth-marketing-and-sales/our-insights/the-value-of-getting-personalization-right-or-wrong-is-multiplying</w:t>
        </w:r>
      </w:hyperlink>
      <w:r>
        <w:rPr>
          <w:rFonts w:ascii="Times New Roman" w:eastAsia="Times New Roman" w:hAnsi="Times New Roman" w:cs="Times New Roman"/>
          <w:sz w:val="24"/>
          <w:szCs w:val="24"/>
        </w:rPr>
        <w:t xml:space="preserve"> [Accessed 23 June 2026].</w:t>
      </w:r>
    </w:p>
    <w:p w14:paraId="5BCD2C33"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McKinsey &amp; Company, 2025. How beauty players can scale </w:t>
      </w:r>
      <w:proofErr w:type="spellStart"/>
      <w:r>
        <w:rPr>
          <w:rFonts w:ascii="Times New Roman" w:eastAsia="Times New Roman" w:hAnsi="Times New Roman" w:cs="Times New Roman"/>
          <w:sz w:val="24"/>
          <w:szCs w:val="24"/>
        </w:rPr>
        <w:t>gen</w:t>
      </w:r>
      <w:proofErr w:type="spellEnd"/>
      <w:r>
        <w:rPr>
          <w:rFonts w:ascii="Times New Roman" w:eastAsia="Times New Roman" w:hAnsi="Times New Roman" w:cs="Times New Roman"/>
          <w:sz w:val="24"/>
          <w:szCs w:val="24"/>
        </w:rPr>
        <w:t xml:space="preserve"> AI in 2025. Available at: </w:t>
      </w:r>
      <w:hyperlink r:id="rId18">
        <w:r>
          <w:rPr>
            <w:rFonts w:ascii="Times New Roman" w:eastAsia="Times New Roman" w:hAnsi="Times New Roman" w:cs="Times New Roman"/>
            <w:color w:val="467886"/>
            <w:sz w:val="24"/>
            <w:szCs w:val="24"/>
            <w:u w:val="single"/>
          </w:rPr>
          <w:t>https://www.mckinsey.com/industries/consumer-packaged-goods/our-insights/how-beauty-players-can-scale-gen-ai-in-2025</w:t>
        </w:r>
      </w:hyperlink>
      <w:r>
        <w:rPr>
          <w:rFonts w:ascii="Times New Roman" w:eastAsia="Times New Roman" w:hAnsi="Times New Roman" w:cs="Times New Roman"/>
          <w:sz w:val="24"/>
          <w:szCs w:val="24"/>
        </w:rPr>
        <w:t xml:space="preserve"> [Accessed 23 June 2026].</w:t>
      </w:r>
    </w:p>
    <w:p w14:paraId="69258168"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O'Higgins, B. and </w:t>
      </w:r>
      <w:proofErr w:type="spellStart"/>
      <w:r>
        <w:rPr>
          <w:rFonts w:ascii="Times New Roman" w:eastAsia="Times New Roman" w:hAnsi="Times New Roman" w:cs="Times New Roman"/>
          <w:sz w:val="24"/>
          <w:szCs w:val="24"/>
        </w:rPr>
        <w:t>Fatorachian</w:t>
      </w:r>
      <w:proofErr w:type="spellEnd"/>
      <w:r>
        <w:rPr>
          <w:rFonts w:ascii="Times New Roman" w:eastAsia="Times New Roman" w:hAnsi="Times New Roman" w:cs="Times New Roman"/>
          <w:sz w:val="24"/>
          <w:szCs w:val="24"/>
        </w:rPr>
        <w:t xml:space="preserve">, H., 2025. Consumer trust in artificial intelligence in the UK and Ireland's personal care and cosmetics sector. Cogent Business &amp; Management, 12(1), 2469765. Available at: </w:t>
      </w:r>
      <w:hyperlink r:id="rId19">
        <w:r>
          <w:rPr>
            <w:rFonts w:ascii="Times New Roman" w:eastAsia="Times New Roman" w:hAnsi="Times New Roman" w:cs="Times New Roman"/>
            <w:color w:val="467886"/>
            <w:sz w:val="24"/>
            <w:szCs w:val="24"/>
            <w:u w:val="single"/>
          </w:rPr>
          <w:t>https://doi.org/10.1080/23311975.2025.2469765</w:t>
        </w:r>
      </w:hyperlink>
      <w:r>
        <w:rPr>
          <w:rFonts w:ascii="Times New Roman" w:eastAsia="Times New Roman" w:hAnsi="Times New Roman" w:cs="Times New Roman"/>
          <w:sz w:val="24"/>
          <w:szCs w:val="24"/>
        </w:rPr>
        <w:t xml:space="preserve"> [Accessed 14 June 2026].</w:t>
      </w:r>
    </w:p>
    <w:p w14:paraId="5EE26DA9"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Perret, J.K. and </w:t>
      </w:r>
      <w:proofErr w:type="spellStart"/>
      <w:r>
        <w:rPr>
          <w:rFonts w:ascii="Times New Roman" w:eastAsia="Times New Roman" w:hAnsi="Times New Roman" w:cs="Times New Roman"/>
          <w:sz w:val="24"/>
          <w:szCs w:val="24"/>
        </w:rPr>
        <w:t>Schwientek</w:t>
      </w:r>
      <w:proofErr w:type="spellEnd"/>
      <w:r>
        <w:rPr>
          <w:rFonts w:ascii="Times New Roman" w:eastAsia="Times New Roman" w:hAnsi="Times New Roman" w:cs="Times New Roman"/>
          <w:sz w:val="24"/>
          <w:szCs w:val="24"/>
        </w:rPr>
        <w:t xml:space="preserve">, J., 2025. Beauty Tech: Customer Experience and Loyalty of Augmented Reality- and Artificial Intelligence-Driven Cosmetics. Digital, 5(2), p.21. Available at: </w:t>
      </w:r>
      <w:hyperlink r:id="rId20">
        <w:r>
          <w:rPr>
            <w:rFonts w:ascii="Times New Roman" w:eastAsia="Times New Roman" w:hAnsi="Times New Roman" w:cs="Times New Roman"/>
            <w:color w:val="467886"/>
            <w:sz w:val="24"/>
            <w:szCs w:val="24"/>
            <w:u w:val="single"/>
          </w:rPr>
          <w:t>https://doi.org/10.3390/digital5020021</w:t>
        </w:r>
      </w:hyperlink>
      <w:r>
        <w:rPr>
          <w:rFonts w:ascii="Times New Roman" w:eastAsia="Times New Roman" w:hAnsi="Times New Roman" w:cs="Times New Roman"/>
          <w:sz w:val="24"/>
          <w:szCs w:val="24"/>
        </w:rPr>
        <w:t xml:space="preserve"> [Accessed 19 June 2026].</w:t>
      </w:r>
    </w:p>
    <w:p w14:paraId="2F95E86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 Lewis, P. and </w:t>
      </w:r>
      <w:proofErr w:type="spellStart"/>
      <w:r>
        <w:rPr>
          <w:rFonts w:ascii="Times New Roman" w:eastAsia="Times New Roman" w:hAnsi="Times New Roman" w:cs="Times New Roman"/>
          <w:sz w:val="24"/>
          <w:szCs w:val="24"/>
        </w:rPr>
        <w:t>Thornhill</w:t>
      </w:r>
      <w:proofErr w:type="spellEnd"/>
      <w:r>
        <w:rPr>
          <w:rFonts w:ascii="Times New Roman" w:eastAsia="Times New Roman" w:hAnsi="Times New Roman" w:cs="Times New Roman"/>
          <w:sz w:val="24"/>
          <w:szCs w:val="24"/>
        </w:rPr>
        <w:t xml:space="preserve">, A., 2019. Research Methods for Business Students. 8th ed. Harlow: Pearson. </w:t>
      </w:r>
    </w:p>
    <w:p w14:paraId="25018280"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Snyder, H., 2019. Literature review as a research methodology: An overview and guidelines. Journal of Business Research, 104, pp.333-339. Available at: </w:t>
      </w:r>
      <w:hyperlink r:id="rId21">
        <w:r>
          <w:rPr>
            <w:rFonts w:ascii="Times New Roman" w:eastAsia="Times New Roman" w:hAnsi="Times New Roman" w:cs="Times New Roman"/>
            <w:color w:val="467886"/>
            <w:sz w:val="24"/>
            <w:szCs w:val="24"/>
            <w:u w:val="single"/>
          </w:rPr>
          <w:t>https://doi.org/10.1016/j.jbusres.2019.07.039</w:t>
        </w:r>
      </w:hyperlink>
      <w:r>
        <w:rPr>
          <w:rFonts w:ascii="Times New Roman" w:eastAsia="Times New Roman" w:hAnsi="Times New Roman" w:cs="Times New Roman"/>
          <w:sz w:val="24"/>
          <w:szCs w:val="24"/>
        </w:rPr>
        <w:t xml:space="preserve"> [Accessed 28 June 2026].</w:t>
      </w:r>
    </w:p>
    <w:p w14:paraId="45F81C20"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Srivastava</w:t>
      </w:r>
      <w:proofErr w:type="spellEnd"/>
      <w:r>
        <w:rPr>
          <w:rFonts w:ascii="Times New Roman" w:eastAsia="Times New Roman" w:hAnsi="Times New Roman" w:cs="Times New Roman"/>
          <w:sz w:val="24"/>
          <w:szCs w:val="24"/>
        </w:rPr>
        <w:t xml:space="preserve">, R.K. and </w:t>
      </w:r>
      <w:proofErr w:type="spellStart"/>
      <w:r>
        <w:rPr>
          <w:rFonts w:ascii="Times New Roman" w:eastAsia="Times New Roman" w:hAnsi="Times New Roman" w:cs="Times New Roman"/>
          <w:sz w:val="24"/>
          <w:szCs w:val="24"/>
        </w:rPr>
        <w:t>Gurme</w:t>
      </w:r>
      <w:proofErr w:type="spellEnd"/>
      <w:r>
        <w:rPr>
          <w:rFonts w:ascii="Times New Roman" w:eastAsia="Times New Roman" w:hAnsi="Times New Roman" w:cs="Times New Roman"/>
          <w:sz w:val="24"/>
          <w:szCs w:val="24"/>
        </w:rPr>
        <w:t xml:space="preserve">, V., 2026. Artificial intelligence and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on social media: A study of personalization, trust, and privacy. Measurement: Digitalization, 5, 100021. Available at: </w:t>
      </w:r>
      <w:hyperlink r:id="rId22">
        <w:r>
          <w:rPr>
            <w:rFonts w:ascii="Times New Roman" w:eastAsia="Times New Roman" w:hAnsi="Times New Roman" w:cs="Times New Roman"/>
            <w:color w:val="467886"/>
            <w:sz w:val="24"/>
            <w:szCs w:val="24"/>
            <w:u w:val="single"/>
          </w:rPr>
          <w:t>https://doi.org/10.1016/j.meadig.2025.100021</w:t>
        </w:r>
      </w:hyperlink>
      <w:r>
        <w:rPr>
          <w:rFonts w:ascii="Times New Roman" w:eastAsia="Times New Roman" w:hAnsi="Times New Roman" w:cs="Times New Roman"/>
          <w:sz w:val="24"/>
          <w:szCs w:val="24"/>
        </w:rPr>
        <w:t xml:space="preserve"> [Accessed 21 June 2026].</w:t>
      </w:r>
    </w:p>
    <w:p w14:paraId="5A5BD73B"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2026a. Beauty &amp; Personal Care - United Kingdom: Market Forecast. Available at: </w:t>
      </w:r>
      <w:hyperlink r:id="rId23">
        <w:r>
          <w:rPr>
            <w:rFonts w:ascii="Times New Roman" w:eastAsia="Times New Roman" w:hAnsi="Times New Roman" w:cs="Times New Roman"/>
            <w:color w:val="467886"/>
            <w:sz w:val="24"/>
            <w:szCs w:val="24"/>
            <w:u w:val="single"/>
          </w:rPr>
          <w:t>https://www.statista.com/outlook/cmo/beauty-personal-care/united-kingdom</w:t>
        </w:r>
      </w:hyperlink>
      <w:r>
        <w:rPr>
          <w:rFonts w:ascii="Times New Roman" w:eastAsia="Times New Roman" w:hAnsi="Times New Roman" w:cs="Times New Roman"/>
          <w:sz w:val="24"/>
          <w:szCs w:val="24"/>
        </w:rPr>
        <w:t xml:space="preserve"> [Accessed 19 June 2026].</w:t>
      </w:r>
    </w:p>
    <w:p w14:paraId="105CE9F3"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2026b. Cosmetics - United Kingdom: Market Forecast. Available at: </w:t>
      </w:r>
      <w:hyperlink r:id="rId24">
        <w:r>
          <w:rPr>
            <w:rFonts w:ascii="Times New Roman" w:eastAsia="Times New Roman" w:hAnsi="Times New Roman" w:cs="Times New Roman"/>
            <w:color w:val="467886"/>
            <w:sz w:val="24"/>
            <w:szCs w:val="24"/>
            <w:u w:val="single"/>
          </w:rPr>
          <w:t>https://www.statista.com/outlook/cmo/beauty-personal-care/cosmetics/united-kingdom</w:t>
        </w:r>
      </w:hyperlink>
      <w:r>
        <w:rPr>
          <w:rFonts w:ascii="Times New Roman" w:eastAsia="Times New Roman" w:hAnsi="Times New Roman" w:cs="Times New Roman"/>
          <w:sz w:val="24"/>
          <w:szCs w:val="24"/>
        </w:rPr>
        <w:t xml:space="preserve"> [Accessed 18 June 2026].</w:t>
      </w:r>
    </w:p>
    <w:p w14:paraId="5787B7E3"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2026c. Beauty and personal care e-commerce in the United Kingdom (UK) - statistics &amp; facts. Available at: </w:t>
      </w:r>
      <w:hyperlink r:id="rId25">
        <w:r>
          <w:rPr>
            <w:rFonts w:ascii="Times New Roman" w:eastAsia="Times New Roman" w:hAnsi="Times New Roman" w:cs="Times New Roman"/>
            <w:color w:val="467886"/>
            <w:sz w:val="24"/>
            <w:szCs w:val="24"/>
            <w:u w:val="single"/>
          </w:rPr>
          <w:t>https://www.statista.com/topics/10598/beauty-and-personal-care-e-commerce-in-the-uk/</w:t>
        </w:r>
      </w:hyperlink>
      <w:r>
        <w:rPr>
          <w:rFonts w:ascii="Times New Roman" w:eastAsia="Times New Roman" w:hAnsi="Times New Roman" w:cs="Times New Roman"/>
          <w:sz w:val="24"/>
          <w:szCs w:val="24"/>
        </w:rPr>
        <w:t xml:space="preserve"> [Accessed 18 June 2026].</w:t>
      </w:r>
    </w:p>
    <w:p w14:paraId="0CA66A8A"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Trepte</w:t>
      </w:r>
      <w:proofErr w:type="spellEnd"/>
      <w:r>
        <w:rPr>
          <w:rFonts w:ascii="Times New Roman" w:eastAsia="Times New Roman" w:hAnsi="Times New Roman" w:cs="Times New Roman"/>
          <w:sz w:val="24"/>
          <w:szCs w:val="24"/>
        </w:rPr>
        <w:t xml:space="preserve">, S., Reinecke, L., Ellison, N.B., </w:t>
      </w:r>
      <w:proofErr w:type="spellStart"/>
      <w:r>
        <w:rPr>
          <w:rFonts w:ascii="Times New Roman" w:eastAsia="Times New Roman" w:hAnsi="Times New Roman" w:cs="Times New Roman"/>
          <w:sz w:val="24"/>
          <w:szCs w:val="24"/>
        </w:rPr>
        <w:t>Quiring</w:t>
      </w:r>
      <w:proofErr w:type="spellEnd"/>
      <w:r>
        <w:rPr>
          <w:rFonts w:ascii="Times New Roman" w:eastAsia="Times New Roman" w:hAnsi="Times New Roman" w:cs="Times New Roman"/>
          <w:sz w:val="24"/>
          <w:szCs w:val="24"/>
        </w:rPr>
        <w:t xml:space="preserve">, O., Yao, M.Z. and </w:t>
      </w:r>
      <w:proofErr w:type="spellStart"/>
      <w:r>
        <w:rPr>
          <w:rFonts w:ascii="Times New Roman" w:eastAsia="Times New Roman" w:hAnsi="Times New Roman" w:cs="Times New Roman"/>
          <w:sz w:val="24"/>
          <w:szCs w:val="24"/>
        </w:rPr>
        <w:t>Ziegele</w:t>
      </w:r>
      <w:proofErr w:type="spellEnd"/>
      <w:r>
        <w:rPr>
          <w:rFonts w:ascii="Times New Roman" w:eastAsia="Times New Roman" w:hAnsi="Times New Roman" w:cs="Times New Roman"/>
          <w:sz w:val="24"/>
          <w:szCs w:val="24"/>
        </w:rPr>
        <w:t xml:space="preserve">, M., 2017. A cross-cultural perspective on the privacy calculus. Social Media + Society, 3(1). Available at: </w:t>
      </w:r>
      <w:hyperlink r:id="rId26">
        <w:r>
          <w:rPr>
            <w:rFonts w:ascii="Times New Roman" w:eastAsia="Times New Roman" w:hAnsi="Times New Roman" w:cs="Times New Roman"/>
            <w:color w:val="467886"/>
            <w:sz w:val="24"/>
            <w:szCs w:val="24"/>
            <w:u w:val="single"/>
          </w:rPr>
          <w:t>https://doi.org/10.1177/2056305116688035</w:t>
        </w:r>
      </w:hyperlink>
      <w:r>
        <w:rPr>
          <w:rFonts w:ascii="Times New Roman" w:eastAsia="Times New Roman" w:hAnsi="Times New Roman" w:cs="Times New Roman"/>
          <w:sz w:val="24"/>
          <w:szCs w:val="24"/>
        </w:rPr>
        <w:t xml:space="preserve"> [Accessed 13 June 2026].</w:t>
      </w:r>
    </w:p>
    <w:p w14:paraId="6751F943"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Utami</w:t>
      </w:r>
      <w:proofErr w:type="spellEnd"/>
      <w:r>
        <w:rPr>
          <w:rFonts w:ascii="Times New Roman" w:eastAsia="Times New Roman" w:hAnsi="Times New Roman" w:cs="Times New Roman"/>
          <w:sz w:val="24"/>
          <w:szCs w:val="24"/>
        </w:rPr>
        <w:t xml:space="preserve">, R.D. and </w:t>
      </w:r>
      <w:proofErr w:type="spellStart"/>
      <w:r>
        <w:rPr>
          <w:rFonts w:ascii="Times New Roman" w:eastAsia="Times New Roman" w:hAnsi="Times New Roman" w:cs="Times New Roman"/>
          <w:sz w:val="24"/>
          <w:szCs w:val="24"/>
        </w:rPr>
        <w:t>Aimin</w:t>
      </w:r>
      <w:proofErr w:type="spellEnd"/>
      <w:r>
        <w:rPr>
          <w:rFonts w:ascii="Times New Roman" w:eastAsia="Times New Roman" w:hAnsi="Times New Roman" w:cs="Times New Roman"/>
          <w:sz w:val="24"/>
          <w:szCs w:val="24"/>
        </w:rPr>
        <w:t xml:space="preserve">, W., 2026. Balancing personalization, privacy, and value: A systematic literature review of AI-enabled customer experience management. Information, 17(2), p.115. Available at: </w:t>
      </w:r>
      <w:hyperlink r:id="rId27">
        <w:r>
          <w:rPr>
            <w:rFonts w:ascii="Times New Roman" w:eastAsia="Times New Roman" w:hAnsi="Times New Roman" w:cs="Times New Roman"/>
            <w:color w:val="467886"/>
            <w:sz w:val="24"/>
            <w:szCs w:val="24"/>
            <w:u w:val="single"/>
          </w:rPr>
          <w:t>https://doi.org/10.3390/info17020115</w:t>
        </w:r>
      </w:hyperlink>
      <w:r>
        <w:rPr>
          <w:rFonts w:ascii="Times New Roman" w:eastAsia="Times New Roman" w:hAnsi="Times New Roman" w:cs="Times New Roman"/>
          <w:sz w:val="24"/>
          <w:szCs w:val="24"/>
        </w:rPr>
        <w:t xml:space="preserve"> [Accessed 9 June 2026].</w:t>
      </w:r>
    </w:p>
    <w:p w14:paraId="4ED463F8"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Verma</w:t>
      </w:r>
      <w:proofErr w:type="spellEnd"/>
      <w:r>
        <w:rPr>
          <w:rFonts w:ascii="Times New Roman" w:eastAsia="Times New Roman" w:hAnsi="Times New Roman" w:cs="Times New Roman"/>
          <w:sz w:val="24"/>
          <w:szCs w:val="24"/>
        </w:rPr>
        <w:t xml:space="preserve">, S., Sharma, R., Deb, S. and </w:t>
      </w:r>
      <w:proofErr w:type="spellStart"/>
      <w:r>
        <w:rPr>
          <w:rFonts w:ascii="Times New Roman" w:eastAsia="Times New Roman" w:hAnsi="Times New Roman" w:cs="Times New Roman"/>
          <w:sz w:val="24"/>
          <w:szCs w:val="24"/>
        </w:rPr>
        <w:t>Maitra</w:t>
      </w:r>
      <w:proofErr w:type="spellEnd"/>
      <w:r>
        <w:rPr>
          <w:rFonts w:ascii="Times New Roman" w:eastAsia="Times New Roman" w:hAnsi="Times New Roman" w:cs="Times New Roman"/>
          <w:sz w:val="24"/>
          <w:szCs w:val="24"/>
        </w:rPr>
        <w:t xml:space="preserve">, D., 2021. Artificial intelligence in marketing: Systematic review and future research direction. International Journal of Information Management Data Insights, 1(1), 100002. Available at: </w:t>
      </w:r>
      <w:hyperlink r:id="rId28">
        <w:r>
          <w:rPr>
            <w:rFonts w:ascii="Times New Roman" w:eastAsia="Times New Roman" w:hAnsi="Times New Roman" w:cs="Times New Roman"/>
            <w:color w:val="467886"/>
            <w:sz w:val="24"/>
            <w:szCs w:val="24"/>
            <w:u w:val="single"/>
          </w:rPr>
          <w:t>https://doi.org/10.1016/j.jjimei.2020.100002</w:t>
        </w:r>
      </w:hyperlink>
      <w:r>
        <w:rPr>
          <w:rFonts w:ascii="Times New Roman" w:eastAsia="Times New Roman" w:hAnsi="Times New Roman" w:cs="Times New Roman"/>
          <w:sz w:val="24"/>
          <w:szCs w:val="24"/>
        </w:rPr>
        <w:t xml:space="preserve"> [Accessed 21 June 2026].</w:t>
      </w:r>
    </w:p>
    <w:p w14:paraId="450BF8C3"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Vlačić</w:t>
      </w:r>
      <w:proofErr w:type="spellEnd"/>
      <w:r>
        <w:rPr>
          <w:rFonts w:ascii="Times New Roman" w:eastAsia="Times New Roman" w:hAnsi="Times New Roman" w:cs="Times New Roman"/>
          <w:sz w:val="24"/>
          <w:szCs w:val="24"/>
        </w:rPr>
        <w:t xml:space="preserve">, B., Corbo, L., Costa e Silva, S. and </w:t>
      </w:r>
      <w:proofErr w:type="spellStart"/>
      <w:r>
        <w:rPr>
          <w:rFonts w:ascii="Times New Roman" w:eastAsia="Times New Roman" w:hAnsi="Times New Roman" w:cs="Times New Roman"/>
          <w:sz w:val="24"/>
          <w:szCs w:val="24"/>
        </w:rPr>
        <w:t>Dabić</w:t>
      </w:r>
      <w:proofErr w:type="spellEnd"/>
      <w:r>
        <w:rPr>
          <w:rFonts w:ascii="Times New Roman" w:eastAsia="Times New Roman" w:hAnsi="Times New Roman" w:cs="Times New Roman"/>
          <w:sz w:val="24"/>
          <w:szCs w:val="24"/>
        </w:rPr>
        <w:t xml:space="preserve">, M., 2021. The evolving role of artificial intelligence in marketing: A review and research agenda. Journal of Business Research, 128, pp.187-203. Available at: </w:t>
      </w:r>
      <w:hyperlink r:id="rId29">
        <w:r>
          <w:rPr>
            <w:rFonts w:ascii="Times New Roman" w:eastAsia="Times New Roman" w:hAnsi="Times New Roman" w:cs="Times New Roman"/>
            <w:color w:val="467886"/>
            <w:sz w:val="24"/>
            <w:szCs w:val="24"/>
            <w:u w:val="single"/>
          </w:rPr>
          <w:t>https://doi.org/10.1016/j.jbusres.2021.01.055</w:t>
        </w:r>
      </w:hyperlink>
      <w:r>
        <w:rPr>
          <w:rFonts w:ascii="Times New Roman" w:eastAsia="Times New Roman" w:hAnsi="Times New Roman" w:cs="Times New Roman"/>
          <w:sz w:val="24"/>
          <w:szCs w:val="24"/>
        </w:rPr>
        <w:t xml:space="preserve"> [Accessed 18 June 2026].</w:t>
      </w:r>
    </w:p>
    <w:p w14:paraId="7753183E"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Vogue Business, 2026. 'You Cannot Trust a Machine': The AI Consumer Perception Survey. Available at: </w:t>
      </w:r>
      <w:hyperlink r:id="rId30">
        <w:r>
          <w:rPr>
            <w:rFonts w:ascii="Times New Roman" w:eastAsia="Times New Roman" w:hAnsi="Times New Roman" w:cs="Times New Roman"/>
            <w:color w:val="467886"/>
            <w:sz w:val="24"/>
            <w:szCs w:val="24"/>
            <w:u w:val="single"/>
          </w:rPr>
          <w:t>https://www.vogue.com/article/you-cannot-trust-a-machine-the-ai-consumer-perception-survey</w:t>
        </w:r>
      </w:hyperlink>
      <w:r>
        <w:rPr>
          <w:rFonts w:ascii="Times New Roman" w:eastAsia="Times New Roman" w:hAnsi="Times New Roman" w:cs="Times New Roman"/>
          <w:sz w:val="24"/>
          <w:szCs w:val="24"/>
        </w:rPr>
        <w:t xml:space="preserve"> [Accessed 16 June 2026].</w:t>
      </w:r>
    </w:p>
    <w:p w14:paraId="49D606B2" w14:textId="77777777" w:rsidR="00ED7A58" w:rsidRDefault="00D1602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Voicu</w:t>
      </w:r>
      <w:proofErr w:type="spellEnd"/>
      <w:r>
        <w:rPr>
          <w:rFonts w:ascii="Times New Roman" w:eastAsia="Times New Roman" w:hAnsi="Times New Roman" w:cs="Times New Roman"/>
          <w:sz w:val="24"/>
          <w:szCs w:val="24"/>
        </w:rPr>
        <w:t xml:space="preserve">, M.C., </w:t>
      </w:r>
      <w:proofErr w:type="spellStart"/>
      <w:r>
        <w:rPr>
          <w:rFonts w:ascii="Times New Roman" w:eastAsia="Times New Roman" w:hAnsi="Times New Roman" w:cs="Times New Roman"/>
          <w:sz w:val="24"/>
          <w:szCs w:val="24"/>
        </w:rPr>
        <w:t>Sirghi</w:t>
      </w:r>
      <w:proofErr w:type="spellEnd"/>
      <w:r>
        <w:rPr>
          <w:rFonts w:ascii="Times New Roman" w:eastAsia="Times New Roman" w:hAnsi="Times New Roman" w:cs="Times New Roman"/>
          <w:sz w:val="24"/>
          <w:szCs w:val="24"/>
        </w:rPr>
        <w:t xml:space="preserve">, N. and </w:t>
      </w:r>
      <w:proofErr w:type="spellStart"/>
      <w:r>
        <w:rPr>
          <w:rFonts w:ascii="Times New Roman" w:eastAsia="Times New Roman" w:hAnsi="Times New Roman" w:cs="Times New Roman"/>
          <w:sz w:val="24"/>
          <w:szCs w:val="24"/>
        </w:rPr>
        <w:t>Toth</w:t>
      </w:r>
      <w:proofErr w:type="spellEnd"/>
      <w:r>
        <w:rPr>
          <w:rFonts w:ascii="Times New Roman" w:eastAsia="Times New Roman" w:hAnsi="Times New Roman" w:cs="Times New Roman"/>
          <w:sz w:val="24"/>
          <w:szCs w:val="24"/>
        </w:rPr>
        <w:t xml:space="preserve">, D.M., 2023. Consumers' experience and satisfaction using augmented reality apps in e-shopping: New empirical evidence. Applied Sciences, 13(17), p.9596. Available at: </w:t>
      </w:r>
      <w:hyperlink r:id="rId31">
        <w:r>
          <w:rPr>
            <w:rFonts w:ascii="Times New Roman" w:eastAsia="Times New Roman" w:hAnsi="Times New Roman" w:cs="Times New Roman"/>
            <w:color w:val="467886"/>
            <w:sz w:val="24"/>
            <w:szCs w:val="24"/>
            <w:u w:val="single"/>
          </w:rPr>
          <w:t>https://doi.org/10.3390/app13179596</w:t>
        </w:r>
      </w:hyperlink>
      <w:r>
        <w:rPr>
          <w:rFonts w:ascii="Times New Roman" w:eastAsia="Times New Roman" w:hAnsi="Times New Roman" w:cs="Times New Roman"/>
          <w:sz w:val="24"/>
          <w:szCs w:val="24"/>
        </w:rPr>
        <w:t xml:space="preserve"> [Accessed 11 June 2026].</w:t>
      </w:r>
    </w:p>
    <w:p w14:paraId="32CBC464"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Yin, J. and </w:t>
      </w:r>
      <w:proofErr w:type="spellStart"/>
      <w:r>
        <w:rPr>
          <w:rFonts w:ascii="Times New Roman" w:eastAsia="Times New Roman" w:hAnsi="Times New Roman" w:cs="Times New Roman"/>
          <w:sz w:val="24"/>
          <w:szCs w:val="24"/>
        </w:rPr>
        <w:t>Qiu</w:t>
      </w:r>
      <w:proofErr w:type="spellEnd"/>
      <w:r>
        <w:rPr>
          <w:rFonts w:ascii="Times New Roman" w:eastAsia="Times New Roman" w:hAnsi="Times New Roman" w:cs="Times New Roman"/>
          <w:sz w:val="24"/>
          <w:szCs w:val="24"/>
        </w:rPr>
        <w:t xml:space="preserve">, X., 2021. AI technology and online purchase intention: Structural equation model based on perceived value. Sustainability, 13(10), p.5671. Available at: </w:t>
      </w:r>
      <w:hyperlink r:id="rId32">
        <w:r>
          <w:rPr>
            <w:rFonts w:ascii="Times New Roman" w:eastAsia="Times New Roman" w:hAnsi="Times New Roman" w:cs="Times New Roman"/>
            <w:color w:val="467886"/>
            <w:sz w:val="24"/>
            <w:szCs w:val="24"/>
            <w:u w:val="single"/>
          </w:rPr>
          <w:t>https://doi.org/10.3390/su13105671</w:t>
        </w:r>
      </w:hyperlink>
      <w:r>
        <w:rPr>
          <w:rFonts w:ascii="Times New Roman" w:eastAsia="Times New Roman" w:hAnsi="Times New Roman" w:cs="Times New Roman"/>
          <w:sz w:val="24"/>
          <w:szCs w:val="24"/>
        </w:rPr>
        <w:t xml:space="preserve"> [Accessed 24 June 2026].</w:t>
      </w:r>
    </w:p>
    <w:p w14:paraId="4E39EF1E" w14:textId="77777777" w:rsidR="00ED7A58" w:rsidRDefault="00ED7A58">
      <w:pPr>
        <w:spacing w:line="360" w:lineRule="auto"/>
        <w:rPr>
          <w:rFonts w:ascii="Times New Roman" w:eastAsia="Times New Roman" w:hAnsi="Times New Roman" w:cs="Times New Roman"/>
          <w:sz w:val="24"/>
          <w:szCs w:val="24"/>
        </w:rPr>
      </w:pPr>
    </w:p>
    <w:p w14:paraId="1F9733FB" w14:textId="77777777" w:rsidR="00ED7A58" w:rsidRDefault="00ED7A58">
      <w:pPr>
        <w:spacing w:line="360" w:lineRule="auto"/>
        <w:rPr>
          <w:rFonts w:ascii="Times New Roman" w:eastAsia="Times New Roman" w:hAnsi="Times New Roman" w:cs="Times New Roman"/>
          <w:sz w:val="24"/>
          <w:szCs w:val="24"/>
        </w:rPr>
      </w:pPr>
    </w:p>
    <w:p w14:paraId="06B1F51C" w14:textId="77777777" w:rsidR="00ED7A58" w:rsidRDefault="00ED7A58">
      <w:pPr>
        <w:spacing w:line="360" w:lineRule="auto"/>
        <w:rPr>
          <w:rFonts w:ascii="Times New Roman" w:eastAsia="Times New Roman" w:hAnsi="Times New Roman" w:cs="Times New Roman"/>
          <w:sz w:val="24"/>
          <w:szCs w:val="24"/>
        </w:rPr>
      </w:pPr>
    </w:p>
    <w:p w14:paraId="7414ED3D" w14:textId="77777777" w:rsidR="00ED7A58" w:rsidRDefault="00D16022">
      <w:pPr>
        <w:rPr>
          <w:rFonts w:ascii="Times New Roman" w:eastAsia="Times New Roman" w:hAnsi="Times New Roman" w:cs="Times New Roman"/>
          <w:b/>
          <w:bCs/>
          <w:sz w:val="24"/>
          <w:szCs w:val="24"/>
        </w:rPr>
      </w:pPr>
      <w:r>
        <w:br w:type="page"/>
      </w:r>
    </w:p>
    <w:p w14:paraId="61DE3498"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Glossary of Terms</w:t>
      </w:r>
    </w:p>
    <w:p w14:paraId="24949997"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glossary defines the key technical and research terms used in the dissertation. The definitions are written in plain academic language so that the study remains clear for business and marketing readers.</w:t>
      </w:r>
    </w:p>
    <w:tbl>
      <w:tblPr>
        <w:tblStyle w:val="aa"/>
        <w:tblW w:w="9209"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76"/>
        <w:gridCol w:w="6333"/>
      </w:tblGrid>
      <w:tr w:rsidR="00ED7A58" w14:paraId="7C126486" w14:textId="77777777">
        <w:trPr>
          <w:jc w:val="center"/>
        </w:trPr>
        <w:tc>
          <w:tcPr>
            <w:tcW w:w="2876" w:type="dxa"/>
            <w:tcBorders>
              <w:top w:val="single" w:sz="4" w:space="0" w:color="000000"/>
              <w:left w:val="single" w:sz="4" w:space="0" w:color="000000"/>
              <w:bottom w:val="single" w:sz="4" w:space="0" w:color="000000"/>
              <w:right w:val="single" w:sz="4" w:space="0" w:color="000000"/>
            </w:tcBorders>
            <w:shd w:val="clear" w:color="auto" w:fill="173963"/>
          </w:tcPr>
          <w:p w14:paraId="73D4FEAF"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Term</w:t>
            </w:r>
          </w:p>
        </w:tc>
        <w:tc>
          <w:tcPr>
            <w:tcW w:w="6333" w:type="dxa"/>
            <w:tcBorders>
              <w:top w:val="single" w:sz="4" w:space="0" w:color="000000"/>
              <w:left w:val="single" w:sz="4" w:space="0" w:color="000000"/>
              <w:bottom w:val="single" w:sz="4" w:space="0" w:color="000000"/>
              <w:right w:val="single" w:sz="4" w:space="0" w:color="000000"/>
            </w:tcBorders>
            <w:shd w:val="clear" w:color="auto" w:fill="173963"/>
          </w:tcPr>
          <w:p w14:paraId="4D3B6EB1"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Definition and relevance to this dissertation</w:t>
            </w:r>
          </w:p>
        </w:tc>
      </w:tr>
      <w:tr w:rsidR="00ED7A58" w14:paraId="3EBD313C"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68A75BEB"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Artificial intelligence (AI)</w:t>
            </w:r>
          </w:p>
        </w:tc>
        <w:tc>
          <w:tcPr>
            <w:tcW w:w="6333" w:type="dxa"/>
            <w:tcBorders>
              <w:top w:val="single" w:sz="4" w:space="0" w:color="000000"/>
              <w:left w:val="single" w:sz="4" w:space="0" w:color="000000"/>
              <w:bottom w:val="single" w:sz="4" w:space="0" w:color="000000"/>
              <w:right w:val="single" w:sz="4" w:space="0" w:color="000000"/>
            </w:tcBorders>
          </w:tcPr>
          <w:p w14:paraId="777E2E25"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Computer based systems that perform tasks associated with human intelligence such as prediction, recommendation, analysis, automation and conversation.</w:t>
            </w:r>
          </w:p>
        </w:tc>
      </w:tr>
      <w:tr w:rsidR="00ED7A58" w14:paraId="6FDECF6A"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7B16A4EF" w14:textId="77777777" w:rsidR="00ED7A58" w:rsidRDefault="00D16022">
            <w:pPr>
              <w:spacing w:after="16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AI-personalised</w:t>
            </w:r>
            <w:proofErr w:type="spellEnd"/>
            <w:r>
              <w:rPr>
                <w:rFonts w:ascii="Times New Roman" w:eastAsia="Times New Roman" w:hAnsi="Times New Roman" w:cs="Times New Roman"/>
                <w:b/>
                <w:bCs/>
                <w:sz w:val="24"/>
                <w:szCs w:val="24"/>
              </w:rPr>
              <w:t xml:space="preserve"> marketing</w:t>
            </w:r>
          </w:p>
        </w:tc>
        <w:tc>
          <w:tcPr>
            <w:tcW w:w="6333" w:type="dxa"/>
            <w:tcBorders>
              <w:top w:val="single" w:sz="4" w:space="0" w:color="000000"/>
              <w:left w:val="single" w:sz="4" w:space="0" w:color="000000"/>
              <w:bottom w:val="single" w:sz="4" w:space="0" w:color="000000"/>
              <w:right w:val="single" w:sz="4" w:space="0" w:color="000000"/>
            </w:tcBorders>
          </w:tcPr>
          <w:p w14:paraId="2EC2525F"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AI to tailor adverts, recommendations, product suggestions or digital messages for individual consumer based on data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w:t>
            </w:r>
          </w:p>
        </w:tc>
      </w:tr>
      <w:tr w:rsidR="00ED7A58" w14:paraId="5D9D1F88"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51C80B98"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Algorithmic opacity</w:t>
            </w:r>
          </w:p>
        </w:tc>
        <w:tc>
          <w:tcPr>
            <w:tcW w:w="6333" w:type="dxa"/>
            <w:tcBorders>
              <w:top w:val="single" w:sz="4" w:space="0" w:color="000000"/>
              <w:left w:val="single" w:sz="4" w:space="0" w:color="000000"/>
              <w:bottom w:val="single" w:sz="4" w:space="0" w:color="000000"/>
              <w:right w:val="single" w:sz="4" w:space="0" w:color="000000"/>
            </w:tcBorders>
          </w:tcPr>
          <w:p w14:paraId="0271AA41"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lack of clarity about how an algorithm reaches recommendation or decision often described as blackbox problem.</w:t>
            </w:r>
          </w:p>
        </w:tc>
      </w:tr>
      <w:tr w:rsidR="00ED7A58" w14:paraId="50C2E680"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6FCF8CC8"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Augmented reality (</w:t>
            </w:r>
            <w:proofErr w:type="spellStart"/>
            <w:r>
              <w:rPr>
                <w:rFonts w:ascii="Times New Roman" w:eastAsia="Times New Roman" w:hAnsi="Times New Roman" w:cs="Times New Roman"/>
                <w:b/>
                <w:bCs/>
                <w:sz w:val="24"/>
                <w:szCs w:val="24"/>
              </w:rPr>
              <w:t>AR</w:t>
            </w:r>
            <w:proofErr w:type="spellEnd"/>
            <w:r>
              <w:rPr>
                <w:rFonts w:ascii="Times New Roman" w:eastAsia="Times New Roman" w:hAnsi="Times New Roman" w:cs="Times New Roman"/>
                <w:b/>
                <w:bCs/>
                <w:sz w:val="24"/>
                <w:szCs w:val="24"/>
              </w:rPr>
              <w:t>)</w:t>
            </w:r>
          </w:p>
        </w:tc>
        <w:tc>
          <w:tcPr>
            <w:tcW w:w="6333" w:type="dxa"/>
            <w:tcBorders>
              <w:top w:val="single" w:sz="4" w:space="0" w:color="000000"/>
              <w:left w:val="single" w:sz="4" w:space="0" w:color="000000"/>
              <w:bottom w:val="single" w:sz="4" w:space="0" w:color="000000"/>
              <w:right w:val="single" w:sz="4" w:space="0" w:color="000000"/>
            </w:tcBorders>
          </w:tcPr>
          <w:p w14:paraId="0858C67A"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technology that overlays digital content onto the real world such as show lipstick shade on a customer face through camera.</w:t>
            </w:r>
          </w:p>
        </w:tc>
      </w:tr>
      <w:tr w:rsidR="00ED7A58" w14:paraId="62A963A9"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60118E78"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Beauty tech</w:t>
            </w:r>
          </w:p>
        </w:tc>
        <w:tc>
          <w:tcPr>
            <w:tcW w:w="6333" w:type="dxa"/>
            <w:tcBorders>
              <w:top w:val="single" w:sz="4" w:space="0" w:color="000000"/>
              <w:left w:val="single" w:sz="4" w:space="0" w:color="000000"/>
              <w:bottom w:val="single" w:sz="4" w:space="0" w:color="000000"/>
              <w:right w:val="single" w:sz="4" w:space="0" w:color="000000"/>
            </w:tcBorders>
          </w:tcPr>
          <w:p w14:paraId="1C9386DC"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or </w:t>
            </w:r>
            <w:proofErr w:type="spellStart"/>
            <w:r>
              <w:rPr>
                <w:rFonts w:ascii="Times New Roman" w:eastAsia="Times New Roman" w:hAnsi="Times New Roman" w:cs="Times New Roman"/>
                <w:sz w:val="24"/>
                <w:szCs w:val="24"/>
              </w:rPr>
              <w:t>AIenabled</w:t>
            </w:r>
            <w:proofErr w:type="spellEnd"/>
            <w:r>
              <w:rPr>
                <w:rFonts w:ascii="Times New Roman" w:eastAsia="Times New Roman" w:hAnsi="Times New Roman" w:cs="Times New Roman"/>
                <w:sz w:val="24"/>
                <w:szCs w:val="24"/>
              </w:rPr>
              <w:t xml:space="preserve"> technologies used in beauty and cosmetics, including virtual try-on, skin diagnosis, shade matching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recommendations.</w:t>
            </w:r>
          </w:p>
        </w:tc>
      </w:tr>
      <w:tr w:rsidR="00ED7A58" w14:paraId="4C3C965F"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17613E03"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Chatbot</w:t>
            </w:r>
          </w:p>
        </w:tc>
        <w:tc>
          <w:tcPr>
            <w:tcW w:w="6333" w:type="dxa"/>
            <w:tcBorders>
              <w:top w:val="single" w:sz="4" w:space="0" w:color="000000"/>
              <w:left w:val="single" w:sz="4" w:space="0" w:color="000000"/>
              <w:bottom w:val="single" w:sz="4" w:space="0" w:color="000000"/>
              <w:right w:val="single" w:sz="4" w:space="0" w:color="000000"/>
            </w:tcBorders>
          </w:tcPr>
          <w:p w14:paraId="0894B6FC"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AI enabled conversational tool that answers customer questions or gives product guidance online.</w:t>
            </w:r>
          </w:p>
        </w:tc>
      </w:tr>
      <w:tr w:rsidR="00ED7A58" w14:paraId="7F18785D"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4B619686"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Consumer trust</w:t>
            </w:r>
          </w:p>
        </w:tc>
        <w:tc>
          <w:tcPr>
            <w:tcW w:w="6333" w:type="dxa"/>
            <w:tcBorders>
              <w:top w:val="single" w:sz="4" w:space="0" w:color="000000"/>
              <w:left w:val="single" w:sz="4" w:space="0" w:color="000000"/>
              <w:bottom w:val="single" w:sz="4" w:space="0" w:color="000000"/>
              <w:right w:val="single" w:sz="4" w:space="0" w:color="000000"/>
            </w:tcBorders>
          </w:tcPr>
          <w:p w14:paraId="79D86E9D"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consumer's confidence that brand or AI tool is reliable, safe, honest and acting in responsible way.</w:t>
            </w:r>
          </w:p>
        </w:tc>
      </w:tr>
      <w:tr w:rsidR="00ED7A58" w14:paraId="3268D87C"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68CE873C"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Content analysis</w:t>
            </w:r>
          </w:p>
        </w:tc>
        <w:tc>
          <w:tcPr>
            <w:tcW w:w="6333" w:type="dxa"/>
            <w:tcBorders>
              <w:top w:val="single" w:sz="4" w:space="0" w:color="000000"/>
              <w:left w:val="single" w:sz="4" w:space="0" w:color="000000"/>
              <w:bottom w:val="single" w:sz="4" w:space="0" w:color="000000"/>
              <w:right w:val="single" w:sz="4" w:space="0" w:color="000000"/>
            </w:tcBorders>
          </w:tcPr>
          <w:p w14:paraId="562707F3"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systematic method for coding written evidence into categories so that patterns, meanings and themes can be interpreted.</w:t>
            </w:r>
          </w:p>
        </w:tc>
      </w:tr>
      <w:tr w:rsidR="00ED7A58" w14:paraId="6E05E088"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7B45D36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Critical realism</w:t>
            </w:r>
          </w:p>
        </w:tc>
        <w:tc>
          <w:tcPr>
            <w:tcW w:w="6333" w:type="dxa"/>
            <w:tcBorders>
              <w:top w:val="single" w:sz="4" w:space="0" w:color="000000"/>
              <w:left w:val="single" w:sz="4" w:space="0" w:color="000000"/>
              <w:bottom w:val="single" w:sz="4" w:space="0" w:color="000000"/>
              <w:right w:val="single" w:sz="4" w:space="0" w:color="000000"/>
            </w:tcBorders>
          </w:tcPr>
          <w:p w14:paraId="40CC05C3"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research philosophy that accepts real-world issues exist but argues that understanding them requires interpretation of evidence and underlying mechanisms.</w:t>
            </w:r>
          </w:p>
        </w:tc>
      </w:tr>
      <w:tr w:rsidR="00ED7A58" w14:paraId="5C0F758E"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7283A150"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Data privacy</w:t>
            </w:r>
          </w:p>
        </w:tc>
        <w:tc>
          <w:tcPr>
            <w:tcW w:w="6333" w:type="dxa"/>
            <w:tcBorders>
              <w:top w:val="single" w:sz="4" w:space="0" w:color="000000"/>
              <w:left w:val="single" w:sz="4" w:space="0" w:color="000000"/>
              <w:bottom w:val="single" w:sz="4" w:space="0" w:color="000000"/>
              <w:right w:val="single" w:sz="4" w:space="0" w:color="000000"/>
            </w:tcBorders>
          </w:tcPr>
          <w:p w14:paraId="3ED06715"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Protection of personal information include how data are collected, stored, processed, shared and used.</w:t>
            </w:r>
          </w:p>
        </w:tc>
      </w:tr>
      <w:tr w:rsidR="00ED7A58" w14:paraId="76AE6DF3"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581DBC20"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Ethical AI</w:t>
            </w:r>
          </w:p>
        </w:tc>
        <w:tc>
          <w:tcPr>
            <w:tcW w:w="6333" w:type="dxa"/>
            <w:tcBorders>
              <w:top w:val="single" w:sz="4" w:space="0" w:color="000000"/>
              <w:left w:val="single" w:sz="4" w:space="0" w:color="000000"/>
              <w:bottom w:val="single" w:sz="4" w:space="0" w:color="000000"/>
              <w:right w:val="single" w:sz="4" w:space="0" w:color="000000"/>
            </w:tcBorders>
          </w:tcPr>
          <w:p w14:paraId="07C6F4EA"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AI that is design and used with attention for fairness, transparency, accountability, privacy and avoid of harm.</w:t>
            </w:r>
          </w:p>
        </w:tc>
      </w:tr>
      <w:tr w:rsidR="00ED7A58" w14:paraId="482FE4B2"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1CBD0548"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Hedonic value</w:t>
            </w:r>
          </w:p>
        </w:tc>
        <w:tc>
          <w:tcPr>
            <w:tcW w:w="6333" w:type="dxa"/>
            <w:tcBorders>
              <w:top w:val="single" w:sz="4" w:space="0" w:color="000000"/>
              <w:left w:val="single" w:sz="4" w:space="0" w:color="000000"/>
              <w:bottom w:val="single" w:sz="4" w:space="0" w:color="000000"/>
              <w:right w:val="single" w:sz="4" w:space="0" w:color="000000"/>
            </w:tcBorders>
          </w:tcPr>
          <w:p w14:paraId="1A805454"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 or enjoyment based value consumer gains from experience such as fun, confidence or visual pleasure.</w:t>
            </w:r>
          </w:p>
        </w:tc>
      </w:tr>
      <w:tr w:rsidR="00ED7A58" w14:paraId="2FB79F00"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706553C2" w14:textId="77777777" w:rsidR="00ED7A58" w:rsidRDefault="00D16022">
            <w:pPr>
              <w:spacing w:after="16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Personalisation</w:t>
            </w:r>
            <w:proofErr w:type="spellEnd"/>
            <w:r>
              <w:rPr>
                <w:rFonts w:ascii="Times New Roman" w:eastAsia="Times New Roman" w:hAnsi="Times New Roman" w:cs="Times New Roman"/>
                <w:b/>
                <w:bCs/>
                <w:sz w:val="24"/>
                <w:szCs w:val="24"/>
              </w:rPr>
              <w:t xml:space="preserve"> privacy trade off</w:t>
            </w:r>
          </w:p>
        </w:tc>
        <w:tc>
          <w:tcPr>
            <w:tcW w:w="6333" w:type="dxa"/>
            <w:tcBorders>
              <w:top w:val="single" w:sz="4" w:space="0" w:color="000000"/>
              <w:left w:val="single" w:sz="4" w:space="0" w:color="000000"/>
              <w:bottom w:val="single" w:sz="4" w:space="0" w:color="000000"/>
              <w:right w:val="single" w:sz="4" w:space="0" w:color="000000"/>
            </w:tcBorders>
          </w:tcPr>
          <w:p w14:paraId="7A4B242C"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Tension between benefits of tailored services and risks or discomfort cause by personal data collection.</w:t>
            </w:r>
          </w:p>
        </w:tc>
      </w:tr>
      <w:tr w:rsidR="00ED7A58" w14:paraId="18A85EBF"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325B95F2"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Privacy assurance</w:t>
            </w:r>
          </w:p>
        </w:tc>
        <w:tc>
          <w:tcPr>
            <w:tcW w:w="6333" w:type="dxa"/>
            <w:tcBorders>
              <w:top w:val="single" w:sz="4" w:space="0" w:color="000000"/>
              <w:left w:val="single" w:sz="4" w:space="0" w:color="000000"/>
              <w:bottom w:val="single" w:sz="4" w:space="0" w:color="000000"/>
              <w:right w:val="single" w:sz="4" w:space="0" w:color="000000"/>
            </w:tcBorders>
          </w:tcPr>
          <w:p w14:paraId="7E9441AC"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Clear actions or claims show consumers that their personal data and images are protect and used responsibly.</w:t>
            </w:r>
          </w:p>
        </w:tc>
      </w:tr>
      <w:tr w:rsidR="00ED7A58" w14:paraId="5E026A8B"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0E477139"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Privacy Calculus Theory</w:t>
            </w:r>
          </w:p>
        </w:tc>
        <w:tc>
          <w:tcPr>
            <w:tcW w:w="6333" w:type="dxa"/>
            <w:tcBorders>
              <w:top w:val="single" w:sz="4" w:space="0" w:color="000000"/>
              <w:left w:val="single" w:sz="4" w:space="0" w:color="000000"/>
              <w:bottom w:val="single" w:sz="4" w:space="0" w:color="000000"/>
              <w:right w:val="single" w:sz="4" w:space="0" w:color="000000"/>
            </w:tcBorders>
          </w:tcPr>
          <w:p w14:paraId="65CF5525"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Theory explain how people weigh expect benefits against privacy risks before share personal data or use digital services.</w:t>
            </w:r>
          </w:p>
        </w:tc>
      </w:tr>
      <w:tr w:rsidR="00ED7A58" w14:paraId="7CC07D24"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1DBE4B3D"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Purchase intention</w:t>
            </w:r>
          </w:p>
        </w:tc>
        <w:tc>
          <w:tcPr>
            <w:tcW w:w="6333" w:type="dxa"/>
            <w:tcBorders>
              <w:top w:val="single" w:sz="4" w:space="0" w:color="000000"/>
              <w:left w:val="single" w:sz="4" w:space="0" w:color="000000"/>
              <w:bottom w:val="single" w:sz="4" w:space="0" w:color="000000"/>
              <w:right w:val="single" w:sz="4" w:space="0" w:color="000000"/>
            </w:tcBorders>
          </w:tcPr>
          <w:p w14:paraId="2859167D"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consumer likelihood or willingness for buy product or service in future.</w:t>
            </w:r>
          </w:p>
        </w:tc>
      </w:tr>
      <w:tr w:rsidR="00ED7A58" w14:paraId="49CC8FFB"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7F8DD612"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Secondary research</w:t>
            </w:r>
          </w:p>
        </w:tc>
        <w:tc>
          <w:tcPr>
            <w:tcW w:w="6333" w:type="dxa"/>
            <w:tcBorders>
              <w:top w:val="single" w:sz="4" w:space="0" w:color="000000"/>
              <w:left w:val="single" w:sz="4" w:space="0" w:color="000000"/>
              <w:bottom w:val="single" w:sz="4" w:space="0" w:color="000000"/>
              <w:right w:val="single" w:sz="4" w:space="0" w:color="000000"/>
            </w:tcBorders>
          </w:tcPr>
          <w:p w14:paraId="7F5A6473"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based on exist sources rather than newly collected primary data from the participants.</w:t>
            </w:r>
          </w:p>
        </w:tc>
      </w:tr>
      <w:tr w:rsidR="00ED7A58" w14:paraId="75CF8D64"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47BC61EE"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Stimulus-Organism-Response (SOR) model</w:t>
            </w:r>
          </w:p>
        </w:tc>
        <w:tc>
          <w:tcPr>
            <w:tcW w:w="6333" w:type="dxa"/>
            <w:tcBorders>
              <w:top w:val="single" w:sz="4" w:space="0" w:color="000000"/>
              <w:left w:val="single" w:sz="4" w:space="0" w:color="000000"/>
              <w:bottom w:val="single" w:sz="4" w:space="0" w:color="000000"/>
              <w:right w:val="single" w:sz="4" w:space="0" w:color="000000"/>
            </w:tcBorders>
          </w:tcPr>
          <w:p w14:paraId="2105C7D2"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model in which external stimulus affects internal consumer responses which then influence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such purchase intention.</w:t>
            </w:r>
          </w:p>
        </w:tc>
      </w:tr>
      <w:tr w:rsidR="00ED7A58" w14:paraId="2F964AAA"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367027D2"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Thematic synthesis</w:t>
            </w:r>
          </w:p>
        </w:tc>
        <w:tc>
          <w:tcPr>
            <w:tcW w:w="6333" w:type="dxa"/>
            <w:tcBorders>
              <w:top w:val="single" w:sz="4" w:space="0" w:color="000000"/>
              <w:left w:val="single" w:sz="4" w:space="0" w:color="000000"/>
              <w:bottom w:val="single" w:sz="4" w:space="0" w:color="000000"/>
              <w:right w:val="single" w:sz="4" w:space="0" w:color="000000"/>
            </w:tcBorders>
          </w:tcPr>
          <w:p w14:paraId="07B46BC0"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analysis process that groups coded findings into wider themes and compares evidence across sources.</w:t>
            </w:r>
          </w:p>
        </w:tc>
      </w:tr>
      <w:tr w:rsidR="00ED7A58" w14:paraId="53E39008"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33BB3227"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Transparency</w:t>
            </w:r>
          </w:p>
        </w:tc>
        <w:tc>
          <w:tcPr>
            <w:tcW w:w="6333" w:type="dxa"/>
            <w:tcBorders>
              <w:top w:val="single" w:sz="4" w:space="0" w:color="000000"/>
              <w:left w:val="single" w:sz="4" w:space="0" w:color="000000"/>
              <w:bottom w:val="single" w:sz="4" w:space="0" w:color="000000"/>
              <w:right w:val="single" w:sz="4" w:space="0" w:color="000000"/>
            </w:tcBorders>
          </w:tcPr>
          <w:p w14:paraId="2F7FC634"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Clear communication about how AI tools work, what data they use and why recommendation or marketing message is shown.</w:t>
            </w:r>
          </w:p>
        </w:tc>
      </w:tr>
      <w:tr w:rsidR="00ED7A58" w14:paraId="01A6E9F5"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5C196643"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UK online beauty retail</w:t>
            </w:r>
          </w:p>
        </w:tc>
        <w:tc>
          <w:tcPr>
            <w:tcW w:w="6333" w:type="dxa"/>
            <w:tcBorders>
              <w:top w:val="single" w:sz="4" w:space="0" w:color="000000"/>
              <w:left w:val="single" w:sz="4" w:space="0" w:color="000000"/>
              <w:bottom w:val="single" w:sz="4" w:space="0" w:color="000000"/>
              <w:right w:val="single" w:sz="4" w:space="0" w:color="000000"/>
            </w:tcBorders>
          </w:tcPr>
          <w:p w14:paraId="5574ECA2"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Online sale and digital marketing of cosmetics, skincare, fragrance and beauty products in the UK market.</w:t>
            </w:r>
          </w:p>
        </w:tc>
      </w:tr>
      <w:tr w:rsidR="00ED7A58" w14:paraId="3480527D"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7B6A0D14"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Utilitarian value</w:t>
            </w:r>
          </w:p>
        </w:tc>
        <w:tc>
          <w:tcPr>
            <w:tcW w:w="6333" w:type="dxa"/>
            <w:tcBorders>
              <w:top w:val="single" w:sz="4" w:space="0" w:color="000000"/>
              <w:left w:val="single" w:sz="4" w:space="0" w:color="000000"/>
              <w:bottom w:val="single" w:sz="4" w:space="0" w:color="000000"/>
              <w:right w:val="single" w:sz="4" w:space="0" w:color="000000"/>
            </w:tcBorders>
          </w:tcPr>
          <w:p w14:paraId="2E84B77F"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practical usefulness or functional benefit a consumer receives from digital experience such as convenience or efficiency.</w:t>
            </w:r>
          </w:p>
        </w:tc>
      </w:tr>
      <w:tr w:rsidR="00ED7A58" w14:paraId="31A48019" w14:textId="77777777">
        <w:trPr>
          <w:jc w:val="center"/>
        </w:trPr>
        <w:tc>
          <w:tcPr>
            <w:tcW w:w="2876" w:type="dxa"/>
            <w:tcBorders>
              <w:top w:val="single" w:sz="4" w:space="0" w:color="000000"/>
              <w:left w:val="single" w:sz="4" w:space="0" w:color="000000"/>
              <w:bottom w:val="single" w:sz="4" w:space="0" w:color="000000"/>
              <w:right w:val="single" w:sz="4" w:space="0" w:color="000000"/>
            </w:tcBorders>
          </w:tcPr>
          <w:p w14:paraId="39E94699"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Virtual </w:t>
            </w:r>
            <w:proofErr w:type="spellStart"/>
            <w:r>
              <w:rPr>
                <w:rFonts w:ascii="Times New Roman" w:eastAsia="Times New Roman" w:hAnsi="Times New Roman" w:cs="Times New Roman"/>
                <w:b/>
                <w:bCs/>
                <w:sz w:val="24"/>
                <w:szCs w:val="24"/>
              </w:rPr>
              <w:t>tryon</w:t>
            </w:r>
            <w:proofErr w:type="spellEnd"/>
            <w:r>
              <w:rPr>
                <w:rFonts w:ascii="Times New Roman" w:eastAsia="Times New Roman" w:hAnsi="Times New Roman" w:cs="Times New Roman"/>
                <w:b/>
                <w:bCs/>
                <w:sz w:val="24"/>
                <w:szCs w:val="24"/>
              </w:rPr>
              <w:t xml:space="preserve"> (VTO)</w:t>
            </w:r>
          </w:p>
        </w:tc>
        <w:tc>
          <w:tcPr>
            <w:tcW w:w="6333" w:type="dxa"/>
            <w:tcBorders>
              <w:top w:val="single" w:sz="4" w:space="0" w:color="000000"/>
              <w:left w:val="single" w:sz="4" w:space="0" w:color="000000"/>
              <w:bottom w:val="single" w:sz="4" w:space="0" w:color="000000"/>
              <w:right w:val="single" w:sz="4" w:space="0" w:color="000000"/>
            </w:tcBorders>
          </w:tcPr>
          <w:p w14:paraId="45463678" w14:textId="77777777" w:rsidR="00ED7A58" w:rsidRDefault="00D16022">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tool that lets consumers test cosmetic products virtually before buy often using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and AI.</w:t>
            </w:r>
          </w:p>
        </w:tc>
      </w:tr>
    </w:tbl>
    <w:p w14:paraId="0ED30525" w14:textId="77777777" w:rsidR="00ED7A58" w:rsidRDefault="00ED7A58">
      <w:pPr>
        <w:spacing w:line="360" w:lineRule="auto"/>
        <w:rPr>
          <w:rFonts w:ascii="Times New Roman" w:eastAsia="Times New Roman" w:hAnsi="Times New Roman" w:cs="Times New Roman"/>
          <w:sz w:val="24"/>
          <w:szCs w:val="24"/>
        </w:rPr>
      </w:pPr>
    </w:p>
    <w:p w14:paraId="5079098C" w14:textId="77777777" w:rsidR="00ED7A58" w:rsidRDefault="00D16022">
      <w:pPr>
        <w:rPr>
          <w:rFonts w:ascii="Times New Roman" w:eastAsia="Times New Roman" w:hAnsi="Times New Roman" w:cs="Times New Roman"/>
          <w:b/>
          <w:bCs/>
          <w:sz w:val="24"/>
          <w:szCs w:val="24"/>
        </w:rPr>
      </w:pPr>
      <w:r>
        <w:br w:type="page"/>
      </w:r>
    </w:p>
    <w:p w14:paraId="4E702709"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w:t>
      </w:r>
    </w:p>
    <w:p w14:paraId="3F9662AE"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 A: Source Category Plan</w:t>
      </w:r>
    </w:p>
    <w:p w14:paraId="075481F5" w14:textId="77777777" w:rsidR="00ED7A58" w:rsidRDefault="00D16022">
      <w:pPr>
        <w:spacing w:line="360" w:lineRule="auto"/>
        <w:rPr>
          <w:rFonts w:ascii="Times New Roman" w:eastAsia="Times New Roman" w:hAnsi="Times New Roman" w:cs="Times New Roman"/>
          <w:b/>
          <w:bCs/>
          <w:sz w:val="24"/>
          <w:szCs w:val="24"/>
        </w:rPr>
      </w:pPr>
      <w:r>
        <w:rPr>
          <w:noProof/>
        </w:rPr>
        <w:drawing>
          <wp:inline distT="0" distB="0" distL="0" distR="0" wp14:anchorId="7676E5A7" wp14:editId="4A552EE1">
            <wp:extent cx="5360428" cy="3703482"/>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3"/>
                    <a:srcRect/>
                    <a:stretch>
                      <a:fillRect/>
                    </a:stretch>
                  </pic:blipFill>
                  <pic:spPr>
                    <a:xfrm>
                      <a:off x="0" y="0"/>
                      <a:ext cx="5360428" cy="3703482"/>
                    </a:xfrm>
                    <a:prstGeom prst="rect">
                      <a:avLst/>
                    </a:prstGeom>
                    <a:ln/>
                  </pic:spPr>
                </pic:pic>
              </a:graphicData>
            </a:graphic>
          </wp:inline>
        </w:drawing>
      </w:r>
    </w:p>
    <w:p w14:paraId="500A5830"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 B: Search Strategy and Keywords</w:t>
      </w:r>
    </w:p>
    <w:p w14:paraId="37E60E84" w14:textId="77777777" w:rsidR="00ED7A58" w:rsidRDefault="00D16022">
      <w:pPr>
        <w:spacing w:line="360" w:lineRule="auto"/>
        <w:rPr>
          <w:rFonts w:ascii="Times New Roman" w:eastAsia="Times New Roman" w:hAnsi="Times New Roman" w:cs="Times New Roman"/>
          <w:b/>
          <w:bCs/>
          <w:sz w:val="24"/>
          <w:szCs w:val="24"/>
        </w:rPr>
      </w:pPr>
      <w:r>
        <w:rPr>
          <w:noProof/>
        </w:rPr>
        <w:drawing>
          <wp:inline distT="0" distB="0" distL="0" distR="0" wp14:anchorId="40F44747" wp14:editId="765F4AF4">
            <wp:extent cx="5731510" cy="367601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4"/>
                    <a:srcRect/>
                    <a:stretch>
                      <a:fillRect/>
                    </a:stretch>
                  </pic:blipFill>
                  <pic:spPr>
                    <a:xfrm>
                      <a:off x="0" y="0"/>
                      <a:ext cx="5731510" cy="3676015"/>
                    </a:xfrm>
                    <a:prstGeom prst="rect">
                      <a:avLst/>
                    </a:prstGeom>
                    <a:ln/>
                  </pic:spPr>
                </pic:pic>
              </a:graphicData>
            </a:graphic>
          </wp:inline>
        </w:drawing>
      </w:r>
    </w:p>
    <w:p w14:paraId="0FC7B912"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 C: Inclusion and Exclusion Criteria</w:t>
      </w:r>
    </w:p>
    <w:p w14:paraId="7C139637" w14:textId="77777777" w:rsidR="00ED7A58" w:rsidRDefault="00D16022">
      <w:pPr>
        <w:spacing w:line="360" w:lineRule="auto"/>
        <w:rPr>
          <w:rFonts w:ascii="Times New Roman" w:eastAsia="Times New Roman" w:hAnsi="Times New Roman" w:cs="Times New Roman"/>
          <w:b/>
          <w:bCs/>
          <w:sz w:val="24"/>
          <w:szCs w:val="24"/>
        </w:rPr>
      </w:pPr>
      <w:r>
        <w:rPr>
          <w:noProof/>
        </w:rPr>
        <w:drawing>
          <wp:inline distT="0" distB="0" distL="0" distR="0" wp14:anchorId="40CB5C84" wp14:editId="54A900C1">
            <wp:extent cx="4760294" cy="4273506"/>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5"/>
                    <a:srcRect/>
                    <a:stretch>
                      <a:fillRect/>
                    </a:stretch>
                  </pic:blipFill>
                  <pic:spPr>
                    <a:xfrm>
                      <a:off x="0" y="0"/>
                      <a:ext cx="4760294" cy="4273506"/>
                    </a:xfrm>
                    <a:prstGeom prst="rect">
                      <a:avLst/>
                    </a:prstGeom>
                    <a:ln/>
                  </pic:spPr>
                </pic:pic>
              </a:graphicData>
            </a:graphic>
          </wp:inline>
        </w:drawing>
      </w:r>
    </w:p>
    <w:p w14:paraId="1676C268"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 D: Evidence to Research Question Map</w:t>
      </w:r>
    </w:p>
    <w:p w14:paraId="650CBE03" w14:textId="77777777" w:rsidR="00ED7A58" w:rsidRDefault="00D16022">
      <w:pPr>
        <w:spacing w:line="360" w:lineRule="auto"/>
        <w:rPr>
          <w:rFonts w:ascii="Times New Roman" w:eastAsia="Times New Roman" w:hAnsi="Times New Roman" w:cs="Times New Roman"/>
          <w:b/>
          <w:bCs/>
          <w:sz w:val="24"/>
          <w:szCs w:val="24"/>
        </w:rPr>
      </w:pPr>
      <w:r>
        <w:rPr>
          <w:noProof/>
        </w:rPr>
        <w:drawing>
          <wp:inline distT="0" distB="0" distL="0" distR="0" wp14:anchorId="728ECCEB" wp14:editId="6B584748">
            <wp:extent cx="4662076" cy="3460143"/>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6"/>
                    <a:srcRect/>
                    <a:stretch>
                      <a:fillRect/>
                    </a:stretch>
                  </pic:blipFill>
                  <pic:spPr>
                    <a:xfrm>
                      <a:off x="0" y="0"/>
                      <a:ext cx="4662076" cy="3460143"/>
                    </a:xfrm>
                    <a:prstGeom prst="rect">
                      <a:avLst/>
                    </a:prstGeom>
                    <a:ln/>
                  </pic:spPr>
                </pic:pic>
              </a:graphicData>
            </a:graphic>
          </wp:inline>
        </w:drawing>
      </w:r>
    </w:p>
    <w:p w14:paraId="34E255B4" w14:textId="77777777" w:rsidR="00ED7A58" w:rsidRDefault="00D1602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 F: Conceptual Framework Diagram</w:t>
      </w:r>
    </w:p>
    <w:p w14:paraId="69FEA158" w14:textId="77777777" w:rsidR="00ED7A58" w:rsidRDefault="00D160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4B3955C" wp14:editId="6875BC2B">
            <wp:extent cx="5953214" cy="156949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7"/>
                    <a:srcRect r="2195"/>
                    <a:stretch>
                      <a:fillRect/>
                    </a:stretch>
                  </pic:blipFill>
                  <pic:spPr>
                    <a:xfrm>
                      <a:off x="0" y="0"/>
                      <a:ext cx="5953214" cy="1569493"/>
                    </a:xfrm>
                    <a:prstGeom prst="rect">
                      <a:avLst/>
                    </a:prstGeom>
                    <a:ln/>
                  </pic:spPr>
                </pic:pic>
              </a:graphicData>
            </a:graphic>
          </wp:inline>
        </w:drawing>
      </w:r>
    </w:p>
    <w:sectPr w:rsidR="00ED7A58">
      <w:headerReference w:type="default" r:id="rId38"/>
      <w:footerReference w:type="default" r:id="rId39"/>
      <w:pgSz w:w="11906" w:h="16838"/>
      <w:pgMar w:top="1440" w:right="1440" w:bottom="1440" w:left="1440" w:header="454"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CD7921B" w14:textId="77777777" w:rsidR="00D16022" w:rsidRDefault="00D16022">
      <w:pPr>
        <w:spacing w:after="0" w:line="240" w:lineRule="auto"/>
      </w:pPr>
      <w:r>
        <w:separator/>
      </w:r>
    </w:p>
  </w:endnote>
  <w:endnote w:type="continuationSeparator" w:id="0">
    <w:p w14:paraId="0ED0A858" w14:textId="77777777" w:rsidR="00D16022" w:rsidRDefault="00D16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Play">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5C2E67D" w14:textId="5383D562" w:rsidR="00ED7A58" w:rsidRDefault="00D16022">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E12F00">
      <w:rPr>
        <w:noProof/>
        <w:color w:val="000000"/>
      </w:rPr>
      <w:t>1</w:t>
    </w:r>
    <w:r>
      <w:rPr>
        <w:color w:val="000000"/>
      </w:rPr>
      <w:fldChar w:fldCharType="end"/>
    </w:r>
  </w:p>
  <w:p w14:paraId="71110C05" w14:textId="77777777" w:rsidR="00ED7A58" w:rsidRDefault="00ED7A5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379704B" w14:textId="77777777" w:rsidR="00D16022" w:rsidRDefault="00D16022">
      <w:pPr>
        <w:spacing w:after="0" w:line="240" w:lineRule="auto"/>
      </w:pPr>
      <w:r>
        <w:separator/>
      </w:r>
    </w:p>
  </w:footnote>
  <w:footnote w:type="continuationSeparator" w:id="0">
    <w:p w14:paraId="7075A28B" w14:textId="77777777" w:rsidR="00D16022" w:rsidRDefault="00D160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2F0709E" w14:textId="77777777" w:rsidR="00ED7A58" w:rsidRDefault="00D16022">
    <w:pPr>
      <w:pBdr>
        <w:top w:val="nil"/>
        <w:left w:val="nil"/>
        <w:bottom w:val="nil"/>
        <w:right w:val="nil"/>
        <w:between w:val="nil"/>
      </w:pBdr>
      <w:tabs>
        <w:tab w:val="center" w:pos="4513"/>
        <w:tab w:val="right" w:pos="9026"/>
      </w:tabs>
      <w:spacing w:after="0" w:line="240" w:lineRule="auto"/>
      <w:rPr>
        <w:color w:val="000000"/>
      </w:rPr>
    </w:pPr>
    <w:r>
      <w:rPr>
        <w:noProof/>
        <w:color w:val="000000"/>
      </w:rPr>
      <w:drawing>
        <wp:inline distT="0" distB="0" distL="0" distR="0" wp14:anchorId="7E63CCFD" wp14:editId="55BC098F">
          <wp:extent cx="1553678" cy="52040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553678" cy="520406"/>
                  </a:xfrm>
                  <a:prstGeom prst="rect">
                    <a:avLst/>
                  </a:prstGeom>
                  <a:ln/>
                </pic:spPr>
              </pic:pic>
            </a:graphicData>
          </a:graphic>
        </wp:inline>
      </w:drawing>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A58"/>
    <w:rsid w:val="000958C9"/>
    <w:rsid w:val="000C3E29"/>
    <w:rsid w:val="002F3823"/>
    <w:rsid w:val="004F6105"/>
    <w:rsid w:val="00D16022"/>
    <w:rsid w:val="00E12F00"/>
    <w:rsid w:val="00ED7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45A97B"/>
  <w15:docId w15:val="{064FDA7B-EDA7-FE4F-BC8C-B0A344DE5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7">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8">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9">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a">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16/j.jbusres.2018.10.050" TargetMode="External"/><Relationship Id="rId18" Type="http://schemas.openxmlformats.org/officeDocument/2006/relationships/hyperlink" Target="https://www.mckinsey.com/industries/consumer-packaged-goods/our-insights/how-beauty-players-can-scale-gen-ai-in-2025" TargetMode="External"/><Relationship Id="rId26" Type="http://schemas.openxmlformats.org/officeDocument/2006/relationships/hyperlink" Target="https://doi.org/10.1177/2056305116688035" TargetMode="External"/><Relationship Id="rId39" Type="http://schemas.openxmlformats.org/officeDocument/2006/relationships/footer" Target="footer1.xml"/><Relationship Id="rId21" Type="http://schemas.openxmlformats.org/officeDocument/2006/relationships/hyperlink" Target="https://doi.org/10.1016/j.jbusres.2019.07.039" TargetMode="External"/><Relationship Id="rId34" Type="http://schemas.openxmlformats.org/officeDocument/2006/relationships/image" Target="media/image3.png"/><Relationship Id="rId7" Type="http://schemas.openxmlformats.org/officeDocument/2006/relationships/hyperlink" Target="https://www.boots.com/beauty/virtual-beauty?srsltid=AfmBOoqwUOXRF2jBhGf6hXlZazgiw4YJQJti5kcHGh-Ne7_eUXtMaflm" TargetMode="External"/><Relationship Id="rId2" Type="http://schemas.openxmlformats.org/officeDocument/2006/relationships/settings" Target="settings.xml"/><Relationship Id="rId16" Type="http://schemas.openxmlformats.org/officeDocument/2006/relationships/hyperlink" Target="https://www.loreal-paris.co.uk/service-detail-pages/make-up-try-on-detail-page" TargetMode="External"/><Relationship Id="rId20" Type="http://schemas.openxmlformats.org/officeDocument/2006/relationships/hyperlink" Target="https://doi.org/10.3390/digital5020021" TargetMode="External"/><Relationship Id="rId29" Type="http://schemas.openxmlformats.org/officeDocument/2006/relationships/hyperlink" Target="https://doi.org/10.1016/j.jbusres.2021.01.055"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overnment/publications/ai-opportunities-action-plan" TargetMode="External"/><Relationship Id="rId24" Type="http://schemas.openxmlformats.org/officeDocument/2006/relationships/hyperlink" Target="https://www.statista.com/outlook/cmo/beauty-personal-care/cosmetics/united-kingdom" TargetMode="External"/><Relationship Id="rId32" Type="http://schemas.openxmlformats.org/officeDocument/2006/relationships/hyperlink" Target="https://doi.org/10.3390/su13105671" TargetMode="External"/><Relationship Id="rId37" Type="http://schemas.openxmlformats.org/officeDocument/2006/relationships/image" Target="media/image6.png"/><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07/s11747-020-00749-9" TargetMode="External"/><Relationship Id="rId23" Type="http://schemas.openxmlformats.org/officeDocument/2006/relationships/hyperlink" Target="https://www.statista.com/outlook/cmo/beauty-personal-care/united-kingdom" TargetMode="External"/><Relationship Id="rId28" Type="http://schemas.openxmlformats.org/officeDocument/2006/relationships/hyperlink" Target="https://doi.org/10.1016/j.jjimei.2020.100002" TargetMode="External"/><Relationship Id="rId36" Type="http://schemas.openxmlformats.org/officeDocument/2006/relationships/image" Target="media/image5.png"/><Relationship Id="rId10" Type="http://schemas.openxmlformats.org/officeDocument/2006/relationships/hyperlink" Target="https://www.gov.uk/government/publications/online-advertising-taskforce-progress-report-2025/online-advertising-taskforce-progress-report-2025" TargetMode="External"/><Relationship Id="rId19" Type="http://schemas.openxmlformats.org/officeDocument/2006/relationships/hyperlink" Target="https://doi.org/10.1080/23311975.2025.2469765" TargetMode="External"/><Relationship Id="rId31" Type="http://schemas.openxmlformats.org/officeDocument/2006/relationships/hyperlink" Target="https://doi.org/10.3390/app13179596" TargetMode="External"/><Relationship Id="rId4" Type="http://schemas.openxmlformats.org/officeDocument/2006/relationships/footnotes" Target="footnotes.xml"/><Relationship Id="rId9" Type="http://schemas.openxmlformats.org/officeDocument/2006/relationships/hyperlink" Target="https://doi.org/10.1007/s11747-019-00696-0" TargetMode="External"/><Relationship Id="rId14" Type="http://schemas.openxmlformats.org/officeDocument/2006/relationships/hyperlink" Target="https://doi.org/10.1080/23311975.2023.2208716" TargetMode="External"/><Relationship Id="rId22" Type="http://schemas.openxmlformats.org/officeDocument/2006/relationships/hyperlink" Target="https://doi.org/10.1016/j.meadig.2025.100021" TargetMode="External"/><Relationship Id="rId27" Type="http://schemas.openxmlformats.org/officeDocument/2006/relationships/hyperlink" Target="https://doi.org/10.3390/info17020115" TargetMode="External"/><Relationship Id="rId30" Type="http://schemas.openxmlformats.org/officeDocument/2006/relationships/hyperlink" Target="https://www.vogue.com/article/you-cannot-trust-a-machine-the-ai-consumer-perception-survey" TargetMode="External"/><Relationship Id="rId35" Type="http://schemas.openxmlformats.org/officeDocument/2006/relationships/image" Target="media/image4.png"/><Relationship Id="rId8" Type="http://schemas.openxmlformats.org/officeDocument/2006/relationships/hyperlink" Target="https://doi.org/10.3389/fpsyg.2022.865702" TargetMode="External"/><Relationship Id="rId3" Type="http://schemas.openxmlformats.org/officeDocument/2006/relationships/webSettings" Target="webSettings.xml"/><Relationship Id="rId12" Type="http://schemas.openxmlformats.org/officeDocument/2006/relationships/hyperlink" Target="https://www.gov.uk/government/publications/ai-opportunities-action-plan-government-response/ai-opportunities-action-plan-government-response" TargetMode="External"/><Relationship Id="rId17" Type="http://schemas.openxmlformats.org/officeDocument/2006/relationships/hyperlink" Target="https://www.mckinsey.com/capabilities/growth-marketing-and-sales/our-insights/the-value-of-getting-personalization-right-or-wrong-is-multiplying" TargetMode="External"/><Relationship Id="rId25" Type="http://schemas.openxmlformats.org/officeDocument/2006/relationships/hyperlink" Target="https://www.statista.com/topics/10598/beauty-and-personal-care-e-commerce-in-the-uk/" TargetMode="External"/><Relationship Id="rId33" Type="http://schemas.openxmlformats.org/officeDocument/2006/relationships/image" Target="media/image2.png"/><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40</Pages>
  <Words>9692</Words>
  <Characters>55249</Characters>
  <Application>Microsoft Office Word</Application>
  <DocSecurity>0</DocSecurity>
  <Lines>460</Lines>
  <Paragraphs>129</Paragraphs>
  <ScaleCrop>false</ScaleCrop>
  <Company/>
  <LinksUpToDate>false</LinksUpToDate>
  <CharactersWithSpaces>64812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Rajwinder Kaur</cp:lastModifiedBy>
  <cp:revision>2</cp:revision>
  <dcterms:created xsi:type="dcterms:W3CDTF">2026-07-13T12:07:00Z</dcterms:created>
  <dcterms:modified xsi:type="dcterms:W3CDTF">2026-07-13T12:07:00Z</dcterms:modified>
</cp:coreProperties>
</file>