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4A039" w14:textId="362506A3" w:rsidR="00795482" w:rsidRDefault="00D51E40">
      <w:r>
        <w:rPr>
          <w:noProof/>
        </w:rPr>
        <w:drawing>
          <wp:inline distT="0" distB="0" distL="0" distR="0" wp14:anchorId="457C74C1" wp14:editId="2008ED00">
            <wp:extent cx="1809750" cy="600075"/>
            <wp:effectExtent l="0" t="0" r="0" b="0"/>
            <wp:docPr id="322" name="Picture 322"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322" name="Picture 322" descr="A black background with white text&#10;&#10;AI-generated content may be incorrect."/>
                    <pic:cNvPicPr/>
                  </pic:nvPicPr>
                  <pic:blipFill>
                    <a:blip r:embed="rId8"/>
                    <a:stretch>
                      <a:fillRect/>
                    </a:stretch>
                  </pic:blipFill>
                  <pic:spPr>
                    <a:xfrm>
                      <a:off x="0" y="0"/>
                      <a:ext cx="1809750" cy="600075"/>
                    </a:xfrm>
                    <a:prstGeom prst="rect">
                      <a:avLst/>
                    </a:prstGeom>
                  </pic:spPr>
                </pic:pic>
              </a:graphicData>
            </a:graphic>
          </wp:inline>
        </w:drawing>
      </w:r>
    </w:p>
    <w:p w14:paraId="13758F58" w14:textId="68E534FE" w:rsidR="00D51E40" w:rsidRPr="00B209BF" w:rsidRDefault="00D51E40">
      <w:pPr>
        <w:rPr>
          <w:rFonts w:ascii="Times New Roman" w:hAnsi="Times New Roman" w:cs="Times New Roman"/>
          <w:sz w:val="28"/>
          <w:szCs w:val="28"/>
        </w:rPr>
      </w:pPr>
      <w:r w:rsidRPr="00B209BF">
        <w:rPr>
          <w:rFonts w:ascii="Times New Roman" w:hAnsi="Times New Roman" w:cs="Times New Roman"/>
          <w:sz w:val="28"/>
          <w:szCs w:val="28"/>
        </w:rPr>
        <w:t xml:space="preserve">Strategic Management and Sustainability  </w:t>
      </w:r>
    </w:p>
    <w:p w14:paraId="6CCB0781" w14:textId="04E41DB2" w:rsidR="00D51E40" w:rsidRPr="00B209BF" w:rsidRDefault="00D51E40">
      <w:pPr>
        <w:rPr>
          <w:rFonts w:ascii="Times New Roman" w:hAnsi="Times New Roman" w:cs="Times New Roman"/>
          <w:sz w:val="28"/>
          <w:szCs w:val="28"/>
        </w:rPr>
      </w:pPr>
      <w:r w:rsidRPr="00B209BF">
        <w:rPr>
          <w:rFonts w:ascii="Times New Roman" w:hAnsi="Times New Roman" w:cs="Times New Roman"/>
          <w:sz w:val="28"/>
          <w:szCs w:val="28"/>
        </w:rPr>
        <w:t>LCBB6004</w:t>
      </w:r>
    </w:p>
    <w:p w14:paraId="33942238" w14:textId="7C834E3A" w:rsidR="00D51E40" w:rsidRDefault="00D51E40">
      <w:pPr>
        <w:rPr>
          <w:rFonts w:ascii="Times New Roman" w:hAnsi="Times New Roman" w:cs="Times New Roman"/>
          <w:sz w:val="28"/>
          <w:szCs w:val="28"/>
        </w:rPr>
      </w:pPr>
      <w:r w:rsidRPr="00B209BF">
        <w:rPr>
          <w:rFonts w:ascii="Times New Roman" w:hAnsi="Times New Roman" w:cs="Times New Roman"/>
          <w:sz w:val="28"/>
          <w:szCs w:val="28"/>
        </w:rPr>
        <w:t>Component 1: Coursework: Written Report</w:t>
      </w:r>
    </w:p>
    <w:p w14:paraId="5A41CF3F" w14:textId="5F976D80" w:rsidR="00B209BF" w:rsidRDefault="00B209BF">
      <w:pPr>
        <w:rPr>
          <w:rFonts w:ascii="Times New Roman" w:hAnsi="Times New Roman" w:cs="Times New Roman"/>
          <w:sz w:val="28"/>
          <w:szCs w:val="28"/>
        </w:rPr>
      </w:pPr>
      <w:r>
        <w:rPr>
          <w:rFonts w:ascii="Times New Roman" w:hAnsi="Times New Roman" w:cs="Times New Roman"/>
          <w:sz w:val="28"/>
          <w:szCs w:val="28"/>
        </w:rPr>
        <w:t xml:space="preserve">Student ID: </w:t>
      </w:r>
      <w:r w:rsidR="001D3255">
        <w:rPr>
          <w:rFonts w:ascii="Times New Roman" w:hAnsi="Times New Roman" w:cs="Times New Roman"/>
          <w:sz w:val="28"/>
          <w:szCs w:val="28"/>
        </w:rPr>
        <w:t>22</w:t>
      </w:r>
      <w:r w:rsidR="00966AC5">
        <w:rPr>
          <w:rFonts w:ascii="Times New Roman" w:hAnsi="Times New Roman" w:cs="Times New Roman"/>
          <w:sz w:val="28"/>
          <w:szCs w:val="28"/>
        </w:rPr>
        <w:t>44846</w:t>
      </w:r>
    </w:p>
    <w:p w14:paraId="655B407B" w14:textId="215E16BA" w:rsidR="00966AC5" w:rsidRPr="00B209BF" w:rsidRDefault="00966AC5">
      <w:pPr>
        <w:rPr>
          <w:rFonts w:ascii="Times New Roman" w:hAnsi="Times New Roman" w:cs="Times New Roman"/>
          <w:sz w:val="28"/>
          <w:szCs w:val="28"/>
        </w:rPr>
      </w:pPr>
      <w:r>
        <w:rPr>
          <w:rFonts w:ascii="Times New Roman" w:hAnsi="Times New Roman" w:cs="Times New Roman"/>
          <w:sz w:val="28"/>
          <w:szCs w:val="28"/>
        </w:rPr>
        <w:t xml:space="preserve">Student Name: Iuliana Luminița Nica </w:t>
      </w:r>
    </w:p>
    <w:p w14:paraId="0F969E0F" w14:textId="77777777" w:rsidR="00D51E40" w:rsidRDefault="00D51E40"/>
    <w:p w14:paraId="46677BFB" w14:textId="77777777" w:rsidR="00D51E40" w:rsidRDefault="00D51E40"/>
    <w:p w14:paraId="6A2D1C18" w14:textId="77777777" w:rsidR="00D51E40" w:rsidRDefault="00D51E40"/>
    <w:p w14:paraId="72CAC6D7" w14:textId="77777777" w:rsidR="00D51E40" w:rsidRDefault="00D51E40"/>
    <w:p w14:paraId="3CE69CBA" w14:textId="77777777" w:rsidR="00D51E40" w:rsidRDefault="00D51E40"/>
    <w:p w14:paraId="7A696103" w14:textId="77777777" w:rsidR="00D51E40" w:rsidRDefault="00D51E40"/>
    <w:p w14:paraId="3558CB27" w14:textId="77777777" w:rsidR="00D51E40" w:rsidRDefault="00D51E40"/>
    <w:p w14:paraId="18A43BE6" w14:textId="77777777" w:rsidR="00D51E40" w:rsidRDefault="00D51E40"/>
    <w:p w14:paraId="1AA3849B" w14:textId="77777777" w:rsidR="00D51E40" w:rsidRDefault="00D51E40"/>
    <w:p w14:paraId="6B92E9CF" w14:textId="77777777" w:rsidR="00D51E40" w:rsidRDefault="00D51E40"/>
    <w:p w14:paraId="44DD12AF" w14:textId="77777777" w:rsidR="00D51E40" w:rsidRDefault="00D51E40"/>
    <w:p w14:paraId="7B59B90A" w14:textId="77777777" w:rsidR="00D51E40" w:rsidRDefault="00D51E40"/>
    <w:p w14:paraId="31C2E4FA" w14:textId="77777777" w:rsidR="00D51E40" w:rsidRDefault="00D51E40"/>
    <w:p w14:paraId="02B4EF72" w14:textId="77777777" w:rsidR="00D51E40" w:rsidRDefault="00D51E40"/>
    <w:p w14:paraId="63BDC7D3" w14:textId="77777777" w:rsidR="00D51E40" w:rsidRDefault="00D51E40"/>
    <w:p w14:paraId="79AA42F1" w14:textId="77777777" w:rsidR="00D51E40" w:rsidRDefault="00D51E40"/>
    <w:p w14:paraId="3C52BFD3" w14:textId="77777777" w:rsidR="00D51E40" w:rsidRDefault="00D51E40"/>
    <w:p w14:paraId="097C9DAA" w14:textId="77777777" w:rsidR="00D51E40" w:rsidRDefault="00D51E40"/>
    <w:p w14:paraId="38768C90" w14:textId="77777777" w:rsidR="00D51E40" w:rsidRDefault="00D51E40"/>
    <w:p w14:paraId="62B45C31" w14:textId="77777777" w:rsidR="00D51E40" w:rsidRDefault="00D51E40"/>
    <w:p w14:paraId="3C3B0EE6" w14:textId="77777777" w:rsidR="00D51E40" w:rsidRDefault="00D51E40"/>
    <w:p w14:paraId="544BDECA" w14:textId="77777777" w:rsidR="00D51E40" w:rsidRDefault="00D51E40"/>
    <w:p w14:paraId="3558074D" w14:textId="77777777" w:rsidR="00D51E40" w:rsidRDefault="00D51E40"/>
    <w:p w14:paraId="29AC371E" w14:textId="77777777" w:rsidR="00D51E40" w:rsidRDefault="00D51E40"/>
    <w:p w14:paraId="64CEFF94" w14:textId="77777777" w:rsidR="00D51E40" w:rsidRDefault="00D51E40"/>
    <w:sdt>
      <w:sdtPr>
        <w:rPr>
          <w:rFonts w:asciiTheme="minorHAnsi" w:eastAsiaTheme="minorHAnsi" w:hAnsiTheme="minorHAnsi" w:cstheme="minorBidi"/>
          <w:color w:val="auto"/>
          <w:kern w:val="2"/>
          <w:sz w:val="22"/>
          <w:szCs w:val="22"/>
          <w:lang w:eastAsia="en-US"/>
          <w14:ligatures w14:val="standardContextual"/>
        </w:rPr>
        <w:id w:val="1695429159"/>
        <w:docPartObj>
          <w:docPartGallery w:val="Table of Contents"/>
          <w:docPartUnique/>
        </w:docPartObj>
      </w:sdtPr>
      <w:sdtEndPr>
        <w:rPr>
          <w:b/>
          <w:bCs/>
        </w:rPr>
      </w:sdtEndPr>
      <w:sdtContent>
        <w:p w14:paraId="46E8B069" w14:textId="082FF2F0" w:rsidR="00B209BF" w:rsidRDefault="00B209BF">
          <w:pPr>
            <w:pStyle w:val="TOCHeading"/>
          </w:pPr>
          <w:r>
            <w:t>Contents</w:t>
          </w:r>
        </w:p>
        <w:p w14:paraId="0A8A0106" w14:textId="71E935C6" w:rsidR="00B209BF" w:rsidRDefault="00B209BF">
          <w:pPr>
            <w:pStyle w:val="TOC1"/>
            <w:tabs>
              <w:tab w:val="right" w:leader="dot" w:pos="9016"/>
            </w:tabs>
            <w:rPr>
              <w:noProof/>
            </w:rPr>
          </w:pPr>
          <w:r>
            <w:fldChar w:fldCharType="begin"/>
          </w:r>
          <w:r>
            <w:instrText xml:space="preserve"> TOC \o "1-3" \h \z \u </w:instrText>
          </w:r>
          <w:r>
            <w:fldChar w:fldCharType="separate"/>
          </w:r>
          <w:hyperlink w:anchor="_Toc211197367" w:history="1">
            <w:r w:rsidRPr="00C17FC3">
              <w:rPr>
                <w:rStyle w:val="Hyperlink"/>
                <w:noProof/>
              </w:rPr>
              <w:t>Executive Summary</w:t>
            </w:r>
            <w:r>
              <w:rPr>
                <w:noProof/>
                <w:webHidden/>
              </w:rPr>
              <w:tab/>
            </w:r>
            <w:r>
              <w:rPr>
                <w:noProof/>
                <w:webHidden/>
              </w:rPr>
              <w:fldChar w:fldCharType="begin"/>
            </w:r>
            <w:r>
              <w:rPr>
                <w:noProof/>
                <w:webHidden/>
              </w:rPr>
              <w:instrText xml:space="preserve"> PAGEREF _Toc211197367 \h </w:instrText>
            </w:r>
            <w:r>
              <w:rPr>
                <w:noProof/>
                <w:webHidden/>
              </w:rPr>
            </w:r>
            <w:r>
              <w:rPr>
                <w:noProof/>
                <w:webHidden/>
              </w:rPr>
              <w:fldChar w:fldCharType="separate"/>
            </w:r>
            <w:r>
              <w:rPr>
                <w:noProof/>
                <w:webHidden/>
              </w:rPr>
              <w:t>3</w:t>
            </w:r>
            <w:r>
              <w:rPr>
                <w:noProof/>
                <w:webHidden/>
              </w:rPr>
              <w:fldChar w:fldCharType="end"/>
            </w:r>
          </w:hyperlink>
        </w:p>
        <w:p w14:paraId="6B55F3CE" w14:textId="724E1173" w:rsidR="00B209BF" w:rsidRDefault="00B209BF">
          <w:pPr>
            <w:pStyle w:val="TOC1"/>
            <w:tabs>
              <w:tab w:val="right" w:leader="dot" w:pos="9016"/>
            </w:tabs>
            <w:rPr>
              <w:noProof/>
            </w:rPr>
          </w:pPr>
          <w:hyperlink w:anchor="_Toc211197368" w:history="1">
            <w:r w:rsidRPr="00C17FC3">
              <w:rPr>
                <w:rStyle w:val="Hyperlink"/>
                <w:noProof/>
              </w:rPr>
              <w:t>Introduction</w:t>
            </w:r>
            <w:r>
              <w:rPr>
                <w:noProof/>
                <w:webHidden/>
              </w:rPr>
              <w:tab/>
            </w:r>
            <w:r>
              <w:rPr>
                <w:noProof/>
                <w:webHidden/>
              </w:rPr>
              <w:fldChar w:fldCharType="begin"/>
            </w:r>
            <w:r>
              <w:rPr>
                <w:noProof/>
                <w:webHidden/>
              </w:rPr>
              <w:instrText xml:space="preserve"> PAGEREF _Toc211197368 \h </w:instrText>
            </w:r>
            <w:r>
              <w:rPr>
                <w:noProof/>
                <w:webHidden/>
              </w:rPr>
            </w:r>
            <w:r>
              <w:rPr>
                <w:noProof/>
                <w:webHidden/>
              </w:rPr>
              <w:fldChar w:fldCharType="separate"/>
            </w:r>
            <w:r>
              <w:rPr>
                <w:noProof/>
                <w:webHidden/>
              </w:rPr>
              <w:t>4</w:t>
            </w:r>
            <w:r>
              <w:rPr>
                <w:noProof/>
                <w:webHidden/>
              </w:rPr>
              <w:fldChar w:fldCharType="end"/>
            </w:r>
          </w:hyperlink>
        </w:p>
        <w:p w14:paraId="5B77219E" w14:textId="0035F4A0" w:rsidR="00B209BF" w:rsidRDefault="00B209BF">
          <w:pPr>
            <w:pStyle w:val="TOC1"/>
            <w:tabs>
              <w:tab w:val="right" w:leader="dot" w:pos="9016"/>
            </w:tabs>
            <w:rPr>
              <w:noProof/>
            </w:rPr>
          </w:pPr>
          <w:hyperlink w:anchor="_Toc211197369" w:history="1">
            <w:r w:rsidRPr="00C17FC3">
              <w:rPr>
                <w:rStyle w:val="Hyperlink"/>
                <w:noProof/>
              </w:rPr>
              <w:t>External Environment Audit</w:t>
            </w:r>
            <w:r>
              <w:rPr>
                <w:noProof/>
                <w:webHidden/>
              </w:rPr>
              <w:tab/>
            </w:r>
            <w:r>
              <w:rPr>
                <w:noProof/>
                <w:webHidden/>
              </w:rPr>
              <w:fldChar w:fldCharType="begin"/>
            </w:r>
            <w:r>
              <w:rPr>
                <w:noProof/>
                <w:webHidden/>
              </w:rPr>
              <w:instrText xml:space="preserve"> PAGEREF _Toc211197369 \h </w:instrText>
            </w:r>
            <w:r>
              <w:rPr>
                <w:noProof/>
                <w:webHidden/>
              </w:rPr>
            </w:r>
            <w:r>
              <w:rPr>
                <w:noProof/>
                <w:webHidden/>
              </w:rPr>
              <w:fldChar w:fldCharType="separate"/>
            </w:r>
            <w:r>
              <w:rPr>
                <w:noProof/>
                <w:webHidden/>
              </w:rPr>
              <w:t>4</w:t>
            </w:r>
            <w:r>
              <w:rPr>
                <w:noProof/>
                <w:webHidden/>
              </w:rPr>
              <w:fldChar w:fldCharType="end"/>
            </w:r>
          </w:hyperlink>
        </w:p>
        <w:p w14:paraId="045186F0" w14:textId="745D75D9" w:rsidR="00B209BF" w:rsidRDefault="00B209BF">
          <w:pPr>
            <w:pStyle w:val="TOC2"/>
            <w:tabs>
              <w:tab w:val="right" w:leader="dot" w:pos="9016"/>
            </w:tabs>
            <w:rPr>
              <w:noProof/>
            </w:rPr>
          </w:pPr>
          <w:hyperlink w:anchor="_Toc211197370" w:history="1">
            <w:r w:rsidRPr="00C17FC3">
              <w:rPr>
                <w:rStyle w:val="Hyperlink"/>
                <w:noProof/>
              </w:rPr>
              <w:t>PESTLE Analysis</w:t>
            </w:r>
            <w:r>
              <w:rPr>
                <w:noProof/>
                <w:webHidden/>
              </w:rPr>
              <w:tab/>
            </w:r>
            <w:r>
              <w:rPr>
                <w:noProof/>
                <w:webHidden/>
              </w:rPr>
              <w:fldChar w:fldCharType="begin"/>
            </w:r>
            <w:r>
              <w:rPr>
                <w:noProof/>
                <w:webHidden/>
              </w:rPr>
              <w:instrText xml:space="preserve"> PAGEREF _Toc211197370 \h </w:instrText>
            </w:r>
            <w:r>
              <w:rPr>
                <w:noProof/>
                <w:webHidden/>
              </w:rPr>
            </w:r>
            <w:r>
              <w:rPr>
                <w:noProof/>
                <w:webHidden/>
              </w:rPr>
              <w:fldChar w:fldCharType="separate"/>
            </w:r>
            <w:r>
              <w:rPr>
                <w:noProof/>
                <w:webHidden/>
              </w:rPr>
              <w:t>4</w:t>
            </w:r>
            <w:r>
              <w:rPr>
                <w:noProof/>
                <w:webHidden/>
              </w:rPr>
              <w:fldChar w:fldCharType="end"/>
            </w:r>
          </w:hyperlink>
        </w:p>
        <w:p w14:paraId="46B2652D" w14:textId="645F35B5" w:rsidR="00B209BF" w:rsidRDefault="00B209BF">
          <w:pPr>
            <w:pStyle w:val="TOC3"/>
            <w:tabs>
              <w:tab w:val="right" w:leader="dot" w:pos="9016"/>
            </w:tabs>
            <w:rPr>
              <w:noProof/>
            </w:rPr>
          </w:pPr>
          <w:hyperlink w:anchor="_Toc211197371" w:history="1">
            <w:r w:rsidRPr="00C17FC3">
              <w:rPr>
                <w:rStyle w:val="Hyperlink"/>
                <w:noProof/>
              </w:rPr>
              <w:t>Political</w:t>
            </w:r>
            <w:r>
              <w:rPr>
                <w:noProof/>
                <w:webHidden/>
              </w:rPr>
              <w:tab/>
            </w:r>
            <w:r>
              <w:rPr>
                <w:noProof/>
                <w:webHidden/>
              </w:rPr>
              <w:fldChar w:fldCharType="begin"/>
            </w:r>
            <w:r>
              <w:rPr>
                <w:noProof/>
                <w:webHidden/>
              </w:rPr>
              <w:instrText xml:space="preserve"> PAGEREF _Toc211197371 \h </w:instrText>
            </w:r>
            <w:r>
              <w:rPr>
                <w:noProof/>
                <w:webHidden/>
              </w:rPr>
            </w:r>
            <w:r>
              <w:rPr>
                <w:noProof/>
                <w:webHidden/>
              </w:rPr>
              <w:fldChar w:fldCharType="separate"/>
            </w:r>
            <w:r>
              <w:rPr>
                <w:noProof/>
                <w:webHidden/>
              </w:rPr>
              <w:t>4</w:t>
            </w:r>
            <w:r>
              <w:rPr>
                <w:noProof/>
                <w:webHidden/>
              </w:rPr>
              <w:fldChar w:fldCharType="end"/>
            </w:r>
          </w:hyperlink>
        </w:p>
        <w:p w14:paraId="44E04DD5" w14:textId="0D3E36D9" w:rsidR="00B209BF" w:rsidRDefault="00B209BF">
          <w:pPr>
            <w:pStyle w:val="TOC3"/>
            <w:tabs>
              <w:tab w:val="right" w:leader="dot" w:pos="9016"/>
            </w:tabs>
            <w:rPr>
              <w:noProof/>
            </w:rPr>
          </w:pPr>
          <w:hyperlink w:anchor="_Toc211197372" w:history="1">
            <w:r w:rsidRPr="00C17FC3">
              <w:rPr>
                <w:rStyle w:val="Hyperlink"/>
                <w:noProof/>
              </w:rPr>
              <w:t>Economic</w:t>
            </w:r>
            <w:r>
              <w:rPr>
                <w:noProof/>
                <w:webHidden/>
              </w:rPr>
              <w:tab/>
            </w:r>
            <w:r>
              <w:rPr>
                <w:noProof/>
                <w:webHidden/>
              </w:rPr>
              <w:fldChar w:fldCharType="begin"/>
            </w:r>
            <w:r>
              <w:rPr>
                <w:noProof/>
                <w:webHidden/>
              </w:rPr>
              <w:instrText xml:space="preserve"> PAGEREF _Toc211197372 \h </w:instrText>
            </w:r>
            <w:r>
              <w:rPr>
                <w:noProof/>
                <w:webHidden/>
              </w:rPr>
            </w:r>
            <w:r>
              <w:rPr>
                <w:noProof/>
                <w:webHidden/>
              </w:rPr>
              <w:fldChar w:fldCharType="separate"/>
            </w:r>
            <w:r>
              <w:rPr>
                <w:noProof/>
                <w:webHidden/>
              </w:rPr>
              <w:t>5</w:t>
            </w:r>
            <w:r>
              <w:rPr>
                <w:noProof/>
                <w:webHidden/>
              </w:rPr>
              <w:fldChar w:fldCharType="end"/>
            </w:r>
          </w:hyperlink>
        </w:p>
        <w:p w14:paraId="6C16C017" w14:textId="507DAFFF" w:rsidR="00B209BF" w:rsidRDefault="00B209BF">
          <w:pPr>
            <w:pStyle w:val="TOC3"/>
            <w:tabs>
              <w:tab w:val="right" w:leader="dot" w:pos="9016"/>
            </w:tabs>
            <w:rPr>
              <w:noProof/>
            </w:rPr>
          </w:pPr>
          <w:hyperlink w:anchor="_Toc211197373" w:history="1">
            <w:r w:rsidRPr="00C17FC3">
              <w:rPr>
                <w:rStyle w:val="Hyperlink"/>
                <w:noProof/>
              </w:rPr>
              <w:t>Social</w:t>
            </w:r>
            <w:r>
              <w:rPr>
                <w:noProof/>
                <w:webHidden/>
              </w:rPr>
              <w:tab/>
            </w:r>
            <w:r>
              <w:rPr>
                <w:noProof/>
                <w:webHidden/>
              </w:rPr>
              <w:fldChar w:fldCharType="begin"/>
            </w:r>
            <w:r>
              <w:rPr>
                <w:noProof/>
                <w:webHidden/>
              </w:rPr>
              <w:instrText xml:space="preserve"> PAGEREF _Toc211197373 \h </w:instrText>
            </w:r>
            <w:r>
              <w:rPr>
                <w:noProof/>
                <w:webHidden/>
              </w:rPr>
            </w:r>
            <w:r>
              <w:rPr>
                <w:noProof/>
                <w:webHidden/>
              </w:rPr>
              <w:fldChar w:fldCharType="separate"/>
            </w:r>
            <w:r>
              <w:rPr>
                <w:noProof/>
                <w:webHidden/>
              </w:rPr>
              <w:t>5</w:t>
            </w:r>
            <w:r>
              <w:rPr>
                <w:noProof/>
                <w:webHidden/>
              </w:rPr>
              <w:fldChar w:fldCharType="end"/>
            </w:r>
          </w:hyperlink>
        </w:p>
        <w:p w14:paraId="3FD418C8" w14:textId="21405639" w:rsidR="00B209BF" w:rsidRDefault="00B209BF">
          <w:pPr>
            <w:pStyle w:val="TOC3"/>
            <w:tabs>
              <w:tab w:val="right" w:leader="dot" w:pos="9016"/>
            </w:tabs>
            <w:rPr>
              <w:noProof/>
            </w:rPr>
          </w:pPr>
          <w:hyperlink w:anchor="_Toc211197374" w:history="1">
            <w:r w:rsidRPr="00C17FC3">
              <w:rPr>
                <w:rStyle w:val="Hyperlink"/>
                <w:noProof/>
              </w:rPr>
              <w:t>Technological</w:t>
            </w:r>
            <w:r>
              <w:rPr>
                <w:noProof/>
                <w:webHidden/>
              </w:rPr>
              <w:tab/>
            </w:r>
            <w:r>
              <w:rPr>
                <w:noProof/>
                <w:webHidden/>
              </w:rPr>
              <w:fldChar w:fldCharType="begin"/>
            </w:r>
            <w:r>
              <w:rPr>
                <w:noProof/>
                <w:webHidden/>
              </w:rPr>
              <w:instrText xml:space="preserve"> PAGEREF _Toc211197374 \h </w:instrText>
            </w:r>
            <w:r>
              <w:rPr>
                <w:noProof/>
                <w:webHidden/>
              </w:rPr>
            </w:r>
            <w:r>
              <w:rPr>
                <w:noProof/>
                <w:webHidden/>
              </w:rPr>
              <w:fldChar w:fldCharType="separate"/>
            </w:r>
            <w:r>
              <w:rPr>
                <w:noProof/>
                <w:webHidden/>
              </w:rPr>
              <w:t>5</w:t>
            </w:r>
            <w:r>
              <w:rPr>
                <w:noProof/>
                <w:webHidden/>
              </w:rPr>
              <w:fldChar w:fldCharType="end"/>
            </w:r>
          </w:hyperlink>
        </w:p>
        <w:p w14:paraId="46C7962F" w14:textId="6253A275" w:rsidR="00B209BF" w:rsidRDefault="00B209BF">
          <w:pPr>
            <w:pStyle w:val="TOC3"/>
            <w:tabs>
              <w:tab w:val="right" w:leader="dot" w:pos="9016"/>
            </w:tabs>
            <w:rPr>
              <w:noProof/>
            </w:rPr>
          </w:pPr>
          <w:hyperlink w:anchor="_Toc211197375" w:history="1">
            <w:r w:rsidRPr="00C17FC3">
              <w:rPr>
                <w:rStyle w:val="Hyperlink"/>
                <w:noProof/>
              </w:rPr>
              <w:t>Legal</w:t>
            </w:r>
            <w:r>
              <w:rPr>
                <w:noProof/>
                <w:webHidden/>
              </w:rPr>
              <w:tab/>
            </w:r>
            <w:r>
              <w:rPr>
                <w:noProof/>
                <w:webHidden/>
              </w:rPr>
              <w:fldChar w:fldCharType="begin"/>
            </w:r>
            <w:r>
              <w:rPr>
                <w:noProof/>
                <w:webHidden/>
              </w:rPr>
              <w:instrText xml:space="preserve"> PAGEREF _Toc211197375 \h </w:instrText>
            </w:r>
            <w:r>
              <w:rPr>
                <w:noProof/>
                <w:webHidden/>
              </w:rPr>
            </w:r>
            <w:r>
              <w:rPr>
                <w:noProof/>
                <w:webHidden/>
              </w:rPr>
              <w:fldChar w:fldCharType="separate"/>
            </w:r>
            <w:r>
              <w:rPr>
                <w:noProof/>
                <w:webHidden/>
              </w:rPr>
              <w:t>5</w:t>
            </w:r>
            <w:r>
              <w:rPr>
                <w:noProof/>
                <w:webHidden/>
              </w:rPr>
              <w:fldChar w:fldCharType="end"/>
            </w:r>
          </w:hyperlink>
        </w:p>
        <w:p w14:paraId="71D967A2" w14:textId="4807ECBC" w:rsidR="00B209BF" w:rsidRDefault="00B209BF">
          <w:pPr>
            <w:pStyle w:val="TOC3"/>
            <w:tabs>
              <w:tab w:val="right" w:leader="dot" w:pos="9016"/>
            </w:tabs>
            <w:rPr>
              <w:noProof/>
            </w:rPr>
          </w:pPr>
          <w:hyperlink w:anchor="_Toc211197376" w:history="1">
            <w:r w:rsidRPr="00C17FC3">
              <w:rPr>
                <w:rStyle w:val="Hyperlink"/>
                <w:noProof/>
              </w:rPr>
              <w:t>Environmental</w:t>
            </w:r>
            <w:r>
              <w:rPr>
                <w:noProof/>
                <w:webHidden/>
              </w:rPr>
              <w:tab/>
            </w:r>
            <w:r>
              <w:rPr>
                <w:noProof/>
                <w:webHidden/>
              </w:rPr>
              <w:fldChar w:fldCharType="begin"/>
            </w:r>
            <w:r>
              <w:rPr>
                <w:noProof/>
                <w:webHidden/>
              </w:rPr>
              <w:instrText xml:space="preserve"> PAGEREF _Toc211197376 \h </w:instrText>
            </w:r>
            <w:r>
              <w:rPr>
                <w:noProof/>
                <w:webHidden/>
              </w:rPr>
            </w:r>
            <w:r>
              <w:rPr>
                <w:noProof/>
                <w:webHidden/>
              </w:rPr>
              <w:fldChar w:fldCharType="separate"/>
            </w:r>
            <w:r>
              <w:rPr>
                <w:noProof/>
                <w:webHidden/>
              </w:rPr>
              <w:t>6</w:t>
            </w:r>
            <w:r>
              <w:rPr>
                <w:noProof/>
                <w:webHidden/>
              </w:rPr>
              <w:fldChar w:fldCharType="end"/>
            </w:r>
          </w:hyperlink>
        </w:p>
        <w:p w14:paraId="3C699488" w14:textId="0CAD5ABE" w:rsidR="00B209BF" w:rsidRDefault="00B209BF">
          <w:pPr>
            <w:pStyle w:val="TOC2"/>
            <w:tabs>
              <w:tab w:val="right" w:leader="dot" w:pos="9016"/>
            </w:tabs>
            <w:rPr>
              <w:noProof/>
            </w:rPr>
          </w:pPr>
          <w:hyperlink w:anchor="_Toc211197377" w:history="1">
            <w:r w:rsidRPr="00C17FC3">
              <w:rPr>
                <w:rStyle w:val="Hyperlink"/>
                <w:noProof/>
              </w:rPr>
              <w:t>Porter’s Five Forces Analysis</w:t>
            </w:r>
            <w:r>
              <w:rPr>
                <w:noProof/>
                <w:webHidden/>
              </w:rPr>
              <w:tab/>
            </w:r>
            <w:r>
              <w:rPr>
                <w:noProof/>
                <w:webHidden/>
              </w:rPr>
              <w:fldChar w:fldCharType="begin"/>
            </w:r>
            <w:r>
              <w:rPr>
                <w:noProof/>
                <w:webHidden/>
              </w:rPr>
              <w:instrText xml:space="preserve"> PAGEREF _Toc211197377 \h </w:instrText>
            </w:r>
            <w:r>
              <w:rPr>
                <w:noProof/>
                <w:webHidden/>
              </w:rPr>
            </w:r>
            <w:r>
              <w:rPr>
                <w:noProof/>
                <w:webHidden/>
              </w:rPr>
              <w:fldChar w:fldCharType="separate"/>
            </w:r>
            <w:r>
              <w:rPr>
                <w:noProof/>
                <w:webHidden/>
              </w:rPr>
              <w:t>6</w:t>
            </w:r>
            <w:r>
              <w:rPr>
                <w:noProof/>
                <w:webHidden/>
              </w:rPr>
              <w:fldChar w:fldCharType="end"/>
            </w:r>
          </w:hyperlink>
        </w:p>
        <w:p w14:paraId="397407CA" w14:textId="2B1F26B1" w:rsidR="00B209BF" w:rsidRDefault="00B209BF">
          <w:pPr>
            <w:pStyle w:val="TOC3"/>
            <w:tabs>
              <w:tab w:val="right" w:leader="dot" w:pos="9016"/>
            </w:tabs>
            <w:rPr>
              <w:noProof/>
            </w:rPr>
          </w:pPr>
          <w:hyperlink w:anchor="_Toc211197378" w:history="1">
            <w:r w:rsidRPr="00C17FC3">
              <w:rPr>
                <w:rStyle w:val="Hyperlink"/>
                <w:noProof/>
              </w:rPr>
              <w:t>Competitive Rivalry:  High</w:t>
            </w:r>
            <w:r>
              <w:rPr>
                <w:noProof/>
                <w:webHidden/>
              </w:rPr>
              <w:tab/>
            </w:r>
            <w:r>
              <w:rPr>
                <w:noProof/>
                <w:webHidden/>
              </w:rPr>
              <w:fldChar w:fldCharType="begin"/>
            </w:r>
            <w:r>
              <w:rPr>
                <w:noProof/>
                <w:webHidden/>
              </w:rPr>
              <w:instrText xml:space="preserve"> PAGEREF _Toc211197378 \h </w:instrText>
            </w:r>
            <w:r>
              <w:rPr>
                <w:noProof/>
                <w:webHidden/>
              </w:rPr>
            </w:r>
            <w:r>
              <w:rPr>
                <w:noProof/>
                <w:webHidden/>
              </w:rPr>
              <w:fldChar w:fldCharType="separate"/>
            </w:r>
            <w:r>
              <w:rPr>
                <w:noProof/>
                <w:webHidden/>
              </w:rPr>
              <w:t>6</w:t>
            </w:r>
            <w:r>
              <w:rPr>
                <w:noProof/>
                <w:webHidden/>
              </w:rPr>
              <w:fldChar w:fldCharType="end"/>
            </w:r>
          </w:hyperlink>
        </w:p>
        <w:p w14:paraId="335B96D1" w14:textId="01D01309" w:rsidR="00B209BF" w:rsidRDefault="00B209BF">
          <w:pPr>
            <w:pStyle w:val="TOC3"/>
            <w:tabs>
              <w:tab w:val="right" w:leader="dot" w:pos="9016"/>
            </w:tabs>
            <w:rPr>
              <w:noProof/>
            </w:rPr>
          </w:pPr>
          <w:hyperlink w:anchor="_Toc211197379" w:history="1">
            <w:r w:rsidRPr="00C17FC3">
              <w:rPr>
                <w:rStyle w:val="Hyperlink"/>
                <w:noProof/>
              </w:rPr>
              <w:t>Threat of New Entrants:  Moderate to High</w:t>
            </w:r>
            <w:r>
              <w:rPr>
                <w:noProof/>
                <w:webHidden/>
              </w:rPr>
              <w:tab/>
            </w:r>
            <w:r>
              <w:rPr>
                <w:noProof/>
                <w:webHidden/>
              </w:rPr>
              <w:fldChar w:fldCharType="begin"/>
            </w:r>
            <w:r>
              <w:rPr>
                <w:noProof/>
                <w:webHidden/>
              </w:rPr>
              <w:instrText xml:space="preserve"> PAGEREF _Toc211197379 \h </w:instrText>
            </w:r>
            <w:r>
              <w:rPr>
                <w:noProof/>
                <w:webHidden/>
              </w:rPr>
            </w:r>
            <w:r>
              <w:rPr>
                <w:noProof/>
                <w:webHidden/>
              </w:rPr>
              <w:fldChar w:fldCharType="separate"/>
            </w:r>
            <w:r>
              <w:rPr>
                <w:noProof/>
                <w:webHidden/>
              </w:rPr>
              <w:t>6</w:t>
            </w:r>
            <w:r>
              <w:rPr>
                <w:noProof/>
                <w:webHidden/>
              </w:rPr>
              <w:fldChar w:fldCharType="end"/>
            </w:r>
          </w:hyperlink>
        </w:p>
        <w:p w14:paraId="5BB59FDF" w14:textId="3B35864A" w:rsidR="00B209BF" w:rsidRDefault="00B209BF">
          <w:pPr>
            <w:pStyle w:val="TOC3"/>
            <w:tabs>
              <w:tab w:val="right" w:leader="dot" w:pos="9016"/>
            </w:tabs>
            <w:rPr>
              <w:noProof/>
            </w:rPr>
          </w:pPr>
          <w:hyperlink w:anchor="_Toc211197380" w:history="1">
            <w:r w:rsidRPr="00C17FC3">
              <w:rPr>
                <w:rStyle w:val="Hyperlink"/>
                <w:noProof/>
              </w:rPr>
              <w:t>Bargaining Power of Suppliers: Moderate</w:t>
            </w:r>
            <w:r>
              <w:rPr>
                <w:noProof/>
                <w:webHidden/>
              </w:rPr>
              <w:tab/>
            </w:r>
            <w:r>
              <w:rPr>
                <w:noProof/>
                <w:webHidden/>
              </w:rPr>
              <w:fldChar w:fldCharType="begin"/>
            </w:r>
            <w:r>
              <w:rPr>
                <w:noProof/>
                <w:webHidden/>
              </w:rPr>
              <w:instrText xml:space="preserve"> PAGEREF _Toc211197380 \h </w:instrText>
            </w:r>
            <w:r>
              <w:rPr>
                <w:noProof/>
                <w:webHidden/>
              </w:rPr>
            </w:r>
            <w:r>
              <w:rPr>
                <w:noProof/>
                <w:webHidden/>
              </w:rPr>
              <w:fldChar w:fldCharType="separate"/>
            </w:r>
            <w:r>
              <w:rPr>
                <w:noProof/>
                <w:webHidden/>
              </w:rPr>
              <w:t>6</w:t>
            </w:r>
            <w:r>
              <w:rPr>
                <w:noProof/>
                <w:webHidden/>
              </w:rPr>
              <w:fldChar w:fldCharType="end"/>
            </w:r>
          </w:hyperlink>
        </w:p>
        <w:p w14:paraId="61C326F2" w14:textId="78023852" w:rsidR="00B209BF" w:rsidRDefault="00B209BF">
          <w:pPr>
            <w:pStyle w:val="TOC3"/>
            <w:tabs>
              <w:tab w:val="right" w:leader="dot" w:pos="9016"/>
            </w:tabs>
            <w:rPr>
              <w:noProof/>
            </w:rPr>
          </w:pPr>
          <w:hyperlink w:anchor="_Toc211197381" w:history="1">
            <w:r w:rsidRPr="00C17FC3">
              <w:rPr>
                <w:rStyle w:val="Hyperlink"/>
                <w:noProof/>
              </w:rPr>
              <w:t>Bargaining Power of Buyers: High</w:t>
            </w:r>
            <w:r>
              <w:rPr>
                <w:noProof/>
                <w:webHidden/>
              </w:rPr>
              <w:tab/>
            </w:r>
            <w:r>
              <w:rPr>
                <w:noProof/>
                <w:webHidden/>
              </w:rPr>
              <w:fldChar w:fldCharType="begin"/>
            </w:r>
            <w:r>
              <w:rPr>
                <w:noProof/>
                <w:webHidden/>
              </w:rPr>
              <w:instrText xml:space="preserve"> PAGEREF _Toc211197381 \h </w:instrText>
            </w:r>
            <w:r>
              <w:rPr>
                <w:noProof/>
                <w:webHidden/>
              </w:rPr>
            </w:r>
            <w:r>
              <w:rPr>
                <w:noProof/>
                <w:webHidden/>
              </w:rPr>
              <w:fldChar w:fldCharType="separate"/>
            </w:r>
            <w:r>
              <w:rPr>
                <w:noProof/>
                <w:webHidden/>
              </w:rPr>
              <w:t>6</w:t>
            </w:r>
            <w:r>
              <w:rPr>
                <w:noProof/>
                <w:webHidden/>
              </w:rPr>
              <w:fldChar w:fldCharType="end"/>
            </w:r>
          </w:hyperlink>
        </w:p>
        <w:p w14:paraId="16B9F233" w14:textId="57E14F5E" w:rsidR="00B209BF" w:rsidRDefault="00B209BF">
          <w:pPr>
            <w:pStyle w:val="TOC3"/>
            <w:tabs>
              <w:tab w:val="right" w:leader="dot" w:pos="9016"/>
            </w:tabs>
            <w:rPr>
              <w:noProof/>
            </w:rPr>
          </w:pPr>
          <w:hyperlink w:anchor="_Toc211197382" w:history="1">
            <w:r w:rsidRPr="00C17FC3">
              <w:rPr>
                <w:rStyle w:val="Hyperlink"/>
                <w:noProof/>
              </w:rPr>
              <w:t>Threat of Substitutes:  Moderate</w:t>
            </w:r>
            <w:r>
              <w:rPr>
                <w:noProof/>
                <w:webHidden/>
              </w:rPr>
              <w:tab/>
            </w:r>
            <w:r>
              <w:rPr>
                <w:noProof/>
                <w:webHidden/>
              </w:rPr>
              <w:fldChar w:fldCharType="begin"/>
            </w:r>
            <w:r>
              <w:rPr>
                <w:noProof/>
                <w:webHidden/>
              </w:rPr>
              <w:instrText xml:space="preserve"> PAGEREF _Toc211197382 \h </w:instrText>
            </w:r>
            <w:r>
              <w:rPr>
                <w:noProof/>
                <w:webHidden/>
              </w:rPr>
            </w:r>
            <w:r>
              <w:rPr>
                <w:noProof/>
                <w:webHidden/>
              </w:rPr>
              <w:fldChar w:fldCharType="separate"/>
            </w:r>
            <w:r>
              <w:rPr>
                <w:noProof/>
                <w:webHidden/>
              </w:rPr>
              <w:t>7</w:t>
            </w:r>
            <w:r>
              <w:rPr>
                <w:noProof/>
                <w:webHidden/>
              </w:rPr>
              <w:fldChar w:fldCharType="end"/>
            </w:r>
          </w:hyperlink>
        </w:p>
        <w:p w14:paraId="768D51A9" w14:textId="3F500BCF" w:rsidR="00B209BF" w:rsidRDefault="00B209BF">
          <w:pPr>
            <w:pStyle w:val="TOC1"/>
            <w:tabs>
              <w:tab w:val="right" w:leader="dot" w:pos="9016"/>
            </w:tabs>
            <w:rPr>
              <w:noProof/>
            </w:rPr>
          </w:pPr>
          <w:hyperlink w:anchor="_Toc211197383" w:history="1">
            <w:r w:rsidRPr="00C17FC3">
              <w:rPr>
                <w:rStyle w:val="Hyperlink"/>
                <w:noProof/>
              </w:rPr>
              <w:t>Internal Environment Audit</w:t>
            </w:r>
            <w:r>
              <w:rPr>
                <w:noProof/>
                <w:webHidden/>
              </w:rPr>
              <w:tab/>
            </w:r>
            <w:r>
              <w:rPr>
                <w:noProof/>
                <w:webHidden/>
              </w:rPr>
              <w:fldChar w:fldCharType="begin"/>
            </w:r>
            <w:r>
              <w:rPr>
                <w:noProof/>
                <w:webHidden/>
              </w:rPr>
              <w:instrText xml:space="preserve"> PAGEREF _Toc211197383 \h </w:instrText>
            </w:r>
            <w:r>
              <w:rPr>
                <w:noProof/>
                <w:webHidden/>
              </w:rPr>
            </w:r>
            <w:r>
              <w:rPr>
                <w:noProof/>
                <w:webHidden/>
              </w:rPr>
              <w:fldChar w:fldCharType="separate"/>
            </w:r>
            <w:r>
              <w:rPr>
                <w:noProof/>
                <w:webHidden/>
              </w:rPr>
              <w:t>7</w:t>
            </w:r>
            <w:r>
              <w:rPr>
                <w:noProof/>
                <w:webHidden/>
              </w:rPr>
              <w:fldChar w:fldCharType="end"/>
            </w:r>
          </w:hyperlink>
        </w:p>
        <w:p w14:paraId="2682B702" w14:textId="01BF23E9" w:rsidR="00B209BF" w:rsidRDefault="00B209BF">
          <w:pPr>
            <w:pStyle w:val="TOC2"/>
            <w:tabs>
              <w:tab w:val="right" w:leader="dot" w:pos="9016"/>
            </w:tabs>
            <w:rPr>
              <w:noProof/>
            </w:rPr>
          </w:pPr>
          <w:hyperlink w:anchor="_Toc211197384" w:history="1">
            <w:r w:rsidRPr="00C17FC3">
              <w:rPr>
                <w:rStyle w:val="Hyperlink"/>
                <w:noProof/>
              </w:rPr>
              <w:t>Value Chain Analysis</w:t>
            </w:r>
            <w:r>
              <w:rPr>
                <w:noProof/>
                <w:webHidden/>
              </w:rPr>
              <w:tab/>
            </w:r>
            <w:r>
              <w:rPr>
                <w:noProof/>
                <w:webHidden/>
              </w:rPr>
              <w:fldChar w:fldCharType="begin"/>
            </w:r>
            <w:r>
              <w:rPr>
                <w:noProof/>
                <w:webHidden/>
              </w:rPr>
              <w:instrText xml:space="preserve"> PAGEREF _Toc211197384 \h </w:instrText>
            </w:r>
            <w:r>
              <w:rPr>
                <w:noProof/>
                <w:webHidden/>
              </w:rPr>
            </w:r>
            <w:r>
              <w:rPr>
                <w:noProof/>
                <w:webHidden/>
              </w:rPr>
              <w:fldChar w:fldCharType="separate"/>
            </w:r>
            <w:r>
              <w:rPr>
                <w:noProof/>
                <w:webHidden/>
              </w:rPr>
              <w:t>7</w:t>
            </w:r>
            <w:r>
              <w:rPr>
                <w:noProof/>
                <w:webHidden/>
              </w:rPr>
              <w:fldChar w:fldCharType="end"/>
            </w:r>
          </w:hyperlink>
        </w:p>
        <w:p w14:paraId="7FB38FE1" w14:textId="25036037" w:rsidR="00B209BF" w:rsidRDefault="00B209BF">
          <w:pPr>
            <w:pStyle w:val="TOC2"/>
            <w:tabs>
              <w:tab w:val="right" w:leader="dot" w:pos="9016"/>
            </w:tabs>
            <w:rPr>
              <w:noProof/>
            </w:rPr>
          </w:pPr>
          <w:hyperlink w:anchor="_Toc211197385" w:history="1">
            <w:r w:rsidRPr="00C17FC3">
              <w:rPr>
                <w:rStyle w:val="Hyperlink"/>
                <w:noProof/>
              </w:rPr>
              <w:t>Resource-Based View (RBV)</w:t>
            </w:r>
            <w:r>
              <w:rPr>
                <w:noProof/>
                <w:webHidden/>
              </w:rPr>
              <w:tab/>
            </w:r>
            <w:r>
              <w:rPr>
                <w:noProof/>
                <w:webHidden/>
              </w:rPr>
              <w:fldChar w:fldCharType="begin"/>
            </w:r>
            <w:r>
              <w:rPr>
                <w:noProof/>
                <w:webHidden/>
              </w:rPr>
              <w:instrText xml:space="preserve"> PAGEREF _Toc211197385 \h </w:instrText>
            </w:r>
            <w:r>
              <w:rPr>
                <w:noProof/>
                <w:webHidden/>
              </w:rPr>
            </w:r>
            <w:r>
              <w:rPr>
                <w:noProof/>
                <w:webHidden/>
              </w:rPr>
              <w:fldChar w:fldCharType="separate"/>
            </w:r>
            <w:r>
              <w:rPr>
                <w:noProof/>
                <w:webHidden/>
              </w:rPr>
              <w:t>8</w:t>
            </w:r>
            <w:r>
              <w:rPr>
                <w:noProof/>
                <w:webHidden/>
              </w:rPr>
              <w:fldChar w:fldCharType="end"/>
            </w:r>
          </w:hyperlink>
        </w:p>
        <w:p w14:paraId="26A3A7DF" w14:textId="3DAF8887" w:rsidR="00B209BF" w:rsidRDefault="00B209BF">
          <w:pPr>
            <w:pStyle w:val="TOC2"/>
            <w:tabs>
              <w:tab w:val="right" w:leader="dot" w:pos="9016"/>
            </w:tabs>
            <w:rPr>
              <w:noProof/>
            </w:rPr>
          </w:pPr>
          <w:hyperlink w:anchor="_Toc211197386" w:history="1">
            <w:r w:rsidRPr="00C17FC3">
              <w:rPr>
                <w:rStyle w:val="Hyperlink"/>
                <w:noProof/>
              </w:rPr>
              <w:t>VRIO Evaluation</w:t>
            </w:r>
            <w:r>
              <w:rPr>
                <w:noProof/>
                <w:webHidden/>
              </w:rPr>
              <w:tab/>
            </w:r>
            <w:r>
              <w:rPr>
                <w:noProof/>
                <w:webHidden/>
              </w:rPr>
              <w:fldChar w:fldCharType="begin"/>
            </w:r>
            <w:r>
              <w:rPr>
                <w:noProof/>
                <w:webHidden/>
              </w:rPr>
              <w:instrText xml:space="preserve"> PAGEREF _Toc211197386 \h </w:instrText>
            </w:r>
            <w:r>
              <w:rPr>
                <w:noProof/>
                <w:webHidden/>
              </w:rPr>
            </w:r>
            <w:r>
              <w:rPr>
                <w:noProof/>
                <w:webHidden/>
              </w:rPr>
              <w:fldChar w:fldCharType="separate"/>
            </w:r>
            <w:r>
              <w:rPr>
                <w:noProof/>
                <w:webHidden/>
              </w:rPr>
              <w:t>9</w:t>
            </w:r>
            <w:r>
              <w:rPr>
                <w:noProof/>
                <w:webHidden/>
              </w:rPr>
              <w:fldChar w:fldCharType="end"/>
            </w:r>
          </w:hyperlink>
        </w:p>
        <w:p w14:paraId="6F6BD6AC" w14:textId="5AAFFAF1" w:rsidR="00B209BF" w:rsidRDefault="00B209BF">
          <w:pPr>
            <w:pStyle w:val="TOC2"/>
            <w:tabs>
              <w:tab w:val="right" w:leader="dot" w:pos="9016"/>
            </w:tabs>
            <w:rPr>
              <w:noProof/>
            </w:rPr>
          </w:pPr>
          <w:hyperlink w:anchor="_Toc211197387" w:history="1">
            <w:r w:rsidRPr="00C17FC3">
              <w:rPr>
                <w:rStyle w:val="Hyperlink"/>
                <w:noProof/>
              </w:rPr>
              <w:t>SWOT Analysis</w:t>
            </w:r>
            <w:r>
              <w:rPr>
                <w:noProof/>
                <w:webHidden/>
              </w:rPr>
              <w:tab/>
            </w:r>
            <w:r>
              <w:rPr>
                <w:noProof/>
                <w:webHidden/>
              </w:rPr>
              <w:fldChar w:fldCharType="begin"/>
            </w:r>
            <w:r>
              <w:rPr>
                <w:noProof/>
                <w:webHidden/>
              </w:rPr>
              <w:instrText xml:space="preserve"> PAGEREF _Toc211197387 \h </w:instrText>
            </w:r>
            <w:r>
              <w:rPr>
                <w:noProof/>
                <w:webHidden/>
              </w:rPr>
            </w:r>
            <w:r>
              <w:rPr>
                <w:noProof/>
                <w:webHidden/>
              </w:rPr>
              <w:fldChar w:fldCharType="separate"/>
            </w:r>
            <w:r>
              <w:rPr>
                <w:noProof/>
                <w:webHidden/>
              </w:rPr>
              <w:t>9</w:t>
            </w:r>
            <w:r>
              <w:rPr>
                <w:noProof/>
                <w:webHidden/>
              </w:rPr>
              <w:fldChar w:fldCharType="end"/>
            </w:r>
          </w:hyperlink>
        </w:p>
        <w:p w14:paraId="17177B53" w14:textId="6597BB25" w:rsidR="00B209BF" w:rsidRDefault="00B209BF">
          <w:pPr>
            <w:pStyle w:val="TOC1"/>
            <w:tabs>
              <w:tab w:val="right" w:leader="dot" w:pos="9016"/>
            </w:tabs>
            <w:rPr>
              <w:noProof/>
            </w:rPr>
          </w:pPr>
          <w:hyperlink w:anchor="_Toc211197388" w:history="1">
            <w:r w:rsidRPr="00C17FC3">
              <w:rPr>
                <w:rStyle w:val="Hyperlink"/>
                <w:noProof/>
              </w:rPr>
              <w:t>Strategy Formulation of Jaguar Land Rover</w:t>
            </w:r>
            <w:r>
              <w:rPr>
                <w:noProof/>
                <w:webHidden/>
              </w:rPr>
              <w:tab/>
            </w:r>
            <w:r>
              <w:rPr>
                <w:noProof/>
                <w:webHidden/>
              </w:rPr>
              <w:fldChar w:fldCharType="begin"/>
            </w:r>
            <w:r>
              <w:rPr>
                <w:noProof/>
                <w:webHidden/>
              </w:rPr>
              <w:instrText xml:space="preserve"> PAGEREF _Toc211197388 \h </w:instrText>
            </w:r>
            <w:r>
              <w:rPr>
                <w:noProof/>
                <w:webHidden/>
              </w:rPr>
            </w:r>
            <w:r>
              <w:rPr>
                <w:noProof/>
                <w:webHidden/>
              </w:rPr>
              <w:fldChar w:fldCharType="separate"/>
            </w:r>
            <w:r>
              <w:rPr>
                <w:noProof/>
                <w:webHidden/>
              </w:rPr>
              <w:t>10</w:t>
            </w:r>
            <w:r>
              <w:rPr>
                <w:noProof/>
                <w:webHidden/>
              </w:rPr>
              <w:fldChar w:fldCharType="end"/>
            </w:r>
          </w:hyperlink>
        </w:p>
        <w:p w14:paraId="7AE2D5EC" w14:textId="7E4D8DC7" w:rsidR="00B209BF" w:rsidRDefault="00B209BF">
          <w:pPr>
            <w:pStyle w:val="TOC2"/>
            <w:tabs>
              <w:tab w:val="right" w:leader="dot" w:pos="9016"/>
            </w:tabs>
            <w:rPr>
              <w:noProof/>
            </w:rPr>
          </w:pPr>
          <w:hyperlink w:anchor="_Toc211197389" w:history="1">
            <w:r w:rsidRPr="00C17FC3">
              <w:rPr>
                <w:rStyle w:val="Hyperlink"/>
                <w:noProof/>
              </w:rPr>
              <w:t>Strategy Objective</w:t>
            </w:r>
            <w:r>
              <w:rPr>
                <w:noProof/>
                <w:webHidden/>
              </w:rPr>
              <w:tab/>
            </w:r>
            <w:r>
              <w:rPr>
                <w:noProof/>
                <w:webHidden/>
              </w:rPr>
              <w:fldChar w:fldCharType="begin"/>
            </w:r>
            <w:r>
              <w:rPr>
                <w:noProof/>
                <w:webHidden/>
              </w:rPr>
              <w:instrText xml:space="preserve"> PAGEREF _Toc211197389 \h </w:instrText>
            </w:r>
            <w:r>
              <w:rPr>
                <w:noProof/>
                <w:webHidden/>
              </w:rPr>
            </w:r>
            <w:r>
              <w:rPr>
                <w:noProof/>
                <w:webHidden/>
              </w:rPr>
              <w:fldChar w:fldCharType="separate"/>
            </w:r>
            <w:r>
              <w:rPr>
                <w:noProof/>
                <w:webHidden/>
              </w:rPr>
              <w:t>10</w:t>
            </w:r>
            <w:r>
              <w:rPr>
                <w:noProof/>
                <w:webHidden/>
              </w:rPr>
              <w:fldChar w:fldCharType="end"/>
            </w:r>
          </w:hyperlink>
        </w:p>
        <w:p w14:paraId="6B35B678" w14:textId="707B5F79" w:rsidR="00B209BF" w:rsidRDefault="00B209BF">
          <w:pPr>
            <w:pStyle w:val="TOC2"/>
            <w:tabs>
              <w:tab w:val="right" w:leader="dot" w:pos="9016"/>
            </w:tabs>
            <w:rPr>
              <w:noProof/>
            </w:rPr>
          </w:pPr>
          <w:hyperlink w:anchor="_Toc211197390" w:history="1">
            <w:r w:rsidRPr="00C17FC3">
              <w:rPr>
                <w:rStyle w:val="Hyperlink"/>
                <w:noProof/>
              </w:rPr>
              <w:t>Porter’s Generic Strategies</w:t>
            </w:r>
            <w:r>
              <w:rPr>
                <w:noProof/>
                <w:webHidden/>
              </w:rPr>
              <w:tab/>
            </w:r>
            <w:r>
              <w:rPr>
                <w:noProof/>
                <w:webHidden/>
              </w:rPr>
              <w:fldChar w:fldCharType="begin"/>
            </w:r>
            <w:r>
              <w:rPr>
                <w:noProof/>
                <w:webHidden/>
              </w:rPr>
              <w:instrText xml:space="preserve"> PAGEREF _Toc211197390 \h </w:instrText>
            </w:r>
            <w:r>
              <w:rPr>
                <w:noProof/>
                <w:webHidden/>
              </w:rPr>
            </w:r>
            <w:r>
              <w:rPr>
                <w:noProof/>
                <w:webHidden/>
              </w:rPr>
              <w:fldChar w:fldCharType="separate"/>
            </w:r>
            <w:r>
              <w:rPr>
                <w:noProof/>
                <w:webHidden/>
              </w:rPr>
              <w:t>10</w:t>
            </w:r>
            <w:r>
              <w:rPr>
                <w:noProof/>
                <w:webHidden/>
              </w:rPr>
              <w:fldChar w:fldCharType="end"/>
            </w:r>
          </w:hyperlink>
        </w:p>
        <w:p w14:paraId="06A5FDA0" w14:textId="5C0D0ED7" w:rsidR="00B209BF" w:rsidRDefault="00B209BF">
          <w:pPr>
            <w:pStyle w:val="TOC2"/>
            <w:tabs>
              <w:tab w:val="right" w:leader="dot" w:pos="9016"/>
            </w:tabs>
            <w:rPr>
              <w:noProof/>
            </w:rPr>
          </w:pPr>
          <w:hyperlink w:anchor="_Toc211197391" w:history="1">
            <w:r w:rsidRPr="00C17FC3">
              <w:rPr>
                <w:rStyle w:val="Hyperlink"/>
                <w:noProof/>
              </w:rPr>
              <w:t>The Ansoff Matrix</w:t>
            </w:r>
            <w:r>
              <w:rPr>
                <w:noProof/>
                <w:webHidden/>
              </w:rPr>
              <w:tab/>
            </w:r>
            <w:r>
              <w:rPr>
                <w:noProof/>
                <w:webHidden/>
              </w:rPr>
              <w:fldChar w:fldCharType="begin"/>
            </w:r>
            <w:r>
              <w:rPr>
                <w:noProof/>
                <w:webHidden/>
              </w:rPr>
              <w:instrText xml:space="preserve"> PAGEREF _Toc211197391 \h </w:instrText>
            </w:r>
            <w:r>
              <w:rPr>
                <w:noProof/>
                <w:webHidden/>
              </w:rPr>
            </w:r>
            <w:r>
              <w:rPr>
                <w:noProof/>
                <w:webHidden/>
              </w:rPr>
              <w:fldChar w:fldCharType="separate"/>
            </w:r>
            <w:r>
              <w:rPr>
                <w:noProof/>
                <w:webHidden/>
              </w:rPr>
              <w:t>11</w:t>
            </w:r>
            <w:r>
              <w:rPr>
                <w:noProof/>
                <w:webHidden/>
              </w:rPr>
              <w:fldChar w:fldCharType="end"/>
            </w:r>
          </w:hyperlink>
        </w:p>
        <w:p w14:paraId="28FFA97C" w14:textId="066A2390" w:rsidR="00B209BF" w:rsidRDefault="00B209BF">
          <w:pPr>
            <w:pStyle w:val="TOC2"/>
            <w:tabs>
              <w:tab w:val="right" w:leader="dot" w:pos="9016"/>
            </w:tabs>
            <w:rPr>
              <w:noProof/>
            </w:rPr>
          </w:pPr>
          <w:hyperlink w:anchor="_Toc211197392" w:history="1">
            <w:r w:rsidRPr="00C17FC3">
              <w:rPr>
                <w:rStyle w:val="Hyperlink"/>
                <w:noProof/>
              </w:rPr>
              <w:t>Strategy Proposals</w:t>
            </w:r>
            <w:r>
              <w:rPr>
                <w:noProof/>
                <w:webHidden/>
              </w:rPr>
              <w:tab/>
            </w:r>
            <w:r>
              <w:rPr>
                <w:noProof/>
                <w:webHidden/>
              </w:rPr>
              <w:fldChar w:fldCharType="begin"/>
            </w:r>
            <w:r>
              <w:rPr>
                <w:noProof/>
                <w:webHidden/>
              </w:rPr>
              <w:instrText xml:space="preserve"> PAGEREF _Toc211197392 \h </w:instrText>
            </w:r>
            <w:r>
              <w:rPr>
                <w:noProof/>
                <w:webHidden/>
              </w:rPr>
            </w:r>
            <w:r>
              <w:rPr>
                <w:noProof/>
                <w:webHidden/>
              </w:rPr>
              <w:fldChar w:fldCharType="separate"/>
            </w:r>
            <w:r>
              <w:rPr>
                <w:noProof/>
                <w:webHidden/>
              </w:rPr>
              <w:t>11</w:t>
            </w:r>
            <w:r>
              <w:rPr>
                <w:noProof/>
                <w:webHidden/>
              </w:rPr>
              <w:fldChar w:fldCharType="end"/>
            </w:r>
          </w:hyperlink>
        </w:p>
        <w:p w14:paraId="7315C306" w14:textId="11FBBE89" w:rsidR="00B209BF" w:rsidRDefault="00B209BF">
          <w:pPr>
            <w:pStyle w:val="TOC1"/>
            <w:tabs>
              <w:tab w:val="right" w:leader="dot" w:pos="9016"/>
            </w:tabs>
            <w:rPr>
              <w:noProof/>
            </w:rPr>
          </w:pPr>
          <w:hyperlink w:anchor="_Toc211197393" w:history="1">
            <w:r w:rsidRPr="00C17FC3">
              <w:rPr>
                <w:rStyle w:val="Hyperlink"/>
                <w:noProof/>
              </w:rPr>
              <w:t>Conclusion and Recommendations</w:t>
            </w:r>
            <w:r>
              <w:rPr>
                <w:noProof/>
                <w:webHidden/>
              </w:rPr>
              <w:tab/>
            </w:r>
            <w:r>
              <w:rPr>
                <w:noProof/>
                <w:webHidden/>
              </w:rPr>
              <w:fldChar w:fldCharType="begin"/>
            </w:r>
            <w:r>
              <w:rPr>
                <w:noProof/>
                <w:webHidden/>
              </w:rPr>
              <w:instrText xml:space="preserve"> PAGEREF _Toc211197393 \h </w:instrText>
            </w:r>
            <w:r>
              <w:rPr>
                <w:noProof/>
                <w:webHidden/>
              </w:rPr>
            </w:r>
            <w:r>
              <w:rPr>
                <w:noProof/>
                <w:webHidden/>
              </w:rPr>
              <w:fldChar w:fldCharType="separate"/>
            </w:r>
            <w:r>
              <w:rPr>
                <w:noProof/>
                <w:webHidden/>
              </w:rPr>
              <w:t>12</w:t>
            </w:r>
            <w:r>
              <w:rPr>
                <w:noProof/>
                <w:webHidden/>
              </w:rPr>
              <w:fldChar w:fldCharType="end"/>
            </w:r>
          </w:hyperlink>
        </w:p>
        <w:p w14:paraId="24E7BA3D" w14:textId="2481F566" w:rsidR="00B209BF" w:rsidRDefault="00B209BF">
          <w:pPr>
            <w:pStyle w:val="TOC1"/>
            <w:tabs>
              <w:tab w:val="right" w:leader="dot" w:pos="9016"/>
            </w:tabs>
            <w:rPr>
              <w:noProof/>
            </w:rPr>
          </w:pPr>
          <w:hyperlink w:anchor="_Toc211197394" w:history="1">
            <w:r w:rsidRPr="00C17FC3">
              <w:rPr>
                <w:rStyle w:val="Hyperlink"/>
                <w:noProof/>
              </w:rPr>
              <w:t>References</w:t>
            </w:r>
            <w:r>
              <w:rPr>
                <w:noProof/>
                <w:webHidden/>
              </w:rPr>
              <w:tab/>
            </w:r>
            <w:r>
              <w:rPr>
                <w:noProof/>
                <w:webHidden/>
              </w:rPr>
              <w:fldChar w:fldCharType="begin"/>
            </w:r>
            <w:r>
              <w:rPr>
                <w:noProof/>
                <w:webHidden/>
              </w:rPr>
              <w:instrText xml:space="preserve"> PAGEREF _Toc211197394 \h </w:instrText>
            </w:r>
            <w:r>
              <w:rPr>
                <w:noProof/>
                <w:webHidden/>
              </w:rPr>
            </w:r>
            <w:r>
              <w:rPr>
                <w:noProof/>
                <w:webHidden/>
              </w:rPr>
              <w:fldChar w:fldCharType="separate"/>
            </w:r>
            <w:r>
              <w:rPr>
                <w:noProof/>
                <w:webHidden/>
              </w:rPr>
              <w:t>13</w:t>
            </w:r>
            <w:r>
              <w:rPr>
                <w:noProof/>
                <w:webHidden/>
              </w:rPr>
              <w:fldChar w:fldCharType="end"/>
            </w:r>
          </w:hyperlink>
        </w:p>
        <w:p w14:paraId="67C4914C" w14:textId="28B022B3" w:rsidR="00B209BF" w:rsidRDefault="00B209BF">
          <w:r>
            <w:rPr>
              <w:b/>
              <w:bCs/>
            </w:rPr>
            <w:fldChar w:fldCharType="end"/>
          </w:r>
        </w:p>
      </w:sdtContent>
    </w:sdt>
    <w:p w14:paraId="208C8D4C" w14:textId="77777777" w:rsidR="00B209BF" w:rsidRDefault="00B209BF"/>
    <w:p w14:paraId="109C14E5" w14:textId="77777777" w:rsidR="00B209BF" w:rsidRDefault="00B209BF"/>
    <w:p w14:paraId="2BD4EFDE" w14:textId="77777777" w:rsidR="00B209BF" w:rsidRDefault="00B209BF"/>
    <w:p w14:paraId="65E9F45F" w14:textId="1234D5AE" w:rsidR="00D51E40" w:rsidRPr="00D51E40" w:rsidRDefault="00D51E40" w:rsidP="00B209BF">
      <w:pPr>
        <w:pStyle w:val="Heading1"/>
      </w:pPr>
      <w:bookmarkStart w:id="0" w:name="_Toc211197367"/>
      <w:r w:rsidRPr="00D51E40">
        <w:t>Executive Summary</w:t>
      </w:r>
      <w:bookmarkEnd w:id="0"/>
    </w:p>
    <w:p w14:paraId="3E3879FA" w14:textId="234DEC00" w:rsidR="00D51E40" w:rsidRDefault="00D51E40" w:rsidP="00D51E40">
      <w:pPr>
        <w:spacing w:line="360" w:lineRule="auto"/>
        <w:jc w:val="both"/>
        <w:rPr>
          <w:rFonts w:ascii="Times New Roman" w:hAnsi="Times New Roman" w:cs="Times New Roman"/>
          <w:sz w:val="24"/>
          <w:szCs w:val="24"/>
        </w:rPr>
      </w:pPr>
      <w:r w:rsidRPr="00D51E40">
        <w:rPr>
          <w:rFonts w:ascii="Times New Roman" w:hAnsi="Times New Roman" w:cs="Times New Roman"/>
          <w:sz w:val="24"/>
          <w:szCs w:val="24"/>
        </w:rPr>
        <w:t xml:space="preserve">Jaguar Land Rover (JLR), one of the largest auto manufacturers in the United Kingdom, finds itself in an increasingly competitive and sustainability-focused industry environment defined by electrification. This case study assesses the industry threats and corporate strengths influencing the auto manufacturer’s competitive landscape. The research is based on five strategic management models and frameworks widely used in practice and consulting: PESTLE, Porter’s Five Forces, Value Chain Analysis, Resource-Based View (RBV), and VRIO. The results of the analysis indicate that JLR faces external threats of increasing government and customer expectations of carbon neutrality, industry forces of competition from Tesla and other electric vehicle (EV) producers, and internal pressures of cost inefficiency and supply chain risk, while simultaneously having opportunities to build on its existing brand, technical knowledge, and R&amp;D investment. The study’s conclusion combines the findings from all five frameworks and proposes that JLR has opportunities to further improve its position through </w:t>
      </w:r>
      <w:proofErr w:type="spellStart"/>
      <w:r w:rsidRPr="00D51E40">
        <w:rPr>
          <w:rFonts w:ascii="Times New Roman" w:hAnsi="Times New Roman" w:cs="Times New Roman"/>
          <w:sz w:val="24"/>
          <w:szCs w:val="24"/>
        </w:rPr>
        <w:t>digitalization</w:t>
      </w:r>
      <w:proofErr w:type="spellEnd"/>
      <w:r w:rsidRPr="00D51E40">
        <w:rPr>
          <w:rFonts w:ascii="Times New Roman" w:hAnsi="Times New Roman" w:cs="Times New Roman"/>
          <w:sz w:val="24"/>
          <w:szCs w:val="24"/>
        </w:rPr>
        <w:t xml:space="preserve">, vertical integration for EVs’ battery supply chain, and </w:t>
      </w:r>
      <w:proofErr w:type="spellStart"/>
      <w:r w:rsidRPr="00D51E40">
        <w:rPr>
          <w:rFonts w:ascii="Times New Roman" w:hAnsi="Times New Roman" w:cs="Times New Roman"/>
          <w:sz w:val="24"/>
          <w:szCs w:val="24"/>
        </w:rPr>
        <w:t>prioritizing</w:t>
      </w:r>
      <w:proofErr w:type="spellEnd"/>
      <w:r w:rsidRPr="00D51E40">
        <w:rPr>
          <w:rFonts w:ascii="Times New Roman" w:hAnsi="Times New Roman" w:cs="Times New Roman"/>
          <w:sz w:val="24"/>
          <w:szCs w:val="24"/>
        </w:rPr>
        <w:t xml:space="preserve"> environmental, social, and governance (ESG) innovation. The recommendations are based on the identified company opportunities to increase the share of electrified vehicles as a part of the </w:t>
      </w:r>
      <w:r w:rsidRPr="00B209BF">
        <w:rPr>
          <w:rFonts w:ascii="Times New Roman" w:hAnsi="Times New Roman" w:cs="Times New Roman"/>
          <w:i/>
          <w:iCs/>
          <w:sz w:val="24"/>
          <w:szCs w:val="24"/>
        </w:rPr>
        <w:t>Reimagine</w:t>
      </w:r>
      <w:r w:rsidRPr="00D51E40">
        <w:rPr>
          <w:rFonts w:ascii="Times New Roman" w:hAnsi="Times New Roman" w:cs="Times New Roman"/>
          <w:sz w:val="24"/>
          <w:szCs w:val="24"/>
        </w:rPr>
        <w:t xml:space="preserve"> strategy, improving supply chain ESG factors, and applying artificial intelligence for efficiency and customer engagement.</w:t>
      </w:r>
    </w:p>
    <w:p w14:paraId="050ED080" w14:textId="77777777" w:rsidR="00816F86" w:rsidRDefault="00816F86" w:rsidP="00D51E40">
      <w:pPr>
        <w:spacing w:line="360" w:lineRule="auto"/>
        <w:jc w:val="both"/>
        <w:rPr>
          <w:rFonts w:ascii="Times New Roman" w:hAnsi="Times New Roman" w:cs="Times New Roman"/>
          <w:sz w:val="24"/>
          <w:szCs w:val="24"/>
        </w:rPr>
      </w:pPr>
    </w:p>
    <w:p w14:paraId="482AC354" w14:textId="77777777" w:rsidR="00816F86" w:rsidRDefault="00816F86" w:rsidP="00D51E40">
      <w:pPr>
        <w:spacing w:line="360" w:lineRule="auto"/>
        <w:jc w:val="both"/>
        <w:rPr>
          <w:rFonts w:ascii="Times New Roman" w:hAnsi="Times New Roman" w:cs="Times New Roman"/>
          <w:sz w:val="24"/>
          <w:szCs w:val="24"/>
        </w:rPr>
      </w:pPr>
    </w:p>
    <w:p w14:paraId="75483FC9" w14:textId="77777777" w:rsidR="00816F86" w:rsidRDefault="00816F86" w:rsidP="00D51E40">
      <w:pPr>
        <w:spacing w:line="360" w:lineRule="auto"/>
        <w:jc w:val="both"/>
        <w:rPr>
          <w:rFonts w:ascii="Times New Roman" w:hAnsi="Times New Roman" w:cs="Times New Roman"/>
          <w:sz w:val="24"/>
          <w:szCs w:val="24"/>
        </w:rPr>
      </w:pPr>
    </w:p>
    <w:p w14:paraId="4A741A76" w14:textId="77777777" w:rsidR="00816F86" w:rsidRDefault="00816F86" w:rsidP="00D51E40">
      <w:pPr>
        <w:spacing w:line="360" w:lineRule="auto"/>
        <w:jc w:val="both"/>
        <w:rPr>
          <w:rFonts w:ascii="Times New Roman" w:hAnsi="Times New Roman" w:cs="Times New Roman"/>
          <w:sz w:val="24"/>
          <w:szCs w:val="24"/>
        </w:rPr>
      </w:pPr>
    </w:p>
    <w:p w14:paraId="0F904604" w14:textId="77777777" w:rsidR="00816F86" w:rsidRDefault="00816F86" w:rsidP="00D51E40">
      <w:pPr>
        <w:spacing w:line="360" w:lineRule="auto"/>
        <w:jc w:val="both"/>
        <w:rPr>
          <w:rFonts w:ascii="Times New Roman" w:hAnsi="Times New Roman" w:cs="Times New Roman"/>
          <w:sz w:val="24"/>
          <w:szCs w:val="24"/>
        </w:rPr>
      </w:pPr>
    </w:p>
    <w:p w14:paraId="5F0B4514" w14:textId="77777777" w:rsidR="00816F86" w:rsidRDefault="00816F86" w:rsidP="00D51E40">
      <w:pPr>
        <w:spacing w:line="360" w:lineRule="auto"/>
        <w:jc w:val="both"/>
        <w:rPr>
          <w:rFonts w:ascii="Times New Roman" w:hAnsi="Times New Roman" w:cs="Times New Roman"/>
          <w:sz w:val="24"/>
          <w:szCs w:val="24"/>
        </w:rPr>
      </w:pPr>
    </w:p>
    <w:p w14:paraId="3984C071" w14:textId="77777777" w:rsidR="00816F86" w:rsidRDefault="00816F86" w:rsidP="00D51E40">
      <w:pPr>
        <w:spacing w:line="360" w:lineRule="auto"/>
        <w:jc w:val="both"/>
        <w:rPr>
          <w:rFonts w:ascii="Times New Roman" w:hAnsi="Times New Roman" w:cs="Times New Roman"/>
          <w:sz w:val="24"/>
          <w:szCs w:val="24"/>
        </w:rPr>
      </w:pPr>
    </w:p>
    <w:p w14:paraId="4CDC16CA" w14:textId="77777777" w:rsidR="00816F86" w:rsidRDefault="00816F86" w:rsidP="00D51E40">
      <w:pPr>
        <w:spacing w:line="360" w:lineRule="auto"/>
        <w:jc w:val="both"/>
        <w:rPr>
          <w:rFonts w:ascii="Times New Roman" w:hAnsi="Times New Roman" w:cs="Times New Roman"/>
          <w:sz w:val="24"/>
          <w:szCs w:val="24"/>
        </w:rPr>
      </w:pPr>
    </w:p>
    <w:p w14:paraId="22DA3D8C" w14:textId="77777777" w:rsidR="00816F86" w:rsidRDefault="00816F86" w:rsidP="00D51E40">
      <w:pPr>
        <w:spacing w:line="360" w:lineRule="auto"/>
        <w:jc w:val="both"/>
        <w:rPr>
          <w:rFonts w:ascii="Times New Roman" w:hAnsi="Times New Roman" w:cs="Times New Roman"/>
          <w:sz w:val="24"/>
          <w:szCs w:val="24"/>
        </w:rPr>
      </w:pPr>
    </w:p>
    <w:p w14:paraId="7ABCD42A" w14:textId="77777777" w:rsidR="00816F86" w:rsidRDefault="00816F86" w:rsidP="00D51E40">
      <w:pPr>
        <w:spacing w:line="360" w:lineRule="auto"/>
        <w:jc w:val="both"/>
        <w:rPr>
          <w:rFonts w:ascii="Times New Roman" w:hAnsi="Times New Roman" w:cs="Times New Roman"/>
          <w:sz w:val="24"/>
          <w:szCs w:val="24"/>
        </w:rPr>
      </w:pPr>
    </w:p>
    <w:p w14:paraId="3D5A5E09" w14:textId="77777777" w:rsidR="00816F86" w:rsidRDefault="00816F86" w:rsidP="00D51E40">
      <w:pPr>
        <w:spacing w:line="360" w:lineRule="auto"/>
        <w:jc w:val="both"/>
        <w:rPr>
          <w:rFonts w:ascii="Times New Roman" w:hAnsi="Times New Roman" w:cs="Times New Roman"/>
          <w:sz w:val="24"/>
          <w:szCs w:val="24"/>
        </w:rPr>
      </w:pPr>
    </w:p>
    <w:p w14:paraId="2E6F4D77" w14:textId="30A080EA" w:rsidR="00816F86" w:rsidRPr="003C1CEB" w:rsidRDefault="00816F86" w:rsidP="00B209BF">
      <w:pPr>
        <w:pStyle w:val="Heading1"/>
      </w:pPr>
      <w:bookmarkStart w:id="1" w:name="_Toc211197368"/>
      <w:r w:rsidRPr="003C1CEB">
        <w:t>Introduction</w:t>
      </w:r>
      <w:bookmarkEnd w:id="1"/>
    </w:p>
    <w:p w14:paraId="44997B38" w14:textId="59C3B637" w:rsidR="00816F86" w:rsidRDefault="003C1CEB" w:rsidP="003C1CEB">
      <w:pPr>
        <w:spacing w:line="360" w:lineRule="auto"/>
        <w:jc w:val="both"/>
        <w:rPr>
          <w:rFonts w:ascii="Times New Roman" w:hAnsi="Times New Roman" w:cs="Times New Roman"/>
          <w:sz w:val="24"/>
          <w:szCs w:val="24"/>
        </w:rPr>
      </w:pPr>
      <w:r w:rsidRPr="003C1CEB">
        <w:rPr>
          <w:rFonts w:ascii="Times New Roman" w:hAnsi="Times New Roman" w:cs="Times New Roman"/>
          <w:sz w:val="24"/>
          <w:szCs w:val="24"/>
        </w:rPr>
        <w:t>Strategic management addresses different chaotic, uncertain, and complex situations to which organisations must cope. Firms may face and overcome strategic challenges to connect internal and external sources through strategic planning (</w:t>
      </w:r>
      <w:proofErr w:type="spellStart"/>
      <w:r w:rsidR="008814FE" w:rsidRPr="008814FE">
        <w:rPr>
          <w:rFonts w:ascii="Times New Roman" w:hAnsi="Times New Roman" w:cs="Times New Roman"/>
          <w:sz w:val="24"/>
          <w:szCs w:val="24"/>
        </w:rPr>
        <w:t>Galadanchi</w:t>
      </w:r>
      <w:proofErr w:type="spellEnd"/>
      <w:r w:rsidR="008814FE" w:rsidRPr="008814FE">
        <w:rPr>
          <w:rFonts w:ascii="Times New Roman" w:hAnsi="Times New Roman" w:cs="Times New Roman"/>
          <w:sz w:val="24"/>
          <w:szCs w:val="24"/>
        </w:rPr>
        <w:t xml:space="preserve"> &amp; </w:t>
      </w:r>
      <w:proofErr w:type="spellStart"/>
      <w:r w:rsidR="008814FE" w:rsidRPr="008814FE">
        <w:rPr>
          <w:rFonts w:ascii="Times New Roman" w:hAnsi="Times New Roman" w:cs="Times New Roman"/>
          <w:sz w:val="24"/>
          <w:szCs w:val="24"/>
        </w:rPr>
        <w:t>Bakar</w:t>
      </w:r>
      <w:proofErr w:type="spellEnd"/>
      <w:r w:rsidR="008814FE" w:rsidRPr="008814FE">
        <w:rPr>
          <w:rFonts w:ascii="Times New Roman" w:hAnsi="Times New Roman" w:cs="Times New Roman"/>
          <w:sz w:val="24"/>
          <w:szCs w:val="24"/>
        </w:rPr>
        <w:t>, 2018).</w:t>
      </w:r>
      <w:r w:rsidR="008814FE" w:rsidRPr="008814FE">
        <w:rPr>
          <w:rFonts w:ascii="Times New Roman" w:hAnsi="Times New Roman" w:cs="Times New Roman"/>
          <w:b/>
          <w:bCs/>
          <w:sz w:val="24"/>
          <w:szCs w:val="24"/>
        </w:rPr>
        <w:t xml:space="preserve"> </w:t>
      </w:r>
      <w:r w:rsidRPr="003C1CEB">
        <w:rPr>
          <w:rFonts w:ascii="Times New Roman" w:hAnsi="Times New Roman" w:cs="Times New Roman"/>
          <w:sz w:val="24"/>
          <w:szCs w:val="24"/>
        </w:rPr>
        <w:t xml:space="preserve"> Mature producers like Jaguar Land Rover (JLR) would need robust electrification and sustainability company strategy.</w:t>
      </w:r>
      <w:r>
        <w:rPr>
          <w:rFonts w:ascii="Times New Roman" w:hAnsi="Times New Roman" w:cs="Times New Roman"/>
          <w:sz w:val="24"/>
          <w:szCs w:val="24"/>
        </w:rPr>
        <w:t xml:space="preserve"> </w:t>
      </w:r>
      <w:r w:rsidRPr="003C1CEB">
        <w:rPr>
          <w:rFonts w:ascii="Times New Roman" w:hAnsi="Times New Roman" w:cs="Times New Roman"/>
          <w:sz w:val="24"/>
          <w:szCs w:val="24"/>
        </w:rPr>
        <w:t>Tata acquired Jaguar Land Rover in 2008. This firm, known for its Range Rover, Defender, and Jaguar I-PACE, is one of the global luxury brands prioritises engineering, design, and innovation. JLR aims to decentralise management, research and development (R&amp;D), and brand autonomy following Tata’s acquisition for strategic agility and financial gain (</w:t>
      </w:r>
      <w:r w:rsidR="008814FE" w:rsidRPr="008814FE">
        <w:rPr>
          <w:rFonts w:ascii="Times New Roman" w:hAnsi="Times New Roman" w:cs="Times New Roman"/>
          <w:sz w:val="24"/>
          <w:szCs w:val="24"/>
        </w:rPr>
        <w:t xml:space="preserve">Gupta, 2022). </w:t>
      </w:r>
      <w:r w:rsidRPr="003C1CEB">
        <w:rPr>
          <w:rFonts w:ascii="Times New Roman" w:hAnsi="Times New Roman" w:cs="Times New Roman"/>
          <w:sz w:val="24"/>
          <w:szCs w:val="24"/>
        </w:rPr>
        <w:t>JLR’s 2021 Reimagine</w:t>
      </w:r>
      <w:r>
        <w:rPr>
          <w:rFonts w:ascii="Times New Roman" w:hAnsi="Times New Roman" w:cs="Times New Roman"/>
          <w:sz w:val="24"/>
          <w:szCs w:val="24"/>
        </w:rPr>
        <w:t xml:space="preserve"> </w:t>
      </w:r>
      <w:r w:rsidRPr="003C1CEB">
        <w:rPr>
          <w:rFonts w:ascii="Times New Roman" w:hAnsi="Times New Roman" w:cs="Times New Roman"/>
          <w:sz w:val="24"/>
          <w:szCs w:val="24"/>
        </w:rPr>
        <w:t xml:space="preserve"> strategy aspires to establish an all-electric future and a sustainable premium brand by 2030.</w:t>
      </w:r>
      <w:r>
        <w:rPr>
          <w:rFonts w:ascii="Times New Roman" w:hAnsi="Times New Roman" w:cs="Times New Roman"/>
          <w:sz w:val="24"/>
          <w:szCs w:val="24"/>
        </w:rPr>
        <w:t xml:space="preserve"> </w:t>
      </w:r>
      <w:r w:rsidRPr="003C1CEB">
        <w:rPr>
          <w:rFonts w:ascii="Times New Roman" w:hAnsi="Times New Roman" w:cs="Times New Roman"/>
          <w:sz w:val="24"/>
          <w:szCs w:val="24"/>
        </w:rPr>
        <w:t>Company strategy aligns with global industry trends. Electric vehicles (</w:t>
      </w:r>
      <w:proofErr w:type="spellStart"/>
      <w:r w:rsidRPr="003C1CEB">
        <w:rPr>
          <w:rFonts w:ascii="Times New Roman" w:hAnsi="Times New Roman" w:cs="Times New Roman"/>
          <w:sz w:val="24"/>
          <w:szCs w:val="24"/>
        </w:rPr>
        <w:t>EVs</w:t>
      </w:r>
      <w:proofErr w:type="spellEnd"/>
      <w:r w:rsidRPr="003C1CEB">
        <w:rPr>
          <w:rFonts w:ascii="Times New Roman" w:hAnsi="Times New Roman" w:cs="Times New Roman"/>
          <w:sz w:val="24"/>
          <w:szCs w:val="24"/>
        </w:rPr>
        <w:t>) are part of sustainable transportation solutions because of battery innovation, decarbonisation rules, and consumer desire for environmentally friendly goods and services (</w:t>
      </w:r>
      <w:proofErr w:type="spellStart"/>
      <w:r w:rsidR="008814FE" w:rsidRPr="008814FE">
        <w:rPr>
          <w:rFonts w:ascii="Times New Roman" w:hAnsi="Times New Roman" w:cs="Times New Roman"/>
          <w:sz w:val="24"/>
          <w:szCs w:val="24"/>
        </w:rPr>
        <w:t>Charak</w:t>
      </w:r>
      <w:proofErr w:type="spellEnd"/>
      <w:r w:rsidR="008814FE" w:rsidRPr="008814FE">
        <w:rPr>
          <w:rFonts w:ascii="Times New Roman" w:hAnsi="Times New Roman" w:cs="Times New Roman"/>
          <w:sz w:val="24"/>
          <w:szCs w:val="24"/>
        </w:rPr>
        <w:t xml:space="preserve">, </w:t>
      </w:r>
      <w:r w:rsidR="008814FE">
        <w:rPr>
          <w:rFonts w:ascii="Times New Roman" w:hAnsi="Times New Roman" w:cs="Times New Roman"/>
          <w:sz w:val="24"/>
          <w:szCs w:val="24"/>
        </w:rPr>
        <w:t xml:space="preserve">et. al., </w:t>
      </w:r>
      <w:r w:rsidR="008814FE" w:rsidRPr="008814FE">
        <w:rPr>
          <w:rFonts w:ascii="Times New Roman" w:hAnsi="Times New Roman" w:cs="Times New Roman"/>
          <w:sz w:val="24"/>
          <w:szCs w:val="24"/>
        </w:rPr>
        <w:t xml:space="preserve">2024). </w:t>
      </w:r>
      <w:r w:rsidRPr="003C1CEB">
        <w:rPr>
          <w:rFonts w:ascii="Times New Roman" w:hAnsi="Times New Roman" w:cs="Times New Roman"/>
          <w:sz w:val="24"/>
          <w:szCs w:val="24"/>
        </w:rPr>
        <w:t xml:space="preserve"> Global supply chain constraints, rising production expenses, and decarbonisation and industrial process modification are JLR’s challenges to meeting its objectives</w:t>
      </w:r>
      <w:r w:rsidR="008814FE">
        <w:rPr>
          <w:rFonts w:ascii="Times New Roman" w:hAnsi="Times New Roman" w:cs="Times New Roman"/>
          <w:sz w:val="24"/>
          <w:szCs w:val="24"/>
        </w:rPr>
        <w:t xml:space="preserve">. </w:t>
      </w:r>
      <w:r w:rsidRPr="003C1CEB">
        <w:rPr>
          <w:rFonts w:ascii="Times New Roman" w:hAnsi="Times New Roman" w:cs="Times New Roman"/>
          <w:sz w:val="24"/>
          <w:szCs w:val="24"/>
        </w:rPr>
        <w:t>PESTLE, Porter’s Five Forces, RBV, and VRIO will be utilised to analyse the firm’s external and internal environment to sustain competitive advantage.</w:t>
      </w:r>
    </w:p>
    <w:p w14:paraId="00DF94EC" w14:textId="77777777" w:rsidR="0003348B" w:rsidRPr="0003348B" w:rsidRDefault="0003348B" w:rsidP="00B209BF">
      <w:pPr>
        <w:pStyle w:val="Heading1"/>
      </w:pPr>
      <w:bookmarkStart w:id="2" w:name="_Toc211197369"/>
      <w:r w:rsidRPr="0003348B">
        <w:t>External Environment Audit</w:t>
      </w:r>
      <w:bookmarkEnd w:id="2"/>
    </w:p>
    <w:p w14:paraId="6BEAAF4A" w14:textId="1C60D224" w:rsidR="003C1CEB" w:rsidRDefault="0003348B" w:rsidP="00B209BF">
      <w:pPr>
        <w:pStyle w:val="Heading2"/>
      </w:pPr>
      <w:bookmarkStart w:id="3" w:name="_Toc211197370"/>
      <w:r w:rsidRPr="0003348B">
        <w:t>PESTLE Analysis</w:t>
      </w:r>
      <w:bookmarkEnd w:id="3"/>
    </w:p>
    <w:p w14:paraId="5220E6F2" w14:textId="77777777" w:rsidR="0003348B" w:rsidRPr="0003348B" w:rsidRDefault="0003348B" w:rsidP="00B209BF">
      <w:pPr>
        <w:pStyle w:val="Heading3"/>
      </w:pPr>
      <w:bookmarkStart w:id="4" w:name="_Toc211197371"/>
      <w:r w:rsidRPr="0003348B">
        <w:t>Political</w:t>
      </w:r>
      <w:bookmarkEnd w:id="4"/>
    </w:p>
    <w:p w14:paraId="009E4BEF" w14:textId="4D600989" w:rsidR="0003348B" w:rsidRPr="0003348B" w:rsidRDefault="0003348B" w:rsidP="0003348B">
      <w:pPr>
        <w:spacing w:line="360" w:lineRule="auto"/>
        <w:jc w:val="both"/>
        <w:rPr>
          <w:rFonts w:ascii="Times New Roman" w:hAnsi="Times New Roman" w:cs="Times New Roman"/>
          <w:sz w:val="24"/>
          <w:szCs w:val="24"/>
        </w:rPr>
      </w:pPr>
      <w:r w:rsidRPr="0003348B">
        <w:rPr>
          <w:rFonts w:ascii="Times New Roman" w:hAnsi="Times New Roman" w:cs="Times New Roman"/>
          <w:sz w:val="24"/>
          <w:szCs w:val="24"/>
        </w:rPr>
        <w:t xml:space="preserve">The U.K. government has an industrial policy for vehicle manufacturing, where sustainability forms part of their national automotive strategy. The UK Road to Zero Strategy and post-Brexit trade agreements with the EU could shape JLR’s manufacturing and supply chain decisions. </w:t>
      </w:r>
      <w:r>
        <w:rPr>
          <w:rFonts w:ascii="Times New Roman" w:hAnsi="Times New Roman" w:cs="Times New Roman"/>
          <w:sz w:val="24"/>
          <w:szCs w:val="24"/>
        </w:rPr>
        <w:t>Additionally, t</w:t>
      </w:r>
      <w:r w:rsidRPr="0003348B">
        <w:rPr>
          <w:rFonts w:ascii="Times New Roman" w:hAnsi="Times New Roman" w:cs="Times New Roman"/>
          <w:sz w:val="24"/>
          <w:szCs w:val="24"/>
        </w:rPr>
        <w:t>he government is also offering tax incentives for electric vehicle infrastructure and battery research, which align with JLR’s Reimagine strategy. However, trade barriers with the EU and Brexit add logistical and cost challenges (</w:t>
      </w:r>
      <w:proofErr w:type="spellStart"/>
      <w:r w:rsidRPr="008814FE">
        <w:rPr>
          <w:rFonts w:ascii="Times New Roman" w:hAnsi="Times New Roman" w:cs="Times New Roman"/>
          <w:sz w:val="24"/>
          <w:szCs w:val="24"/>
        </w:rPr>
        <w:t>Bunzel</w:t>
      </w:r>
      <w:proofErr w:type="spellEnd"/>
      <w:r w:rsidRPr="008814FE">
        <w:rPr>
          <w:rFonts w:ascii="Times New Roman" w:hAnsi="Times New Roman" w:cs="Times New Roman"/>
          <w:sz w:val="24"/>
          <w:szCs w:val="24"/>
        </w:rPr>
        <w:t xml:space="preserve"> &amp; </w:t>
      </w:r>
      <w:proofErr w:type="spellStart"/>
      <w:r w:rsidRPr="008814FE">
        <w:rPr>
          <w:rFonts w:ascii="Times New Roman" w:hAnsi="Times New Roman" w:cs="Times New Roman"/>
          <w:sz w:val="24"/>
          <w:szCs w:val="24"/>
        </w:rPr>
        <w:t>Ruhnau</w:t>
      </w:r>
      <w:proofErr w:type="spellEnd"/>
      <w:r w:rsidRPr="008814FE">
        <w:rPr>
          <w:rFonts w:ascii="Times New Roman" w:hAnsi="Times New Roman" w:cs="Times New Roman"/>
          <w:sz w:val="24"/>
          <w:szCs w:val="24"/>
        </w:rPr>
        <w:t>, 2015).</w:t>
      </w:r>
      <w:r w:rsidRPr="0003348B">
        <w:rPr>
          <w:rFonts w:ascii="Times New Roman" w:hAnsi="Times New Roman" w:cs="Times New Roman"/>
          <w:sz w:val="24"/>
          <w:szCs w:val="24"/>
        </w:rPr>
        <w:t xml:space="preserve"> Geopolitical risks</w:t>
      </w:r>
      <w:r>
        <w:rPr>
          <w:rFonts w:ascii="Times New Roman" w:hAnsi="Times New Roman" w:cs="Times New Roman"/>
          <w:sz w:val="24"/>
          <w:szCs w:val="24"/>
        </w:rPr>
        <w:t>,</w:t>
      </w:r>
      <w:r w:rsidRPr="0003348B">
        <w:rPr>
          <w:rFonts w:ascii="Times New Roman" w:hAnsi="Times New Roman" w:cs="Times New Roman"/>
          <w:sz w:val="24"/>
          <w:szCs w:val="24"/>
        </w:rPr>
        <w:t xml:space="preserve"> such as wars which could disrupt the global semiconductor supply are an unknown and will have an impact on timelines and procurement for manufacturing.</w:t>
      </w:r>
    </w:p>
    <w:p w14:paraId="53D3B2E4" w14:textId="77777777" w:rsidR="0003348B" w:rsidRPr="0003348B" w:rsidRDefault="0003348B" w:rsidP="0003348B">
      <w:pPr>
        <w:spacing w:line="360" w:lineRule="auto"/>
        <w:jc w:val="both"/>
        <w:rPr>
          <w:rFonts w:ascii="Times New Roman" w:hAnsi="Times New Roman" w:cs="Times New Roman"/>
          <w:sz w:val="24"/>
          <w:szCs w:val="24"/>
        </w:rPr>
      </w:pPr>
    </w:p>
    <w:p w14:paraId="141566A9" w14:textId="77777777" w:rsidR="0003348B" w:rsidRPr="0003348B" w:rsidRDefault="0003348B" w:rsidP="00B209BF">
      <w:pPr>
        <w:pStyle w:val="Heading3"/>
      </w:pPr>
      <w:bookmarkStart w:id="5" w:name="_Toc211197372"/>
      <w:r w:rsidRPr="0003348B">
        <w:t>Economic</w:t>
      </w:r>
      <w:bookmarkEnd w:id="5"/>
    </w:p>
    <w:p w14:paraId="5F7F32BD" w14:textId="1F599651" w:rsidR="0003348B" w:rsidRPr="0003348B" w:rsidRDefault="0003348B" w:rsidP="0003348B">
      <w:pPr>
        <w:spacing w:line="360" w:lineRule="auto"/>
        <w:jc w:val="both"/>
        <w:rPr>
          <w:rFonts w:ascii="Times New Roman" w:hAnsi="Times New Roman" w:cs="Times New Roman"/>
          <w:sz w:val="24"/>
          <w:szCs w:val="24"/>
        </w:rPr>
      </w:pPr>
      <w:r w:rsidRPr="0003348B">
        <w:rPr>
          <w:rFonts w:ascii="Times New Roman" w:hAnsi="Times New Roman" w:cs="Times New Roman"/>
          <w:sz w:val="24"/>
          <w:szCs w:val="24"/>
        </w:rPr>
        <w:t xml:space="preserve"> Economic factors include macroeconomic uncertainty (inflation, rising interest rates, and consumer purchasing power)</w:t>
      </w:r>
      <w:r>
        <w:rPr>
          <w:rFonts w:ascii="Times New Roman" w:hAnsi="Times New Roman" w:cs="Times New Roman"/>
          <w:sz w:val="24"/>
          <w:szCs w:val="24"/>
        </w:rPr>
        <w:t>,</w:t>
      </w:r>
      <w:r w:rsidRPr="0003348B">
        <w:rPr>
          <w:rFonts w:ascii="Times New Roman" w:hAnsi="Times New Roman" w:cs="Times New Roman"/>
          <w:sz w:val="24"/>
          <w:szCs w:val="24"/>
        </w:rPr>
        <w:t xml:space="preserve"> which could impact the luxury vehicle market directly. However, JLR benefits from operating in a premium segment with relatively inelastic demand. The global recession in the wake of the pandemic has put further pressure on restricted supply chains and lowered manufacturing margins. High capital investment in large scale production of electric vehicles and long-term R&amp;D costs are also important considerations (</w:t>
      </w:r>
      <w:r w:rsidRPr="008814FE">
        <w:rPr>
          <w:rFonts w:ascii="Times New Roman" w:hAnsi="Times New Roman" w:cs="Times New Roman"/>
          <w:sz w:val="24"/>
          <w:szCs w:val="24"/>
        </w:rPr>
        <w:t>Anton, 2015).</w:t>
      </w:r>
      <w:r w:rsidRPr="0003348B">
        <w:rPr>
          <w:rFonts w:ascii="Times New Roman" w:hAnsi="Times New Roman" w:cs="Times New Roman"/>
          <w:sz w:val="24"/>
          <w:szCs w:val="24"/>
        </w:rPr>
        <w:t xml:space="preserve"> Both of these make cost optimisation and strategic partnerships key to long term profitability for JLR.</w:t>
      </w:r>
    </w:p>
    <w:p w14:paraId="5E902F5E" w14:textId="77777777" w:rsidR="0003348B" w:rsidRPr="0003348B" w:rsidRDefault="0003348B" w:rsidP="00B209BF">
      <w:pPr>
        <w:pStyle w:val="Heading3"/>
      </w:pPr>
      <w:bookmarkStart w:id="6" w:name="_Toc211197373"/>
      <w:r w:rsidRPr="0003348B">
        <w:t>Social</w:t>
      </w:r>
      <w:bookmarkEnd w:id="6"/>
    </w:p>
    <w:p w14:paraId="486AA6E5" w14:textId="78BC5D8C" w:rsidR="0003348B" w:rsidRPr="0003348B" w:rsidRDefault="0003348B" w:rsidP="0003348B">
      <w:pPr>
        <w:spacing w:line="360" w:lineRule="auto"/>
        <w:jc w:val="both"/>
        <w:rPr>
          <w:rFonts w:ascii="Times New Roman" w:hAnsi="Times New Roman" w:cs="Times New Roman"/>
          <w:b/>
          <w:bCs/>
          <w:sz w:val="24"/>
          <w:szCs w:val="24"/>
        </w:rPr>
      </w:pPr>
      <w:r w:rsidRPr="0003348B">
        <w:rPr>
          <w:rFonts w:ascii="Times New Roman" w:hAnsi="Times New Roman" w:cs="Times New Roman"/>
          <w:sz w:val="24"/>
          <w:szCs w:val="24"/>
        </w:rPr>
        <w:t xml:space="preserve"> Consumer purchasing decisions are increasingly influenced by ethical manufacturing and sustainability standards. Environmentally conscious Millennial and </w:t>
      </w:r>
      <w:proofErr w:type="spellStart"/>
      <w:r w:rsidRPr="0003348B">
        <w:rPr>
          <w:rFonts w:ascii="Times New Roman" w:hAnsi="Times New Roman" w:cs="Times New Roman"/>
          <w:sz w:val="24"/>
          <w:szCs w:val="24"/>
        </w:rPr>
        <w:t>Gen</w:t>
      </w:r>
      <w:proofErr w:type="spellEnd"/>
      <w:r w:rsidRPr="0003348B">
        <w:rPr>
          <w:rFonts w:ascii="Times New Roman" w:hAnsi="Times New Roman" w:cs="Times New Roman"/>
          <w:sz w:val="24"/>
          <w:szCs w:val="24"/>
        </w:rPr>
        <w:t xml:space="preserve"> Z buyers place emphasis on carbon neutral vehicles and supply chain transparency. JLR has already built a brand image as a </w:t>
      </w:r>
      <w:r w:rsidRPr="0003348B">
        <w:rPr>
          <w:rFonts w:ascii="Times New Roman" w:hAnsi="Times New Roman" w:cs="Times New Roman"/>
          <w:i/>
          <w:iCs/>
          <w:sz w:val="24"/>
          <w:szCs w:val="24"/>
        </w:rPr>
        <w:t>modern luxury</w:t>
      </w:r>
      <w:r w:rsidRPr="0003348B">
        <w:rPr>
          <w:rFonts w:ascii="Times New Roman" w:hAnsi="Times New Roman" w:cs="Times New Roman"/>
          <w:sz w:val="24"/>
          <w:szCs w:val="24"/>
        </w:rPr>
        <w:t xml:space="preserve"> car company, so it is already on-brand with these social and economic trends. However, the company will have to demonstrate their progress on areas such as D&amp;I and responsible sourcing. Public engagement and activism on social media amplify the reputational risk associated with sustainability performance (</w:t>
      </w:r>
      <w:r w:rsidR="008814FE" w:rsidRPr="008814FE">
        <w:rPr>
          <w:rFonts w:ascii="Times New Roman" w:hAnsi="Times New Roman" w:cs="Times New Roman"/>
          <w:sz w:val="24"/>
          <w:szCs w:val="24"/>
        </w:rPr>
        <w:t>Gupta, 2022).</w:t>
      </w:r>
    </w:p>
    <w:p w14:paraId="72E54015" w14:textId="5FD869F3" w:rsidR="0003348B" w:rsidRPr="0003348B" w:rsidRDefault="0003348B" w:rsidP="00B209BF">
      <w:pPr>
        <w:pStyle w:val="Heading3"/>
      </w:pPr>
      <w:bookmarkStart w:id="7" w:name="_Toc211197374"/>
      <w:r w:rsidRPr="0003348B">
        <w:t>Technological</w:t>
      </w:r>
      <w:bookmarkEnd w:id="7"/>
    </w:p>
    <w:p w14:paraId="6BDD5099" w14:textId="1F8A2367" w:rsidR="0003348B" w:rsidRPr="0003348B" w:rsidRDefault="0003348B" w:rsidP="0003348B">
      <w:pPr>
        <w:spacing w:line="360" w:lineRule="auto"/>
        <w:jc w:val="both"/>
        <w:rPr>
          <w:rFonts w:ascii="Times New Roman" w:hAnsi="Times New Roman" w:cs="Times New Roman"/>
          <w:sz w:val="24"/>
          <w:szCs w:val="24"/>
        </w:rPr>
      </w:pPr>
      <w:r w:rsidRPr="0003348B">
        <w:rPr>
          <w:rFonts w:ascii="Times New Roman" w:hAnsi="Times New Roman" w:cs="Times New Roman"/>
          <w:sz w:val="24"/>
          <w:szCs w:val="24"/>
        </w:rPr>
        <w:t xml:space="preserve"> Rapidly developing technologies in battery technology, digital connectivity, and artificial intelligence-based features offer both opportunity and disruption. Collaboration with the University of Warwick and their WMG research centre will give JLR access to advanced research in hybrid and electric propulsion systems and hence expand their R&amp;D capabilities </w:t>
      </w:r>
      <w:r w:rsidRPr="0003348B">
        <w:rPr>
          <w:rFonts w:ascii="Times New Roman" w:hAnsi="Times New Roman" w:cs="Times New Roman"/>
          <w:b/>
          <w:bCs/>
          <w:sz w:val="24"/>
          <w:szCs w:val="24"/>
        </w:rPr>
        <w:t>(</w:t>
      </w:r>
      <w:proofErr w:type="spellStart"/>
      <w:r w:rsidR="008814FE" w:rsidRPr="008814FE">
        <w:rPr>
          <w:rFonts w:ascii="Times New Roman" w:hAnsi="Times New Roman" w:cs="Times New Roman"/>
          <w:sz w:val="24"/>
          <w:szCs w:val="24"/>
        </w:rPr>
        <w:t>Thethi</w:t>
      </w:r>
      <w:proofErr w:type="spellEnd"/>
      <w:r w:rsidR="008814FE" w:rsidRPr="008814FE">
        <w:rPr>
          <w:rFonts w:ascii="Times New Roman" w:hAnsi="Times New Roman" w:cs="Times New Roman"/>
          <w:sz w:val="24"/>
          <w:szCs w:val="24"/>
        </w:rPr>
        <w:t xml:space="preserve">, </w:t>
      </w:r>
      <w:r w:rsidR="008814FE">
        <w:rPr>
          <w:rFonts w:ascii="Times New Roman" w:hAnsi="Times New Roman" w:cs="Times New Roman"/>
          <w:sz w:val="24"/>
          <w:szCs w:val="24"/>
        </w:rPr>
        <w:t>et. al., 2013).</w:t>
      </w:r>
      <w:r w:rsidRPr="0003348B">
        <w:rPr>
          <w:rFonts w:ascii="Times New Roman" w:hAnsi="Times New Roman" w:cs="Times New Roman"/>
          <w:sz w:val="24"/>
          <w:szCs w:val="24"/>
        </w:rPr>
        <w:t xml:space="preserve"> The confluence of digital manufacturing (Industry 4.0) and self-driving technology will be key to remain competitive against newer digitally native companies like Tesla and BYD.</w:t>
      </w:r>
    </w:p>
    <w:p w14:paraId="3AFCA5E4" w14:textId="77777777" w:rsidR="0003348B" w:rsidRPr="0003348B" w:rsidRDefault="0003348B" w:rsidP="00B209BF">
      <w:pPr>
        <w:pStyle w:val="Heading3"/>
      </w:pPr>
      <w:bookmarkStart w:id="8" w:name="_Toc211197375"/>
      <w:r w:rsidRPr="0003348B">
        <w:t>Legal</w:t>
      </w:r>
      <w:bookmarkEnd w:id="8"/>
    </w:p>
    <w:p w14:paraId="0C1B14BE" w14:textId="1F000678" w:rsidR="0003348B" w:rsidRPr="0003348B" w:rsidRDefault="0003348B" w:rsidP="0003348B">
      <w:pPr>
        <w:spacing w:line="360" w:lineRule="auto"/>
        <w:jc w:val="both"/>
        <w:rPr>
          <w:rFonts w:ascii="Times New Roman" w:hAnsi="Times New Roman" w:cs="Times New Roman"/>
          <w:b/>
          <w:bCs/>
          <w:sz w:val="24"/>
          <w:szCs w:val="24"/>
        </w:rPr>
      </w:pPr>
      <w:r w:rsidRPr="0003348B">
        <w:rPr>
          <w:rFonts w:ascii="Times New Roman" w:hAnsi="Times New Roman" w:cs="Times New Roman"/>
          <w:sz w:val="24"/>
          <w:szCs w:val="24"/>
        </w:rPr>
        <w:t xml:space="preserve"> Automakers have to comply with complex emissions regulations</w:t>
      </w:r>
      <w:r>
        <w:rPr>
          <w:rFonts w:ascii="Times New Roman" w:hAnsi="Times New Roman" w:cs="Times New Roman"/>
          <w:sz w:val="24"/>
          <w:szCs w:val="24"/>
        </w:rPr>
        <w:t xml:space="preserve">, </w:t>
      </w:r>
      <w:r w:rsidRPr="0003348B">
        <w:rPr>
          <w:rFonts w:ascii="Times New Roman" w:hAnsi="Times New Roman" w:cs="Times New Roman"/>
          <w:sz w:val="24"/>
          <w:szCs w:val="24"/>
        </w:rPr>
        <w:t>which are set by UK and EU policy. The U.K. government’s mandate for an end to new petrol and diesel vehicle sales by 2035 is already a strong signal. JLR will have to pivot production to meet lifecycle emissions targets and sustainability reporting standards. Consumer data privacy legislation like GDPR also has a specific bearing on digital systems in connected cars (</w:t>
      </w:r>
      <w:proofErr w:type="spellStart"/>
      <w:r w:rsidR="008814FE" w:rsidRPr="008814FE">
        <w:rPr>
          <w:rFonts w:ascii="Times New Roman" w:hAnsi="Times New Roman" w:cs="Times New Roman"/>
          <w:sz w:val="24"/>
          <w:szCs w:val="24"/>
        </w:rPr>
        <w:t>Lestari</w:t>
      </w:r>
      <w:proofErr w:type="spellEnd"/>
      <w:r w:rsidR="008814FE" w:rsidRPr="008814FE">
        <w:rPr>
          <w:rFonts w:ascii="Times New Roman" w:hAnsi="Times New Roman" w:cs="Times New Roman"/>
          <w:sz w:val="24"/>
          <w:szCs w:val="24"/>
        </w:rPr>
        <w:t xml:space="preserve"> &amp; </w:t>
      </w:r>
      <w:proofErr w:type="spellStart"/>
      <w:r w:rsidR="008814FE" w:rsidRPr="008814FE">
        <w:rPr>
          <w:rFonts w:ascii="Times New Roman" w:hAnsi="Times New Roman" w:cs="Times New Roman"/>
          <w:sz w:val="24"/>
          <w:szCs w:val="24"/>
        </w:rPr>
        <w:t>Quddoos</w:t>
      </w:r>
      <w:proofErr w:type="spellEnd"/>
      <w:r w:rsidR="008814FE" w:rsidRPr="008814FE">
        <w:rPr>
          <w:rFonts w:ascii="Times New Roman" w:hAnsi="Times New Roman" w:cs="Times New Roman"/>
          <w:sz w:val="24"/>
          <w:szCs w:val="24"/>
        </w:rPr>
        <w:t>, 2025).</w:t>
      </w:r>
    </w:p>
    <w:p w14:paraId="362A06A8" w14:textId="53C9C719" w:rsidR="0003348B" w:rsidRPr="0003348B" w:rsidRDefault="0003348B" w:rsidP="00B209BF">
      <w:pPr>
        <w:pStyle w:val="Heading3"/>
      </w:pPr>
      <w:bookmarkStart w:id="9" w:name="_Toc211197376"/>
      <w:r w:rsidRPr="0003348B">
        <w:t>Environmental</w:t>
      </w:r>
      <w:bookmarkEnd w:id="9"/>
    </w:p>
    <w:p w14:paraId="1347E842" w14:textId="3F814047" w:rsidR="0003348B" w:rsidRDefault="0003348B" w:rsidP="0003348B">
      <w:pPr>
        <w:spacing w:line="360" w:lineRule="auto"/>
        <w:jc w:val="both"/>
        <w:rPr>
          <w:rFonts w:ascii="Times New Roman" w:hAnsi="Times New Roman" w:cs="Times New Roman"/>
          <w:sz w:val="24"/>
          <w:szCs w:val="24"/>
        </w:rPr>
      </w:pPr>
      <w:r w:rsidRPr="0003348B">
        <w:rPr>
          <w:rFonts w:ascii="Times New Roman" w:hAnsi="Times New Roman" w:cs="Times New Roman"/>
          <w:sz w:val="24"/>
          <w:szCs w:val="24"/>
        </w:rPr>
        <w:t xml:space="preserve">The implications of climate change regulation, circular economy incentives, and ESG reporting requirements are pushing JLR to decarbonise the value chain. A 2024 study of carbon footprint in the automotive industry found that 98% of emissions in JLR’s Slovakian operations came from Scope 3 sources, highlighting supply chain decarbonisation as a key target </w:t>
      </w:r>
      <w:r w:rsidRPr="009B1972">
        <w:rPr>
          <w:rFonts w:ascii="Times New Roman" w:hAnsi="Times New Roman" w:cs="Times New Roman"/>
          <w:sz w:val="24"/>
          <w:szCs w:val="24"/>
        </w:rPr>
        <w:t>(</w:t>
      </w:r>
      <w:proofErr w:type="spellStart"/>
      <w:r w:rsidRPr="009B1972">
        <w:rPr>
          <w:rFonts w:ascii="Times New Roman" w:hAnsi="Times New Roman" w:cs="Times New Roman"/>
          <w:sz w:val="24"/>
          <w:szCs w:val="24"/>
        </w:rPr>
        <w:t>Drozd</w:t>
      </w:r>
      <w:proofErr w:type="spellEnd"/>
      <w:r w:rsidRPr="009B1972">
        <w:rPr>
          <w:rFonts w:ascii="Times New Roman" w:hAnsi="Times New Roman" w:cs="Times New Roman"/>
          <w:sz w:val="24"/>
          <w:szCs w:val="24"/>
        </w:rPr>
        <w:t xml:space="preserve">, </w:t>
      </w:r>
      <w:r w:rsidR="009B1972" w:rsidRPr="009B1972">
        <w:rPr>
          <w:rFonts w:ascii="Times New Roman" w:hAnsi="Times New Roman" w:cs="Times New Roman"/>
          <w:sz w:val="24"/>
          <w:szCs w:val="24"/>
        </w:rPr>
        <w:t xml:space="preserve">et. al., </w:t>
      </w:r>
      <w:r w:rsidRPr="009B1972">
        <w:rPr>
          <w:rFonts w:ascii="Times New Roman" w:hAnsi="Times New Roman" w:cs="Times New Roman"/>
          <w:sz w:val="24"/>
          <w:szCs w:val="24"/>
        </w:rPr>
        <w:t xml:space="preserve">2024). </w:t>
      </w:r>
      <w:r w:rsidRPr="0003348B">
        <w:rPr>
          <w:rFonts w:ascii="Times New Roman" w:hAnsi="Times New Roman" w:cs="Times New Roman"/>
          <w:sz w:val="24"/>
          <w:szCs w:val="24"/>
        </w:rPr>
        <w:t>In short, investing in renewable energy and circular production processes are critical for JLR to hit their net-zero 2039 target.</w:t>
      </w:r>
    </w:p>
    <w:p w14:paraId="3AFB54B0" w14:textId="77777777" w:rsidR="0003348B" w:rsidRPr="0003348B" w:rsidRDefault="0003348B" w:rsidP="00B209BF">
      <w:pPr>
        <w:pStyle w:val="Heading2"/>
      </w:pPr>
      <w:bookmarkStart w:id="10" w:name="_Toc211197377"/>
      <w:r w:rsidRPr="0003348B">
        <w:t>Porter’s Five Forces Analysis</w:t>
      </w:r>
      <w:bookmarkEnd w:id="10"/>
    </w:p>
    <w:p w14:paraId="5D0A78B6" w14:textId="5F90599E" w:rsidR="0003348B" w:rsidRDefault="0003348B" w:rsidP="00B209BF">
      <w:pPr>
        <w:pStyle w:val="Heading3"/>
      </w:pPr>
      <w:bookmarkStart w:id="11" w:name="_Toc211197378"/>
      <w:r w:rsidRPr="0003348B">
        <w:t>Competitive Rivalry</w:t>
      </w:r>
      <w:r w:rsidR="00F9552D">
        <w:t xml:space="preserve">: </w:t>
      </w:r>
      <w:r w:rsidRPr="0003348B">
        <w:t xml:space="preserve"> High</w:t>
      </w:r>
      <w:bookmarkEnd w:id="11"/>
    </w:p>
    <w:p w14:paraId="438035E4" w14:textId="0A5E58A2" w:rsidR="00F9552D" w:rsidRPr="00F9552D" w:rsidRDefault="00F9552D" w:rsidP="00F9552D">
      <w:pPr>
        <w:spacing w:line="360" w:lineRule="auto"/>
        <w:jc w:val="both"/>
        <w:rPr>
          <w:rFonts w:ascii="Times New Roman" w:hAnsi="Times New Roman" w:cs="Times New Roman"/>
          <w:sz w:val="24"/>
          <w:szCs w:val="24"/>
        </w:rPr>
      </w:pPr>
      <w:r w:rsidRPr="00F9552D">
        <w:rPr>
          <w:rFonts w:ascii="Times New Roman" w:hAnsi="Times New Roman" w:cs="Times New Roman"/>
          <w:sz w:val="24"/>
          <w:szCs w:val="24"/>
        </w:rPr>
        <w:t xml:space="preserve">Industry Competitiveness and Attractiveness The UK automotive sector faces stiff competition from legacy automakers (BMW, Mercedes-Benz, Audi) as well as from EV disruptors (Tesla, Polestar, BYD). Product differentiation through technology features, brand status, and sustainability credentials has become a key focus. </w:t>
      </w:r>
      <w:proofErr w:type="spellStart"/>
      <w:r w:rsidR="009B1972" w:rsidRPr="009B1972">
        <w:rPr>
          <w:rFonts w:ascii="Times New Roman" w:hAnsi="Times New Roman" w:cs="Times New Roman"/>
          <w:sz w:val="24"/>
          <w:szCs w:val="24"/>
        </w:rPr>
        <w:t>Pahurkar</w:t>
      </w:r>
      <w:proofErr w:type="spellEnd"/>
      <w:r w:rsidR="009B1972" w:rsidRPr="009B1972">
        <w:rPr>
          <w:rFonts w:ascii="Times New Roman" w:hAnsi="Times New Roman" w:cs="Times New Roman"/>
          <w:sz w:val="24"/>
          <w:szCs w:val="24"/>
        </w:rPr>
        <w:t xml:space="preserve"> and </w:t>
      </w:r>
      <w:proofErr w:type="spellStart"/>
      <w:r w:rsidR="009B1972" w:rsidRPr="009B1972">
        <w:rPr>
          <w:rFonts w:ascii="Times New Roman" w:hAnsi="Times New Roman" w:cs="Times New Roman"/>
          <w:sz w:val="24"/>
          <w:szCs w:val="24"/>
        </w:rPr>
        <w:t>Metha</w:t>
      </w:r>
      <w:proofErr w:type="spellEnd"/>
      <w:r w:rsidR="009B1972" w:rsidRPr="009B1972">
        <w:rPr>
          <w:rFonts w:ascii="Times New Roman" w:hAnsi="Times New Roman" w:cs="Times New Roman"/>
          <w:sz w:val="24"/>
          <w:szCs w:val="24"/>
        </w:rPr>
        <w:t>, (2018)</w:t>
      </w:r>
      <w:r w:rsidRPr="00F9552D">
        <w:rPr>
          <w:rFonts w:ascii="Times New Roman" w:hAnsi="Times New Roman" w:cs="Times New Roman"/>
          <w:sz w:val="24"/>
          <w:szCs w:val="24"/>
        </w:rPr>
        <w:t xml:space="preserve"> point to innovation as a critical point of difference to manage competitive pressures. JLR’s positioning as a premium player can offer some protection, but the company needs to continue investing in innovation to maintain this brand value.</w:t>
      </w:r>
    </w:p>
    <w:p w14:paraId="28301C33" w14:textId="7A5B2FB2" w:rsidR="00F9552D" w:rsidRPr="00F9552D" w:rsidRDefault="00F9552D" w:rsidP="00B209BF">
      <w:pPr>
        <w:pStyle w:val="Heading3"/>
      </w:pPr>
      <w:bookmarkStart w:id="12" w:name="_Toc211197379"/>
      <w:r w:rsidRPr="00F9552D">
        <w:t>Threat of New Entrants:  Moderate to High</w:t>
      </w:r>
      <w:bookmarkEnd w:id="12"/>
      <w:r w:rsidRPr="00F9552D">
        <w:t xml:space="preserve"> </w:t>
      </w:r>
    </w:p>
    <w:p w14:paraId="6FE12A47" w14:textId="29423FF2" w:rsidR="00F9552D" w:rsidRPr="00F9552D" w:rsidRDefault="00F9552D" w:rsidP="00F9552D">
      <w:pPr>
        <w:spacing w:line="360" w:lineRule="auto"/>
        <w:jc w:val="both"/>
        <w:rPr>
          <w:rFonts w:ascii="Times New Roman" w:hAnsi="Times New Roman" w:cs="Times New Roman"/>
          <w:sz w:val="24"/>
          <w:szCs w:val="24"/>
        </w:rPr>
      </w:pPr>
      <w:r w:rsidRPr="00F9552D">
        <w:rPr>
          <w:rFonts w:ascii="Times New Roman" w:hAnsi="Times New Roman" w:cs="Times New Roman"/>
          <w:sz w:val="24"/>
          <w:szCs w:val="24"/>
        </w:rPr>
        <w:t>The EV revolution has reduced entry barriers for technology-driven disruptors, while capital intensity of new plants and scale of operations remain an entry barrier. Long-term incentives for mobility players make the sector more attractive for new entrants, while legacy companies are equally affected by government inertia and high fixed costs. JLR has a dealer network and patents which make entry difficult for smaller players (</w:t>
      </w:r>
      <w:r w:rsidR="009B1972" w:rsidRPr="009B1972">
        <w:rPr>
          <w:rFonts w:ascii="Times New Roman" w:hAnsi="Times New Roman" w:cs="Times New Roman"/>
          <w:sz w:val="24"/>
          <w:szCs w:val="24"/>
        </w:rPr>
        <w:t xml:space="preserve">Arkady </w:t>
      </w:r>
      <w:proofErr w:type="spellStart"/>
      <w:r w:rsidR="009B1972" w:rsidRPr="009B1972">
        <w:rPr>
          <w:rFonts w:ascii="Times New Roman" w:hAnsi="Times New Roman" w:cs="Times New Roman"/>
          <w:sz w:val="24"/>
          <w:szCs w:val="24"/>
        </w:rPr>
        <w:t>Gonoskov</w:t>
      </w:r>
      <w:proofErr w:type="spellEnd"/>
      <w:r w:rsidR="009B1972">
        <w:rPr>
          <w:rFonts w:ascii="Times New Roman" w:hAnsi="Times New Roman" w:cs="Times New Roman"/>
          <w:sz w:val="24"/>
          <w:szCs w:val="24"/>
        </w:rPr>
        <w:t xml:space="preserve">, et. al., 2022). </w:t>
      </w:r>
    </w:p>
    <w:p w14:paraId="5E7F5CB1" w14:textId="61E4B6C7" w:rsidR="00F9552D" w:rsidRPr="00F9552D" w:rsidRDefault="00F9552D" w:rsidP="00B209BF">
      <w:pPr>
        <w:pStyle w:val="Heading3"/>
      </w:pPr>
      <w:r w:rsidRPr="00F9552D">
        <w:t xml:space="preserve"> </w:t>
      </w:r>
      <w:bookmarkStart w:id="13" w:name="_Toc211197380"/>
      <w:r w:rsidRPr="00F9552D">
        <w:t>Bargaining Power of Suppliers</w:t>
      </w:r>
      <w:r>
        <w:t xml:space="preserve">: </w:t>
      </w:r>
      <w:r w:rsidRPr="00F9552D">
        <w:t>Moderate</w:t>
      </w:r>
      <w:bookmarkEnd w:id="13"/>
    </w:p>
    <w:p w14:paraId="2DC1F04B" w14:textId="290CC12D" w:rsidR="00F9552D" w:rsidRPr="00F9552D" w:rsidRDefault="00F9552D" w:rsidP="00F9552D">
      <w:pPr>
        <w:spacing w:line="360" w:lineRule="auto"/>
        <w:jc w:val="both"/>
        <w:rPr>
          <w:rFonts w:ascii="Times New Roman" w:hAnsi="Times New Roman" w:cs="Times New Roman"/>
          <w:sz w:val="24"/>
          <w:szCs w:val="24"/>
        </w:rPr>
      </w:pPr>
      <w:r w:rsidRPr="00F9552D">
        <w:rPr>
          <w:rFonts w:ascii="Times New Roman" w:hAnsi="Times New Roman" w:cs="Times New Roman"/>
          <w:sz w:val="24"/>
          <w:szCs w:val="24"/>
        </w:rPr>
        <w:t xml:space="preserve">Semiconductor shortage across the globe and limited battery capacity have increased supplier power in the supply chain. JLR’s reliance on high-tech, </w:t>
      </w:r>
      <w:proofErr w:type="spellStart"/>
      <w:r w:rsidRPr="00F9552D">
        <w:rPr>
          <w:rFonts w:ascii="Times New Roman" w:hAnsi="Times New Roman" w:cs="Times New Roman"/>
          <w:sz w:val="24"/>
          <w:szCs w:val="24"/>
        </w:rPr>
        <w:t>specialized</w:t>
      </w:r>
      <w:proofErr w:type="spellEnd"/>
      <w:r w:rsidRPr="00F9552D">
        <w:rPr>
          <w:rFonts w:ascii="Times New Roman" w:hAnsi="Times New Roman" w:cs="Times New Roman"/>
          <w:sz w:val="24"/>
          <w:szCs w:val="24"/>
        </w:rPr>
        <w:t xml:space="preserve"> components makes the company susceptible to supply chain issues. Partnerships and </w:t>
      </w:r>
      <w:proofErr w:type="spellStart"/>
      <w:r w:rsidRPr="00F9552D">
        <w:rPr>
          <w:rFonts w:ascii="Times New Roman" w:hAnsi="Times New Roman" w:cs="Times New Roman"/>
          <w:sz w:val="24"/>
          <w:szCs w:val="24"/>
        </w:rPr>
        <w:t>localization</w:t>
      </w:r>
      <w:proofErr w:type="spellEnd"/>
      <w:r w:rsidRPr="00F9552D">
        <w:rPr>
          <w:rFonts w:ascii="Times New Roman" w:hAnsi="Times New Roman" w:cs="Times New Roman"/>
          <w:sz w:val="24"/>
          <w:szCs w:val="24"/>
        </w:rPr>
        <w:t xml:space="preserve"> of the supply chain can help reduce reliance (</w:t>
      </w:r>
      <w:proofErr w:type="spellStart"/>
      <w:r w:rsidR="009B1972" w:rsidRPr="009B1972">
        <w:rPr>
          <w:rFonts w:ascii="Times New Roman" w:hAnsi="Times New Roman" w:cs="Times New Roman"/>
          <w:sz w:val="24"/>
          <w:szCs w:val="24"/>
        </w:rPr>
        <w:t>Schossmann</w:t>
      </w:r>
      <w:proofErr w:type="spellEnd"/>
      <w:r w:rsidR="009B1972" w:rsidRPr="009B1972">
        <w:rPr>
          <w:rFonts w:ascii="Times New Roman" w:hAnsi="Times New Roman" w:cs="Times New Roman"/>
          <w:sz w:val="24"/>
          <w:szCs w:val="24"/>
        </w:rPr>
        <w:t>, et. al., 2024).</w:t>
      </w:r>
      <w:r w:rsidR="009B1972">
        <w:rPr>
          <w:rFonts w:ascii="Times New Roman" w:hAnsi="Times New Roman" w:cs="Times New Roman"/>
          <w:b/>
          <w:bCs/>
          <w:sz w:val="24"/>
          <w:szCs w:val="24"/>
        </w:rPr>
        <w:t xml:space="preserve"> </w:t>
      </w:r>
    </w:p>
    <w:p w14:paraId="31624C28" w14:textId="0FA8DF48" w:rsidR="00F9552D" w:rsidRPr="00F9552D" w:rsidRDefault="00F9552D" w:rsidP="00B209BF">
      <w:pPr>
        <w:pStyle w:val="Heading3"/>
      </w:pPr>
      <w:bookmarkStart w:id="14" w:name="_Toc211197381"/>
      <w:r w:rsidRPr="00F9552D">
        <w:t>Bargaining Power of Buyers: High</w:t>
      </w:r>
      <w:bookmarkEnd w:id="14"/>
      <w:r w:rsidRPr="00F9552D">
        <w:t xml:space="preserve"> </w:t>
      </w:r>
    </w:p>
    <w:p w14:paraId="48A9598E" w14:textId="5C8A8C05" w:rsidR="00F9552D" w:rsidRPr="00F9552D" w:rsidRDefault="00F9552D" w:rsidP="00F9552D">
      <w:pPr>
        <w:spacing w:line="360" w:lineRule="auto"/>
        <w:jc w:val="both"/>
        <w:rPr>
          <w:rFonts w:ascii="Times New Roman" w:hAnsi="Times New Roman" w:cs="Times New Roman"/>
          <w:sz w:val="24"/>
          <w:szCs w:val="24"/>
        </w:rPr>
      </w:pPr>
      <w:r w:rsidRPr="00F9552D">
        <w:rPr>
          <w:rFonts w:ascii="Times New Roman" w:hAnsi="Times New Roman" w:cs="Times New Roman"/>
          <w:sz w:val="24"/>
          <w:szCs w:val="24"/>
        </w:rPr>
        <w:t>Digital transparency, growing sustainability awareness, and easy online price and feature comparison platforms have given buyers increased power. Rising expectations for EV performance, range, and ethical manufacturing practices lead to higher competition. JLR should continue to focus on building brand loyalty through innovation, after-sales service, and value addition in the premium experience segment.</w:t>
      </w:r>
    </w:p>
    <w:p w14:paraId="02B8DDE7" w14:textId="7196AEC4" w:rsidR="00F9552D" w:rsidRPr="00F9552D" w:rsidRDefault="00F9552D" w:rsidP="00B209BF">
      <w:pPr>
        <w:pStyle w:val="Heading3"/>
      </w:pPr>
      <w:r w:rsidRPr="00F9552D">
        <w:t xml:space="preserve"> </w:t>
      </w:r>
      <w:bookmarkStart w:id="15" w:name="_Toc211197382"/>
      <w:r w:rsidRPr="00F9552D">
        <w:t>Threat of Substitutes:  Moderate</w:t>
      </w:r>
      <w:bookmarkEnd w:id="15"/>
      <w:r w:rsidRPr="00F9552D">
        <w:t xml:space="preserve"> </w:t>
      </w:r>
    </w:p>
    <w:p w14:paraId="3702D701" w14:textId="0925953A" w:rsidR="00F9552D" w:rsidRDefault="00F9552D" w:rsidP="00F9552D">
      <w:pPr>
        <w:spacing w:line="360" w:lineRule="auto"/>
        <w:jc w:val="both"/>
        <w:rPr>
          <w:rFonts w:ascii="Times New Roman" w:hAnsi="Times New Roman" w:cs="Times New Roman"/>
          <w:b/>
          <w:bCs/>
          <w:sz w:val="24"/>
          <w:szCs w:val="24"/>
        </w:rPr>
      </w:pPr>
      <w:r w:rsidRPr="00F9552D">
        <w:rPr>
          <w:rFonts w:ascii="Times New Roman" w:hAnsi="Times New Roman" w:cs="Times New Roman"/>
          <w:sz w:val="24"/>
          <w:szCs w:val="24"/>
        </w:rPr>
        <w:t>Alternative mobility options such as electrification of public transport and shared mobility platforms, as well as hydrogen fuel technologies, are creating additional substitution risk. Diversifying the product portfolio and exploring new propulsion technologies is necessary for JLR to remain relevant in a growing EV market (</w:t>
      </w:r>
      <w:proofErr w:type="spellStart"/>
      <w:r w:rsidRPr="009B1972">
        <w:rPr>
          <w:rFonts w:ascii="Times New Roman" w:hAnsi="Times New Roman" w:cs="Times New Roman"/>
          <w:sz w:val="24"/>
          <w:szCs w:val="24"/>
        </w:rPr>
        <w:t>Pahurkar</w:t>
      </w:r>
      <w:proofErr w:type="spellEnd"/>
      <w:r w:rsidRPr="009B1972">
        <w:rPr>
          <w:rFonts w:ascii="Times New Roman" w:hAnsi="Times New Roman" w:cs="Times New Roman"/>
          <w:sz w:val="24"/>
          <w:szCs w:val="24"/>
        </w:rPr>
        <w:t xml:space="preserve"> &amp; </w:t>
      </w:r>
      <w:proofErr w:type="spellStart"/>
      <w:r w:rsidRPr="009B1972">
        <w:rPr>
          <w:rFonts w:ascii="Times New Roman" w:hAnsi="Times New Roman" w:cs="Times New Roman"/>
          <w:sz w:val="24"/>
          <w:szCs w:val="24"/>
        </w:rPr>
        <w:t>Metha</w:t>
      </w:r>
      <w:proofErr w:type="spellEnd"/>
      <w:r w:rsidRPr="009B1972">
        <w:rPr>
          <w:rFonts w:ascii="Times New Roman" w:hAnsi="Times New Roman" w:cs="Times New Roman"/>
          <w:sz w:val="24"/>
          <w:szCs w:val="24"/>
        </w:rPr>
        <w:t>, 2018).</w:t>
      </w:r>
    </w:p>
    <w:p w14:paraId="0103E3B1" w14:textId="40148305" w:rsidR="00F9552D" w:rsidRDefault="00F9552D" w:rsidP="00F955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w:t>
      </w:r>
      <w:r w:rsidRPr="00F9552D">
        <w:rPr>
          <w:rFonts w:ascii="Times New Roman" w:hAnsi="Times New Roman" w:cs="Times New Roman"/>
          <w:sz w:val="24"/>
          <w:szCs w:val="24"/>
        </w:rPr>
        <w:t xml:space="preserve">JLR faces an unstable and highly competitive operating environment driven by legislative, technological and environmental changes. There are opportunities to be had in the electrification and digitisation of vehicles, but there are also challenges to competition and adapting to the changing face of sustainability. </w:t>
      </w:r>
    </w:p>
    <w:p w14:paraId="1C2E248A" w14:textId="77777777" w:rsidR="00F9552D" w:rsidRPr="00F9552D" w:rsidRDefault="00F9552D" w:rsidP="00B209BF">
      <w:pPr>
        <w:pStyle w:val="Heading1"/>
      </w:pPr>
      <w:bookmarkStart w:id="16" w:name="_Toc211197383"/>
      <w:r w:rsidRPr="00F9552D">
        <w:t>Internal Environment Audit</w:t>
      </w:r>
      <w:bookmarkEnd w:id="16"/>
    </w:p>
    <w:p w14:paraId="313C917C" w14:textId="77777777" w:rsidR="00F9552D" w:rsidRPr="00F9552D" w:rsidRDefault="00F9552D" w:rsidP="00B209BF">
      <w:pPr>
        <w:pStyle w:val="Heading2"/>
      </w:pPr>
      <w:bookmarkStart w:id="17" w:name="_Toc211197384"/>
      <w:r w:rsidRPr="00F9552D">
        <w:t>Value Chain Analysis</w:t>
      </w:r>
      <w:bookmarkEnd w:id="17"/>
    </w:p>
    <w:p w14:paraId="77B3A12A" w14:textId="7C626888" w:rsidR="00FD724D" w:rsidRPr="00FD724D" w:rsidRDefault="00FD724D" w:rsidP="00FD724D">
      <w:pPr>
        <w:spacing w:line="360" w:lineRule="auto"/>
        <w:jc w:val="both"/>
        <w:rPr>
          <w:rFonts w:ascii="Times New Roman" w:hAnsi="Times New Roman" w:cs="Times New Roman"/>
          <w:sz w:val="24"/>
          <w:szCs w:val="24"/>
        </w:rPr>
      </w:pPr>
      <w:r w:rsidRPr="00FD724D">
        <w:rPr>
          <w:rFonts w:ascii="Times New Roman" w:hAnsi="Times New Roman" w:cs="Times New Roman"/>
          <w:sz w:val="24"/>
          <w:szCs w:val="24"/>
        </w:rPr>
        <w:t>Jaguar Land Rover’s value creation is a result of their design leadership, engineering prowess, and heritage of luxury. Cross-functional alignment in operations, from inbound logistics to internal operations to marketing to after-sales service, allow the firm to further enhance its premium value and innovation. JLR has a vertically integrated supply chain that enables it to have more control over the production processes, such as the powertrain system and vehicle assembly. However, as with most carmakers, JLR is dependent on the offshore chip and battery supply (</w:t>
      </w:r>
      <w:proofErr w:type="spellStart"/>
      <w:r w:rsidR="009B1972" w:rsidRPr="009B1972">
        <w:rPr>
          <w:rFonts w:ascii="Times New Roman" w:hAnsi="Times New Roman" w:cs="Times New Roman"/>
          <w:sz w:val="24"/>
          <w:szCs w:val="24"/>
        </w:rPr>
        <w:t>Yu</w:t>
      </w:r>
      <w:proofErr w:type="spellEnd"/>
      <w:r w:rsidR="009B1972">
        <w:rPr>
          <w:rFonts w:ascii="Times New Roman" w:hAnsi="Times New Roman" w:cs="Times New Roman"/>
          <w:sz w:val="24"/>
          <w:szCs w:val="24"/>
        </w:rPr>
        <w:t>, et. al., 2025).</w:t>
      </w:r>
      <w:r w:rsidRPr="00FD724D">
        <w:rPr>
          <w:rFonts w:ascii="Times New Roman" w:hAnsi="Times New Roman" w:cs="Times New Roman"/>
          <w:sz w:val="24"/>
          <w:szCs w:val="24"/>
        </w:rPr>
        <w:t xml:space="preserve"> This is a glaring weak point in its value chain, where it is struggling like almost every other automaker. </w:t>
      </w:r>
    </w:p>
    <w:p w14:paraId="3EEDCCA3" w14:textId="65300382" w:rsidR="00FD724D" w:rsidRPr="00FD724D" w:rsidRDefault="00FD724D" w:rsidP="00FD724D">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t</w:t>
      </w:r>
      <w:r w:rsidRPr="00FD724D">
        <w:rPr>
          <w:rFonts w:ascii="Times New Roman" w:hAnsi="Times New Roman" w:cs="Times New Roman"/>
          <w:sz w:val="24"/>
          <w:szCs w:val="24"/>
        </w:rPr>
        <w:t>he firm has been looking at leveraging smart automation and data-driven analytics in its operations through an Industry 4.0 approach, maximising its efficiency and precision in production. Collaborating with the University of Warwick’s WMG research arm to further develop digital twin technologies in the design and production would further help increase the synchronisation in the company’s design-to-production activities (</w:t>
      </w:r>
      <w:r w:rsidRPr="009B1972">
        <w:rPr>
          <w:rFonts w:ascii="Times New Roman" w:hAnsi="Times New Roman" w:cs="Times New Roman"/>
          <w:sz w:val="24"/>
          <w:szCs w:val="24"/>
        </w:rPr>
        <w:t>Allen, 2015).</w:t>
      </w:r>
      <w:r w:rsidRPr="00FD724D">
        <w:rPr>
          <w:rFonts w:ascii="Times New Roman" w:hAnsi="Times New Roman" w:cs="Times New Roman"/>
          <w:sz w:val="24"/>
          <w:szCs w:val="24"/>
        </w:rPr>
        <w:t xml:space="preserve"> Marketing and after-sales service functions are, in the meantime, working to enhance JLR’s modern luxury brand promise through greater digital personalisation and the connected car ecosystem.</w:t>
      </w:r>
      <w:r>
        <w:rPr>
          <w:rFonts w:ascii="Times New Roman" w:hAnsi="Times New Roman" w:cs="Times New Roman"/>
          <w:sz w:val="24"/>
          <w:szCs w:val="24"/>
        </w:rPr>
        <w:t xml:space="preserve"> </w:t>
      </w:r>
      <w:r w:rsidRPr="00FD724D">
        <w:rPr>
          <w:rFonts w:ascii="Times New Roman" w:hAnsi="Times New Roman" w:cs="Times New Roman"/>
          <w:sz w:val="24"/>
          <w:szCs w:val="24"/>
        </w:rPr>
        <w:t>HR and technology, as support functions, act as the basis for innovation. Talented engineers, sustainable leadership, and design creativity are intangible assets that the company holds, as per the Resource-Based View’s focus on unique organisational capabilities (</w:t>
      </w:r>
      <w:proofErr w:type="spellStart"/>
      <w:r w:rsidR="009B1972" w:rsidRPr="009B1972">
        <w:rPr>
          <w:rFonts w:ascii="Times New Roman" w:hAnsi="Times New Roman" w:cs="Times New Roman"/>
          <w:sz w:val="24"/>
          <w:szCs w:val="24"/>
        </w:rPr>
        <w:t>Szostek</w:t>
      </w:r>
      <w:proofErr w:type="spellEnd"/>
      <w:r w:rsidR="009B1972" w:rsidRPr="009B1972">
        <w:rPr>
          <w:rFonts w:ascii="Times New Roman" w:hAnsi="Times New Roman" w:cs="Times New Roman"/>
          <w:sz w:val="24"/>
          <w:szCs w:val="24"/>
        </w:rPr>
        <w:t xml:space="preserve">, </w:t>
      </w:r>
      <w:proofErr w:type="spellStart"/>
      <w:r w:rsidR="009B1972" w:rsidRPr="009B1972">
        <w:rPr>
          <w:rFonts w:ascii="Times New Roman" w:hAnsi="Times New Roman" w:cs="Times New Roman"/>
          <w:sz w:val="24"/>
          <w:szCs w:val="24"/>
        </w:rPr>
        <w:t>Balcerzak</w:t>
      </w:r>
      <w:proofErr w:type="spellEnd"/>
      <w:r w:rsidR="009B1972">
        <w:rPr>
          <w:rFonts w:ascii="Times New Roman" w:hAnsi="Times New Roman" w:cs="Times New Roman"/>
          <w:sz w:val="24"/>
          <w:szCs w:val="24"/>
        </w:rPr>
        <w:t xml:space="preserve"> </w:t>
      </w:r>
      <w:r w:rsidR="009B1972" w:rsidRPr="009B1972">
        <w:rPr>
          <w:rFonts w:ascii="Times New Roman" w:hAnsi="Times New Roman" w:cs="Times New Roman"/>
          <w:sz w:val="24"/>
          <w:szCs w:val="24"/>
        </w:rPr>
        <w:t xml:space="preserve">&amp; </w:t>
      </w:r>
      <w:proofErr w:type="spellStart"/>
      <w:r w:rsidR="009B1972" w:rsidRPr="009B1972">
        <w:rPr>
          <w:rFonts w:ascii="Times New Roman" w:hAnsi="Times New Roman" w:cs="Times New Roman"/>
          <w:sz w:val="24"/>
          <w:szCs w:val="24"/>
        </w:rPr>
        <w:t>Rogalska</w:t>
      </w:r>
      <w:proofErr w:type="spellEnd"/>
      <w:r w:rsidR="009B1972" w:rsidRPr="009B1972">
        <w:rPr>
          <w:rFonts w:ascii="Times New Roman" w:hAnsi="Times New Roman" w:cs="Times New Roman"/>
          <w:sz w:val="24"/>
          <w:szCs w:val="24"/>
        </w:rPr>
        <w:t>,</w:t>
      </w:r>
      <w:r w:rsidR="009B1972">
        <w:rPr>
          <w:rFonts w:ascii="Times New Roman" w:hAnsi="Times New Roman" w:cs="Times New Roman"/>
          <w:sz w:val="24"/>
          <w:szCs w:val="24"/>
        </w:rPr>
        <w:t xml:space="preserve"> </w:t>
      </w:r>
      <w:r w:rsidR="009B1972" w:rsidRPr="009B1972">
        <w:rPr>
          <w:rFonts w:ascii="Times New Roman" w:hAnsi="Times New Roman" w:cs="Times New Roman"/>
          <w:sz w:val="24"/>
          <w:szCs w:val="24"/>
        </w:rPr>
        <w:t>2023</w:t>
      </w:r>
      <w:r w:rsidR="009B1972">
        <w:rPr>
          <w:rFonts w:ascii="Times New Roman" w:hAnsi="Times New Roman" w:cs="Times New Roman"/>
          <w:sz w:val="24"/>
          <w:szCs w:val="24"/>
        </w:rPr>
        <w:t>).</w:t>
      </w:r>
    </w:p>
    <w:p w14:paraId="2E4C4C8D" w14:textId="3116D9FA" w:rsidR="00FD724D" w:rsidRPr="00FD724D" w:rsidRDefault="00FD724D" w:rsidP="00B209BF">
      <w:pPr>
        <w:pStyle w:val="Heading2"/>
      </w:pPr>
      <w:bookmarkStart w:id="18" w:name="_Toc211197385"/>
      <w:r w:rsidRPr="00FD724D">
        <w:t>Resource-Based View (RBV)</w:t>
      </w:r>
      <w:bookmarkEnd w:id="18"/>
      <w:r w:rsidRPr="00FD724D">
        <w:t xml:space="preserve"> </w:t>
      </w:r>
    </w:p>
    <w:p w14:paraId="4D19C7A4" w14:textId="07C7505D" w:rsidR="00FD724D" w:rsidRPr="00FD724D" w:rsidRDefault="00FD724D" w:rsidP="00FD724D">
      <w:pPr>
        <w:spacing w:line="360" w:lineRule="auto"/>
        <w:jc w:val="both"/>
        <w:rPr>
          <w:rFonts w:ascii="Times New Roman" w:hAnsi="Times New Roman" w:cs="Times New Roman"/>
          <w:b/>
          <w:bCs/>
          <w:sz w:val="24"/>
          <w:szCs w:val="24"/>
        </w:rPr>
      </w:pPr>
      <w:r w:rsidRPr="00FD724D">
        <w:rPr>
          <w:rFonts w:ascii="Times New Roman" w:hAnsi="Times New Roman" w:cs="Times New Roman"/>
          <w:sz w:val="24"/>
          <w:szCs w:val="24"/>
        </w:rPr>
        <w:t>The Resource-Based View (RBV) of the firm assumes that a company’s resources and capabilities are key determinants of its long-term performance. As per RBV, these resources and capabilities need to be valued, rare, inimitable, and organised (</w:t>
      </w:r>
      <w:r w:rsidR="009B1972" w:rsidRPr="009B1972">
        <w:rPr>
          <w:rFonts w:ascii="Times New Roman" w:hAnsi="Times New Roman" w:cs="Times New Roman"/>
          <w:sz w:val="24"/>
          <w:szCs w:val="24"/>
        </w:rPr>
        <w:t>Moon, et. al., 2014).</w:t>
      </w:r>
      <w:r w:rsidR="009B1972">
        <w:rPr>
          <w:rFonts w:ascii="Times New Roman" w:hAnsi="Times New Roman" w:cs="Times New Roman"/>
          <w:b/>
          <w:bCs/>
          <w:sz w:val="24"/>
          <w:szCs w:val="24"/>
        </w:rPr>
        <w:t xml:space="preserve"> </w:t>
      </w:r>
      <w:r w:rsidRPr="00FD724D">
        <w:rPr>
          <w:rFonts w:ascii="Times New Roman" w:hAnsi="Times New Roman" w:cs="Times New Roman"/>
          <w:sz w:val="24"/>
          <w:szCs w:val="24"/>
        </w:rPr>
        <w:t xml:space="preserve"> Jaguar Land Rover’s tangible resources, such as manufacturing plants, IP in the form of electric powertrain patents, and global dealership network, are the firm’s bedrock of success. The intangible resources, such as brand heritage, R&amp;D partnerships, and the aforementioned intellectual property in electric and autonomous vehicle and AI integration, form a significant part of the company’s uniqueness.</w:t>
      </w:r>
      <w:r>
        <w:rPr>
          <w:rFonts w:ascii="Times New Roman" w:hAnsi="Times New Roman" w:cs="Times New Roman"/>
          <w:sz w:val="24"/>
          <w:szCs w:val="24"/>
        </w:rPr>
        <w:t xml:space="preserve"> Therefore, t</w:t>
      </w:r>
      <w:r w:rsidRPr="00FD724D">
        <w:rPr>
          <w:rFonts w:ascii="Times New Roman" w:hAnsi="Times New Roman" w:cs="Times New Roman"/>
          <w:sz w:val="24"/>
          <w:szCs w:val="24"/>
        </w:rPr>
        <w:t>he company’s sustainability capabilities, from low-carbon manufacturing to reclaimed aluminium use, are also closely aligned with the company’s stated commitments to best practices that are ethical and environmental. These capabilities are useful not just to meet compliance but to further strengthen JLR’s long-term reputation and thought leadership in this space (</w:t>
      </w:r>
      <w:r w:rsidR="00500F5B" w:rsidRPr="00500F5B">
        <w:rPr>
          <w:rFonts w:ascii="Times New Roman" w:hAnsi="Times New Roman" w:cs="Times New Roman"/>
          <w:sz w:val="24"/>
          <w:szCs w:val="24"/>
        </w:rPr>
        <w:t>Akan, et. al., 2006).</w:t>
      </w:r>
    </w:p>
    <w:p w14:paraId="154F8880" w14:textId="25E00E2C" w:rsidR="00FD724D" w:rsidRDefault="00FD724D" w:rsidP="00FD72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w:t>
      </w:r>
      <w:r w:rsidRPr="00FD724D">
        <w:rPr>
          <w:rFonts w:ascii="Times New Roman" w:hAnsi="Times New Roman" w:cs="Times New Roman"/>
          <w:sz w:val="24"/>
          <w:szCs w:val="24"/>
        </w:rPr>
        <w:t>RBV, however, also points out a few problem areas for JLR. For instance, its R&amp;D intensity, while high in absolute terms, is not so when seen in the context of all carmakers focusing on R&amp;D spends as key investments for business, such as in the cases of Tesla and Mercedes-Benz. RBV also shows the need for more consistent reinvestment and also conscious technology integration with organisational learning in order to sustain advantages over the long term (</w:t>
      </w:r>
      <w:proofErr w:type="spellStart"/>
      <w:r w:rsidR="00500F5B" w:rsidRPr="00500F5B">
        <w:rPr>
          <w:rFonts w:ascii="Times New Roman" w:hAnsi="Times New Roman" w:cs="Times New Roman"/>
          <w:sz w:val="24"/>
          <w:szCs w:val="24"/>
        </w:rPr>
        <w:t>Aisyah</w:t>
      </w:r>
      <w:proofErr w:type="spellEnd"/>
      <w:r w:rsidR="00500F5B" w:rsidRPr="00500F5B">
        <w:rPr>
          <w:rFonts w:ascii="Times New Roman" w:hAnsi="Times New Roman" w:cs="Times New Roman"/>
          <w:sz w:val="24"/>
          <w:szCs w:val="24"/>
        </w:rPr>
        <w:t>,</w:t>
      </w:r>
      <w:r w:rsidR="00500F5B">
        <w:rPr>
          <w:rFonts w:ascii="Times New Roman" w:hAnsi="Times New Roman" w:cs="Times New Roman"/>
          <w:sz w:val="24"/>
          <w:szCs w:val="24"/>
        </w:rPr>
        <w:t xml:space="preserve"> et. al., 2022). </w:t>
      </w:r>
    </w:p>
    <w:p w14:paraId="1EFB0C4F" w14:textId="77777777" w:rsidR="00B209BF" w:rsidRDefault="00B209BF" w:rsidP="00FD724D">
      <w:pPr>
        <w:spacing w:line="360" w:lineRule="auto"/>
        <w:jc w:val="both"/>
        <w:rPr>
          <w:rFonts w:ascii="Times New Roman" w:hAnsi="Times New Roman" w:cs="Times New Roman"/>
          <w:sz w:val="24"/>
          <w:szCs w:val="24"/>
        </w:rPr>
      </w:pPr>
    </w:p>
    <w:p w14:paraId="383B2975" w14:textId="77777777" w:rsidR="00B209BF" w:rsidRDefault="00B209BF" w:rsidP="00FD724D">
      <w:pPr>
        <w:spacing w:line="360" w:lineRule="auto"/>
        <w:jc w:val="both"/>
        <w:rPr>
          <w:rFonts w:ascii="Times New Roman" w:hAnsi="Times New Roman" w:cs="Times New Roman"/>
          <w:sz w:val="24"/>
          <w:szCs w:val="24"/>
        </w:rPr>
      </w:pPr>
    </w:p>
    <w:p w14:paraId="61E0B2B8" w14:textId="77777777" w:rsidR="00B209BF" w:rsidRDefault="00B209BF" w:rsidP="00FD724D">
      <w:pPr>
        <w:spacing w:line="360" w:lineRule="auto"/>
        <w:jc w:val="both"/>
        <w:rPr>
          <w:rFonts w:ascii="Times New Roman" w:hAnsi="Times New Roman" w:cs="Times New Roman"/>
          <w:sz w:val="24"/>
          <w:szCs w:val="24"/>
        </w:rPr>
      </w:pPr>
    </w:p>
    <w:p w14:paraId="03EAA6CB" w14:textId="77777777" w:rsidR="00B209BF" w:rsidRDefault="00B209BF" w:rsidP="00FD724D">
      <w:pPr>
        <w:spacing w:line="360" w:lineRule="auto"/>
        <w:jc w:val="both"/>
        <w:rPr>
          <w:rFonts w:ascii="Times New Roman" w:hAnsi="Times New Roman" w:cs="Times New Roman"/>
          <w:sz w:val="24"/>
          <w:szCs w:val="24"/>
        </w:rPr>
      </w:pPr>
    </w:p>
    <w:p w14:paraId="09D658E0" w14:textId="77777777" w:rsidR="00B209BF" w:rsidRDefault="00B209BF" w:rsidP="00FD724D">
      <w:pPr>
        <w:spacing w:line="360" w:lineRule="auto"/>
        <w:jc w:val="both"/>
        <w:rPr>
          <w:rFonts w:ascii="Times New Roman" w:hAnsi="Times New Roman" w:cs="Times New Roman"/>
          <w:sz w:val="24"/>
          <w:szCs w:val="24"/>
        </w:rPr>
      </w:pPr>
    </w:p>
    <w:p w14:paraId="78B3703C" w14:textId="77777777" w:rsidR="00B209BF" w:rsidRDefault="00B209BF" w:rsidP="00FD724D">
      <w:pPr>
        <w:spacing w:line="360" w:lineRule="auto"/>
        <w:jc w:val="both"/>
        <w:rPr>
          <w:rFonts w:ascii="Times New Roman" w:hAnsi="Times New Roman" w:cs="Times New Roman"/>
          <w:sz w:val="24"/>
          <w:szCs w:val="24"/>
        </w:rPr>
      </w:pPr>
    </w:p>
    <w:p w14:paraId="04F7C040" w14:textId="77777777" w:rsidR="00B209BF" w:rsidRDefault="00B209BF" w:rsidP="00FD724D">
      <w:pPr>
        <w:spacing w:line="360" w:lineRule="auto"/>
        <w:jc w:val="both"/>
        <w:rPr>
          <w:rFonts w:ascii="Times New Roman" w:hAnsi="Times New Roman" w:cs="Times New Roman"/>
          <w:sz w:val="24"/>
          <w:szCs w:val="24"/>
        </w:rPr>
      </w:pPr>
    </w:p>
    <w:p w14:paraId="502A3740" w14:textId="77777777" w:rsidR="00B209BF" w:rsidRDefault="00B209BF" w:rsidP="00FD724D">
      <w:pPr>
        <w:spacing w:line="360" w:lineRule="auto"/>
        <w:jc w:val="both"/>
        <w:rPr>
          <w:rFonts w:ascii="Times New Roman" w:hAnsi="Times New Roman" w:cs="Times New Roman"/>
          <w:sz w:val="24"/>
          <w:szCs w:val="24"/>
        </w:rPr>
      </w:pPr>
    </w:p>
    <w:p w14:paraId="6D920AF2" w14:textId="77777777" w:rsidR="00B209BF" w:rsidRDefault="00B209BF" w:rsidP="00FD724D">
      <w:pPr>
        <w:spacing w:line="360" w:lineRule="auto"/>
        <w:jc w:val="both"/>
        <w:rPr>
          <w:rFonts w:ascii="Times New Roman" w:hAnsi="Times New Roman" w:cs="Times New Roman"/>
          <w:sz w:val="24"/>
          <w:szCs w:val="24"/>
        </w:rPr>
      </w:pPr>
    </w:p>
    <w:p w14:paraId="5291C72B" w14:textId="29FEE799" w:rsidR="00FD724D" w:rsidRDefault="00FD724D" w:rsidP="00B209BF">
      <w:pPr>
        <w:pStyle w:val="Heading2"/>
      </w:pPr>
      <w:bookmarkStart w:id="19" w:name="_Toc211197386"/>
      <w:r w:rsidRPr="00FD724D">
        <w:t>VRIO Evaluation</w:t>
      </w:r>
      <w:bookmarkEnd w:id="19"/>
    </w:p>
    <w:p w14:paraId="45A01595" w14:textId="2E69FE95" w:rsidR="00FD724D" w:rsidRDefault="00FD724D" w:rsidP="00FD724D">
      <w:pPr>
        <w:spacing w:line="360" w:lineRule="auto"/>
        <w:jc w:val="both"/>
        <w:rPr>
          <w:rFonts w:ascii="Times New Roman" w:hAnsi="Times New Roman" w:cs="Times New Roman"/>
          <w:b/>
          <w:bCs/>
          <w:i/>
          <w:iCs/>
          <w:sz w:val="24"/>
          <w:szCs w:val="24"/>
        </w:rPr>
      </w:pPr>
      <w:r w:rsidRPr="00FD724D">
        <w:rPr>
          <w:noProof/>
        </w:rPr>
        <w:drawing>
          <wp:inline distT="0" distB="0" distL="0" distR="0" wp14:anchorId="6096BE36" wp14:editId="30846979">
            <wp:extent cx="5731510" cy="3297555"/>
            <wp:effectExtent l="0" t="0" r="2540" b="0"/>
            <wp:docPr id="1291762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97555"/>
                    </a:xfrm>
                    <a:prstGeom prst="rect">
                      <a:avLst/>
                    </a:prstGeom>
                    <a:noFill/>
                    <a:ln>
                      <a:noFill/>
                    </a:ln>
                  </pic:spPr>
                </pic:pic>
              </a:graphicData>
            </a:graphic>
          </wp:inline>
        </w:drawing>
      </w:r>
    </w:p>
    <w:p w14:paraId="1EA1AF7E" w14:textId="0EE46C03" w:rsidR="00FD724D" w:rsidRDefault="00FD724D" w:rsidP="00FD724D">
      <w:pPr>
        <w:spacing w:line="360" w:lineRule="auto"/>
        <w:jc w:val="both"/>
        <w:rPr>
          <w:rFonts w:ascii="Times New Roman" w:hAnsi="Times New Roman" w:cs="Times New Roman"/>
          <w:b/>
          <w:bCs/>
          <w:sz w:val="24"/>
          <w:szCs w:val="24"/>
        </w:rPr>
      </w:pPr>
      <w:r>
        <w:rPr>
          <w:rFonts w:ascii="Times New Roman" w:hAnsi="Times New Roman" w:cs="Times New Roman"/>
          <w:sz w:val="24"/>
          <w:szCs w:val="24"/>
        </w:rPr>
        <w:t>Moreover, t</w:t>
      </w:r>
      <w:r w:rsidRPr="00FD724D">
        <w:rPr>
          <w:rFonts w:ascii="Times New Roman" w:hAnsi="Times New Roman" w:cs="Times New Roman"/>
          <w:sz w:val="24"/>
          <w:szCs w:val="24"/>
        </w:rPr>
        <w:t>he VRIO analysis has confirmed that JLR’s competitive advantage is attributed to its brand equity, sustainable innovation, and EV technology. The underlying factors that other competitors could not imitate the company’s performance in these aspects are JLR’s superior technical expertise and its overall premium integrated identity. Moreover, the VRIO analysis has identified that JLR’s dependence on outside suppliers and a lack of digital innovation resource can threaten the firm’s future competitiveness (</w:t>
      </w:r>
      <w:proofErr w:type="spellStart"/>
      <w:r w:rsidR="00500F5B" w:rsidRPr="00500F5B">
        <w:rPr>
          <w:rFonts w:ascii="Times New Roman" w:hAnsi="Times New Roman" w:cs="Times New Roman"/>
          <w:sz w:val="24"/>
          <w:szCs w:val="24"/>
        </w:rPr>
        <w:t>Putra</w:t>
      </w:r>
      <w:proofErr w:type="spellEnd"/>
      <w:r w:rsidR="00500F5B" w:rsidRPr="00500F5B">
        <w:rPr>
          <w:rFonts w:ascii="Times New Roman" w:hAnsi="Times New Roman" w:cs="Times New Roman"/>
          <w:sz w:val="24"/>
          <w:szCs w:val="24"/>
        </w:rPr>
        <w:t xml:space="preserve"> &amp; </w:t>
      </w:r>
      <w:proofErr w:type="spellStart"/>
      <w:r w:rsidR="00500F5B" w:rsidRPr="00500F5B">
        <w:rPr>
          <w:rFonts w:ascii="Times New Roman" w:hAnsi="Times New Roman" w:cs="Times New Roman"/>
          <w:sz w:val="24"/>
          <w:szCs w:val="24"/>
        </w:rPr>
        <w:t>Hermawan</w:t>
      </w:r>
      <w:proofErr w:type="spellEnd"/>
      <w:r w:rsidR="00500F5B" w:rsidRPr="00500F5B">
        <w:rPr>
          <w:rFonts w:ascii="Times New Roman" w:hAnsi="Times New Roman" w:cs="Times New Roman"/>
          <w:sz w:val="24"/>
          <w:szCs w:val="24"/>
        </w:rPr>
        <w:t>, 2023).</w:t>
      </w:r>
    </w:p>
    <w:p w14:paraId="0F9CF1E0" w14:textId="16BAD230" w:rsidR="00FD724D" w:rsidRDefault="00FD724D" w:rsidP="00FD724D">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w:t>
      </w:r>
      <w:r w:rsidRPr="00FD724D">
        <w:rPr>
          <w:rFonts w:ascii="Times New Roman" w:hAnsi="Times New Roman" w:cs="Times New Roman"/>
          <w:sz w:val="24"/>
          <w:szCs w:val="24"/>
        </w:rPr>
        <w:t xml:space="preserve">he evaluation of JLR internal environment has revealed that the company has good opportunities to create a sustainable competitive advantage. JLR is a valuable asset because it has a clear unique position in the market segment that is supported by its intangible resources, sustainable innovation culture, and the sustainability integrated strategy. </w:t>
      </w:r>
    </w:p>
    <w:p w14:paraId="5EE83E73" w14:textId="2151679D" w:rsidR="00FD724D" w:rsidRPr="00FD724D" w:rsidRDefault="00FD724D" w:rsidP="00B209BF">
      <w:pPr>
        <w:pStyle w:val="Heading2"/>
      </w:pPr>
      <w:bookmarkStart w:id="20" w:name="_Toc211197387"/>
      <w:r w:rsidRPr="00FD724D">
        <w:t>SWOT Analysis</w:t>
      </w:r>
      <w:bookmarkEnd w:id="20"/>
      <w:r w:rsidRPr="00FD724D">
        <w:t xml:space="preserve"> </w:t>
      </w:r>
    </w:p>
    <w:p w14:paraId="628BAAE5" w14:textId="42FA8863" w:rsidR="00FD724D" w:rsidRPr="00FD724D" w:rsidRDefault="00FD724D" w:rsidP="00FD724D">
      <w:pPr>
        <w:spacing w:line="360" w:lineRule="auto"/>
        <w:jc w:val="both"/>
        <w:rPr>
          <w:rFonts w:ascii="Times New Roman" w:hAnsi="Times New Roman" w:cs="Times New Roman"/>
          <w:sz w:val="24"/>
          <w:szCs w:val="24"/>
        </w:rPr>
      </w:pPr>
      <w:r w:rsidRPr="00FD724D">
        <w:rPr>
          <w:rFonts w:ascii="Times New Roman" w:hAnsi="Times New Roman" w:cs="Times New Roman"/>
          <w:sz w:val="24"/>
          <w:szCs w:val="24"/>
        </w:rPr>
        <w:t>Jaguar Land Rover (JLR) is a world leader in the premium vehicle segment in terms of various characteristics. The brand has a strong reputation in foreign markets based on the combination of British sophistication and technical expertise (</w:t>
      </w:r>
      <w:r w:rsidRPr="00500F5B">
        <w:rPr>
          <w:rFonts w:ascii="Times New Roman" w:hAnsi="Times New Roman" w:cs="Times New Roman"/>
          <w:sz w:val="24"/>
          <w:szCs w:val="24"/>
        </w:rPr>
        <w:t>Allen, 2015).</w:t>
      </w:r>
      <w:r w:rsidRPr="00FD724D">
        <w:rPr>
          <w:rFonts w:ascii="Times New Roman" w:hAnsi="Times New Roman" w:cs="Times New Roman"/>
          <w:sz w:val="24"/>
          <w:szCs w:val="24"/>
        </w:rPr>
        <w:t xml:space="preserve"> </w:t>
      </w:r>
      <w:r w:rsidR="00B80C69">
        <w:rPr>
          <w:rFonts w:ascii="Times New Roman" w:hAnsi="Times New Roman" w:cs="Times New Roman"/>
          <w:sz w:val="24"/>
          <w:szCs w:val="24"/>
        </w:rPr>
        <w:t>Also, t</w:t>
      </w:r>
      <w:r w:rsidRPr="00FD724D">
        <w:rPr>
          <w:rFonts w:ascii="Times New Roman" w:hAnsi="Times New Roman" w:cs="Times New Roman"/>
          <w:sz w:val="24"/>
          <w:szCs w:val="24"/>
        </w:rPr>
        <w:t>he partnership with Tata Motors and strategic cooperation with the University of Warwick’s WMG provide it with R&amp;D in electric and connected vehicles</w:t>
      </w:r>
      <w:r w:rsidR="00500F5B">
        <w:rPr>
          <w:rFonts w:ascii="Times New Roman" w:hAnsi="Times New Roman" w:cs="Times New Roman"/>
          <w:sz w:val="24"/>
          <w:szCs w:val="24"/>
        </w:rPr>
        <w:t xml:space="preserve">. </w:t>
      </w:r>
      <w:r w:rsidRPr="00FD724D">
        <w:rPr>
          <w:rFonts w:ascii="Times New Roman" w:hAnsi="Times New Roman" w:cs="Times New Roman"/>
          <w:sz w:val="24"/>
          <w:szCs w:val="24"/>
        </w:rPr>
        <w:t>Carbon-neutral and zero-waste production and closed-loop materials for interior design ensure strong sustainability brand equity and contribute to long-term viability.</w:t>
      </w:r>
      <w:r w:rsidR="00B80C69">
        <w:rPr>
          <w:rFonts w:ascii="Times New Roman" w:hAnsi="Times New Roman" w:cs="Times New Roman"/>
          <w:sz w:val="24"/>
          <w:szCs w:val="24"/>
        </w:rPr>
        <w:t xml:space="preserve"> Moreover, t</w:t>
      </w:r>
      <w:r w:rsidRPr="00FD724D">
        <w:rPr>
          <w:rFonts w:ascii="Times New Roman" w:hAnsi="Times New Roman" w:cs="Times New Roman"/>
          <w:sz w:val="24"/>
          <w:szCs w:val="24"/>
        </w:rPr>
        <w:t xml:space="preserve">he company’s weaknesses undermine its effectiveness and long-term viability. The high cost of manufacturing and R&amp;D, especially during the transition to </w:t>
      </w:r>
      <w:proofErr w:type="spellStart"/>
      <w:r w:rsidRPr="00FD724D">
        <w:rPr>
          <w:rFonts w:ascii="Times New Roman" w:hAnsi="Times New Roman" w:cs="Times New Roman"/>
          <w:sz w:val="24"/>
          <w:szCs w:val="24"/>
        </w:rPr>
        <w:t>EVs</w:t>
      </w:r>
      <w:proofErr w:type="spellEnd"/>
      <w:r w:rsidRPr="00FD724D">
        <w:rPr>
          <w:rFonts w:ascii="Times New Roman" w:hAnsi="Times New Roman" w:cs="Times New Roman"/>
          <w:sz w:val="24"/>
          <w:szCs w:val="24"/>
        </w:rPr>
        <w:t>, limits scalability. Dependence on foreign suppliers of batteries and semiconductors increases the risk of supply chain disruptions</w:t>
      </w:r>
      <w:r w:rsidR="00500F5B">
        <w:rPr>
          <w:rFonts w:ascii="Times New Roman" w:hAnsi="Times New Roman" w:cs="Times New Roman"/>
          <w:sz w:val="24"/>
          <w:szCs w:val="24"/>
        </w:rPr>
        <w:t xml:space="preserve">. </w:t>
      </w:r>
      <w:r w:rsidRPr="00FD724D">
        <w:rPr>
          <w:rFonts w:ascii="Times New Roman" w:hAnsi="Times New Roman" w:cs="Times New Roman"/>
          <w:sz w:val="24"/>
          <w:szCs w:val="24"/>
        </w:rPr>
        <w:t xml:space="preserve"> </w:t>
      </w:r>
    </w:p>
    <w:p w14:paraId="76699B43" w14:textId="21AF9826" w:rsidR="00FD724D" w:rsidRDefault="00B80C69" w:rsidP="00FD72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FD724D" w:rsidRPr="00FD724D">
        <w:rPr>
          <w:rFonts w:ascii="Times New Roman" w:hAnsi="Times New Roman" w:cs="Times New Roman"/>
          <w:sz w:val="24"/>
          <w:szCs w:val="24"/>
        </w:rPr>
        <w:t>JLR can potentially leverage government subsidies for the use of eco-friendly transportation and the rapid development of electrification, AI, and batteries for an opportunity window (</w:t>
      </w:r>
      <w:proofErr w:type="spellStart"/>
      <w:r w:rsidR="00500F5B" w:rsidRPr="00500F5B">
        <w:rPr>
          <w:rFonts w:ascii="Times New Roman" w:hAnsi="Times New Roman" w:cs="Times New Roman"/>
          <w:sz w:val="24"/>
          <w:szCs w:val="24"/>
        </w:rPr>
        <w:t>Jankalová</w:t>
      </w:r>
      <w:proofErr w:type="spellEnd"/>
      <w:r w:rsidR="00500F5B" w:rsidRPr="00500F5B">
        <w:rPr>
          <w:rFonts w:ascii="Times New Roman" w:hAnsi="Times New Roman" w:cs="Times New Roman"/>
          <w:sz w:val="24"/>
          <w:szCs w:val="24"/>
        </w:rPr>
        <w:t>, 2021</w:t>
      </w:r>
      <w:r w:rsidR="00500F5B">
        <w:rPr>
          <w:rFonts w:ascii="Times New Roman" w:hAnsi="Times New Roman" w:cs="Times New Roman"/>
          <w:sz w:val="24"/>
          <w:szCs w:val="24"/>
        </w:rPr>
        <w:t>).</w:t>
      </w:r>
      <w:r w:rsidR="00FD724D" w:rsidRPr="00FD724D">
        <w:rPr>
          <w:rFonts w:ascii="Times New Roman" w:hAnsi="Times New Roman" w:cs="Times New Roman"/>
          <w:sz w:val="24"/>
          <w:szCs w:val="24"/>
        </w:rPr>
        <w:t xml:space="preserve"> </w:t>
      </w:r>
      <w:r w:rsidRPr="00FD724D">
        <w:rPr>
          <w:rFonts w:ascii="Times New Roman" w:hAnsi="Times New Roman" w:cs="Times New Roman"/>
          <w:sz w:val="24"/>
          <w:szCs w:val="24"/>
        </w:rPr>
        <w:t>Nevertheless</w:t>
      </w:r>
      <w:r w:rsidR="00FD724D" w:rsidRPr="00FD724D">
        <w:rPr>
          <w:rFonts w:ascii="Times New Roman" w:hAnsi="Times New Roman" w:cs="Times New Roman"/>
          <w:sz w:val="24"/>
          <w:szCs w:val="24"/>
        </w:rPr>
        <w:t>, current and future electric vehicle manufacturers, such as Tesla, BMW, and BYD, remain an important threat to the company</w:t>
      </w:r>
      <w:r w:rsidR="00500F5B">
        <w:rPr>
          <w:rFonts w:ascii="Times New Roman" w:hAnsi="Times New Roman" w:cs="Times New Roman"/>
          <w:sz w:val="24"/>
          <w:szCs w:val="24"/>
        </w:rPr>
        <w:t xml:space="preserve">. </w:t>
      </w:r>
      <w:r w:rsidR="00FD724D" w:rsidRPr="00FD724D">
        <w:rPr>
          <w:rFonts w:ascii="Times New Roman" w:hAnsi="Times New Roman" w:cs="Times New Roman"/>
          <w:sz w:val="24"/>
          <w:szCs w:val="24"/>
        </w:rPr>
        <w:t>Strategic risks are especially high in the context of macroeconomic instability and more stringent environmental requirements.</w:t>
      </w:r>
      <w:r>
        <w:rPr>
          <w:rFonts w:ascii="Times New Roman" w:hAnsi="Times New Roman" w:cs="Times New Roman"/>
          <w:sz w:val="24"/>
          <w:szCs w:val="24"/>
        </w:rPr>
        <w:t xml:space="preserve"> </w:t>
      </w:r>
      <w:r w:rsidR="00FD724D" w:rsidRPr="00FD724D">
        <w:rPr>
          <w:rFonts w:ascii="Times New Roman" w:hAnsi="Times New Roman" w:cs="Times New Roman"/>
          <w:sz w:val="24"/>
          <w:szCs w:val="24"/>
        </w:rPr>
        <w:t>JLR’s long-term competitiveness will depend on how it can combine innovation and sustainability to overcome structural problems and position itself in a highly competitive and fragmented global EV market.</w:t>
      </w:r>
    </w:p>
    <w:p w14:paraId="346DBA42" w14:textId="3ECB26D4" w:rsidR="00B80C69" w:rsidRPr="00B80C69" w:rsidRDefault="00B80C69" w:rsidP="00B209BF">
      <w:pPr>
        <w:pStyle w:val="Heading1"/>
      </w:pPr>
      <w:bookmarkStart w:id="21" w:name="_Toc211197388"/>
      <w:r w:rsidRPr="00B80C69">
        <w:t>Strategy Formulation of Jaguar Land Rover</w:t>
      </w:r>
      <w:bookmarkEnd w:id="21"/>
      <w:r w:rsidRPr="00B80C69">
        <w:t xml:space="preserve"> </w:t>
      </w:r>
    </w:p>
    <w:p w14:paraId="41FEF8BD" w14:textId="129D66A4" w:rsidR="00B80C69" w:rsidRPr="00B80C69" w:rsidRDefault="00B80C69" w:rsidP="00B209BF">
      <w:pPr>
        <w:pStyle w:val="Heading2"/>
      </w:pPr>
      <w:bookmarkStart w:id="22" w:name="_Toc211197389"/>
      <w:r w:rsidRPr="00B80C69">
        <w:t>Strategy Objective</w:t>
      </w:r>
      <w:bookmarkEnd w:id="22"/>
      <w:r w:rsidRPr="00B80C69">
        <w:t xml:space="preserve"> </w:t>
      </w:r>
    </w:p>
    <w:p w14:paraId="2DEB1CE5" w14:textId="0FB14CD1" w:rsidR="00B80C69" w:rsidRPr="00B80C69" w:rsidRDefault="00B80C69" w:rsidP="00B80C69">
      <w:pPr>
        <w:spacing w:line="360" w:lineRule="auto"/>
        <w:jc w:val="both"/>
        <w:rPr>
          <w:rFonts w:ascii="Times New Roman" w:hAnsi="Times New Roman" w:cs="Times New Roman"/>
          <w:sz w:val="24"/>
          <w:szCs w:val="24"/>
        </w:rPr>
      </w:pPr>
      <w:r w:rsidRPr="00B80C69">
        <w:rPr>
          <w:rFonts w:ascii="Times New Roman" w:hAnsi="Times New Roman" w:cs="Times New Roman"/>
          <w:sz w:val="24"/>
          <w:szCs w:val="24"/>
        </w:rPr>
        <w:t xml:space="preserve">The central strategy objective of Jaguar Land Rover (JLR) is to achieve sustainable growth through a commitment to innovation, electrification, and brand differentiation. As the automotive industry submit to a pivotal transition towards electrification and carbon neutrality, it is imperative for JLR to align its business strategy with the dual imperatives of environmental sustainability and market competitiveness. </w:t>
      </w:r>
    </w:p>
    <w:p w14:paraId="7EDDB656" w14:textId="1FDC9FC1" w:rsidR="00B80C69" w:rsidRPr="00B80C69" w:rsidRDefault="00B80C69" w:rsidP="00B209BF">
      <w:pPr>
        <w:pStyle w:val="Heading2"/>
      </w:pPr>
      <w:bookmarkStart w:id="23" w:name="_Toc211197390"/>
      <w:r w:rsidRPr="00B80C69">
        <w:t>Porter’s Generic Strategies</w:t>
      </w:r>
      <w:bookmarkEnd w:id="23"/>
      <w:r w:rsidRPr="00B80C69">
        <w:t xml:space="preserve"> </w:t>
      </w:r>
    </w:p>
    <w:p w14:paraId="1AA8FD67" w14:textId="00B6E99F" w:rsidR="00B80C69" w:rsidRPr="00B80C69" w:rsidRDefault="00B80C69" w:rsidP="00B80C69">
      <w:pPr>
        <w:spacing w:line="360" w:lineRule="auto"/>
        <w:jc w:val="both"/>
        <w:rPr>
          <w:rFonts w:ascii="Times New Roman" w:hAnsi="Times New Roman" w:cs="Times New Roman"/>
          <w:b/>
          <w:bCs/>
          <w:sz w:val="24"/>
          <w:szCs w:val="24"/>
        </w:rPr>
      </w:pPr>
      <w:r w:rsidRPr="00B80C69">
        <w:rPr>
          <w:rFonts w:ascii="Times New Roman" w:hAnsi="Times New Roman" w:cs="Times New Roman"/>
          <w:sz w:val="24"/>
          <w:szCs w:val="24"/>
        </w:rPr>
        <w:t>According to Porter, businesses can gain a competitive advantage by implementing a strategy of cost leadership, differentiation, or focus (</w:t>
      </w:r>
      <w:r w:rsidR="00500F5B" w:rsidRPr="00500F5B">
        <w:rPr>
          <w:rFonts w:ascii="Times New Roman" w:hAnsi="Times New Roman" w:cs="Times New Roman"/>
          <w:sz w:val="24"/>
          <w:szCs w:val="24"/>
        </w:rPr>
        <w:t>Alvarez-Gil &amp; de la Fe, 1998</w:t>
      </w:r>
      <w:r w:rsidR="00500F5B">
        <w:rPr>
          <w:rFonts w:ascii="Times New Roman" w:hAnsi="Times New Roman" w:cs="Times New Roman"/>
          <w:sz w:val="24"/>
          <w:szCs w:val="24"/>
        </w:rPr>
        <w:t xml:space="preserve">). </w:t>
      </w:r>
      <w:r w:rsidRPr="00B80C69">
        <w:rPr>
          <w:rFonts w:ascii="Times New Roman" w:hAnsi="Times New Roman" w:cs="Times New Roman"/>
          <w:sz w:val="24"/>
          <w:szCs w:val="24"/>
        </w:rPr>
        <w:t>JLR’s unique historical and brand-based strengths naturally position it towards a differentiation strategy, emphasising luxury, technological innovation, and environmental sustainability. Recent research supports that the combination of differentiation and sustainability enhances brand loyalty and financial performance (</w:t>
      </w:r>
      <w:proofErr w:type="spellStart"/>
      <w:r w:rsidRPr="00500F5B">
        <w:rPr>
          <w:rFonts w:ascii="Times New Roman" w:hAnsi="Times New Roman" w:cs="Times New Roman"/>
          <w:sz w:val="24"/>
          <w:szCs w:val="24"/>
        </w:rPr>
        <w:t>Saputra</w:t>
      </w:r>
      <w:proofErr w:type="spellEnd"/>
      <w:r w:rsidRPr="00500F5B">
        <w:rPr>
          <w:rFonts w:ascii="Times New Roman" w:hAnsi="Times New Roman" w:cs="Times New Roman"/>
          <w:sz w:val="24"/>
          <w:szCs w:val="24"/>
        </w:rPr>
        <w:t xml:space="preserve">, </w:t>
      </w:r>
      <w:proofErr w:type="spellStart"/>
      <w:r w:rsidRPr="00500F5B">
        <w:rPr>
          <w:rFonts w:ascii="Times New Roman" w:hAnsi="Times New Roman" w:cs="Times New Roman"/>
          <w:sz w:val="24"/>
          <w:szCs w:val="24"/>
        </w:rPr>
        <w:t>Haryono</w:t>
      </w:r>
      <w:proofErr w:type="spellEnd"/>
      <w:r w:rsidRPr="00500F5B">
        <w:rPr>
          <w:rFonts w:ascii="Times New Roman" w:hAnsi="Times New Roman" w:cs="Times New Roman"/>
          <w:sz w:val="24"/>
          <w:szCs w:val="24"/>
        </w:rPr>
        <w:t xml:space="preserve"> &amp; </w:t>
      </w:r>
      <w:proofErr w:type="spellStart"/>
      <w:r w:rsidRPr="00500F5B">
        <w:rPr>
          <w:rFonts w:ascii="Times New Roman" w:hAnsi="Times New Roman" w:cs="Times New Roman"/>
          <w:sz w:val="24"/>
          <w:szCs w:val="24"/>
        </w:rPr>
        <w:t>Untoro</w:t>
      </w:r>
      <w:proofErr w:type="spellEnd"/>
      <w:r w:rsidRPr="00500F5B">
        <w:rPr>
          <w:rFonts w:ascii="Times New Roman" w:hAnsi="Times New Roman" w:cs="Times New Roman"/>
          <w:sz w:val="24"/>
          <w:szCs w:val="24"/>
        </w:rPr>
        <w:t>, 2019).</w:t>
      </w:r>
    </w:p>
    <w:p w14:paraId="15CE6329" w14:textId="517878CA" w:rsidR="00B80C69" w:rsidRPr="00B80C69" w:rsidRDefault="00B80C69" w:rsidP="00B80C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Additionally, </w:t>
      </w:r>
      <w:r w:rsidRPr="00B80C69">
        <w:rPr>
          <w:rFonts w:ascii="Times New Roman" w:hAnsi="Times New Roman" w:cs="Times New Roman"/>
          <w:sz w:val="24"/>
          <w:szCs w:val="24"/>
        </w:rPr>
        <w:t>JLR’s Reimagine strategy, which prioritises sustainability-driven differentiation through the development of high-performance electric vehicles (</w:t>
      </w:r>
      <w:proofErr w:type="spellStart"/>
      <w:r w:rsidRPr="00B80C69">
        <w:rPr>
          <w:rFonts w:ascii="Times New Roman" w:hAnsi="Times New Roman" w:cs="Times New Roman"/>
          <w:sz w:val="24"/>
          <w:szCs w:val="24"/>
        </w:rPr>
        <w:t>EVs</w:t>
      </w:r>
      <w:proofErr w:type="spellEnd"/>
      <w:r w:rsidRPr="00B80C69">
        <w:rPr>
          <w:rFonts w:ascii="Times New Roman" w:hAnsi="Times New Roman" w:cs="Times New Roman"/>
          <w:sz w:val="24"/>
          <w:szCs w:val="24"/>
        </w:rPr>
        <w:t>) based on in-house platforms, aligns well with this direction. JLR’s proprietary capabilities in lightweight materials, electrification, and AI-driven driving systems have been developed through significant investments in R&amp;D and collaboration with technology partners. This level of innovation represents a fundamental sustainability approach which, according to</w:t>
      </w:r>
      <w:r w:rsidR="00500F5B">
        <w:rPr>
          <w:rFonts w:ascii="Times New Roman" w:hAnsi="Times New Roman" w:cs="Times New Roman"/>
          <w:b/>
          <w:bCs/>
          <w:sz w:val="24"/>
          <w:szCs w:val="24"/>
        </w:rPr>
        <w:t xml:space="preserve"> </w:t>
      </w:r>
      <w:proofErr w:type="spellStart"/>
      <w:r w:rsidR="00500F5B" w:rsidRPr="00500F5B">
        <w:rPr>
          <w:rFonts w:ascii="Times New Roman" w:hAnsi="Times New Roman" w:cs="Times New Roman"/>
          <w:sz w:val="24"/>
          <w:szCs w:val="24"/>
        </w:rPr>
        <w:t>Jaksic</w:t>
      </w:r>
      <w:proofErr w:type="spellEnd"/>
      <w:r w:rsidR="00500F5B" w:rsidRPr="00500F5B">
        <w:rPr>
          <w:rFonts w:ascii="Times New Roman" w:hAnsi="Times New Roman" w:cs="Times New Roman"/>
          <w:sz w:val="24"/>
          <w:szCs w:val="24"/>
        </w:rPr>
        <w:t>, M. L. (2016)</w:t>
      </w:r>
      <w:r w:rsidR="00500F5B">
        <w:rPr>
          <w:rFonts w:ascii="Times New Roman" w:hAnsi="Times New Roman" w:cs="Times New Roman"/>
          <w:sz w:val="24"/>
          <w:szCs w:val="24"/>
        </w:rPr>
        <w:t xml:space="preserve"> </w:t>
      </w:r>
      <w:r w:rsidRPr="00B80C69">
        <w:rPr>
          <w:rFonts w:ascii="Times New Roman" w:hAnsi="Times New Roman" w:cs="Times New Roman"/>
          <w:sz w:val="24"/>
          <w:szCs w:val="24"/>
        </w:rPr>
        <w:t>results in better competitive and financial returns compared to incremental sustainability initiatives.</w:t>
      </w:r>
    </w:p>
    <w:p w14:paraId="576CBDF7" w14:textId="15D1B1DA" w:rsidR="00B80C69" w:rsidRPr="00500F5B" w:rsidRDefault="00B80C69" w:rsidP="00B80C69">
      <w:pPr>
        <w:spacing w:line="360" w:lineRule="auto"/>
        <w:jc w:val="both"/>
        <w:rPr>
          <w:rFonts w:ascii="Times New Roman" w:hAnsi="Times New Roman" w:cs="Times New Roman"/>
          <w:sz w:val="24"/>
          <w:szCs w:val="24"/>
        </w:rPr>
      </w:pPr>
      <w:r w:rsidRPr="00B80C69">
        <w:rPr>
          <w:rFonts w:ascii="Times New Roman" w:hAnsi="Times New Roman" w:cs="Times New Roman"/>
          <w:sz w:val="24"/>
          <w:szCs w:val="24"/>
        </w:rPr>
        <w:t xml:space="preserve">However, differentiation alone is insufficient in a market characterised by considerable cost pressures and rapid technological convergence. As a result, JLR must also pursue a combined approach that pairs differentiation with selective cost leadership. Cost efficiencies can be realised through the deployment of modular EV platforms, digital integration of supply chain operations, and investment in renewable energy sources for production facilities. This balanced approach is similar to the hybrid differentiation/cost-leadership model seen in successful automotive firms that simultaneously pursue both differentiation and cost optimisation </w:t>
      </w:r>
      <w:r w:rsidRPr="00500F5B">
        <w:rPr>
          <w:rFonts w:ascii="Times New Roman" w:hAnsi="Times New Roman" w:cs="Times New Roman"/>
          <w:sz w:val="24"/>
          <w:szCs w:val="24"/>
        </w:rPr>
        <w:t>(Moon et al., 2014).</w:t>
      </w:r>
    </w:p>
    <w:p w14:paraId="5205C010" w14:textId="28A0C560" w:rsidR="00B80C69" w:rsidRPr="00B80C69" w:rsidRDefault="00B80C69" w:rsidP="00B209BF">
      <w:pPr>
        <w:pStyle w:val="Heading2"/>
      </w:pPr>
      <w:bookmarkStart w:id="24" w:name="_Toc211197391"/>
      <w:r w:rsidRPr="00B80C69">
        <w:t xml:space="preserve">The </w:t>
      </w:r>
      <w:proofErr w:type="spellStart"/>
      <w:r w:rsidRPr="00B80C69">
        <w:t>Ansoff</w:t>
      </w:r>
      <w:proofErr w:type="spellEnd"/>
      <w:r w:rsidRPr="00B80C69">
        <w:t xml:space="preserve"> Matrix</w:t>
      </w:r>
      <w:bookmarkEnd w:id="24"/>
      <w:r w:rsidRPr="00B80C69">
        <w:t xml:space="preserve"> </w:t>
      </w:r>
    </w:p>
    <w:p w14:paraId="41A610F6" w14:textId="77777777" w:rsidR="00B80C69" w:rsidRPr="00B80C69" w:rsidRDefault="00B80C69" w:rsidP="00B80C69">
      <w:pPr>
        <w:spacing w:line="360" w:lineRule="auto"/>
        <w:jc w:val="both"/>
        <w:rPr>
          <w:rFonts w:ascii="Times New Roman" w:hAnsi="Times New Roman" w:cs="Times New Roman"/>
          <w:sz w:val="24"/>
          <w:szCs w:val="24"/>
        </w:rPr>
      </w:pPr>
      <w:r w:rsidRPr="00B80C69">
        <w:rPr>
          <w:rFonts w:ascii="Times New Roman" w:hAnsi="Times New Roman" w:cs="Times New Roman"/>
          <w:sz w:val="24"/>
          <w:szCs w:val="24"/>
        </w:rPr>
        <w:t xml:space="preserve">The </w:t>
      </w:r>
      <w:proofErr w:type="spellStart"/>
      <w:r w:rsidRPr="00B80C69">
        <w:rPr>
          <w:rFonts w:ascii="Times New Roman" w:hAnsi="Times New Roman" w:cs="Times New Roman"/>
          <w:sz w:val="24"/>
          <w:szCs w:val="24"/>
        </w:rPr>
        <w:t>Ansoff</w:t>
      </w:r>
      <w:proofErr w:type="spellEnd"/>
      <w:r w:rsidRPr="00B80C69">
        <w:rPr>
          <w:rFonts w:ascii="Times New Roman" w:hAnsi="Times New Roman" w:cs="Times New Roman"/>
          <w:sz w:val="24"/>
          <w:szCs w:val="24"/>
        </w:rPr>
        <w:t xml:space="preserve"> Matrix provides a useful framework for identifying strategic options for growth: market penetration, market development, product development, and diversification. Two quadrants are particularly relevant for JLR: </w:t>
      </w:r>
    </w:p>
    <w:p w14:paraId="416CC598" w14:textId="77777777" w:rsidR="00B80C69" w:rsidRDefault="00B80C69" w:rsidP="00B80C69">
      <w:pPr>
        <w:pStyle w:val="ListParagraph"/>
        <w:numPr>
          <w:ilvl w:val="0"/>
          <w:numId w:val="1"/>
        </w:numPr>
        <w:spacing w:line="360" w:lineRule="auto"/>
        <w:jc w:val="both"/>
        <w:rPr>
          <w:rFonts w:ascii="Times New Roman" w:hAnsi="Times New Roman" w:cs="Times New Roman"/>
          <w:b/>
          <w:bCs/>
          <w:sz w:val="24"/>
          <w:szCs w:val="24"/>
        </w:rPr>
      </w:pPr>
      <w:r w:rsidRPr="00B80C69">
        <w:rPr>
          <w:rFonts w:ascii="Times New Roman" w:hAnsi="Times New Roman" w:cs="Times New Roman"/>
          <w:i/>
          <w:iCs/>
          <w:sz w:val="24"/>
          <w:szCs w:val="24"/>
        </w:rPr>
        <w:t>Product Development</w:t>
      </w:r>
      <w:r w:rsidRPr="00B80C69">
        <w:rPr>
          <w:rFonts w:ascii="Times New Roman" w:hAnsi="Times New Roman" w:cs="Times New Roman"/>
          <w:sz w:val="24"/>
          <w:szCs w:val="24"/>
        </w:rPr>
        <w:t xml:space="preserve">: JLR should accelerate investment in new EV models under its Jaguar and Land Rover brands, including in the mid-range electric SUV and compact car segments. Progress in solid-state battery technology and AI-enabled driving functionality will enhance value propositions and match global sustainability trends </w:t>
      </w:r>
      <w:r w:rsidRPr="00B80C69">
        <w:rPr>
          <w:rFonts w:ascii="Times New Roman" w:hAnsi="Times New Roman" w:cs="Times New Roman"/>
          <w:b/>
          <w:bCs/>
          <w:sz w:val="24"/>
          <w:szCs w:val="24"/>
        </w:rPr>
        <w:t>(</w:t>
      </w:r>
      <w:proofErr w:type="spellStart"/>
      <w:r w:rsidRPr="00500F5B">
        <w:rPr>
          <w:rFonts w:ascii="Times New Roman" w:hAnsi="Times New Roman" w:cs="Times New Roman"/>
          <w:sz w:val="24"/>
          <w:szCs w:val="24"/>
        </w:rPr>
        <w:t>Pahurkar</w:t>
      </w:r>
      <w:proofErr w:type="spellEnd"/>
      <w:r w:rsidRPr="00500F5B">
        <w:rPr>
          <w:rFonts w:ascii="Times New Roman" w:hAnsi="Times New Roman" w:cs="Times New Roman"/>
          <w:sz w:val="24"/>
          <w:szCs w:val="24"/>
        </w:rPr>
        <w:t xml:space="preserve"> &amp; </w:t>
      </w:r>
      <w:proofErr w:type="spellStart"/>
      <w:r w:rsidRPr="00500F5B">
        <w:rPr>
          <w:rFonts w:ascii="Times New Roman" w:hAnsi="Times New Roman" w:cs="Times New Roman"/>
          <w:sz w:val="24"/>
          <w:szCs w:val="24"/>
        </w:rPr>
        <w:t>Metha</w:t>
      </w:r>
      <w:proofErr w:type="spellEnd"/>
      <w:r w:rsidRPr="00500F5B">
        <w:rPr>
          <w:rFonts w:ascii="Times New Roman" w:hAnsi="Times New Roman" w:cs="Times New Roman"/>
          <w:sz w:val="24"/>
          <w:szCs w:val="24"/>
        </w:rPr>
        <w:t>, 2018).</w:t>
      </w:r>
    </w:p>
    <w:p w14:paraId="6ABB0737" w14:textId="77777777" w:rsidR="00B80C69" w:rsidRPr="00B80C69" w:rsidRDefault="00B80C69" w:rsidP="00B80C69">
      <w:pPr>
        <w:pStyle w:val="ListParagraph"/>
        <w:numPr>
          <w:ilvl w:val="0"/>
          <w:numId w:val="1"/>
        </w:numPr>
        <w:spacing w:line="360" w:lineRule="auto"/>
        <w:jc w:val="both"/>
        <w:rPr>
          <w:rFonts w:ascii="Times New Roman" w:hAnsi="Times New Roman" w:cs="Times New Roman"/>
          <w:b/>
          <w:bCs/>
          <w:sz w:val="24"/>
          <w:szCs w:val="24"/>
        </w:rPr>
      </w:pPr>
      <w:r w:rsidRPr="00B80C69">
        <w:rPr>
          <w:rFonts w:ascii="Times New Roman" w:hAnsi="Times New Roman" w:cs="Times New Roman"/>
          <w:i/>
          <w:iCs/>
          <w:sz w:val="24"/>
          <w:szCs w:val="24"/>
        </w:rPr>
        <w:t>Market Development</w:t>
      </w:r>
      <w:r w:rsidRPr="00B80C69">
        <w:rPr>
          <w:rFonts w:ascii="Times New Roman" w:hAnsi="Times New Roman" w:cs="Times New Roman"/>
          <w:sz w:val="24"/>
          <w:szCs w:val="24"/>
        </w:rPr>
        <w:t>: Entering high-growth markets</w:t>
      </w:r>
      <w:r>
        <w:rPr>
          <w:rFonts w:ascii="Times New Roman" w:hAnsi="Times New Roman" w:cs="Times New Roman"/>
          <w:sz w:val="24"/>
          <w:szCs w:val="24"/>
        </w:rPr>
        <w:t>,</w:t>
      </w:r>
      <w:r w:rsidRPr="00B80C69">
        <w:rPr>
          <w:rFonts w:ascii="Times New Roman" w:hAnsi="Times New Roman" w:cs="Times New Roman"/>
          <w:sz w:val="24"/>
          <w:szCs w:val="24"/>
        </w:rPr>
        <w:t xml:space="preserve"> such as India and Southeast Asia will offer new opportunities for premium electric vehicle demand. JLR’s existing global presence, including Tata Motors’ distribution network, will offer a platform for market entry and localisation.</w:t>
      </w:r>
    </w:p>
    <w:p w14:paraId="6492C83D" w14:textId="03DE0DC5" w:rsidR="00B80C69" w:rsidRPr="00B80C69" w:rsidRDefault="00B80C69" w:rsidP="00B80C69">
      <w:pPr>
        <w:pStyle w:val="ListParagraph"/>
        <w:numPr>
          <w:ilvl w:val="0"/>
          <w:numId w:val="1"/>
        </w:numPr>
        <w:spacing w:line="360" w:lineRule="auto"/>
        <w:jc w:val="both"/>
        <w:rPr>
          <w:rFonts w:ascii="Times New Roman" w:hAnsi="Times New Roman" w:cs="Times New Roman"/>
          <w:b/>
          <w:bCs/>
          <w:sz w:val="24"/>
          <w:szCs w:val="24"/>
        </w:rPr>
      </w:pPr>
      <w:r w:rsidRPr="00B80C69">
        <w:rPr>
          <w:rFonts w:ascii="Times New Roman" w:hAnsi="Times New Roman" w:cs="Times New Roman"/>
          <w:i/>
          <w:iCs/>
          <w:sz w:val="24"/>
          <w:szCs w:val="24"/>
        </w:rPr>
        <w:t>Diversification</w:t>
      </w:r>
      <w:r w:rsidRPr="00B80C69">
        <w:rPr>
          <w:rFonts w:ascii="Times New Roman" w:hAnsi="Times New Roman" w:cs="Times New Roman"/>
          <w:sz w:val="24"/>
          <w:szCs w:val="24"/>
        </w:rPr>
        <w:t>: Long-term investments in green energy solutions related to mobility, such as EV charging infrastructure and battery material recycling, would strengthen JLR’s sustainable brand image and reduce dependence on traditional automotive revenues.</w:t>
      </w:r>
    </w:p>
    <w:p w14:paraId="463456AD" w14:textId="78C2EEAB" w:rsidR="00B80C69" w:rsidRPr="00B80C69" w:rsidRDefault="00B80C69" w:rsidP="00B209BF">
      <w:pPr>
        <w:pStyle w:val="Heading2"/>
      </w:pPr>
      <w:bookmarkStart w:id="25" w:name="_Toc211197392"/>
      <w:r w:rsidRPr="00B80C69">
        <w:t>Strategy Proposals</w:t>
      </w:r>
      <w:bookmarkEnd w:id="25"/>
      <w:r w:rsidRPr="00B80C69">
        <w:t xml:space="preserve"> </w:t>
      </w:r>
    </w:p>
    <w:p w14:paraId="43976ACA" w14:textId="77777777" w:rsidR="00B80C69" w:rsidRDefault="00B80C69" w:rsidP="00B80C69">
      <w:pPr>
        <w:pStyle w:val="ListParagraph"/>
        <w:numPr>
          <w:ilvl w:val="0"/>
          <w:numId w:val="2"/>
        </w:numPr>
        <w:spacing w:line="360" w:lineRule="auto"/>
        <w:jc w:val="both"/>
        <w:rPr>
          <w:rFonts w:ascii="Times New Roman" w:hAnsi="Times New Roman" w:cs="Times New Roman"/>
          <w:sz w:val="24"/>
          <w:szCs w:val="24"/>
        </w:rPr>
      </w:pPr>
      <w:r w:rsidRPr="00B80C69">
        <w:rPr>
          <w:rFonts w:ascii="Times New Roman" w:hAnsi="Times New Roman" w:cs="Times New Roman"/>
          <w:sz w:val="24"/>
          <w:szCs w:val="24"/>
        </w:rPr>
        <w:t>Accelerate the transition to electrification with a focus on internal EV platform development and improved manufacturing efficiency.</w:t>
      </w:r>
    </w:p>
    <w:p w14:paraId="67B64A0B" w14:textId="77777777" w:rsidR="00B80C69" w:rsidRDefault="00B80C69" w:rsidP="00B80C69">
      <w:pPr>
        <w:pStyle w:val="ListParagraph"/>
        <w:numPr>
          <w:ilvl w:val="0"/>
          <w:numId w:val="2"/>
        </w:numPr>
        <w:spacing w:line="360" w:lineRule="auto"/>
        <w:jc w:val="both"/>
        <w:rPr>
          <w:rFonts w:ascii="Times New Roman" w:hAnsi="Times New Roman" w:cs="Times New Roman"/>
          <w:sz w:val="24"/>
          <w:szCs w:val="24"/>
        </w:rPr>
      </w:pPr>
      <w:r w:rsidRPr="00B80C69">
        <w:rPr>
          <w:rFonts w:ascii="Times New Roman" w:hAnsi="Times New Roman" w:cs="Times New Roman"/>
          <w:sz w:val="24"/>
          <w:szCs w:val="24"/>
        </w:rPr>
        <w:t>Drive sustainability integration across operations, including supply chain transparency and renewable energy usage in production facilities.</w:t>
      </w:r>
    </w:p>
    <w:p w14:paraId="3BC94744" w14:textId="77777777" w:rsidR="00B80C69" w:rsidRDefault="00B80C69" w:rsidP="00B80C69">
      <w:pPr>
        <w:pStyle w:val="ListParagraph"/>
        <w:numPr>
          <w:ilvl w:val="0"/>
          <w:numId w:val="2"/>
        </w:numPr>
        <w:spacing w:line="360" w:lineRule="auto"/>
        <w:jc w:val="both"/>
        <w:rPr>
          <w:rFonts w:ascii="Times New Roman" w:hAnsi="Times New Roman" w:cs="Times New Roman"/>
          <w:sz w:val="24"/>
          <w:szCs w:val="24"/>
        </w:rPr>
      </w:pPr>
      <w:r w:rsidRPr="00B80C69">
        <w:rPr>
          <w:rFonts w:ascii="Times New Roman" w:hAnsi="Times New Roman" w:cs="Times New Roman"/>
          <w:sz w:val="24"/>
          <w:szCs w:val="24"/>
        </w:rPr>
        <w:t>Invest in digital transformation, including connected vehicle ecosystems and predictive analytics for enhancing the customer experience.</w:t>
      </w:r>
    </w:p>
    <w:p w14:paraId="53B8787D" w14:textId="12254B5F" w:rsidR="00B80C69" w:rsidRPr="00B80C69" w:rsidRDefault="00B80C69" w:rsidP="00B80C69">
      <w:pPr>
        <w:pStyle w:val="ListParagraph"/>
        <w:numPr>
          <w:ilvl w:val="0"/>
          <w:numId w:val="2"/>
        </w:numPr>
        <w:spacing w:line="360" w:lineRule="auto"/>
        <w:jc w:val="both"/>
        <w:rPr>
          <w:rFonts w:ascii="Times New Roman" w:hAnsi="Times New Roman" w:cs="Times New Roman"/>
          <w:sz w:val="24"/>
          <w:szCs w:val="24"/>
        </w:rPr>
      </w:pPr>
      <w:r w:rsidRPr="00B80C69">
        <w:rPr>
          <w:rFonts w:ascii="Times New Roman" w:hAnsi="Times New Roman" w:cs="Times New Roman"/>
          <w:sz w:val="24"/>
          <w:szCs w:val="24"/>
        </w:rPr>
        <w:t>Engage in selective partnerships with clean technology firms for battery innovation and sustainability reporting.</w:t>
      </w:r>
    </w:p>
    <w:p w14:paraId="00F53715" w14:textId="3F1EBF22" w:rsidR="00B80C69" w:rsidRDefault="00B80C69" w:rsidP="00B80C69">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t</w:t>
      </w:r>
      <w:r w:rsidRPr="00B80C69">
        <w:rPr>
          <w:rFonts w:ascii="Times New Roman" w:hAnsi="Times New Roman" w:cs="Times New Roman"/>
          <w:sz w:val="24"/>
          <w:szCs w:val="24"/>
        </w:rPr>
        <w:t>hese initiatives will position JLR as a pioneer in sustainable luxury mobility, achieving an agreement of profitability, innovation, and environmental responsibility.</w:t>
      </w:r>
    </w:p>
    <w:p w14:paraId="5E8F2041" w14:textId="2CB02B43" w:rsidR="00B80C69" w:rsidRPr="00B209BF" w:rsidRDefault="00B80C69" w:rsidP="00B209BF">
      <w:pPr>
        <w:pStyle w:val="Heading1"/>
      </w:pPr>
      <w:bookmarkStart w:id="26" w:name="_Toc211197393"/>
      <w:r w:rsidRPr="00B209BF">
        <w:t>Conclusion and Recommendations</w:t>
      </w:r>
      <w:bookmarkEnd w:id="26"/>
    </w:p>
    <w:p w14:paraId="12FCD102" w14:textId="68C19F03" w:rsidR="00B80C69" w:rsidRDefault="00B209BF" w:rsidP="00B209BF">
      <w:pPr>
        <w:spacing w:line="360" w:lineRule="auto"/>
        <w:jc w:val="both"/>
        <w:rPr>
          <w:rFonts w:ascii="Times New Roman" w:hAnsi="Times New Roman" w:cs="Times New Roman"/>
          <w:sz w:val="24"/>
          <w:szCs w:val="24"/>
        </w:rPr>
      </w:pPr>
      <w:r w:rsidRPr="00B209BF">
        <w:rPr>
          <w:rFonts w:ascii="Times New Roman" w:hAnsi="Times New Roman" w:cs="Times New Roman"/>
          <w:sz w:val="24"/>
          <w:szCs w:val="24"/>
        </w:rPr>
        <w:t>This paper has examined Jaguar Land Rover’s (JLR) strategy in light of the existing challenges in the automotive industry, such as accurate environmental regulations, technological disruption, and changing consumer preferences. The findings have indicated that JLR operates in a highly complex and competitive business environment characterised by increasing pressures from compression emission standards, elevated customer expectations for sustainable mobility solutions, and intensifying competition from traditional OEMs and new EV players. The company’s strong brand heritage, technological capabilities, and innovation focus have also been identified as JLR’s core strategic assets. As per RBV and VRIO analysis, JLR’s design and R&amp;D partnerships and its competencies in sustainability are considered valuable and rare resources that can be leveraged for building sustainable competitive advantage</w:t>
      </w:r>
      <w:r w:rsidR="00500F5B">
        <w:rPr>
          <w:rFonts w:ascii="Times New Roman" w:hAnsi="Times New Roman" w:cs="Times New Roman"/>
          <w:sz w:val="24"/>
          <w:szCs w:val="24"/>
        </w:rPr>
        <w:t xml:space="preserve">. </w:t>
      </w:r>
      <w:r w:rsidRPr="00B209BF">
        <w:rPr>
          <w:rFonts w:ascii="Times New Roman" w:hAnsi="Times New Roman" w:cs="Times New Roman"/>
          <w:sz w:val="24"/>
          <w:szCs w:val="24"/>
        </w:rPr>
        <w:t>Moreover,</w:t>
      </w:r>
      <w:r>
        <w:rPr>
          <w:rFonts w:ascii="Times New Roman" w:hAnsi="Times New Roman" w:cs="Times New Roman"/>
          <w:b/>
          <w:bCs/>
          <w:sz w:val="24"/>
          <w:szCs w:val="24"/>
        </w:rPr>
        <w:t xml:space="preserve"> </w:t>
      </w:r>
      <w:r>
        <w:rPr>
          <w:rFonts w:ascii="Times New Roman" w:hAnsi="Times New Roman" w:cs="Times New Roman"/>
          <w:sz w:val="24"/>
          <w:szCs w:val="24"/>
        </w:rPr>
        <w:t>t</w:t>
      </w:r>
      <w:r w:rsidRPr="00B209BF">
        <w:rPr>
          <w:rFonts w:ascii="Times New Roman" w:hAnsi="Times New Roman" w:cs="Times New Roman"/>
          <w:sz w:val="24"/>
          <w:szCs w:val="24"/>
        </w:rPr>
        <w:t>o fortify its competitive advantage, JLR should adopt an integrated approach to its strategy with a strong focus on electrification, innovation, and sustainability. The company should strive to rapidly scale its portfolio of electrified vehicles, while also investing in battery technologies and sustainable manufacturing. To enhance its supply chain resilience, JLR can also consider vertical integration and localisation of critical components. Moreover, by championing circular economy principles, enhancing ESG transparency, and driving digital transformation across its value chain, JLR can create shared value. By implementing the above measures, JLR can reposition itself as a leader in sustainable luxury mobility and set the stage for long-term profitability and resilience in a carbon-constrained world.</w:t>
      </w:r>
    </w:p>
    <w:p w14:paraId="3B8A5D27" w14:textId="77777777" w:rsidR="00B209BF" w:rsidRDefault="00B209BF" w:rsidP="00B209BF">
      <w:pPr>
        <w:spacing w:line="360" w:lineRule="auto"/>
        <w:jc w:val="both"/>
        <w:rPr>
          <w:rFonts w:ascii="Times New Roman" w:hAnsi="Times New Roman" w:cs="Times New Roman"/>
          <w:sz w:val="24"/>
          <w:szCs w:val="24"/>
        </w:rPr>
      </w:pPr>
    </w:p>
    <w:p w14:paraId="7F33FD0B" w14:textId="6AEAF78A" w:rsidR="00B209BF" w:rsidRDefault="00B209BF" w:rsidP="00B209BF">
      <w:pPr>
        <w:pStyle w:val="Heading1"/>
      </w:pPr>
      <w:bookmarkStart w:id="27" w:name="_Toc211197394"/>
      <w:r>
        <w:t>References</w:t>
      </w:r>
      <w:bookmarkEnd w:id="27"/>
      <w:r>
        <w:t xml:space="preserve"> </w:t>
      </w:r>
    </w:p>
    <w:p w14:paraId="2A235870" w14:textId="77777777" w:rsidR="00B209BF" w:rsidRPr="00B209BF" w:rsidRDefault="00B209BF" w:rsidP="00B209BF">
      <w:pPr>
        <w:spacing w:line="360" w:lineRule="auto"/>
        <w:jc w:val="both"/>
        <w:rPr>
          <w:rFonts w:ascii="Times New Roman" w:hAnsi="Times New Roman" w:cs="Times New Roman"/>
          <w:b/>
          <w:bCs/>
          <w:sz w:val="24"/>
          <w:szCs w:val="24"/>
        </w:rPr>
      </w:pPr>
    </w:p>
    <w:p w14:paraId="34D5DAF6"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r w:rsidRPr="00500F5B">
        <w:rPr>
          <w:rFonts w:ascii="Times New Roman" w:hAnsi="Times New Roman" w:cs="Times New Roman"/>
          <w:sz w:val="24"/>
          <w:szCs w:val="24"/>
        </w:rPr>
        <w:t xml:space="preserve">Anton, R. (2015). An integrated strategy framework (ISF) for combining Porter's 5-forces, Diamond, </w:t>
      </w:r>
      <w:proofErr w:type="spellStart"/>
      <w:r w:rsidRPr="00500F5B">
        <w:rPr>
          <w:rFonts w:ascii="Times New Roman" w:hAnsi="Times New Roman" w:cs="Times New Roman"/>
          <w:sz w:val="24"/>
          <w:szCs w:val="24"/>
        </w:rPr>
        <w:t>Pestel</w:t>
      </w:r>
      <w:proofErr w:type="spellEnd"/>
      <w:r w:rsidRPr="00500F5B">
        <w:rPr>
          <w:rFonts w:ascii="Times New Roman" w:hAnsi="Times New Roman" w:cs="Times New Roman"/>
          <w:sz w:val="24"/>
          <w:szCs w:val="24"/>
        </w:rPr>
        <w:t>, and SWOT analysis.</w:t>
      </w:r>
    </w:p>
    <w:p w14:paraId="0B3DE71D"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r w:rsidRPr="00500F5B">
        <w:rPr>
          <w:rFonts w:ascii="Times New Roman" w:hAnsi="Times New Roman" w:cs="Times New Roman"/>
          <w:sz w:val="24"/>
          <w:szCs w:val="24"/>
        </w:rPr>
        <w:t>Alvarez-Gil, M. J., &amp; de la Fe, P. G. (1998). </w:t>
      </w:r>
      <w:r w:rsidRPr="00500F5B">
        <w:rPr>
          <w:rFonts w:ascii="Times New Roman" w:hAnsi="Times New Roman" w:cs="Times New Roman"/>
          <w:i/>
          <w:iCs/>
          <w:sz w:val="24"/>
          <w:szCs w:val="24"/>
        </w:rPr>
        <w:t>Strategic alliances and new product development: the cases of Rover and Seat</w:t>
      </w:r>
      <w:r w:rsidRPr="00500F5B">
        <w:rPr>
          <w:rFonts w:ascii="Times New Roman" w:hAnsi="Times New Roman" w:cs="Times New Roman"/>
          <w:sz w:val="24"/>
          <w:szCs w:val="24"/>
        </w:rPr>
        <w:t>. Universidad Carlos III de Madrid.</w:t>
      </w:r>
    </w:p>
    <w:p w14:paraId="60D7EB8C"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r w:rsidRPr="00500F5B">
        <w:rPr>
          <w:rFonts w:ascii="Times New Roman" w:hAnsi="Times New Roman" w:cs="Times New Roman"/>
          <w:sz w:val="24"/>
          <w:szCs w:val="24"/>
        </w:rPr>
        <w:t xml:space="preserve">Arkady </w:t>
      </w:r>
      <w:proofErr w:type="spellStart"/>
      <w:r w:rsidRPr="00500F5B">
        <w:rPr>
          <w:rFonts w:ascii="Times New Roman" w:hAnsi="Times New Roman" w:cs="Times New Roman"/>
          <w:sz w:val="24"/>
          <w:szCs w:val="24"/>
        </w:rPr>
        <w:t>Gonoskov</w:t>
      </w:r>
      <w:proofErr w:type="spellEnd"/>
      <w:r w:rsidRPr="00500F5B">
        <w:rPr>
          <w:rFonts w:ascii="Times New Roman" w:hAnsi="Times New Roman" w:cs="Times New Roman"/>
          <w:sz w:val="24"/>
          <w:szCs w:val="24"/>
        </w:rPr>
        <w:t xml:space="preserve">, Blackburn, T., </w:t>
      </w:r>
      <w:proofErr w:type="spellStart"/>
      <w:r w:rsidRPr="00500F5B">
        <w:rPr>
          <w:rFonts w:ascii="Times New Roman" w:hAnsi="Times New Roman" w:cs="Times New Roman"/>
          <w:sz w:val="24"/>
          <w:szCs w:val="24"/>
        </w:rPr>
        <w:t>Mattias</w:t>
      </w:r>
      <w:proofErr w:type="spellEnd"/>
      <w:r w:rsidRPr="00500F5B">
        <w:rPr>
          <w:rFonts w:ascii="Times New Roman" w:hAnsi="Times New Roman" w:cs="Times New Roman"/>
          <w:sz w:val="24"/>
          <w:szCs w:val="24"/>
        </w:rPr>
        <w:t xml:space="preserve"> </w:t>
      </w:r>
      <w:proofErr w:type="spellStart"/>
      <w:r w:rsidRPr="00500F5B">
        <w:rPr>
          <w:rFonts w:ascii="Times New Roman" w:hAnsi="Times New Roman" w:cs="Times New Roman"/>
          <w:sz w:val="24"/>
          <w:szCs w:val="24"/>
        </w:rPr>
        <w:t>Marklund</w:t>
      </w:r>
      <w:proofErr w:type="spellEnd"/>
      <w:r w:rsidRPr="00500F5B">
        <w:rPr>
          <w:rFonts w:ascii="Times New Roman" w:hAnsi="Times New Roman" w:cs="Times New Roman"/>
          <w:sz w:val="24"/>
          <w:szCs w:val="24"/>
        </w:rPr>
        <w:t xml:space="preserve"> and </w:t>
      </w:r>
      <w:proofErr w:type="spellStart"/>
      <w:r w:rsidRPr="00500F5B">
        <w:rPr>
          <w:rFonts w:ascii="Times New Roman" w:hAnsi="Times New Roman" w:cs="Times New Roman"/>
          <w:sz w:val="24"/>
          <w:szCs w:val="24"/>
        </w:rPr>
        <w:t>Bulanov</w:t>
      </w:r>
      <w:proofErr w:type="spellEnd"/>
      <w:r w:rsidRPr="00500F5B">
        <w:rPr>
          <w:rFonts w:ascii="Times New Roman" w:hAnsi="Times New Roman" w:cs="Times New Roman"/>
          <w:sz w:val="24"/>
          <w:szCs w:val="24"/>
        </w:rPr>
        <w:t xml:space="preserve">, S.S. (2022). Charged particle motion and radiation in strong electromagnetic fields. </w:t>
      </w:r>
      <w:r w:rsidRPr="00500F5B">
        <w:rPr>
          <w:rFonts w:ascii="Times New Roman" w:hAnsi="Times New Roman" w:cs="Times New Roman"/>
          <w:i/>
          <w:iCs/>
          <w:sz w:val="24"/>
          <w:szCs w:val="24"/>
        </w:rPr>
        <w:t>Reviews of Modern Physics</w:t>
      </w:r>
      <w:r w:rsidRPr="00500F5B">
        <w:rPr>
          <w:rFonts w:ascii="Times New Roman" w:hAnsi="Times New Roman" w:cs="Times New Roman"/>
          <w:sz w:val="24"/>
          <w:szCs w:val="24"/>
        </w:rPr>
        <w:t xml:space="preserve">, 94(4). doi:  </w:t>
      </w:r>
      <w:hyperlink r:id="rId10" w:history="1">
        <w:r w:rsidRPr="00500F5B">
          <w:rPr>
            <w:rStyle w:val="Hyperlink"/>
            <w:rFonts w:ascii="Times New Roman" w:hAnsi="Times New Roman" w:cs="Times New Roman"/>
            <w:sz w:val="24"/>
            <w:szCs w:val="24"/>
          </w:rPr>
          <w:t>https://doi.org/10.1103/revmodphys.94.045001</w:t>
        </w:r>
      </w:hyperlink>
      <w:r w:rsidRPr="00500F5B">
        <w:rPr>
          <w:rFonts w:ascii="Times New Roman" w:hAnsi="Times New Roman" w:cs="Times New Roman"/>
          <w:sz w:val="24"/>
          <w:szCs w:val="24"/>
        </w:rPr>
        <w:t xml:space="preserve"> ( Accessed 08/10/2025).</w:t>
      </w:r>
    </w:p>
    <w:p w14:paraId="5674338C"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r w:rsidRPr="00500F5B">
        <w:rPr>
          <w:rFonts w:ascii="Times New Roman" w:hAnsi="Times New Roman" w:cs="Times New Roman"/>
          <w:sz w:val="24"/>
          <w:szCs w:val="24"/>
        </w:rPr>
        <w:t>Allen, A. (2015). Tomorrow's technology for yesterday's graduates: WMG expansion of the technical accreditation scheme at the University of Warwick. In </w:t>
      </w:r>
      <w:r w:rsidRPr="00500F5B">
        <w:rPr>
          <w:rFonts w:ascii="Times New Roman" w:hAnsi="Times New Roman" w:cs="Times New Roman"/>
          <w:i/>
          <w:iCs/>
          <w:sz w:val="24"/>
          <w:szCs w:val="24"/>
        </w:rPr>
        <w:t>ICERI2015 Proceedings</w:t>
      </w:r>
      <w:r w:rsidRPr="00500F5B">
        <w:rPr>
          <w:rFonts w:ascii="Times New Roman" w:hAnsi="Times New Roman" w:cs="Times New Roman"/>
          <w:sz w:val="24"/>
          <w:szCs w:val="24"/>
        </w:rPr>
        <w:t> (pp. 5620-5629). IATED.</w:t>
      </w:r>
    </w:p>
    <w:p w14:paraId="42EA6BF5"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r w:rsidRPr="00500F5B">
        <w:rPr>
          <w:rFonts w:ascii="Times New Roman" w:hAnsi="Times New Roman" w:cs="Times New Roman"/>
          <w:sz w:val="24"/>
          <w:szCs w:val="24"/>
        </w:rPr>
        <w:t xml:space="preserve">Akan, O., Allen, R. S., Helms, M. M., &amp; </w:t>
      </w:r>
      <w:proofErr w:type="spellStart"/>
      <w:r w:rsidRPr="00500F5B">
        <w:rPr>
          <w:rFonts w:ascii="Times New Roman" w:hAnsi="Times New Roman" w:cs="Times New Roman"/>
          <w:sz w:val="24"/>
          <w:szCs w:val="24"/>
        </w:rPr>
        <w:t>Spralls</w:t>
      </w:r>
      <w:proofErr w:type="spellEnd"/>
      <w:r w:rsidRPr="00500F5B">
        <w:rPr>
          <w:rFonts w:ascii="Times New Roman" w:hAnsi="Times New Roman" w:cs="Times New Roman"/>
          <w:sz w:val="24"/>
          <w:szCs w:val="24"/>
        </w:rPr>
        <w:t xml:space="preserve"> III, S. A. (2006). Critical tactics for implementing Porter's generic strategies. </w:t>
      </w:r>
      <w:r w:rsidRPr="00500F5B">
        <w:rPr>
          <w:rFonts w:ascii="Times New Roman" w:hAnsi="Times New Roman" w:cs="Times New Roman"/>
          <w:i/>
          <w:iCs/>
          <w:sz w:val="24"/>
          <w:szCs w:val="24"/>
        </w:rPr>
        <w:t>Journal of business strategy</w:t>
      </w:r>
      <w:r w:rsidRPr="00500F5B">
        <w:rPr>
          <w:rFonts w:ascii="Times New Roman" w:hAnsi="Times New Roman" w:cs="Times New Roman"/>
          <w:sz w:val="24"/>
          <w:szCs w:val="24"/>
        </w:rPr>
        <w:t>, </w:t>
      </w:r>
      <w:r w:rsidRPr="00500F5B">
        <w:rPr>
          <w:rFonts w:ascii="Times New Roman" w:hAnsi="Times New Roman" w:cs="Times New Roman"/>
          <w:i/>
          <w:iCs/>
          <w:sz w:val="24"/>
          <w:szCs w:val="24"/>
        </w:rPr>
        <w:t>27</w:t>
      </w:r>
      <w:r w:rsidRPr="00500F5B">
        <w:rPr>
          <w:rFonts w:ascii="Times New Roman" w:hAnsi="Times New Roman" w:cs="Times New Roman"/>
          <w:sz w:val="24"/>
          <w:szCs w:val="24"/>
        </w:rPr>
        <w:t>(1), 43-53.</w:t>
      </w:r>
    </w:p>
    <w:p w14:paraId="363C77A3"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Aisyah</w:t>
      </w:r>
      <w:proofErr w:type="spellEnd"/>
      <w:r w:rsidRPr="00500F5B">
        <w:rPr>
          <w:rFonts w:ascii="Times New Roman" w:hAnsi="Times New Roman" w:cs="Times New Roman"/>
          <w:sz w:val="24"/>
          <w:szCs w:val="24"/>
        </w:rPr>
        <w:t xml:space="preserve">, H., </w:t>
      </w:r>
      <w:proofErr w:type="spellStart"/>
      <w:r w:rsidRPr="00500F5B">
        <w:rPr>
          <w:rFonts w:ascii="Times New Roman" w:hAnsi="Times New Roman" w:cs="Times New Roman"/>
          <w:sz w:val="24"/>
          <w:szCs w:val="24"/>
        </w:rPr>
        <w:t>Puspita</w:t>
      </w:r>
      <w:proofErr w:type="spellEnd"/>
      <w:r w:rsidRPr="00500F5B">
        <w:rPr>
          <w:rFonts w:ascii="Times New Roman" w:hAnsi="Times New Roman" w:cs="Times New Roman"/>
          <w:sz w:val="24"/>
          <w:szCs w:val="24"/>
        </w:rPr>
        <w:t xml:space="preserve">, S., &amp; </w:t>
      </w:r>
      <w:proofErr w:type="spellStart"/>
      <w:r w:rsidRPr="00500F5B">
        <w:rPr>
          <w:rFonts w:ascii="Times New Roman" w:hAnsi="Times New Roman" w:cs="Times New Roman"/>
          <w:sz w:val="24"/>
          <w:szCs w:val="24"/>
        </w:rPr>
        <w:t>Elizamiharti</w:t>
      </w:r>
      <w:proofErr w:type="spellEnd"/>
      <w:r w:rsidRPr="00500F5B">
        <w:rPr>
          <w:rFonts w:ascii="Times New Roman" w:hAnsi="Times New Roman" w:cs="Times New Roman"/>
          <w:sz w:val="24"/>
          <w:szCs w:val="24"/>
        </w:rPr>
        <w:t xml:space="preserve">, E. (2022). Resource-Based View: </w:t>
      </w:r>
      <w:proofErr w:type="spellStart"/>
      <w:r w:rsidRPr="00500F5B">
        <w:rPr>
          <w:rFonts w:ascii="Times New Roman" w:hAnsi="Times New Roman" w:cs="Times New Roman"/>
          <w:sz w:val="24"/>
          <w:szCs w:val="24"/>
        </w:rPr>
        <w:t>Strategi</w:t>
      </w:r>
      <w:proofErr w:type="spellEnd"/>
      <w:r w:rsidRPr="00500F5B">
        <w:rPr>
          <w:rFonts w:ascii="Times New Roman" w:hAnsi="Times New Roman" w:cs="Times New Roman"/>
          <w:sz w:val="24"/>
          <w:szCs w:val="24"/>
        </w:rPr>
        <w:t xml:space="preserve"> </w:t>
      </w:r>
      <w:proofErr w:type="spellStart"/>
      <w:r w:rsidRPr="00500F5B">
        <w:rPr>
          <w:rFonts w:ascii="Times New Roman" w:hAnsi="Times New Roman" w:cs="Times New Roman"/>
          <w:sz w:val="24"/>
          <w:szCs w:val="24"/>
        </w:rPr>
        <w:t>Umkm</w:t>
      </w:r>
      <w:proofErr w:type="spellEnd"/>
      <w:r w:rsidRPr="00500F5B">
        <w:rPr>
          <w:rFonts w:ascii="Times New Roman" w:hAnsi="Times New Roman" w:cs="Times New Roman"/>
          <w:sz w:val="24"/>
          <w:szCs w:val="24"/>
        </w:rPr>
        <w:t xml:space="preserve"> Di </w:t>
      </w:r>
      <w:proofErr w:type="spellStart"/>
      <w:r w:rsidRPr="00500F5B">
        <w:rPr>
          <w:rFonts w:ascii="Times New Roman" w:hAnsi="Times New Roman" w:cs="Times New Roman"/>
          <w:sz w:val="24"/>
          <w:szCs w:val="24"/>
        </w:rPr>
        <w:t>Sumatera</w:t>
      </w:r>
      <w:proofErr w:type="spellEnd"/>
      <w:r w:rsidRPr="00500F5B">
        <w:rPr>
          <w:rFonts w:ascii="Times New Roman" w:hAnsi="Times New Roman" w:cs="Times New Roman"/>
          <w:sz w:val="24"/>
          <w:szCs w:val="24"/>
        </w:rPr>
        <w:t xml:space="preserve"> Barat </w:t>
      </w:r>
      <w:proofErr w:type="spellStart"/>
      <w:r w:rsidRPr="00500F5B">
        <w:rPr>
          <w:rFonts w:ascii="Times New Roman" w:hAnsi="Times New Roman" w:cs="Times New Roman"/>
          <w:sz w:val="24"/>
          <w:szCs w:val="24"/>
        </w:rPr>
        <w:t>Untuk</w:t>
      </w:r>
      <w:proofErr w:type="spellEnd"/>
      <w:r w:rsidRPr="00500F5B">
        <w:rPr>
          <w:rFonts w:ascii="Times New Roman" w:hAnsi="Times New Roman" w:cs="Times New Roman"/>
          <w:sz w:val="24"/>
          <w:szCs w:val="24"/>
        </w:rPr>
        <w:t xml:space="preserve"> </w:t>
      </w:r>
      <w:proofErr w:type="spellStart"/>
      <w:r w:rsidRPr="00500F5B">
        <w:rPr>
          <w:rFonts w:ascii="Times New Roman" w:hAnsi="Times New Roman" w:cs="Times New Roman"/>
          <w:sz w:val="24"/>
          <w:szCs w:val="24"/>
        </w:rPr>
        <w:t>Mencapai</w:t>
      </w:r>
      <w:proofErr w:type="spellEnd"/>
      <w:r w:rsidRPr="00500F5B">
        <w:rPr>
          <w:rFonts w:ascii="Times New Roman" w:hAnsi="Times New Roman" w:cs="Times New Roman"/>
          <w:sz w:val="24"/>
          <w:szCs w:val="24"/>
        </w:rPr>
        <w:t xml:space="preserve"> </w:t>
      </w:r>
      <w:proofErr w:type="spellStart"/>
      <w:r w:rsidRPr="00500F5B">
        <w:rPr>
          <w:rFonts w:ascii="Times New Roman" w:hAnsi="Times New Roman" w:cs="Times New Roman"/>
          <w:sz w:val="24"/>
          <w:szCs w:val="24"/>
        </w:rPr>
        <w:t>Keunggulan</w:t>
      </w:r>
      <w:proofErr w:type="spellEnd"/>
      <w:r w:rsidRPr="00500F5B">
        <w:rPr>
          <w:rFonts w:ascii="Times New Roman" w:hAnsi="Times New Roman" w:cs="Times New Roman"/>
          <w:sz w:val="24"/>
          <w:szCs w:val="24"/>
        </w:rPr>
        <w:t xml:space="preserve"> </w:t>
      </w:r>
      <w:proofErr w:type="spellStart"/>
      <w:r w:rsidRPr="00500F5B">
        <w:rPr>
          <w:rFonts w:ascii="Times New Roman" w:hAnsi="Times New Roman" w:cs="Times New Roman"/>
          <w:sz w:val="24"/>
          <w:szCs w:val="24"/>
        </w:rPr>
        <w:t>Kompetitif</w:t>
      </w:r>
      <w:proofErr w:type="spellEnd"/>
      <w:r w:rsidRPr="00500F5B">
        <w:rPr>
          <w:rFonts w:ascii="Times New Roman" w:hAnsi="Times New Roman" w:cs="Times New Roman"/>
          <w:sz w:val="24"/>
          <w:szCs w:val="24"/>
        </w:rPr>
        <w:t>. </w:t>
      </w:r>
      <w:r w:rsidRPr="00500F5B">
        <w:rPr>
          <w:rFonts w:ascii="Times New Roman" w:hAnsi="Times New Roman" w:cs="Times New Roman"/>
          <w:i/>
          <w:iCs/>
          <w:sz w:val="24"/>
          <w:szCs w:val="24"/>
        </w:rPr>
        <w:t xml:space="preserve">JMD: </w:t>
      </w:r>
      <w:proofErr w:type="spellStart"/>
      <w:r w:rsidRPr="00500F5B">
        <w:rPr>
          <w:rFonts w:ascii="Times New Roman" w:hAnsi="Times New Roman" w:cs="Times New Roman"/>
          <w:i/>
          <w:iCs/>
          <w:sz w:val="24"/>
          <w:szCs w:val="24"/>
        </w:rPr>
        <w:t>Jurnal</w:t>
      </w:r>
      <w:proofErr w:type="spellEnd"/>
      <w:r w:rsidRPr="00500F5B">
        <w:rPr>
          <w:rFonts w:ascii="Times New Roman" w:hAnsi="Times New Roman" w:cs="Times New Roman"/>
          <w:i/>
          <w:iCs/>
          <w:sz w:val="24"/>
          <w:szCs w:val="24"/>
        </w:rPr>
        <w:t xml:space="preserve"> </w:t>
      </w:r>
      <w:proofErr w:type="spellStart"/>
      <w:r w:rsidRPr="00500F5B">
        <w:rPr>
          <w:rFonts w:ascii="Times New Roman" w:hAnsi="Times New Roman" w:cs="Times New Roman"/>
          <w:i/>
          <w:iCs/>
          <w:sz w:val="24"/>
          <w:szCs w:val="24"/>
        </w:rPr>
        <w:t>Riset</w:t>
      </w:r>
      <w:proofErr w:type="spellEnd"/>
      <w:r w:rsidRPr="00500F5B">
        <w:rPr>
          <w:rFonts w:ascii="Times New Roman" w:hAnsi="Times New Roman" w:cs="Times New Roman"/>
          <w:i/>
          <w:iCs/>
          <w:sz w:val="24"/>
          <w:szCs w:val="24"/>
        </w:rPr>
        <w:t xml:space="preserve"> </w:t>
      </w:r>
      <w:proofErr w:type="spellStart"/>
      <w:r w:rsidRPr="00500F5B">
        <w:rPr>
          <w:rFonts w:ascii="Times New Roman" w:hAnsi="Times New Roman" w:cs="Times New Roman"/>
          <w:i/>
          <w:iCs/>
          <w:sz w:val="24"/>
          <w:szCs w:val="24"/>
        </w:rPr>
        <w:t>Manajemen</w:t>
      </w:r>
      <w:proofErr w:type="spellEnd"/>
      <w:r w:rsidRPr="00500F5B">
        <w:rPr>
          <w:rFonts w:ascii="Times New Roman" w:hAnsi="Times New Roman" w:cs="Times New Roman"/>
          <w:i/>
          <w:iCs/>
          <w:sz w:val="24"/>
          <w:szCs w:val="24"/>
        </w:rPr>
        <w:t xml:space="preserve"> &amp; </w:t>
      </w:r>
      <w:proofErr w:type="spellStart"/>
      <w:r w:rsidRPr="00500F5B">
        <w:rPr>
          <w:rFonts w:ascii="Times New Roman" w:hAnsi="Times New Roman" w:cs="Times New Roman"/>
          <w:i/>
          <w:iCs/>
          <w:sz w:val="24"/>
          <w:szCs w:val="24"/>
        </w:rPr>
        <w:t>Bisnis</w:t>
      </w:r>
      <w:proofErr w:type="spellEnd"/>
      <w:r w:rsidRPr="00500F5B">
        <w:rPr>
          <w:rFonts w:ascii="Times New Roman" w:hAnsi="Times New Roman" w:cs="Times New Roman"/>
          <w:i/>
          <w:iCs/>
          <w:sz w:val="24"/>
          <w:szCs w:val="24"/>
        </w:rPr>
        <w:t xml:space="preserve"> </w:t>
      </w:r>
      <w:proofErr w:type="spellStart"/>
      <w:r w:rsidRPr="00500F5B">
        <w:rPr>
          <w:rFonts w:ascii="Times New Roman" w:hAnsi="Times New Roman" w:cs="Times New Roman"/>
          <w:i/>
          <w:iCs/>
          <w:sz w:val="24"/>
          <w:szCs w:val="24"/>
        </w:rPr>
        <w:t>Dewantara</w:t>
      </w:r>
      <w:proofErr w:type="spellEnd"/>
      <w:r w:rsidRPr="00500F5B">
        <w:rPr>
          <w:rFonts w:ascii="Times New Roman" w:hAnsi="Times New Roman" w:cs="Times New Roman"/>
          <w:sz w:val="24"/>
          <w:szCs w:val="24"/>
        </w:rPr>
        <w:t>, </w:t>
      </w:r>
      <w:r w:rsidRPr="00500F5B">
        <w:rPr>
          <w:rFonts w:ascii="Times New Roman" w:hAnsi="Times New Roman" w:cs="Times New Roman"/>
          <w:i/>
          <w:iCs/>
          <w:sz w:val="24"/>
          <w:szCs w:val="24"/>
        </w:rPr>
        <w:t>5</w:t>
      </w:r>
      <w:r w:rsidRPr="00500F5B">
        <w:rPr>
          <w:rFonts w:ascii="Times New Roman" w:hAnsi="Times New Roman" w:cs="Times New Roman"/>
          <w:sz w:val="24"/>
          <w:szCs w:val="24"/>
        </w:rPr>
        <w:t>(2), 109-120.</w:t>
      </w:r>
    </w:p>
    <w:p w14:paraId="48C675B1"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Bunzel</w:t>
      </w:r>
      <w:proofErr w:type="spellEnd"/>
      <w:r w:rsidRPr="00500F5B">
        <w:rPr>
          <w:rFonts w:ascii="Times New Roman" w:hAnsi="Times New Roman" w:cs="Times New Roman"/>
          <w:sz w:val="24"/>
          <w:szCs w:val="24"/>
        </w:rPr>
        <w:t xml:space="preserve">, W. M., &amp; </w:t>
      </w:r>
      <w:proofErr w:type="spellStart"/>
      <w:r w:rsidRPr="00500F5B">
        <w:rPr>
          <w:rFonts w:ascii="Times New Roman" w:hAnsi="Times New Roman" w:cs="Times New Roman"/>
          <w:sz w:val="24"/>
          <w:szCs w:val="24"/>
        </w:rPr>
        <w:t>Ruhnau</w:t>
      </w:r>
      <w:proofErr w:type="spellEnd"/>
      <w:r w:rsidRPr="00500F5B">
        <w:rPr>
          <w:rFonts w:ascii="Times New Roman" w:hAnsi="Times New Roman" w:cs="Times New Roman"/>
          <w:sz w:val="24"/>
          <w:szCs w:val="24"/>
        </w:rPr>
        <w:t>, T. (2015). Drivers of Sustainability in the Automotive Industry. In </w:t>
      </w:r>
      <w:r w:rsidRPr="00500F5B">
        <w:rPr>
          <w:rFonts w:ascii="Times New Roman" w:hAnsi="Times New Roman" w:cs="Times New Roman"/>
          <w:i/>
          <w:iCs/>
          <w:sz w:val="24"/>
          <w:szCs w:val="24"/>
        </w:rPr>
        <w:t>Sustainable Automotive Technologies 2014: Proceedings of the 6th ICSAT</w:t>
      </w:r>
      <w:r w:rsidRPr="00500F5B">
        <w:rPr>
          <w:rFonts w:ascii="Times New Roman" w:hAnsi="Times New Roman" w:cs="Times New Roman"/>
          <w:sz w:val="24"/>
          <w:szCs w:val="24"/>
        </w:rPr>
        <w:t> (pp. 137-145). Cham: Springer International Publishing.</w:t>
      </w:r>
    </w:p>
    <w:p w14:paraId="009DDA1A"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Charak</w:t>
      </w:r>
      <w:proofErr w:type="spellEnd"/>
      <w:r w:rsidRPr="00500F5B">
        <w:rPr>
          <w:rFonts w:ascii="Times New Roman" w:hAnsi="Times New Roman" w:cs="Times New Roman"/>
          <w:sz w:val="24"/>
          <w:szCs w:val="24"/>
        </w:rPr>
        <w:t xml:space="preserve">, A., Ravi, K., &amp; </w:t>
      </w:r>
      <w:proofErr w:type="spellStart"/>
      <w:r w:rsidRPr="00500F5B">
        <w:rPr>
          <w:rFonts w:ascii="Times New Roman" w:hAnsi="Times New Roman" w:cs="Times New Roman"/>
          <w:sz w:val="24"/>
          <w:szCs w:val="24"/>
        </w:rPr>
        <w:t>Verma</w:t>
      </w:r>
      <w:proofErr w:type="spellEnd"/>
      <w:r w:rsidRPr="00500F5B">
        <w:rPr>
          <w:rFonts w:ascii="Times New Roman" w:hAnsi="Times New Roman" w:cs="Times New Roman"/>
          <w:sz w:val="24"/>
          <w:szCs w:val="24"/>
        </w:rPr>
        <w:t>, A. (2024). Review of various climate change exacerbated natural hazards in India and consequential socioeconomic vulnerabilities. </w:t>
      </w:r>
      <w:r w:rsidRPr="00500F5B">
        <w:rPr>
          <w:rFonts w:ascii="Times New Roman" w:hAnsi="Times New Roman" w:cs="Times New Roman"/>
          <w:i/>
          <w:iCs/>
          <w:sz w:val="24"/>
          <w:szCs w:val="24"/>
        </w:rPr>
        <w:t>IDRiM Journal</w:t>
      </w:r>
      <w:r w:rsidRPr="00500F5B">
        <w:rPr>
          <w:rFonts w:ascii="Times New Roman" w:hAnsi="Times New Roman" w:cs="Times New Roman"/>
          <w:sz w:val="24"/>
          <w:szCs w:val="24"/>
        </w:rPr>
        <w:t>, </w:t>
      </w:r>
      <w:r w:rsidRPr="00500F5B">
        <w:rPr>
          <w:rFonts w:ascii="Times New Roman" w:hAnsi="Times New Roman" w:cs="Times New Roman"/>
          <w:i/>
          <w:iCs/>
          <w:sz w:val="24"/>
          <w:szCs w:val="24"/>
        </w:rPr>
        <w:t>13</w:t>
      </w:r>
      <w:r w:rsidRPr="00500F5B">
        <w:rPr>
          <w:rFonts w:ascii="Times New Roman" w:hAnsi="Times New Roman" w:cs="Times New Roman"/>
          <w:sz w:val="24"/>
          <w:szCs w:val="24"/>
        </w:rPr>
        <w:t>(2), 142-177.</w:t>
      </w:r>
    </w:p>
    <w:p w14:paraId="42C4BFE8"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Drozd</w:t>
      </w:r>
      <w:proofErr w:type="spellEnd"/>
      <w:r w:rsidRPr="00500F5B">
        <w:rPr>
          <w:rFonts w:ascii="Times New Roman" w:hAnsi="Times New Roman" w:cs="Times New Roman"/>
          <w:sz w:val="24"/>
          <w:szCs w:val="24"/>
        </w:rPr>
        <w:t xml:space="preserve">, M., </w:t>
      </w:r>
      <w:proofErr w:type="spellStart"/>
      <w:r w:rsidRPr="00500F5B">
        <w:rPr>
          <w:rFonts w:ascii="Times New Roman" w:hAnsi="Times New Roman" w:cs="Times New Roman"/>
          <w:sz w:val="24"/>
          <w:szCs w:val="24"/>
        </w:rPr>
        <w:t>Hanuljaková</w:t>
      </w:r>
      <w:proofErr w:type="spellEnd"/>
      <w:r w:rsidRPr="00500F5B">
        <w:rPr>
          <w:rFonts w:ascii="Times New Roman" w:hAnsi="Times New Roman" w:cs="Times New Roman"/>
          <w:sz w:val="24"/>
          <w:szCs w:val="24"/>
        </w:rPr>
        <w:t xml:space="preserve">, H., &amp; </w:t>
      </w:r>
      <w:proofErr w:type="spellStart"/>
      <w:r w:rsidRPr="00500F5B">
        <w:rPr>
          <w:rFonts w:ascii="Times New Roman" w:hAnsi="Times New Roman" w:cs="Times New Roman"/>
          <w:sz w:val="24"/>
          <w:szCs w:val="24"/>
        </w:rPr>
        <w:t>Popovicova</w:t>
      </w:r>
      <w:proofErr w:type="spellEnd"/>
      <w:r w:rsidRPr="00500F5B">
        <w:rPr>
          <w:rFonts w:ascii="Times New Roman" w:hAnsi="Times New Roman" w:cs="Times New Roman"/>
          <w:sz w:val="24"/>
          <w:szCs w:val="24"/>
        </w:rPr>
        <w:t xml:space="preserve">, A. (2024). Carbon footprint analysis of Jaguar Land Rover Slovakia </w:t>
      </w:r>
      <w:proofErr w:type="spellStart"/>
      <w:r w:rsidRPr="00500F5B">
        <w:rPr>
          <w:rFonts w:ascii="Times New Roman" w:hAnsi="Times New Roman" w:cs="Times New Roman"/>
          <w:sz w:val="24"/>
          <w:szCs w:val="24"/>
        </w:rPr>
        <w:t>sro</w:t>
      </w:r>
      <w:proofErr w:type="spellEnd"/>
      <w:r w:rsidRPr="00500F5B">
        <w:rPr>
          <w:rFonts w:ascii="Times New Roman" w:hAnsi="Times New Roman" w:cs="Times New Roman"/>
          <w:sz w:val="24"/>
          <w:szCs w:val="24"/>
        </w:rPr>
        <w:t>. </w:t>
      </w:r>
      <w:proofErr w:type="spellStart"/>
      <w:r w:rsidRPr="00500F5B">
        <w:rPr>
          <w:rFonts w:ascii="Times New Roman" w:hAnsi="Times New Roman" w:cs="Times New Roman"/>
          <w:i/>
          <w:iCs/>
          <w:sz w:val="24"/>
          <w:szCs w:val="24"/>
        </w:rPr>
        <w:t>Ecocycles</w:t>
      </w:r>
      <w:proofErr w:type="spellEnd"/>
      <w:r w:rsidRPr="00500F5B">
        <w:rPr>
          <w:rFonts w:ascii="Times New Roman" w:hAnsi="Times New Roman" w:cs="Times New Roman"/>
          <w:sz w:val="24"/>
          <w:szCs w:val="24"/>
        </w:rPr>
        <w:t>, </w:t>
      </w:r>
      <w:r w:rsidRPr="00500F5B">
        <w:rPr>
          <w:rFonts w:ascii="Times New Roman" w:hAnsi="Times New Roman" w:cs="Times New Roman"/>
          <w:i/>
          <w:iCs/>
          <w:sz w:val="24"/>
          <w:szCs w:val="24"/>
        </w:rPr>
        <w:t>10</w:t>
      </w:r>
      <w:r w:rsidRPr="00500F5B">
        <w:rPr>
          <w:rFonts w:ascii="Times New Roman" w:hAnsi="Times New Roman" w:cs="Times New Roman"/>
          <w:sz w:val="24"/>
          <w:szCs w:val="24"/>
        </w:rPr>
        <w:t>(1), 95-104.</w:t>
      </w:r>
    </w:p>
    <w:p w14:paraId="1103046C"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Galadanchi</w:t>
      </w:r>
      <w:proofErr w:type="spellEnd"/>
      <w:r w:rsidRPr="00500F5B">
        <w:rPr>
          <w:rFonts w:ascii="Times New Roman" w:hAnsi="Times New Roman" w:cs="Times New Roman"/>
          <w:sz w:val="24"/>
          <w:szCs w:val="24"/>
        </w:rPr>
        <w:t xml:space="preserve">, H., &amp; </w:t>
      </w:r>
      <w:proofErr w:type="spellStart"/>
      <w:r w:rsidRPr="00500F5B">
        <w:rPr>
          <w:rFonts w:ascii="Times New Roman" w:hAnsi="Times New Roman" w:cs="Times New Roman"/>
          <w:sz w:val="24"/>
          <w:szCs w:val="24"/>
        </w:rPr>
        <w:t>Bakar</w:t>
      </w:r>
      <w:proofErr w:type="spellEnd"/>
      <w:r w:rsidRPr="00500F5B">
        <w:rPr>
          <w:rFonts w:ascii="Times New Roman" w:hAnsi="Times New Roman" w:cs="Times New Roman"/>
          <w:sz w:val="24"/>
          <w:szCs w:val="24"/>
        </w:rPr>
        <w:t>, L. J. (2018). A study of factors that support longevity of business enterprises. </w:t>
      </w:r>
      <w:r w:rsidRPr="00500F5B">
        <w:rPr>
          <w:rFonts w:ascii="Times New Roman" w:hAnsi="Times New Roman" w:cs="Times New Roman"/>
          <w:i/>
          <w:iCs/>
          <w:sz w:val="24"/>
          <w:szCs w:val="24"/>
        </w:rPr>
        <w:t>Journal of Business and Management</w:t>
      </w:r>
      <w:r w:rsidRPr="00500F5B">
        <w:rPr>
          <w:rFonts w:ascii="Times New Roman" w:hAnsi="Times New Roman" w:cs="Times New Roman"/>
          <w:sz w:val="24"/>
          <w:szCs w:val="24"/>
        </w:rPr>
        <w:t>, </w:t>
      </w:r>
      <w:r w:rsidRPr="00500F5B">
        <w:rPr>
          <w:rFonts w:ascii="Times New Roman" w:hAnsi="Times New Roman" w:cs="Times New Roman"/>
          <w:i/>
          <w:iCs/>
          <w:sz w:val="24"/>
          <w:szCs w:val="24"/>
        </w:rPr>
        <w:t>20</w:t>
      </w:r>
      <w:r w:rsidRPr="00500F5B">
        <w:rPr>
          <w:rFonts w:ascii="Times New Roman" w:hAnsi="Times New Roman" w:cs="Times New Roman"/>
          <w:sz w:val="24"/>
          <w:szCs w:val="24"/>
        </w:rPr>
        <w:t>(1), 53-59.</w:t>
      </w:r>
    </w:p>
    <w:p w14:paraId="3BCD59B5"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r w:rsidRPr="00500F5B">
        <w:rPr>
          <w:rFonts w:ascii="Times New Roman" w:hAnsi="Times New Roman" w:cs="Times New Roman"/>
          <w:sz w:val="24"/>
          <w:szCs w:val="24"/>
        </w:rPr>
        <w:t>Gupta, N. (2022). </w:t>
      </w:r>
      <w:r w:rsidRPr="00500F5B">
        <w:rPr>
          <w:rFonts w:ascii="Times New Roman" w:hAnsi="Times New Roman" w:cs="Times New Roman"/>
          <w:i/>
          <w:iCs/>
          <w:sz w:val="24"/>
          <w:szCs w:val="24"/>
        </w:rPr>
        <w:t>Cross Border Merger &amp; Acquisition a wealth creating proposition: An exploratory case study of Tata Motors and Jaguar Land Rover</w:t>
      </w:r>
      <w:r w:rsidRPr="00500F5B">
        <w:rPr>
          <w:rFonts w:ascii="Times New Roman" w:hAnsi="Times New Roman" w:cs="Times New Roman"/>
          <w:sz w:val="24"/>
          <w:szCs w:val="24"/>
        </w:rPr>
        <w:t> (Doctoral dissertation, Dublin, National College of Ireland).</w:t>
      </w:r>
    </w:p>
    <w:p w14:paraId="4FF7509E"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Jaksic</w:t>
      </w:r>
      <w:proofErr w:type="spellEnd"/>
      <w:r w:rsidRPr="00500F5B">
        <w:rPr>
          <w:rFonts w:ascii="Times New Roman" w:hAnsi="Times New Roman" w:cs="Times New Roman"/>
          <w:sz w:val="24"/>
          <w:szCs w:val="24"/>
        </w:rPr>
        <w:t>, M. L. (2016). Sustainable innovation of technology and business models: rethinking business strategy. </w:t>
      </w:r>
      <w:r w:rsidRPr="00500F5B">
        <w:rPr>
          <w:rFonts w:ascii="Times New Roman" w:hAnsi="Times New Roman" w:cs="Times New Roman"/>
          <w:i/>
          <w:iCs/>
          <w:sz w:val="24"/>
          <w:szCs w:val="24"/>
        </w:rPr>
        <w:t>South-Eastern Europe Journal of Economics</w:t>
      </w:r>
      <w:r w:rsidRPr="00500F5B">
        <w:rPr>
          <w:rFonts w:ascii="Times New Roman" w:hAnsi="Times New Roman" w:cs="Times New Roman"/>
          <w:sz w:val="24"/>
          <w:szCs w:val="24"/>
        </w:rPr>
        <w:t>, </w:t>
      </w:r>
      <w:r w:rsidRPr="00500F5B">
        <w:rPr>
          <w:rFonts w:ascii="Times New Roman" w:hAnsi="Times New Roman" w:cs="Times New Roman"/>
          <w:i/>
          <w:iCs/>
          <w:sz w:val="24"/>
          <w:szCs w:val="24"/>
        </w:rPr>
        <w:t>14</w:t>
      </w:r>
      <w:r w:rsidRPr="00500F5B">
        <w:rPr>
          <w:rFonts w:ascii="Times New Roman" w:hAnsi="Times New Roman" w:cs="Times New Roman"/>
          <w:sz w:val="24"/>
          <w:szCs w:val="24"/>
        </w:rPr>
        <w:t>(2).</w:t>
      </w:r>
    </w:p>
    <w:p w14:paraId="5DDC8B66"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Jankalová</w:t>
      </w:r>
      <w:proofErr w:type="spellEnd"/>
      <w:r w:rsidRPr="00500F5B">
        <w:rPr>
          <w:rFonts w:ascii="Times New Roman" w:hAnsi="Times New Roman" w:cs="Times New Roman"/>
          <w:sz w:val="24"/>
          <w:szCs w:val="24"/>
        </w:rPr>
        <w:t>, J. K. M. (2021). SECTORAL ENVIRONMENT ANALYSIS AS A PART OF THE PROCESS OF DETERMINING THE VALUE OF A COMPANY. </w:t>
      </w:r>
      <w:r w:rsidRPr="00500F5B">
        <w:rPr>
          <w:rFonts w:ascii="Times New Roman" w:hAnsi="Times New Roman" w:cs="Times New Roman"/>
          <w:i/>
          <w:iCs/>
          <w:sz w:val="24"/>
          <w:szCs w:val="24"/>
        </w:rPr>
        <w:t>CER Comparative European Research 2021</w:t>
      </w:r>
      <w:r w:rsidRPr="00500F5B">
        <w:rPr>
          <w:rFonts w:ascii="Times New Roman" w:hAnsi="Times New Roman" w:cs="Times New Roman"/>
          <w:sz w:val="24"/>
          <w:szCs w:val="24"/>
        </w:rPr>
        <w:t>.</w:t>
      </w:r>
    </w:p>
    <w:p w14:paraId="70DCA543"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Lestari</w:t>
      </w:r>
      <w:proofErr w:type="spellEnd"/>
      <w:r w:rsidRPr="00500F5B">
        <w:rPr>
          <w:rFonts w:ascii="Times New Roman" w:hAnsi="Times New Roman" w:cs="Times New Roman"/>
          <w:sz w:val="24"/>
          <w:szCs w:val="24"/>
        </w:rPr>
        <w:t xml:space="preserve">, D. S. T., &amp; </w:t>
      </w:r>
      <w:proofErr w:type="spellStart"/>
      <w:r w:rsidRPr="00500F5B">
        <w:rPr>
          <w:rFonts w:ascii="Times New Roman" w:hAnsi="Times New Roman" w:cs="Times New Roman"/>
          <w:sz w:val="24"/>
          <w:szCs w:val="24"/>
        </w:rPr>
        <w:t>Quddoos</w:t>
      </w:r>
      <w:proofErr w:type="spellEnd"/>
      <w:r w:rsidRPr="00500F5B">
        <w:rPr>
          <w:rFonts w:ascii="Times New Roman" w:hAnsi="Times New Roman" w:cs="Times New Roman"/>
          <w:sz w:val="24"/>
          <w:szCs w:val="24"/>
        </w:rPr>
        <w:t xml:space="preserve">, M. U. (2025). THE INFLUENCE OF MARKET RESEARCH, CONSUMER </w:t>
      </w:r>
      <w:proofErr w:type="spellStart"/>
      <w:r w:rsidRPr="00500F5B">
        <w:rPr>
          <w:rFonts w:ascii="Times New Roman" w:hAnsi="Times New Roman" w:cs="Times New Roman"/>
          <w:sz w:val="24"/>
          <w:szCs w:val="24"/>
        </w:rPr>
        <w:t>BEHAVIOR</w:t>
      </w:r>
      <w:proofErr w:type="spellEnd"/>
      <w:r w:rsidRPr="00500F5B">
        <w:rPr>
          <w:rFonts w:ascii="Times New Roman" w:hAnsi="Times New Roman" w:cs="Times New Roman"/>
          <w:sz w:val="24"/>
          <w:szCs w:val="24"/>
        </w:rPr>
        <w:t xml:space="preserve"> AND WORD OF MOUTH COMMUNICATION FOR SUSTAINABLE MARKETING OF ELECTRIC VEHICLE IN INDONESIA. </w:t>
      </w:r>
      <w:r w:rsidRPr="00500F5B">
        <w:rPr>
          <w:rFonts w:ascii="Times New Roman" w:hAnsi="Times New Roman" w:cs="Times New Roman"/>
          <w:i/>
          <w:iCs/>
          <w:sz w:val="24"/>
          <w:szCs w:val="24"/>
        </w:rPr>
        <w:t>Multidisciplinary Indonesian Center Journal (MICJO)</w:t>
      </w:r>
      <w:r w:rsidRPr="00500F5B">
        <w:rPr>
          <w:rFonts w:ascii="Times New Roman" w:hAnsi="Times New Roman" w:cs="Times New Roman"/>
          <w:sz w:val="24"/>
          <w:szCs w:val="24"/>
        </w:rPr>
        <w:t>, </w:t>
      </w:r>
      <w:r w:rsidRPr="00500F5B">
        <w:rPr>
          <w:rFonts w:ascii="Times New Roman" w:hAnsi="Times New Roman" w:cs="Times New Roman"/>
          <w:i/>
          <w:iCs/>
          <w:sz w:val="24"/>
          <w:szCs w:val="24"/>
        </w:rPr>
        <w:t>2</w:t>
      </w:r>
      <w:r w:rsidRPr="00500F5B">
        <w:rPr>
          <w:rFonts w:ascii="Times New Roman" w:hAnsi="Times New Roman" w:cs="Times New Roman"/>
          <w:sz w:val="24"/>
          <w:szCs w:val="24"/>
        </w:rPr>
        <w:t>(2), 2247-2257.</w:t>
      </w:r>
    </w:p>
    <w:p w14:paraId="5BBCFA0B"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r w:rsidRPr="00500F5B">
        <w:rPr>
          <w:rFonts w:ascii="Times New Roman" w:hAnsi="Times New Roman" w:cs="Times New Roman"/>
          <w:sz w:val="24"/>
          <w:szCs w:val="24"/>
        </w:rPr>
        <w:t xml:space="preserve">Moon, H. C., </w:t>
      </w:r>
      <w:proofErr w:type="spellStart"/>
      <w:r w:rsidRPr="00500F5B">
        <w:rPr>
          <w:rFonts w:ascii="Times New Roman" w:hAnsi="Times New Roman" w:cs="Times New Roman"/>
          <w:sz w:val="24"/>
          <w:szCs w:val="24"/>
        </w:rPr>
        <w:t>Hur</w:t>
      </w:r>
      <w:proofErr w:type="spellEnd"/>
      <w:r w:rsidRPr="00500F5B">
        <w:rPr>
          <w:rFonts w:ascii="Times New Roman" w:hAnsi="Times New Roman" w:cs="Times New Roman"/>
          <w:sz w:val="24"/>
          <w:szCs w:val="24"/>
        </w:rPr>
        <w:t>, Y. K., Yin, W., &amp; Helm, C. (2014). Extending Porter’s generic strategies: from three to eight. </w:t>
      </w:r>
      <w:r w:rsidRPr="00500F5B">
        <w:rPr>
          <w:rFonts w:ascii="Times New Roman" w:hAnsi="Times New Roman" w:cs="Times New Roman"/>
          <w:i/>
          <w:iCs/>
          <w:sz w:val="24"/>
          <w:szCs w:val="24"/>
        </w:rPr>
        <w:t>European Journal of International Management</w:t>
      </w:r>
      <w:r w:rsidRPr="00500F5B">
        <w:rPr>
          <w:rFonts w:ascii="Times New Roman" w:hAnsi="Times New Roman" w:cs="Times New Roman"/>
          <w:sz w:val="24"/>
          <w:szCs w:val="24"/>
        </w:rPr>
        <w:t>, </w:t>
      </w:r>
      <w:r w:rsidRPr="00500F5B">
        <w:rPr>
          <w:rFonts w:ascii="Times New Roman" w:hAnsi="Times New Roman" w:cs="Times New Roman"/>
          <w:i/>
          <w:iCs/>
          <w:sz w:val="24"/>
          <w:szCs w:val="24"/>
        </w:rPr>
        <w:t>8</w:t>
      </w:r>
      <w:r w:rsidRPr="00500F5B">
        <w:rPr>
          <w:rFonts w:ascii="Times New Roman" w:hAnsi="Times New Roman" w:cs="Times New Roman"/>
          <w:sz w:val="24"/>
          <w:szCs w:val="24"/>
        </w:rPr>
        <w:t>(2), 205-225.</w:t>
      </w:r>
    </w:p>
    <w:p w14:paraId="7BD157D3"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Putra</w:t>
      </w:r>
      <w:proofErr w:type="spellEnd"/>
      <w:r w:rsidRPr="00500F5B">
        <w:rPr>
          <w:rFonts w:ascii="Times New Roman" w:hAnsi="Times New Roman" w:cs="Times New Roman"/>
          <w:sz w:val="24"/>
          <w:szCs w:val="24"/>
        </w:rPr>
        <w:t xml:space="preserve">, F. A., &amp; </w:t>
      </w:r>
      <w:proofErr w:type="spellStart"/>
      <w:r w:rsidRPr="00500F5B">
        <w:rPr>
          <w:rFonts w:ascii="Times New Roman" w:hAnsi="Times New Roman" w:cs="Times New Roman"/>
          <w:sz w:val="24"/>
          <w:szCs w:val="24"/>
        </w:rPr>
        <w:t>Hermawan</w:t>
      </w:r>
      <w:proofErr w:type="spellEnd"/>
      <w:r w:rsidRPr="00500F5B">
        <w:rPr>
          <w:rFonts w:ascii="Times New Roman" w:hAnsi="Times New Roman" w:cs="Times New Roman"/>
          <w:sz w:val="24"/>
          <w:szCs w:val="24"/>
        </w:rPr>
        <w:t>, P. (2023). Navigating the Development of Battery Electric Vehicle Business Ecosystem in Indonesia: Business Strategy and Scenario Planning for PLN ICON PLUS.</w:t>
      </w:r>
    </w:p>
    <w:p w14:paraId="29234612"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Pahurkar</w:t>
      </w:r>
      <w:proofErr w:type="spellEnd"/>
      <w:r w:rsidRPr="00500F5B">
        <w:rPr>
          <w:rFonts w:ascii="Times New Roman" w:hAnsi="Times New Roman" w:cs="Times New Roman"/>
          <w:sz w:val="24"/>
          <w:szCs w:val="24"/>
        </w:rPr>
        <w:t xml:space="preserve">, R.N. and </w:t>
      </w:r>
      <w:proofErr w:type="spellStart"/>
      <w:r w:rsidRPr="00500F5B">
        <w:rPr>
          <w:rFonts w:ascii="Times New Roman" w:hAnsi="Times New Roman" w:cs="Times New Roman"/>
          <w:sz w:val="24"/>
          <w:szCs w:val="24"/>
        </w:rPr>
        <w:t>Metha</w:t>
      </w:r>
      <w:proofErr w:type="spellEnd"/>
      <w:r w:rsidRPr="00500F5B">
        <w:rPr>
          <w:rFonts w:ascii="Times New Roman" w:hAnsi="Times New Roman" w:cs="Times New Roman"/>
          <w:sz w:val="24"/>
          <w:szCs w:val="24"/>
        </w:rPr>
        <w:t xml:space="preserve">, P. (2018). Developing Sustainable Marketing Strategy for Electric Vehicle (EV) - </w:t>
      </w:r>
      <w:proofErr w:type="spellStart"/>
      <w:r w:rsidRPr="00500F5B">
        <w:rPr>
          <w:rFonts w:ascii="Times New Roman" w:hAnsi="Times New Roman" w:cs="Times New Roman"/>
          <w:sz w:val="24"/>
          <w:szCs w:val="24"/>
        </w:rPr>
        <w:t>Automotif</w:t>
      </w:r>
      <w:proofErr w:type="spellEnd"/>
      <w:r w:rsidRPr="00500F5B">
        <w:rPr>
          <w:rFonts w:ascii="Times New Roman" w:hAnsi="Times New Roman" w:cs="Times New Roman"/>
          <w:sz w:val="24"/>
          <w:szCs w:val="24"/>
        </w:rPr>
        <w:t xml:space="preserve">. </w:t>
      </w:r>
      <w:r w:rsidRPr="00500F5B">
        <w:rPr>
          <w:rFonts w:ascii="Times New Roman" w:hAnsi="Times New Roman" w:cs="Times New Roman"/>
          <w:i/>
          <w:iCs/>
          <w:sz w:val="24"/>
          <w:szCs w:val="24"/>
        </w:rPr>
        <w:t>International Journal of Emerging Research in Management and Technology</w:t>
      </w:r>
      <w:r w:rsidRPr="00500F5B">
        <w:rPr>
          <w:rFonts w:ascii="Times New Roman" w:hAnsi="Times New Roman" w:cs="Times New Roman"/>
          <w:sz w:val="24"/>
          <w:szCs w:val="24"/>
        </w:rPr>
        <w:t xml:space="preserve">, 6(11), p.115. doi:  </w:t>
      </w:r>
      <w:hyperlink r:id="rId11" w:history="1">
        <w:r w:rsidRPr="00500F5B">
          <w:rPr>
            <w:rStyle w:val="Hyperlink"/>
            <w:rFonts w:ascii="Times New Roman" w:hAnsi="Times New Roman" w:cs="Times New Roman"/>
            <w:sz w:val="24"/>
            <w:szCs w:val="24"/>
          </w:rPr>
          <w:t>https://doi.org/10.23956/ijermt.v6i11.54</w:t>
        </w:r>
      </w:hyperlink>
      <w:r w:rsidRPr="00500F5B">
        <w:rPr>
          <w:rFonts w:ascii="Times New Roman" w:hAnsi="Times New Roman" w:cs="Times New Roman"/>
          <w:sz w:val="24"/>
          <w:szCs w:val="24"/>
        </w:rPr>
        <w:t xml:space="preserve"> ( Accessed 08/10/2025).</w:t>
      </w:r>
    </w:p>
    <w:p w14:paraId="4943E34D"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Schossmann</w:t>
      </w:r>
      <w:proofErr w:type="spellEnd"/>
      <w:r w:rsidRPr="00500F5B">
        <w:rPr>
          <w:rFonts w:ascii="Times New Roman" w:hAnsi="Times New Roman" w:cs="Times New Roman"/>
          <w:sz w:val="24"/>
          <w:szCs w:val="24"/>
        </w:rPr>
        <w:t xml:space="preserve">, A., </w:t>
      </w:r>
      <w:proofErr w:type="spellStart"/>
      <w:r w:rsidRPr="00500F5B">
        <w:rPr>
          <w:rFonts w:ascii="Times New Roman" w:hAnsi="Times New Roman" w:cs="Times New Roman"/>
          <w:sz w:val="24"/>
          <w:szCs w:val="24"/>
        </w:rPr>
        <w:t>Töfferl</w:t>
      </w:r>
      <w:proofErr w:type="spellEnd"/>
      <w:r w:rsidRPr="00500F5B">
        <w:rPr>
          <w:rFonts w:ascii="Times New Roman" w:hAnsi="Times New Roman" w:cs="Times New Roman"/>
          <w:sz w:val="24"/>
          <w:szCs w:val="24"/>
        </w:rPr>
        <w:t xml:space="preserve">, M., Schmidt, C. and </w:t>
      </w:r>
      <w:proofErr w:type="spellStart"/>
      <w:r w:rsidRPr="00500F5B">
        <w:rPr>
          <w:rFonts w:ascii="Times New Roman" w:hAnsi="Times New Roman" w:cs="Times New Roman"/>
          <w:sz w:val="24"/>
          <w:szCs w:val="24"/>
        </w:rPr>
        <w:t>Bergmann</w:t>
      </w:r>
      <w:proofErr w:type="spellEnd"/>
      <w:r w:rsidRPr="00500F5B">
        <w:rPr>
          <w:rFonts w:ascii="Times New Roman" w:hAnsi="Times New Roman" w:cs="Times New Roman"/>
          <w:sz w:val="24"/>
          <w:szCs w:val="24"/>
        </w:rPr>
        <w:t xml:space="preserve">, A. (2024). Telemetric angle and position sensing using </w:t>
      </w:r>
      <w:proofErr w:type="spellStart"/>
      <w:r w:rsidRPr="00500F5B">
        <w:rPr>
          <w:rFonts w:ascii="Times New Roman" w:hAnsi="Times New Roman" w:cs="Times New Roman"/>
          <w:sz w:val="24"/>
          <w:szCs w:val="24"/>
        </w:rPr>
        <w:t>millimeter-wave</w:t>
      </w:r>
      <w:proofErr w:type="spellEnd"/>
      <w:r w:rsidRPr="00500F5B">
        <w:rPr>
          <w:rFonts w:ascii="Times New Roman" w:hAnsi="Times New Roman" w:cs="Times New Roman"/>
          <w:sz w:val="24"/>
          <w:szCs w:val="24"/>
        </w:rPr>
        <w:t xml:space="preserve"> </w:t>
      </w:r>
      <w:proofErr w:type="spellStart"/>
      <w:r w:rsidRPr="00500F5B">
        <w:rPr>
          <w:rFonts w:ascii="Times New Roman" w:hAnsi="Times New Roman" w:cs="Times New Roman"/>
          <w:sz w:val="24"/>
          <w:szCs w:val="24"/>
        </w:rPr>
        <w:t>metamaterial</w:t>
      </w:r>
      <w:proofErr w:type="spellEnd"/>
      <w:r w:rsidRPr="00500F5B">
        <w:rPr>
          <w:rFonts w:ascii="Times New Roman" w:hAnsi="Times New Roman" w:cs="Times New Roman"/>
          <w:sz w:val="24"/>
          <w:szCs w:val="24"/>
        </w:rPr>
        <w:t xml:space="preserve"> and a frequency-modulated continuous-wave (FMCW) chip. </w:t>
      </w:r>
      <w:r w:rsidRPr="00500F5B">
        <w:rPr>
          <w:rFonts w:ascii="Times New Roman" w:hAnsi="Times New Roman" w:cs="Times New Roman"/>
          <w:i/>
          <w:iCs/>
          <w:sz w:val="24"/>
          <w:szCs w:val="24"/>
        </w:rPr>
        <w:t>Journal of Sensors and Sensor Systems</w:t>
      </w:r>
      <w:r w:rsidRPr="00500F5B">
        <w:rPr>
          <w:rFonts w:ascii="Times New Roman" w:hAnsi="Times New Roman" w:cs="Times New Roman"/>
          <w:sz w:val="24"/>
          <w:szCs w:val="24"/>
        </w:rPr>
        <w:t xml:space="preserve">, 13(1), pp.31–39. doi: </w:t>
      </w:r>
      <w:hyperlink r:id="rId12" w:history="1">
        <w:r w:rsidRPr="00500F5B">
          <w:rPr>
            <w:rStyle w:val="Hyperlink"/>
            <w:rFonts w:ascii="Times New Roman" w:hAnsi="Times New Roman" w:cs="Times New Roman"/>
            <w:sz w:val="24"/>
            <w:szCs w:val="24"/>
          </w:rPr>
          <w:t>https://doi.org/10.5194/jsss-13-31-2024</w:t>
        </w:r>
      </w:hyperlink>
      <w:r w:rsidRPr="00500F5B">
        <w:rPr>
          <w:rFonts w:ascii="Times New Roman" w:hAnsi="Times New Roman" w:cs="Times New Roman"/>
          <w:sz w:val="24"/>
          <w:szCs w:val="24"/>
        </w:rPr>
        <w:t xml:space="preserve"> (Accessed 08/10/2025).</w:t>
      </w:r>
    </w:p>
    <w:p w14:paraId="4C73D4BE"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Saputra</w:t>
      </w:r>
      <w:proofErr w:type="spellEnd"/>
      <w:r w:rsidRPr="00500F5B">
        <w:rPr>
          <w:rFonts w:ascii="Times New Roman" w:hAnsi="Times New Roman" w:cs="Times New Roman"/>
          <w:sz w:val="24"/>
          <w:szCs w:val="24"/>
        </w:rPr>
        <w:t xml:space="preserve">, A. R. P., </w:t>
      </w:r>
      <w:proofErr w:type="spellStart"/>
      <w:r w:rsidRPr="00500F5B">
        <w:rPr>
          <w:rFonts w:ascii="Times New Roman" w:hAnsi="Times New Roman" w:cs="Times New Roman"/>
          <w:sz w:val="24"/>
          <w:szCs w:val="24"/>
        </w:rPr>
        <w:t>Haryono</w:t>
      </w:r>
      <w:proofErr w:type="spellEnd"/>
      <w:r w:rsidRPr="00500F5B">
        <w:rPr>
          <w:rFonts w:ascii="Times New Roman" w:hAnsi="Times New Roman" w:cs="Times New Roman"/>
          <w:sz w:val="24"/>
          <w:szCs w:val="24"/>
        </w:rPr>
        <w:t xml:space="preserve">, T., &amp; </w:t>
      </w:r>
      <w:proofErr w:type="spellStart"/>
      <w:r w:rsidRPr="00500F5B">
        <w:rPr>
          <w:rFonts w:ascii="Times New Roman" w:hAnsi="Times New Roman" w:cs="Times New Roman"/>
          <w:sz w:val="24"/>
          <w:szCs w:val="24"/>
        </w:rPr>
        <w:t>Untoro</w:t>
      </w:r>
      <w:proofErr w:type="spellEnd"/>
      <w:r w:rsidRPr="00500F5B">
        <w:rPr>
          <w:rFonts w:ascii="Times New Roman" w:hAnsi="Times New Roman" w:cs="Times New Roman"/>
          <w:sz w:val="24"/>
          <w:szCs w:val="24"/>
        </w:rPr>
        <w:t>, W. (2019). Green products strategy impact of generic porter strategy on Company’s performance. </w:t>
      </w:r>
      <w:r w:rsidRPr="00500F5B">
        <w:rPr>
          <w:rFonts w:ascii="Times New Roman" w:hAnsi="Times New Roman" w:cs="Times New Roman"/>
          <w:i/>
          <w:iCs/>
          <w:sz w:val="24"/>
          <w:szCs w:val="24"/>
        </w:rPr>
        <w:t>International Review Of Management And Marketing</w:t>
      </w:r>
      <w:r w:rsidRPr="00500F5B">
        <w:rPr>
          <w:rFonts w:ascii="Times New Roman" w:hAnsi="Times New Roman" w:cs="Times New Roman"/>
          <w:sz w:val="24"/>
          <w:szCs w:val="24"/>
        </w:rPr>
        <w:t>, </w:t>
      </w:r>
      <w:r w:rsidRPr="00500F5B">
        <w:rPr>
          <w:rFonts w:ascii="Times New Roman" w:hAnsi="Times New Roman" w:cs="Times New Roman"/>
          <w:i/>
          <w:iCs/>
          <w:sz w:val="24"/>
          <w:szCs w:val="24"/>
        </w:rPr>
        <w:t>9</w:t>
      </w:r>
      <w:r w:rsidRPr="00500F5B">
        <w:rPr>
          <w:rFonts w:ascii="Times New Roman" w:hAnsi="Times New Roman" w:cs="Times New Roman"/>
          <w:sz w:val="24"/>
          <w:szCs w:val="24"/>
        </w:rPr>
        <w:t>(1), 52.</w:t>
      </w:r>
    </w:p>
    <w:p w14:paraId="12B559B6"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Szostek</w:t>
      </w:r>
      <w:proofErr w:type="spellEnd"/>
      <w:r w:rsidRPr="00500F5B">
        <w:rPr>
          <w:rFonts w:ascii="Times New Roman" w:hAnsi="Times New Roman" w:cs="Times New Roman"/>
          <w:sz w:val="24"/>
          <w:szCs w:val="24"/>
        </w:rPr>
        <w:t xml:space="preserve">, D., </w:t>
      </w:r>
      <w:proofErr w:type="spellStart"/>
      <w:r w:rsidRPr="00500F5B">
        <w:rPr>
          <w:rFonts w:ascii="Times New Roman" w:hAnsi="Times New Roman" w:cs="Times New Roman"/>
          <w:sz w:val="24"/>
          <w:szCs w:val="24"/>
        </w:rPr>
        <w:t>Balcerzak</w:t>
      </w:r>
      <w:proofErr w:type="spellEnd"/>
      <w:r w:rsidRPr="00500F5B">
        <w:rPr>
          <w:rFonts w:ascii="Times New Roman" w:hAnsi="Times New Roman" w:cs="Times New Roman"/>
          <w:sz w:val="24"/>
          <w:szCs w:val="24"/>
        </w:rPr>
        <w:t xml:space="preserve">, A. P., &amp; </w:t>
      </w:r>
      <w:proofErr w:type="spellStart"/>
      <w:r w:rsidRPr="00500F5B">
        <w:rPr>
          <w:rFonts w:ascii="Times New Roman" w:hAnsi="Times New Roman" w:cs="Times New Roman"/>
          <w:sz w:val="24"/>
          <w:szCs w:val="24"/>
        </w:rPr>
        <w:t>Rogalska</w:t>
      </w:r>
      <w:proofErr w:type="spellEnd"/>
      <w:r w:rsidRPr="00500F5B">
        <w:rPr>
          <w:rFonts w:ascii="Times New Roman" w:hAnsi="Times New Roman" w:cs="Times New Roman"/>
          <w:sz w:val="24"/>
          <w:szCs w:val="24"/>
        </w:rPr>
        <w:t xml:space="preserve">, E. (2023). Impact of employees’ </w:t>
      </w:r>
      <w:proofErr w:type="spellStart"/>
      <w:r w:rsidRPr="00500F5B">
        <w:rPr>
          <w:rFonts w:ascii="Times New Roman" w:hAnsi="Times New Roman" w:cs="Times New Roman"/>
          <w:sz w:val="24"/>
          <w:szCs w:val="24"/>
        </w:rPr>
        <w:t>counterproductivity</w:t>
      </w:r>
      <w:proofErr w:type="spellEnd"/>
      <w:r w:rsidRPr="00500F5B">
        <w:rPr>
          <w:rFonts w:ascii="Times New Roman" w:hAnsi="Times New Roman" w:cs="Times New Roman"/>
          <w:sz w:val="24"/>
          <w:szCs w:val="24"/>
        </w:rPr>
        <w:t xml:space="preserve"> on interpersonal relationships in the context of company competitive potential: Application of SEM methodology for Poland. </w:t>
      </w:r>
      <w:r w:rsidRPr="00500F5B">
        <w:rPr>
          <w:rFonts w:ascii="Times New Roman" w:hAnsi="Times New Roman" w:cs="Times New Roman"/>
          <w:i/>
          <w:iCs/>
          <w:sz w:val="24"/>
          <w:szCs w:val="24"/>
        </w:rPr>
        <w:t>Journal of Competitiveness</w:t>
      </w:r>
      <w:r w:rsidRPr="00500F5B">
        <w:rPr>
          <w:rFonts w:ascii="Times New Roman" w:hAnsi="Times New Roman" w:cs="Times New Roman"/>
          <w:sz w:val="24"/>
          <w:szCs w:val="24"/>
        </w:rPr>
        <w:t>, </w:t>
      </w:r>
      <w:r w:rsidRPr="00500F5B">
        <w:rPr>
          <w:rFonts w:ascii="Times New Roman" w:hAnsi="Times New Roman" w:cs="Times New Roman"/>
          <w:i/>
          <w:iCs/>
          <w:sz w:val="24"/>
          <w:szCs w:val="24"/>
        </w:rPr>
        <w:t>15</w:t>
      </w:r>
      <w:r w:rsidRPr="00500F5B">
        <w:rPr>
          <w:rFonts w:ascii="Times New Roman" w:hAnsi="Times New Roman" w:cs="Times New Roman"/>
          <w:sz w:val="24"/>
          <w:szCs w:val="24"/>
        </w:rPr>
        <w:t>(3), 19-42.</w:t>
      </w:r>
    </w:p>
    <w:p w14:paraId="523F690B"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Yu</w:t>
      </w:r>
      <w:proofErr w:type="spellEnd"/>
      <w:r w:rsidRPr="00500F5B">
        <w:rPr>
          <w:rFonts w:ascii="Times New Roman" w:hAnsi="Times New Roman" w:cs="Times New Roman"/>
          <w:sz w:val="24"/>
          <w:szCs w:val="24"/>
        </w:rPr>
        <w:t xml:space="preserve">, N., Fan, H. L., Ye, J. P., Jiang, Z. J., &amp; </w:t>
      </w:r>
      <w:proofErr w:type="spellStart"/>
      <w:r w:rsidRPr="00500F5B">
        <w:rPr>
          <w:rFonts w:ascii="Times New Roman" w:hAnsi="Times New Roman" w:cs="Times New Roman"/>
          <w:sz w:val="24"/>
          <w:szCs w:val="24"/>
        </w:rPr>
        <w:t>Xia</w:t>
      </w:r>
      <w:proofErr w:type="spellEnd"/>
      <w:r w:rsidRPr="00500F5B">
        <w:rPr>
          <w:rFonts w:ascii="Times New Roman" w:hAnsi="Times New Roman" w:cs="Times New Roman"/>
          <w:sz w:val="24"/>
          <w:szCs w:val="24"/>
        </w:rPr>
        <w:t>, L. (2025). Carbon Footprint Accounting of Automotive Parts Based on Life Cycle Assessment. </w:t>
      </w:r>
      <w:r w:rsidRPr="00500F5B">
        <w:rPr>
          <w:rFonts w:ascii="Times New Roman" w:hAnsi="Times New Roman" w:cs="Times New Roman"/>
          <w:i/>
          <w:iCs/>
          <w:sz w:val="24"/>
          <w:szCs w:val="24"/>
        </w:rPr>
        <w:t>Polish Journal of Environmental Studies</w:t>
      </w:r>
      <w:r w:rsidRPr="00500F5B">
        <w:rPr>
          <w:rFonts w:ascii="Times New Roman" w:hAnsi="Times New Roman" w:cs="Times New Roman"/>
          <w:sz w:val="24"/>
          <w:szCs w:val="24"/>
        </w:rPr>
        <w:t>, </w:t>
      </w:r>
      <w:r w:rsidRPr="00500F5B">
        <w:rPr>
          <w:rFonts w:ascii="Times New Roman" w:hAnsi="Times New Roman" w:cs="Times New Roman"/>
          <w:i/>
          <w:iCs/>
          <w:sz w:val="24"/>
          <w:szCs w:val="24"/>
        </w:rPr>
        <w:t>34</w:t>
      </w:r>
      <w:r w:rsidRPr="00500F5B">
        <w:rPr>
          <w:rFonts w:ascii="Times New Roman" w:hAnsi="Times New Roman" w:cs="Times New Roman"/>
          <w:sz w:val="24"/>
          <w:szCs w:val="24"/>
        </w:rPr>
        <w:t>(5).</w:t>
      </w:r>
    </w:p>
    <w:p w14:paraId="65ADA13D" w14:textId="77777777" w:rsidR="00500F5B" w:rsidRPr="00500F5B" w:rsidRDefault="00500F5B" w:rsidP="00500F5B">
      <w:pPr>
        <w:pStyle w:val="ListParagraph"/>
        <w:numPr>
          <w:ilvl w:val="0"/>
          <w:numId w:val="3"/>
        </w:numPr>
        <w:spacing w:line="360" w:lineRule="auto"/>
        <w:jc w:val="both"/>
        <w:rPr>
          <w:rFonts w:ascii="Times New Roman" w:hAnsi="Times New Roman" w:cs="Times New Roman"/>
          <w:sz w:val="24"/>
          <w:szCs w:val="24"/>
        </w:rPr>
      </w:pPr>
      <w:proofErr w:type="spellStart"/>
      <w:r w:rsidRPr="00500F5B">
        <w:rPr>
          <w:rFonts w:ascii="Times New Roman" w:hAnsi="Times New Roman" w:cs="Times New Roman"/>
          <w:sz w:val="24"/>
          <w:szCs w:val="24"/>
        </w:rPr>
        <w:t>Thethi</w:t>
      </w:r>
      <w:proofErr w:type="spellEnd"/>
      <w:r w:rsidRPr="00500F5B">
        <w:rPr>
          <w:rFonts w:ascii="Times New Roman" w:hAnsi="Times New Roman" w:cs="Times New Roman"/>
          <w:sz w:val="24"/>
          <w:szCs w:val="24"/>
        </w:rPr>
        <w:t xml:space="preserve">, A., </w:t>
      </w:r>
      <w:proofErr w:type="spellStart"/>
      <w:r w:rsidRPr="00500F5B">
        <w:rPr>
          <w:rFonts w:ascii="Times New Roman" w:hAnsi="Times New Roman" w:cs="Times New Roman"/>
          <w:sz w:val="24"/>
          <w:szCs w:val="24"/>
        </w:rPr>
        <w:t>Dhadyalla</w:t>
      </w:r>
      <w:proofErr w:type="spellEnd"/>
      <w:r w:rsidRPr="00500F5B">
        <w:rPr>
          <w:rFonts w:ascii="Times New Roman" w:hAnsi="Times New Roman" w:cs="Times New Roman"/>
          <w:sz w:val="24"/>
          <w:szCs w:val="24"/>
        </w:rPr>
        <w:t xml:space="preserve">, G., McGordon, A., &amp; </w:t>
      </w:r>
      <w:proofErr w:type="spellStart"/>
      <w:r w:rsidRPr="00500F5B">
        <w:rPr>
          <w:rFonts w:ascii="Times New Roman" w:hAnsi="Times New Roman" w:cs="Times New Roman"/>
          <w:sz w:val="24"/>
          <w:szCs w:val="24"/>
        </w:rPr>
        <w:t>Amor-Segan</w:t>
      </w:r>
      <w:proofErr w:type="spellEnd"/>
      <w:r w:rsidRPr="00500F5B">
        <w:rPr>
          <w:rFonts w:ascii="Times New Roman" w:hAnsi="Times New Roman" w:cs="Times New Roman"/>
          <w:sz w:val="24"/>
          <w:szCs w:val="24"/>
        </w:rPr>
        <w:t>, M. (2013). Experiences with the Technical Accreditation Scheme (TAS)'teaching the trainee'. </w:t>
      </w:r>
      <w:proofErr w:type="spellStart"/>
      <w:r w:rsidRPr="00500F5B">
        <w:rPr>
          <w:rFonts w:ascii="Times New Roman" w:hAnsi="Times New Roman" w:cs="Times New Roman"/>
          <w:i/>
          <w:iCs/>
          <w:sz w:val="24"/>
          <w:szCs w:val="24"/>
        </w:rPr>
        <w:t>EDULEARN13</w:t>
      </w:r>
      <w:proofErr w:type="spellEnd"/>
      <w:r w:rsidRPr="00500F5B">
        <w:rPr>
          <w:rFonts w:ascii="Times New Roman" w:hAnsi="Times New Roman" w:cs="Times New Roman"/>
          <w:i/>
          <w:iCs/>
          <w:sz w:val="24"/>
          <w:szCs w:val="24"/>
        </w:rPr>
        <w:t xml:space="preserve"> Proceedings</w:t>
      </w:r>
      <w:r w:rsidRPr="00500F5B">
        <w:rPr>
          <w:rFonts w:ascii="Times New Roman" w:hAnsi="Times New Roman" w:cs="Times New Roman"/>
          <w:sz w:val="24"/>
          <w:szCs w:val="24"/>
        </w:rPr>
        <w:t>, 5162-5169.</w:t>
      </w:r>
    </w:p>
    <w:p w14:paraId="0EFEC00A" w14:textId="77777777" w:rsidR="00B80C69" w:rsidRPr="00FD724D" w:rsidRDefault="00B80C69" w:rsidP="00B80C69">
      <w:pPr>
        <w:spacing w:line="360" w:lineRule="auto"/>
        <w:jc w:val="both"/>
        <w:rPr>
          <w:rFonts w:ascii="Times New Roman" w:hAnsi="Times New Roman" w:cs="Times New Roman"/>
          <w:sz w:val="24"/>
          <w:szCs w:val="24"/>
        </w:rPr>
      </w:pPr>
    </w:p>
    <w:sectPr w:rsidR="00B80C69" w:rsidRPr="00FD724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6C90A" w14:textId="77777777" w:rsidR="00BF4ED4" w:rsidRDefault="00BF4ED4" w:rsidP="00B209BF">
      <w:pPr>
        <w:spacing w:after="0" w:line="240" w:lineRule="auto"/>
      </w:pPr>
      <w:r>
        <w:separator/>
      </w:r>
    </w:p>
  </w:endnote>
  <w:endnote w:type="continuationSeparator" w:id="0">
    <w:p w14:paraId="7DD18EF3" w14:textId="77777777" w:rsidR="00BF4ED4" w:rsidRDefault="00BF4ED4" w:rsidP="00B20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445307"/>
      <w:docPartObj>
        <w:docPartGallery w:val="Page Numbers (Bottom of Page)"/>
        <w:docPartUnique/>
      </w:docPartObj>
    </w:sdtPr>
    <w:sdtEndPr/>
    <w:sdtContent>
      <w:p w14:paraId="69727072" w14:textId="5AD77706" w:rsidR="00B209BF" w:rsidRDefault="00B209BF">
        <w:pPr>
          <w:pStyle w:val="Footer"/>
          <w:jc w:val="center"/>
        </w:pPr>
        <w:r>
          <w:fldChar w:fldCharType="begin"/>
        </w:r>
        <w:r>
          <w:instrText>PAGE   \* MERGEFORMAT</w:instrText>
        </w:r>
        <w:r>
          <w:fldChar w:fldCharType="separate"/>
        </w:r>
        <w:r>
          <w:t>2</w:t>
        </w:r>
        <w:r>
          <w:fldChar w:fldCharType="end"/>
        </w:r>
      </w:p>
    </w:sdtContent>
  </w:sdt>
  <w:p w14:paraId="27669551" w14:textId="77777777" w:rsidR="00B209BF" w:rsidRDefault="00B20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66325" w14:textId="77777777" w:rsidR="00BF4ED4" w:rsidRDefault="00BF4ED4" w:rsidP="00B209BF">
      <w:pPr>
        <w:spacing w:after="0" w:line="240" w:lineRule="auto"/>
      </w:pPr>
      <w:r>
        <w:separator/>
      </w:r>
    </w:p>
  </w:footnote>
  <w:footnote w:type="continuationSeparator" w:id="0">
    <w:p w14:paraId="53953365" w14:textId="77777777" w:rsidR="00BF4ED4" w:rsidRDefault="00BF4ED4" w:rsidP="00B209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942A8"/>
    <w:multiLevelType w:val="hybridMultilevel"/>
    <w:tmpl w:val="ADB0E55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A0DC3"/>
    <w:multiLevelType w:val="hybridMultilevel"/>
    <w:tmpl w:val="4EB00E6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8A50CE"/>
    <w:multiLevelType w:val="hybridMultilevel"/>
    <w:tmpl w:val="715C5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1707778">
    <w:abstractNumId w:val="0"/>
  </w:num>
  <w:num w:numId="2" w16cid:durableId="1801536314">
    <w:abstractNumId w:val="1"/>
  </w:num>
  <w:num w:numId="3" w16cid:durableId="17746663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E40"/>
    <w:rsid w:val="0003348B"/>
    <w:rsid w:val="001D3255"/>
    <w:rsid w:val="003C1CEB"/>
    <w:rsid w:val="004F02C7"/>
    <w:rsid w:val="00500F5B"/>
    <w:rsid w:val="00544C17"/>
    <w:rsid w:val="00795482"/>
    <w:rsid w:val="00816F86"/>
    <w:rsid w:val="008814FE"/>
    <w:rsid w:val="008A75EB"/>
    <w:rsid w:val="00966AC5"/>
    <w:rsid w:val="009B1972"/>
    <w:rsid w:val="00B209BF"/>
    <w:rsid w:val="00B80C69"/>
    <w:rsid w:val="00BF4ED4"/>
    <w:rsid w:val="00C22EA6"/>
    <w:rsid w:val="00D51E40"/>
    <w:rsid w:val="00E842BC"/>
    <w:rsid w:val="00F9552D"/>
    <w:rsid w:val="00FD7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33C8B"/>
  <w15:chartTrackingRefBased/>
  <w15:docId w15:val="{321A9385-3F21-4136-BD6A-BBB180DFB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E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51E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51E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1E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1E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1E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1E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1E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1E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E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51E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51E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1E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1E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1E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1E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1E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1E40"/>
    <w:rPr>
      <w:rFonts w:eastAsiaTheme="majorEastAsia" w:cstheme="majorBidi"/>
      <w:color w:val="272727" w:themeColor="text1" w:themeTint="D8"/>
    </w:rPr>
  </w:style>
  <w:style w:type="paragraph" w:styleId="Title">
    <w:name w:val="Title"/>
    <w:basedOn w:val="Normal"/>
    <w:next w:val="Normal"/>
    <w:link w:val="TitleChar"/>
    <w:uiPriority w:val="10"/>
    <w:qFormat/>
    <w:rsid w:val="00D51E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1E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1E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1E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1E40"/>
    <w:pPr>
      <w:spacing w:before="160"/>
      <w:jc w:val="center"/>
    </w:pPr>
    <w:rPr>
      <w:i/>
      <w:iCs/>
      <w:color w:val="404040" w:themeColor="text1" w:themeTint="BF"/>
    </w:rPr>
  </w:style>
  <w:style w:type="character" w:customStyle="1" w:styleId="QuoteChar">
    <w:name w:val="Quote Char"/>
    <w:basedOn w:val="DefaultParagraphFont"/>
    <w:link w:val="Quote"/>
    <w:uiPriority w:val="29"/>
    <w:rsid w:val="00D51E40"/>
    <w:rPr>
      <w:i/>
      <w:iCs/>
      <w:color w:val="404040" w:themeColor="text1" w:themeTint="BF"/>
    </w:rPr>
  </w:style>
  <w:style w:type="paragraph" w:styleId="ListParagraph">
    <w:name w:val="List Paragraph"/>
    <w:basedOn w:val="Normal"/>
    <w:uiPriority w:val="34"/>
    <w:qFormat/>
    <w:rsid w:val="00D51E40"/>
    <w:pPr>
      <w:ind w:left="720"/>
      <w:contextualSpacing/>
    </w:pPr>
  </w:style>
  <w:style w:type="character" w:styleId="IntenseEmphasis">
    <w:name w:val="Intense Emphasis"/>
    <w:basedOn w:val="DefaultParagraphFont"/>
    <w:uiPriority w:val="21"/>
    <w:qFormat/>
    <w:rsid w:val="00D51E40"/>
    <w:rPr>
      <w:i/>
      <w:iCs/>
      <w:color w:val="2F5496" w:themeColor="accent1" w:themeShade="BF"/>
    </w:rPr>
  </w:style>
  <w:style w:type="paragraph" w:styleId="IntenseQuote">
    <w:name w:val="Intense Quote"/>
    <w:basedOn w:val="Normal"/>
    <w:next w:val="Normal"/>
    <w:link w:val="IntenseQuoteChar"/>
    <w:uiPriority w:val="30"/>
    <w:qFormat/>
    <w:rsid w:val="00D51E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1E40"/>
    <w:rPr>
      <w:i/>
      <w:iCs/>
      <w:color w:val="2F5496" w:themeColor="accent1" w:themeShade="BF"/>
    </w:rPr>
  </w:style>
  <w:style w:type="character" w:styleId="IntenseReference">
    <w:name w:val="Intense Reference"/>
    <w:basedOn w:val="DefaultParagraphFont"/>
    <w:uiPriority w:val="32"/>
    <w:qFormat/>
    <w:rsid w:val="00D51E40"/>
    <w:rPr>
      <w:b/>
      <w:bCs/>
      <w:smallCaps/>
      <w:color w:val="2F5496" w:themeColor="accent1" w:themeShade="BF"/>
      <w:spacing w:val="5"/>
    </w:rPr>
  </w:style>
  <w:style w:type="paragraph" w:styleId="Header">
    <w:name w:val="header"/>
    <w:basedOn w:val="Normal"/>
    <w:link w:val="HeaderChar"/>
    <w:uiPriority w:val="99"/>
    <w:unhideWhenUsed/>
    <w:rsid w:val="00B20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9BF"/>
  </w:style>
  <w:style w:type="paragraph" w:styleId="Footer">
    <w:name w:val="footer"/>
    <w:basedOn w:val="Normal"/>
    <w:link w:val="FooterChar"/>
    <w:uiPriority w:val="99"/>
    <w:unhideWhenUsed/>
    <w:rsid w:val="00B20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9BF"/>
  </w:style>
  <w:style w:type="paragraph" w:styleId="TOCHeading">
    <w:name w:val="TOC Heading"/>
    <w:basedOn w:val="Heading1"/>
    <w:next w:val="Normal"/>
    <w:uiPriority w:val="39"/>
    <w:unhideWhenUsed/>
    <w:qFormat/>
    <w:rsid w:val="00B209B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209BF"/>
    <w:pPr>
      <w:spacing w:after="100"/>
    </w:pPr>
  </w:style>
  <w:style w:type="paragraph" w:styleId="TOC2">
    <w:name w:val="toc 2"/>
    <w:basedOn w:val="Normal"/>
    <w:next w:val="Normal"/>
    <w:autoRedefine/>
    <w:uiPriority w:val="39"/>
    <w:unhideWhenUsed/>
    <w:rsid w:val="00B209BF"/>
    <w:pPr>
      <w:spacing w:after="100"/>
      <w:ind w:left="220"/>
    </w:pPr>
  </w:style>
  <w:style w:type="paragraph" w:styleId="TOC3">
    <w:name w:val="toc 3"/>
    <w:basedOn w:val="Normal"/>
    <w:next w:val="Normal"/>
    <w:autoRedefine/>
    <w:uiPriority w:val="39"/>
    <w:unhideWhenUsed/>
    <w:rsid w:val="00B209BF"/>
    <w:pPr>
      <w:spacing w:after="100"/>
      <w:ind w:left="440"/>
    </w:pPr>
  </w:style>
  <w:style w:type="character" w:styleId="Hyperlink">
    <w:name w:val="Hyperlink"/>
    <w:basedOn w:val="DefaultParagraphFont"/>
    <w:uiPriority w:val="99"/>
    <w:unhideWhenUsed/>
    <w:rsid w:val="00B209BF"/>
    <w:rPr>
      <w:color w:val="0563C1" w:themeColor="hyperlink"/>
      <w:u w:val="single"/>
    </w:rPr>
  </w:style>
  <w:style w:type="character" w:styleId="UnresolvedMention">
    <w:name w:val="Unresolved Mention"/>
    <w:basedOn w:val="DefaultParagraphFont"/>
    <w:uiPriority w:val="99"/>
    <w:semiHidden/>
    <w:unhideWhenUsed/>
    <w:rsid w:val="00500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194/jsss-13-31-20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956/ijermt.v6i11.5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03/revmodphys.94.045001"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49BC9-CE22-44F7-88A0-EC5D35DA12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4219</Words>
  <Characters>24053</Characters>
  <Application>Microsoft Office Word</Application>
  <DocSecurity>0</DocSecurity>
  <Lines>200</Lines>
  <Paragraphs>56</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
      <vt:lpstr>Executive Summary</vt:lpstr>
      <vt:lpstr>Introduction</vt:lpstr>
      <vt:lpstr>External Environment Audit</vt:lpstr>
      <vt:lpstr>    PESTLE Analysis</vt:lpstr>
      <vt:lpstr>        Political</vt:lpstr>
      <vt:lpstr>        Economic</vt:lpstr>
      <vt:lpstr>        Social</vt:lpstr>
      <vt:lpstr>        Technological</vt:lpstr>
      <vt:lpstr>        Legal</vt:lpstr>
      <vt:lpstr>        Environmental</vt:lpstr>
      <vt:lpstr>    Porter’s Five Forces Analysis</vt:lpstr>
      <vt:lpstr>        Competitive Rivalry:  High</vt:lpstr>
      <vt:lpstr>        Threat of New Entrants:  Moderate to High </vt:lpstr>
      <vt:lpstr>        Bargaining Power of Suppliers: Moderate</vt:lpstr>
      <vt:lpstr>        Bargaining Power of Buyers: High </vt:lpstr>
      <vt:lpstr>        Threat of Substitutes:  Moderate </vt:lpstr>
      <vt:lpstr>Internal Environment Audit</vt:lpstr>
      <vt:lpstr>    Value Chain Analysis</vt:lpstr>
      <vt:lpstr>    Resource-Based View (RBV) </vt:lpstr>
      <vt:lpstr>    VRIO Evaluation</vt:lpstr>
      <vt:lpstr>    SWOT Analysis </vt:lpstr>
      <vt:lpstr>Strategy Formulation of Jaguar Land Rover </vt:lpstr>
      <vt:lpstr>    Strategy Objective </vt:lpstr>
      <vt:lpstr>    Porter’s Generic Strategies </vt:lpstr>
      <vt:lpstr>    The Ansoff Matrix </vt:lpstr>
      <vt:lpstr>    Strategy Proposals </vt:lpstr>
      <vt:lpstr>Conclusion and Recommendations</vt:lpstr>
      <vt:lpstr>References </vt:lpstr>
    </vt:vector>
  </TitlesOfParts>
  <Company/>
  <LinksUpToDate>false</LinksUpToDate>
  <CharactersWithSpaces>28216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dc:creator>
  <cp:keywords/>
  <dc:description/>
  <cp:lastModifiedBy>a m</cp:lastModifiedBy>
  <cp:revision>4</cp:revision>
  <dcterms:created xsi:type="dcterms:W3CDTF">2025-10-20T11:28:00Z</dcterms:created>
  <dcterms:modified xsi:type="dcterms:W3CDTF">2025-10-20T11:30:00Z</dcterms:modified>
</cp:coreProperties>
</file>