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43540D" w14:textId="6EAF869A" w:rsidR="00074803" w:rsidRPr="00074803" w:rsidRDefault="00074803" w:rsidP="00A83B45">
      <w:pPr>
        <w:spacing w:line="360" w:lineRule="auto"/>
        <w:rPr>
          <w:sz w:val="24"/>
          <w:szCs w:val="24"/>
        </w:rPr>
      </w:pPr>
      <w:r w:rsidRPr="00074803">
        <w:rPr>
          <w:sz w:val="24"/>
          <w:szCs w:val="24"/>
        </w:rPr>
        <w:t>ECAD5014</w:t>
      </w:r>
    </w:p>
    <w:p w14:paraId="4A17BB39" w14:textId="77777777" w:rsidR="00074803" w:rsidRDefault="00074803" w:rsidP="00A83B45">
      <w:pPr>
        <w:spacing w:line="360" w:lineRule="auto"/>
      </w:pPr>
    </w:p>
    <w:p w14:paraId="56CBC3E2" w14:textId="412A3564" w:rsidR="00074803" w:rsidRPr="00DC1C6B" w:rsidRDefault="00074803" w:rsidP="00A83B45">
      <w:pPr>
        <w:spacing w:line="360" w:lineRule="auto"/>
        <w:jc w:val="center"/>
        <w:rPr>
          <w:sz w:val="26"/>
          <w:szCs w:val="26"/>
        </w:rPr>
      </w:pPr>
      <w:r w:rsidRPr="00DC1C6B">
        <w:rPr>
          <w:sz w:val="26"/>
          <w:szCs w:val="26"/>
        </w:rPr>
        <w:t>Design and conduct a small-scale research study, and critically evaluate the chosen research tools, and the impact of your findings on your professional practice.</w:t>
      </w:r>
    </w:p>
    <w:p w14:paraId="2C4DD43C" w14:textId="77777777" w:rsidR="00074803" w:rsidRDefault="00074803" w:rsidP="00A83B45">
      <w:pPr>
        <w:spacing w:line="360" w:lineRule="auto"/>
      </w:pPr>
    </w:p>
    <w:p w14:paraId="035AF8FB" w14:textId="33DCF4BB" w:rsidR="00074803" w:rsidRDefault="00074803" w:rsidP="00A83B45">
      <w:pPr>
        <w:spacing w:line="360" w:lineRule="auto"/>
      </w:pPr>
      <w:r>
        <w:t>Millie Cayford</w:t>
      </w:r>
    </w:p>
    <w:p w14:paraId="6F3E6EC8" w14:textId="0C8F088F" w:rsidR="00074803" w:rsidRDefault="00074803" w:rsidP="00A83B45">
      <w:pPr>
        <w:spacing w:line="360" w:lineRule="auto"/>
      </w:pPr>
      <w:r>
        <w:t>2305218</w:t>
      </w:r>
    </w:p>
    <w:p w14:paraId="699FD805" w14:textId="5B25F429" w:rsidR="00EC3B1B" w:rsidRDefault="00074803" w:rsidP="00A83B45">
      <w:pPr>
        <w:spacing w:line="360" w:lineRule="auto"/>
      </w:pPr>
      <w:r>
        <w:t>BA Primary Education (QTS)</w:t>
      </w:r>
    </w:p>
    <w:p w14:paraId="12D81BD6" w14:textId="77777777" w:rsidR="00DC1C6B" w:rsidRDefault="00DC1C6B" w:rsidP="00A83B45">
      <w:pPr>
        <w:spacing w:line="360" w:lineRule="auto"/>
      </w:pPr>
    </w:p>
    <w:p w14:paraId="12CFA621" w14:textId="3902E5C6" w:rsidR="00EC3B1B" w:rsidRDefault="00EC3B1B" w:rsidP="00A83B45">
      <w:pPr>
        <w:spacing w:line="360" w:lineRule="auto"/>
        <w:rPr>
          <w:b/>
          <w:bCs/>
        </w:rPr>
      </w:pPr>
      <w:r w:rsidRPr="002B37AA">
        <w:rPr>
          <w:b/>
          <w:bCs/>
        </w:rPr>
        <w:t xml:space="preserve">AI </w:t>
      </w:r>
      <w:r w:rsidR="005E4D45" w:rsidRPr="002B37AA">
        <w:rPr>
          <w:b/>
          <w:bCs/>
        </w:rPr>
        <w:t>acknowledgement</w:t>
      </w:r>
    </w:p>
    <w:p w14:paraId="0155318D" w14:textId="614E7649" w:rsidR="002B37AA" w:rsidRDefault="00F2157F" w:rsidP="00A83B45">
      <w:pPr>
        <w:spacing w:line="360" w:lineRule="auto"/>
      </w:pPr>
      <w:r>
        <w:t>I acknowledge the use of ChatGPT (</w:t>
      </w:r>
      <w:hyperlink r:id="rId10" w:history="1">
        <w:r w:rsidRPr="00F2157F">
          <w:rPr>
            <w:rStyle w:val="Hyperlink"/>
          </w:rPr>
          <w:t>ChatGPT</w:t>
        </w:r>
      </w:hyperlink>
      <w:r>
        <w:t>) on 27.03.2025, 28.03.2025, 30.03.2025 and 02.03.2025 to provide additional academic sentence starters, as well as synonyms. I also used ChatGPT to research some opposing views, check the structure and ensure appropriate flow, and checking my references are correct. I used the prompts:</w:t>
      </w:r>
    </w:p>
    <w:p w14:paraId="5D646A30" w14:textId="2FBE8320" w:rsidR="00F2157F" w:rsidRDefault="00F2157F" w:rsidP="00A83B45">
      <w:pPr>
        <w:pStyle w:val="ListParagraph"/>
        <w:numPr>
          <w:ilvl w:val="0"/>
          <w:numId w:val="1"/>
        </w:numPr>
        <w:spacing w:line="360" w:lineRule="auto"/>
      </w:pPr>
      <w:r>
        <w:t>What are some academic phrases/synonyms for ‘</w:t>
      </w:r>
      <w:r w:rsidR="00743BD9">
        <w:t xml:space="preserve">this research suggests’. </w:t>
      </w:r>
    </w:p>
    <w:p w14:paraId="6E31FFD5" w14:textId="593B9E32" w:rsidR="00743BD9" w:rsidRDefault="00743BD9" w:rsidP="00A83B45">
      <w:pPr>
        <w:pStyle w:val="ListParagraph"/>
        <w:numPr>
          <w:ilvl w:val="0"/>
          <w:numId w:val="1"/>
        </w:numPr>
        <w:spacing w:line="360" w:lineRule="auto"/>
      </w:pPr>
      <w:r>
        <w:t>Are there theorists who provide an opposing view to Vygotsky’s ideas of children learning with support from a more knowledgeable other?</w:t>
      </w:r>
    </w:p>
    <w:p w14:paraId="2179878F" w14:textId="5F6BAF20" w:rsidR="00074803" w:rsidRDefault="00743BD9" w:rsidP="00A83B45">
      <w:pPr>
        <w:pStyle w:val="ListParagraph"/>
        <w:numPr>
          <w:ilvl w:val="0"/>
          <w:numId w:val="1"/>
        </w:numPr>
        <w:spacing w:line="360" w:lineRule="auto"/>
      </w:pPr>
      <w:r>
        <w:t>(inserted my own work) – does this point flow onto the next? Is there language I can use to improve flow?</w:t>
      </w:r>
    </w:p>
    <w:p w14:paraId="762CC7CA" w14:textId="77777777" w:rsidR="00DC1C6B" w:rsidRPr="00DC1C6B" w:rsidRDefault="00DC1C6B" w:rsidP="00A83B45">
      <w:pPr>
        <w:pStyle w:val="ListParagraph"/>
        <w:spacing w:line="360" w:lineRule="auto"/>
      </w:pPr>
    </w:p>
    <w:tbl>
      <w:tblPr>
        <w:tblStyle w:val="TableGrid"/>
        <w:tblW w:w="0" w:type="auto"/>
        <w:tblLook w:val="04A0" w:firstRow="1" w:lastRow="0" w:firstColumn="1" w:lastColumn="0" w:noHBand="0" w:noVBand="1"/>
      </w:tblPr>
      <w:tblGrid>
        <w:gridCol w:w="4508"/>
        <w:gridCol w:w="4508"/>
      </w:tblGrid>
      <w:tr w:rsidR="00074803" w:rsidRPr="00074803" w14:paraId="5672BBE6" w14:textId="77777777" w:rsidTr="00074803">
        <w:tc>
          <w:tcPr>
            <w:tcW w:w="4508" w:type="dxa"/>
          </w:tcPr>
          <w:p w14:paraId="22394D80" w14:textId="0F4BF883" w:rsidR="00074803" w:rsidRPr="00074803" w:rsidRDefault="00074803" w:rsidP="00A83B45">
            <w:pPr>
              <w:spacing w:line="360" w:lineRule="auto"/>
              <w:jc w:val="center"/>
              <w:rPr>
                <w:b/>
                <w:bCs/>
              </w:rPr>
            </w:pPr>
            <w:r w:rsidRPr="00074803">
              <w:rPr>
                <w:b/>
                <w:bCs/>
              </w:rPr>
              <w:t>Targets from previous modules</w:t>
            </w:r>
          </w:p>
        </w:tc>
        <w:tc>
          <w:tcPr>
            <w:tcW w:w="4508" w:type="dxa"/>
          </w:tcPr>
          <w:p w14:paraId="0B5EFF3F" w14:textId="2F44CBB8" w:rsidR="00074803" w:rsidRPr="00074803" w:rsidRDefault="00074803" w:rsidP="00A83B45">
            <w:pPr>
              <w:spacing w:line="360" w:lineRule="auto"/>
              <w:jc w:val="center"/>
              <w:rPr>
                <w:b/>
                <w:bCs/>
              </w:rPr>
            </w:pPr>
            <w:r w:rsidRPr="00074803">
              <w:rPr>
                <w:b/>
                <w:bCs/>
              </w:rPr>
              <w:t>How I have worked on these</w:t>
            </w:r>
          </w:p>
        </w:tc>
      </w:tr>
      <w:tr w:rsidR="00074803" w14:paraId="6736D964" w14:textId="77777777" w:rsidTr="00074803">
        <w:tc>
          <w:tcPr>
            <w:tcW w:w="4508" w:type="dxa"/>
          </w:tcPr>
          <w:p w14:paraId="0A9F403F" w14:textId="5A14A1D5" w:rsidR="002B37AA" w:rsidRDefault="00A6286D" w:rsidP="00A83B45">
            <w:pPr>
              <w:spacing w:line="360" w:lineRule="auto"/>
            </w:pPr>
            <w:r>
              <w:t xml:space="preserve">Plan the order in which you are going to </w:t>
            </w:r>
            <w:r w:rsidR="002B37AA">
              <w:t xml:space="preserve">present each idea so that the paragraphs flow from one to the next. </w:t>
            </w:r>
          </w:p>
        </w:tc>
        <w:tc>
          <w:tcPr>
            <w:tcW w:w="4508" w:type="dxa"/>
          </w:tcPr>
          <w:p w14:paraId="1A7074A0" w14:textId="564B1004" w:rsidR="00074803" w:rsidRDefault="002B37AA" w:rsidP="00A83B45">
            <w:pPr>
              <w:spacing w:line="360" w:lineRule="auto"/>
            </w:pPr>
            <w:r>
              <w:t xml:space="preserve">Considering the structure of my ideas and including sentences that link from one point to the next. </w:t>
            </w:r>
          </w:p>
        </w:tc>
      </w:tr>
      <w:tr w:rsidR="00074803" w14:paraId="7EEE38B1" w14:textId="77777777" w:rsidTr="00074803">
        <w:tc>
          <w:tcPr>
            <w:tcW w:w="4508" w:type="dxa"/>
          </w:tcPr>
          <w:p w14:paraId="3E3EC52B" w14:textId="64915985" w:rsidR="002B37AA" w:rsidRDefault="002B37AA" w:rsidP="00A83B45">
            <w:pPr>
              <w:spacing w:line="360" w:lineRule="auto"/>
            </w:pPr>
            <w:r>
              <w:t xml:space="preserve">Ensure reference list is put in alphabetical order. </w:t>
            </w:r>
          </w:p>
        </w:tc>
        <w:tc>
          <w:tcPr>
            <w:tcW w:w="4508" w:type="dxa"/>
          </w:tcPr>
          <w:p w14:paraId="091ED56C" w14:textId="0FA831B8" w:rsidR="00074803" w:rsidRDefault="002B37AA" w:rsidP="00A83B45">
            <w:pPr>
              <w:spacing w:line="360" w:lineRule="auto"/>
            </w:pPr>
            <w:r>
              <w:t xml:space="preserve">Remembering to put reference list in order. </w:t>
            </w:r>
          </w:p>
        </w:tc>
      </w:tr>
      <w:tr w:rsidR="00074803" w14:paraId="67ED9037" w14:textId="77777777" w:rsidTr="00074803">
        <w:tc>
          <w:tcPr>
            <w:tcW w:w="4508" w:type="dxa"/>
          </w:tcPr>
          <w:p w14:paraId="1401E1CE" w14:textId="011786D8" w:rsidR="00074803" w:rsidRDefault="002B37AA" w:rsidP="00A83B45">
            <w:pPr>
              <w:spacing w:line="360" w:lineRule="auto"/>
            </w:pPr>
            <w:r>
              <w:t>Avoid us</w:t>
            </w:r>
            <w:r w:rsidR="00DC1C6B">
              <w:t>i</w:t>
            </w:r>
            <w:r>
              <w:t xml:space="preserve">ng outdated sources. </w:t>
            </w:r>
          </w:p>
        </w:tc>
        <w:tc>
          <w:tcPr>
            <w:tcW w:w="4508" w:type="dxa"/>
          </w:tcPr>
          <w:p w14:paraId="274046EC" w14:textId="5CF58A2D" w:rsidR="002B37AA" w:rsidRDefault="002B37AA" w:rsidP="00A83B45">
            <w:pPr>
              <w:spacing w:line="360" w:lineRule="auto"/>
            </w:pPr>
            <w:r>
              <w:t>Finding alternative, newer, and more suitable sources</w:t>
            </w:r>
            <w:r w:rsidR="00DC1C6B">
              <w:t>.</w:t>
            </w:r>
          </w:p>
        </w:tc>
      </w:tr>
    </w:tbl>
    <w:p w14:paraId="45B7F2A5" w14:textId="77777777" w:rsidR="00074803" w:rsidRDefault="00074803" w:rsidP="00A83B45">
      <w:pPr>
        <w:spacing w:line="360" w:lineRule="auto"/>
      </w:pPr>
    </w:p>
    <w:p w14:paraId="13211284" w14:textId="299F2E27" w:rsidR="00B159B1" w:rsidRPr="002B37AA" w:rsidRDefault="00B159B1" w:rsidP="00A83B45">
      <w:pPr>
        <w:spacing w:line="360" w:lineRule="auto"/>
        <w:rPr>
          <w:sz w:val="28"/>
          <w:szCs w:val="28"/>
        </w:rPr>
      </w:pPr>
      <w:r w:rsidRPr="002B37AA">
        <w:rPr>
          <w:sz w:val="28"/>
          <w:szCs w:val="28"/>
        </w:rPr>
        <w:t xml:space="preserve">Exploring the use of cold and hot writes in </w:t>
      </w:r>
      <w:r w:rsidR="003C5E83" w:rsidRPr="002B37AA">
        <w:rPr>
          <w:sz w:val="28"/>
          <w:szCs w:val="28"/>
        </w:rPr>
        <w:t xml:space="preserve">formative assessment. </w:t>
      </w:r>
    </w:p>
    <w:p w14:paraId="3560A849" w14:textId="59841646" w:rsidR="00D81386" w:rsidRDefault="005E4D45" w:rsidP="00A83B45">
      <w:pPr>
        <w:spacing w:line="360" w:lineRule="auto"/>
      </w:pPr>
      <w:r>
        <w:t>This research examines the use and effectiveness of Assessment for Learning (</w:t>
      </w:r>
      <w:proofErr w:type="spellStart"/>
      <w:r>
        <w:t>AfL</w:t>
      </w:r>
      <w:proofErr w:type="spellEnd"/>
      <w:r>
        <w:t>) in</w:t>
      </w:r>
      <w:r w:rsidR="002B5503">
        <w:t xml:space="preserve"> an educational setting. It aims to explore pupil and teacher perceptions of cold and hot writes as an </w:t>
      </w:r>
      <w:proofErr w:type="spellStart"/>
      <w:r w:rsidR="002B5503">
        <w:t>AfL</w:t>
      </w:r>
      <w:proofErr w:type="spellEnd"/>
      <w:r w:rsidR="002B5503">
        <w:t xml:space="preserve"> strategy in the classroom</w:t>
      </w:r>
      <w:r w:rsidR="006D40BC">
        <w:t xml:space="preserve">, considering </w:t>
      </w:r>
      <w:r w:rsidR="00587E54">
        <w:t xml:space="preserve">its </w:t>
      </w:r>
      <w:r w:rsidR="006D40BC">
        <w:t>effectiveness and whether they are enjoyable for learners and educators</w:t>
      </w:r>
      <w:r w:rsidR="002B5503">
        <w:t xml:space="preserve">. </w:t>
      </w:r>
      <w:r w:rsidR="00CC356D">
        <w:t xml:space="preserve">Additionally, this study seeks to determine how best to integrate these insights into personal teaching practice. </w:t>
      </w:r>
      <w:r w:rsidR="00E71E6F">
        <w:t>T</w:t>
      </w:r>
      <w:r w:rsidR="00902B5B">
        <w:t xml:space="preserve">he research was conducted in </w:t>
      </w:r>
      <w:r w:rsidR="00CA1FA4">
        <w:t>a</w:t>
      </w:r>
      <w:r w:rsidR="002B2D0A">
        <w:t xml:space="preserve"> school in a semi</w:t>
      </w:r>
      <w:r w:rsidR="00CA1FA4">
        <w:t xml:space="preserve">-urban </w:t>
      </w:r>
      <w:r w:rsidR="002B2D0A">
        <w:t>location in South Wales</w:t>
      </w:r>
      <w:r w:rsidR="00836191">
        <w:t xml:space="preserve">, consisting of around 429 pupils </w:t>
      </w:r>
      <w:r w:rsidR="009B2293">
        <w:t>(Estyn, 2023)</w:t>
      </w:r>
      <w:r w:rsidR="002B2D0A">
        <w:t>.</w:t>
      </w:r>
      <w:r w:rsidR="00FA65F4">
        <w:t xml:space="preserve"> To adhere to </w:t>
      </w:r>
      <w:r w:rsidR="00CF3A5C">
        <w:t xml:space="preserve">confidentiality </w:t>
      </w:r>
      <w:r w:rsidR="00FA65F4">
        <w:t>guidelines</w:t>
      </w:r>
      <w:r w:rsidR="00CF3A5C">
        <w:t>, as proposed by BERA (202</w:t>
      </w:r>
      <w:r w:rsidR="001553FF">
        <w:t>4</w:t>
      </w:r>
      <w:r w:rsidR="00CF3A5C">
        <w:t xml:space="preserve">), </w:t>
      </w:r>
      <w:r w:rsidR="00FA65F4">
        <w:t xml:space="preserve">this school will be addressed </w:t>
      </w:r>
      <w:r w:rsidR="00341A69">
        <w:t>as School X to ensure anonymity.</w:t>
      </w:r>
      <w:r w:rsidR="002B2D0A">
        <w:t xml:space="preserve"> </w:t>
      </w:r>
      <w:r w:rsidR="00DD2044">
        <w:t>The central focus of this study is ‘exploring the use of cold and hot writes in formative assessment’</w:t>
      </w:r>
      <w:r w:rsidR="00CC356D">
        <w:t xml:space="preserve">. </w:t>
      </w:r>
      <w:r w:rsidR="006D43DF">
        <w:t>In line with</w:t>
      </w:r>
      <w:r w:rsidR="00F83140">
        <w:t xml:space="preserve"> the Curriculum for Wales (202</w:t>
      </w:r>
      <w:r w:rsidR="00AC7AD0">
        <w:t>0)</w:t>
      </w:r>
      <w:r w:rsidR="006D43DF">
        <w:t xml:space="preserve">, </w:t>
      </w:r>
      <w:r w:rsidR="005A30BF">
        <w:t>the importance of assessment</w:t>
      </w:r>
      <w:r w:rsidR="008B2E47">
        <w:t xml:space="preserve"> for pupil progression is </w:t>
      </w:r>
      <w:r w:rsidR="00CC1A2A">
        <w:t>immeasurable</w:t>
      </w:r>
      <w:r w:rsidR="00A13353">
        <w:t xml:space="preserve">, as it embraces </w:t>
      </w:r>
      <w:r w:rsidR="002F50F8">
        <w:t>a holistic approac</w:t>
      </w:r>
      <w:r w:rsidR="009A668C">
        <w:t xml:space="preserve">h that </w:t>
      </w:r>
      <w:r w:rsidR="00F521FE">
        <w:t>emphasis</w:t>
      </w:r>
      <w:r w:rsidR="009A668C">
        <w:t>es</w:t>
      </w:r>
      <w:r w:rsidR="00F521FE">
        <w:t xml:space="preserve"> </w:t>
      </w:r>
      <w:r w:rsidR="009A668C">
        <w:t>i</w:t>
      </w:r>
      <w:r w:rsidR="00F521FE">
        <w:t xml:space="preserve">dentifying strengths </w:t>
      </w:r>
      <w:r w:rsidR="001F4C53">
        <w:t xml:space="preserve">to </w:t>
      </w:r>
      <w:r w:rsidR="00ED66D8">
        <w:t xml:space="preserve">inform the next steps of teaching and learning. </w:t>
      </w:r>
      <w:r w:rsidR="002D758E">
        <w:t xml:space="preserve">Notably, </w:t>
      </w:r>
      <w:r w:rsidR="00407723">
        <w:t>the Curriculum for Wales (2023)</w:t>
      </w:r>
      <w:r w:rsidR="00412151">
        <w:t xml:space="preserve"> </w:t>
      </w:r>
      <w:r w:rsidR="001C6F6B">
        <w:t xml:space="preserve">reinforces the </w:t>
      </w:r>
      <w:r w:rsidR="00676A02">
        <w:t xml:space="preserve">importance </w:t>
      </w:r>
      <w:r w:rsidR="00DE4CD6">
        <w:t xml:space="preserve">of </w:t>
      </w:r>
      <w:r w:rsidR="00082FEF">
        <w:t>assessment</w:t>
      </w:r>
      <w:r w:rsidR="00557222">
        <w:t>,</w:t>
      </w:r>
      <w:r w:rsidR="00082FEF">
        <w:t xml:space="preserve"> as outlined in the twelve pedagogical principles</w:t>
      </w:r>
      <w:r w:rsidR="009A668C">
        <w:t>, p</w:t>
      </w:r>
      <w:r w:rsidR="009F2CDA">
        <w:t>ar</w:t>
      </w:r>
      <w:r w:rsidR="00E543E1">
        <w:t xml:space="preserve">ticularly, </w:t>
      </w:r>
      <w:r w:rsidR="00406CA3">
        <w:t>the seventh pedagogical principle</w:t>
      </w:r>
      <w:r w:rsidR="009A668C">
        <w:t xml:space="preserve">, </w:t>
      </w:r>
      <w:r w:rsidR="00FC1694">
        <w:t xml:space="preserve">which </w:t>
      </w:r>
      <w:r w:rsidR="009A668C">
        <w:t>highlights</w:t>
      </w:r>
      <w:r w:rsidR="0037638A">
        <w:t xml:space="preserve"> the significance </w:t>
      </w:r>
      <w:r w:rsidR="00ED25E8">
        <w:t xml:space="preserve">of </w:t>
      </w:r>
      <w:r w:rsidR="00750EFB">
        <w:t>“employing assessment for learning principles” (Welsh Government, 2023).</w:t>
      </w:r>
    </w:p>
    <w:p w14:paraId="7F554797" w14:textId="77777777" w:rsidR="00B32106" w:rsidRDefault="00B32106" w:rsidP="00A83B45">
      <w:pPr>
        <w:spacing w:line="360" w:lineRule="auto"/>
      </w:pPr>
    </w:p>
    <w:p w14:paraId="5B5B9796" w14:textId="64128D9D" w:rsidR="00D81386" w:rsidRDefault="00187674" w:rsidP="00A83B45">
      <w:pPr>
        <w:spacing w:line="360" w:lineRule="auto"/>
      </w:pPr>
      <w:r>
        <w:t xml:space="preserve">This study </w:t>
      </w:r>
      <w:r w:rsidR="00D155DA">
        <w:t xml:space="preserve">examines the effectiveness of cold and hot writes in the classroom, linking them to broader formative assessment practices where feedback is essential for supporting student progress. </w:t>
      </w:r>
      <w:r w:rsidR="007E566F">
        <w:t xml:space="preserve">A cold write involves writing with minimal support or prior knowledge, followed by feedback and lessons to develop skills for the next writing task. In this process, a </w:t>
      </w:r>
      <w:proofErr w:type="gramStart"/>
      <w:r w:rsidR="007E566F">
        <w:t>success criteria</w:t>
      </w:r>
      <w:proofErr w:type="gramEnd"/>
      <w:r w:rsidR="007E566F">
        <w:t xml:space="preserve"> is often created collaboratively with the learners, guiding them to revise their work with improved subject knowledge. This approach is aligned with Shirley Clarke’s (200</w:t>
      </w:r>
      <w:r w:rsidR="00B25F13">
        <w:t>1</w:t>
      </w:r>
      <w:r w:rsidR="007E566F">
        <w:t xml:space="preserve">) work on </w:t>
      </w:r>
      <w:proofErr w:type="spellStart"/>
      <w:r w:rsidR="007E566F">
        <w:t>AfL</w:t>
      </w:r>
      <w:proofErr w:type="spellEnd"/>
      <w:r w:rsidR="007E566F">
        <w:t xml:space="preserve">, with emphasis on the importance of feedback and scaffolding to strengthen areas for improvement. </w:t>
      </w:r>
      <w:r w:rsidR="0029727B">
        <w:t xml:space="preserve">The importance of feedback in formative assessment has been </w:t>
      </w:r>
      <w:r w:rsidR="00370B41">
        <w:t>suggested</w:t>
      </w:r>
      <w:r w:rsidR="00820416">
        <w:t xml:space="preserve"> </w:t>
      </w:r>
      <w:r w:rsidR="00610B36">
        <w:t xml:space="preserve">by </w:t>
      </w:r>
      <w:r w:rsidR="00CE3AEF" w:rsidRPr="00A50B3A">
        <w:t>Black et al.</w:t>
      </w:r>
      <w:r w:rsidR="00B53FE9" w:rsidRPr="00A50B3A">
        <w:t>,</w:t>
      </w:r>
      <w:r w:rsidR="00942A43" w:rsidRPr="00A50B3A">
        <w:t xml:space="preserve"> (</w:t>
      </w:r>
      <w:r w:rsidR="00CE3AEF" w:rsidRPr="00A50B3A">
        <w:t>2003)</w:t>
      </w:r>
      <w:r w:rsidR="00B02BBA" w:rsidRPr="00A50B3A">
        <w:t>,</w:t>
      </w:r>
      <w:r w:rsidR="00B02BBA" w:rsidRPr="00B53FE9">
        <w:t xml:space="preserve"> </w:t>
      </w:r>
      <w:r w:rsidR="00B02BBA">
        <w:t xml:space="preserve">whereby </w:t>
      </w:r>
      <w:r w:rsidR="00951BDC">
        <w:t xml:space="preserve">assessment activities are deemed useful if </w:t>
      </w:r>
      <w:r w:rsidR="009C465E">
        <w:t>it provides</w:t>
      </w:r>
      <w:r w:rsidR="00E840A6">
        <w:t xml:space="preserve"> opportunity for feedback</w:t>
      </w:r>
      <w:r w:rsidR="009C1812">
        <w:t xml:space="preserve">. </w:t>
      </w:r>
      <w:r w:rsidR="00E354D8">
        <w:t xml:space="preserve">The claims by </w:t>
      </w:r>
      <w:r w:rsidR="00434108">
        <w:t>Black et al., (2</w:t>
      </w:r>
      <w:r w:rsidR="004E4C91">
        <w:t xml:space="preserve">003) </w:t>
      </w:r>
      <w:r w:rsidR="00F2285B">
        <w:t xml:space="preserve">implies that </w:t>
      </w:r>
      <w:r w:rsidR="006D61C9">
        <w:t xml:space="preserve">formative assessment </w:t>
      </w:r>
      <w:r w:rsidR="00D2442C">
        <w:t>is a gradual process</w:t>
      </w:r>
      <w:r w:rsidR="00CF2BB1">
        <w:t xml:space="preserve"> that</w:t>
      </w:r>
      <w:r w:rsidR="0015742F">
        <w:t xml:space="preserve"> improves academic attainment</w:t>
      </w:r>
      <w:r w:rsidR="00C44D7B">
        <w:t xml:space="preserve">. Along with </w:t>
      </w:r>
      <w:r w:rsidR="0008269A">
        <w:t xml:space="preserve">greater </w:t>
      </w:r>
      <w:r w:rsidR="00A04E3E">
        <w:t xml:space="preserve">job satisfaction </w:t>
      </w:r>
      <w:r w:rsidR="00A30A63">
        <w:t xml:space="preserve">for teachers as </w:t>
      </w:r>
      <w:r w:rsidR="00A04E3E">
        <w:t xml:space="preserve">their work </w:t>
      </w:r>
      <w:r w:rsidR="00A30A63">
        <w:t xml:space="preserve">increasingly </w:t>
      </w:r>
      <w:r w:rsidR="00A04E3E">
        <w:t>reflects</w:t>
      </w:r>
      <w:r w:rsidR="00A36F58">
        <w:t xml:space="preserve"> their</w:t>
      </w:r>
      <w:r w:rsidR="00A04E3E">
        <w:t xml:space="preserve"> professional values</w:t>
      </w:r>
      <w:r w:rsidR="00A30A63">
        <w:t xml:space="preserve">, which becomes more apparent </w:t>
      </w:r>
      <w:r w:rsidR="00E73666">
        <w:t>through pupil experience</w:t>
      </w:r>
      <w:r w:rsidR="00A36F58">
        <w:t>.</w:t>
      </w:r>
      <w:r w:rsidR="006C21C9">
        <w:t xml:space="preserve"> </w:t>
      </w:r>
      <w:r w:rsidR="00E12A82">
        <w:t xml:space="preserve">The research undertaken to draw these conclusions </w:t>
      </w:r>
      <w:r w:rsidR="00C03E90">
        <w:t xml:space="preserve">consists of </w:t>
      </w:r>
      <w:r w:rsidR="00E521E1">
        <w:t>detailed</w:t>
      </w:r>
      <w:r w:rsidR="00264A5B">
        <w:t xml:space="preserve"> observations and case studies</w:t>
      </w:r>
      <w:r w:rsidR="005A7294">
        <w:t xml:space="preserve"> in six schools</w:t>
      </w:r>
      <w:r w:rsidR="00D42842">
        <w:t xml:space="preserve">. This </w:t>
      </w:r>
      <w:r w:rsidR="00305A75">
        <w:t xml:space="preserve">small </w:t>
      </w:r>
      <w:r w:rsidR="00D42842">
        <w:t>sample size may be consider</w:t>
      </w:r>
      <w:r w:rsidR="009D2660">
        <w:t xml:space="preserve">ed a limitation </w:t>
      </w:r>
      <w:r w:rsidR="00A306B9">
        <w:t xml:space="preserve">since it </w:t>
      </w:r>
      <w:r w:rsidR="009D2660">
        <w:t>restric</w:t>
      </w:r>
      <w:r w:rsidR="00A306B9">
        <w:t>ts</w:t>
      </w:r>
      <w:r w:rsidR="009D2660">
        <w:t xml:space="preserve"> possibilities to generalise data</w:t>
      </w:r>
      <w:r w:rsidR="0056108B">
        <w:t xml:space="preserve"> across educational settings. </w:t>
      </w:r>
      <w:r w:rsidR="0019210D">
        <w:t xml:space="preserve">They used a range of research methodologies, such as </w:t>
      </w:r>
      <w:r w:rsidR="00D272A2">
        <w:t xml:space="preserve">interviews and surveys. These </w:t>
      </w:r>
      <w:r w:rsidR="00D272A2">
        <w:lastRenderedPageBreak/>
        <w:t xml:space="preserve">methods provided </w:t>
      </w:r>
      <w:r w:rsidR="00075E98">
        <w:t>both qualitative and quantitative data</w:t>
      </w:r>
      <w:r w:rsidR="00340129">
        <w:t xml:space="preserve">. </w:t>
      </w:r>
      <w:r w:rsidR="00184F0E">
        <w:t xml:space="preserve">The benefit of collecting both qualitative and quantitative data has been expressed by Elizabeth Creamer, an expert in the field of research. Creamer (2017) advocated the benefits of integrating both qualitative and quantitative data in research to provide a more comprehensive understanding of data, as well as increasing richness of findings. </w:t>
      </w:r>
      <w:r w:rsidR="004C7D91">
        <w:t xml:space="preserve">Creswell &amp; Clark (2011) </w:t>
      </w:r>
      <w:r w:rsidR="00EC5A79">
        <w:t>validate the points made by Creamer (2017)</w:t>
      </w:r>
      <w:r w:rsidR="007C0AAF">
        <w:t xml:space="preserve"> through suggesting </w:t>
      </w:r>
      <w:r w:rsidR="00CF1FC8">
        <w:t>contr</w:t>
      </w:r>
      <w:r w:rsidR="004A3214">
        <w:t>ibutions</w:t>
      </w:r>
      <w:r w:rsidR="000D3605">
        <w:t xml:space="preserve"> made to research when including various types of data. </w:t>
      </w:r>
      <w:r w:rsidR="008E2F26">
        <w:t xml:space="preserve">For instance, </w:t>
      </w:r>
      <w:r w:rsidR="00A203EE">
        <w:t xml:space="preserve">cross-verifying data from various sources and </w:t>
      </w:r>
      <w:r w:rsidR="00440B0D">
        <w:t xml:space="preserve">building on methods for a deeper insight. </w:t>
      </w:r>
      <w:r w:rsidR="00940663">
        <w:t xml:space="preserve">For that reason, it can be argued that </w:t>
      </w:r>
      <w:r w:rsidR="00F76382">
        <w:t xml:space="preserve">Black’s (2003) research provides </w:t>
      </w:r>
      <w:r w:rsidR="002A565C">
        <w:t xml:space="preserve">holistic evidence </w:t>
      </w:r>
      <w:r w:rsidR="00404135">
        <w:t>with great</w:t>
      </w:r>
      <w:r w:rsidR="004E5F83">
        <w:t xml:space="preserve"> data analysis depth. </w:t>
      </w:r>
      <w:r w:rsidR="00085396">
        <w:t>T</w:t>
      </w:r>
      <w:r w:rsidR="003C73DB">
        <w:t>he</w:t>
      </w:r>
      <w:r w:rsidR="00085396">
        <w:t xml:space="preserve"> implication</w:t>
      </w:r>
      <w:r w:rsidR="003C73DB">
        <w:t>s from Black et al., (2003)</w:t>
      </w:r>
      <w:r w:rsidR="00085396">
        <w:t xml:space="preserve"> can be </w:t>
      </w:r>
      <w:r w:rsidR="005C3B13">
        <w:t xml:space="preserve">associated with the </w:t>
      </w:r>
      <w:r w:rsidR="00EC55DA">
        <w:t>value</w:t>
      </w:r>
      <w:r w:rsidR="00AE12F7">
        <w:t>s of</w:t>
      </w:r>
      <w:r w:rsidR="00116BED">
        <w:t xml:space="preserve"> teacher</w:t>
      </w:r>
      <w:r w:rsidR="00AE12F7">
        <w:t>s</w:t>
      </w:r>
      <w:r w:rsidR="00116BED">
        <w:t xml:space="preserve"> in Wales</w:t>
      </w:r>
      <w:r w:rsidR="00D527F1">
        <w:t xml:space="preserve">, </w:t>
      </w:r>
      <w:r w:rsidR="00C97B95">
        <w:t>focusing on prioritising learners’ rights and ensuring a commitment to high achievement</w:t>
      </w:r>
      <w:r w:rsidR="00B646B3">
        <w:t xml:space="preserve"> (Welsh Government, 2019). </w:t>
      </w:r>
      <w:r w:rsidR="00C9450D">
        <w:t xml:space="preserve">The shift towards formative assessment </w:t>
      </w:r>
      <w:r w:rsidR="00F34068">
        <w:t xml:space="preserve">is also reflected in recent educational frameworks, such as those outlined by Estyn (2022) </w:t>
      </w:r>
      <w:r w:rsidR="00191A5D">
        <w:t xml:space="preserve">which further emphasises </w:t>
      </w:r>
      <w:r w:rsidR="00695828">
        <w:t>its</w:t>
      </w:r>
      <w:r w:rsidR="00191A5D">
        <w:t xml:space="preserve"> growing importance in schools. </w:t>
      </w:r>
    </w:p>
    <w:p w14:paraId="10D3A235" w14:textId="2B8C06F1" w:rsidR="00467E40" w:rsidRDefault="005E5E4A" w:rsidP="00A83B45">
      <w:pPr>
        <w:spacing w:line="360" w:lineRule="auto"/>
      </w:pPr>
      <w:r>
        <w:t xml:space="preserve">Estyn </w:t>
      </w:r>
      <w:r w:rsidR="00A115DC">
        <w:t>(2022) have</w:t>
      </w:r>
      <w:r w:rsidR="00267006">
        <w:t xml:space="preserve"> reported t</w:t>
      </w:r>
      <w:r w:rsidR="003A14CA">
        <w:t xml:space="preserve">he </w:t>
      </w:r>
      <w:r w:rsidR="0069246D">
        <w:t>use and effectiveness of formative assessments</w:t>
      </w:r>
      <w:r w:rsidR="003C5FB8">
        <w:t xml:space="preserve">, </w:t>
      </w:r>
      <w:r w:rsidR="00617E63">
        <w:t>recognising an increase in its</w:t>
      </w:r>
      <w:r w:rsidR="0020230B">
        <w:t xml:space="preserve"> application across schools </w:t>
      </w:r>
      <w:r w:rsidR="003C5FB8">
        <w:t xml:space="preserve">in Wales. </w:t>
      </w:r>
      <w:r w:rsidR="0071785E">
        <w:t xml:space="preserve">The report highlights how </w:t>
      </w:r>
      <w:r w:rsidR="002D37A6">
        <w:t>schools have drifted from a summative assessment approach</w:t>
      </w:r>
      <w:r w:rsidR="00BD4FD6">
        <w:t xml:space="preserve"> to a more effective formative assessment method.</w:t>
      </w:r>
      <w:r w:rsidR="000F67BA">
        <w:t xml:space="preserve"> It could be argued that the increased use</w:t>
      </w:r>
      <w:r w:rsidR="00B07BEA">
        <w:t xml:space="preserve"> of formative assessment in schools</w:t>
      </w:r>
      <w:r w:rsidR="000F67BA">
        <w:t xml:space="preserve"> may</w:t>
      </w:r>
      <w:r w:rsidR="00714287">
        <w:t xml:space="preserve"> partly</w:t>
      </w:r>
      <w:r w:rsidR="000F67BA">
        <w:t xml:space="preserve"> </w:t>
      </w:r>
      <w:r w:rsidR="00E15A05">
        <w:t xml:space="preserve">be influenced by the work of Black and Wiliam (1998), whose research emphasised the impact of formative assessment on student progress. </w:t>
      </w:r>
      <w:r w:rsidR="00832C55">
        <w:t xml:space="preserve">The </w:t>
      </w:r>
      <w:r w:rsidR="004042EE">
        <w:t xml:space="preserve">development of how assessment has been delivered in Wales </w:t>
      </w:r>
      <w:r w:rsidR="00E950A4">
        <w:t xml:space="preserve">through the years has been outlined by the </w:t>
      </w:r>
      <w:r w:rsidR="00DD61ED">
        <w:t>Curriculum for Wales (2022)</w:t>
      </w:r>
      <w:r w:rsidR="00C06F6F">
        <w:t xml:space="preserve">. The timeline shows </w:t>
      </w:r>
      <w:r w:rsidR="00F92DB4">
        <w:t xml:space="preserve">a curriculum that </w:t>
      </w:r>
      <w:r w:rsidR="00BB3A06">
        <w:t xml:space="preserve">diverts from national testing to formative assessment in </w:t>
      </w:r>
      <w:r w:rsidR="000D5A0F">
        <w:t xml:space="preserve">the 2000s, which could </w:t>
      </w:r>
      <w:r w:rsidR="00EE78BC">
        <w:t>support</w:t>
      </w:r>
      <w:r w:rsidR="000D5A0F">
        <w:t xml:space="preserve"> the point previously made</w:t>
      </w:r>
      <w:r w:rsidR="007421F5">
        <w:t>,</w:t>
      </w:r>
      <w:r w:rsidR="000D5A0F">
        <w:t xml:space="preserve"> stating that Black and Wiliam’s (1998) work has been </w:t>
      </w:r>
      <w:r w:rsidR="009123E7">
        <w:t xml:space="preserve">influential in </w:t>
      </w:r>
      <w:r w:rsidR="007421F5">
        <w:t xml:space="preserve">assessment in </w:t>
      </w:r>
      <w:r w:rsidR="009123E7">
        <w:t xml:space="preserve">education. </w:t>
      </w:r>
      <w:r w:rsidR="00A56BA1">
        <w:t xml:space="preserve">Nevertheless, </w:t>
      </w:r>
      <w:r w:rsidR="00D51456">
        <w:t xml:space="preserve">standardised national testing </w:t>
      </w:r>
      <w:r w:rsidR="00FA406D">
        <w:t xml:space="preserve">was reintroduced in 2013, which </w:t>
      </w:r>
      <w:r w:rsidR="001033A3">
        <w:t xml:space="preserve">rises the </w:t>
      </w:r>
      <w:r w:rsidR="00AB131E">
        <w:t>doubt</w:t>
      </w:r>
      <w:r w:rsidR="001033A3">
        <w:t xml:space="preserve"> of how effectiv</w:t>
      </w:r>
      <w:r w:rsidR="00A467EA">
        <w:t>e formative assessment</w:t>
      </w:r>
      <w:r w:rsidR="000614EC">
        <w:t xml:space="preserve"> </w:t>
      </w:r>
      <w:r w:rsidR="00AB131E">
        <w:t xml:space="preserve">is </w:t>
      </w:r>
      <w:r w:rsidR="000614EC">
        <w:t>in supporting pupil progress</w:t>
      </w:r>
      <w:r w:rsidR="00AB131E">
        <w:t>.</w:t>
      </w:r>
      <w:r w:rsidR="000614EC">
        <w:t xml:space="preserve"> </w:t>
      </w:r>
      <w:r w:rsidR="00FE60D6">
        <w:t xml:space="preserve">To </w:t>
      </w:r>
      <w:r w:rsidR="00CF23DE">
        <w:t>address</w:t>
      </w:r>
      <w:r w:rsidR="00FE60D6">
        <w:t xml:space="preserve"> this, </w:t>
      </w:r>
      <w:r w:rsidR="00AB131E">
        <w:t xml:space="preserve">I </w:t>
      </w:r>
      <w:r w:rsidR="00094DA8">
        <w:t xml:space="preserve">note the reintroduction of </w:t>
      </w:r>
      <w:proofErr w:type="spellStart"/>
      <w:r w:rsidR="00094DA8">
        <w:t>AfL</w:t>
      </w:r>
      <w:proofErr w:type="spellEnd"/>
      <w:r w:rsidR="00094DA8">
        <w:t xml:space="preserve"> strategies </w:t>
      </w:r>
      <w:r w:rsidR="00952373">
        <w:t>within the Curriculum for Wales (202</w:t>
      </w:r>
      <w:r w:rsidR="00D84F7F">
        <w:t>0)</w:t>
      </w:r>
      <w:r w:rsidR="00D832B4">
        <w:t xml:space="preserve">, with an emphasis on </w:t>
      </w:r>
      <w:r w:rsidR="00784094">
        <w:t xml:space="preserve">a holistic approach to education. </w:t>
      </w:r>
      <w:r w:rsidR="0094249D">
        <w:t>Th</w:t>
      </w:r>
      <w:r w:rsidR="00F95E57">
        <w:t>is impacts the learner by promoting a growth mindse</w:t>
      </w:r>
      <w:r w:rsidR="00E94F1C">
        <w:t>t</w:t>
      </w:r>
      <w:r w:rsidR="0039521E">
        <w:t xml:space="preserve">, which allows progress to </w:t>
      </w:r>
      <w:r w:rsidR="00450098">
        <w:t>be viewed</w:t>
      </w:r>
      <w:r w:rsidR="00B25CF6">
        <w:t xml:space="preserve"> and embraced</w:t>
      </w:r>
      <w:r w:rsidR="006B0DE0">
        <w:t xml:space="preserve"> (Dweck, C. 2012)</w:t>
      </w:r>
      <w:r w:rsidR="00AD71DD">
        <w:t xml:space="preserve">. </w:t>
      </w:r>
      <w:r w:rsidR="00275DD2">
        <w:t xml:space="preserve">Building </w:t>
      </w:r>
      <w:r w:rsidR="003E792E">
        <w:t xml:space="preserve">on this focus on growth and continuous progress, the concept of the Zone of Proximal Development </w:t>
      </w:r>
      <w:r w:rsidR="001948E7">
        <w:t xml:space="preserve">(ZPD) by Lev Vygotsky </w:t>
      </w:r>
      <w:r w:rsidR="000A534B">
        <w:t>(1978)</w:t>
      </w:r>
      <w:r w:rsidR="00A573C9">
        <w:t xml:space="preserve"> further illustrates how cold and hot writes </w:t>
      </w:r>
      <w:r w:rsidR="006D18EF">
        <w:t>can effectively support students’ learning by providing the r</w:t>
      </w:r>
      <w:r w:rsidR="00893526">
        <w:t>ight level of challenge and guidance.</w:t>
      </w:r>
      <w:r w:rsidR="00E45AA8">
        <w:t xml:space="preserve"> </w:t>
      </w:r>
      <w:r w:rsidR="00291A72">
        <w:t>A cold write is writing without instruction or feedback</w:t>
      </w:r>
      <w:r w:rsidR="004A798E">
        <w:t xml:space="preserve">, which applies to the idea of ZPD and operating within the actual </w:t>
      </w:r>
      <w:r w:rsidR="00FB69E5">
        <w:t xml:space="preserve">development level. </w:t>
      </w:r>
      <w:r w:rsidR="003D6156">
        <w:t>Afterward, entering the potential development level</w:t>
      </w:r>
      <w:r w:rsidR="00DD5C68">
        <w:t xml:space="preserve"> with the support of a more knowledgeable other</w:t>
      </w:r>
      <w:r w:rsidR="00D27C15">
        <w:t xml:space="preserve"> (MKO)</w:t>
      </w:r>
      <w:r w:rsidR="00E11D3D">
        <w:t xml:space="preserve">, such as the teacher. This </w:t>
      </w:r>
      <w:r w:rsidR="00C5488C">
        <w:t>occurs after completing a hot write</w:t>
      </w:r>
      <w:r w:rsidR="00A04851">
        <w:t xml:space="preserve"> </w:t>
      </w:r>
      <w:r w:rsidR="007B38AF">
        <w:t>because of</w:t>
      </w:r>
      <w:r w:rsidR="00A04851">
        <w:t xml:space="preserve"> feedback </w:t>
      </w:r>
      <w:r w:rsidR="00A04851">
        <w:lastRenderedPageBreak/>
        <w:t xml:space="preserve">and guidance. </w:t>
      </w:r>
      <w:r w:rsidR="000C63AB">
        <w:t xml:space="preserve">While this perspective is valid, </w:t>
      </w:r>
      <w:r w:rsidR="00D42557">
        <w:t xml:space="preserve">Piaget (1952) suggests that </w:t>
      </w:r>
      <w:r w:rsidR="009A1EE4">
        <w:t xml:space="preserve">children learn best through active exploration </w:t>
      </w:r>
      <w:r w:rsidR="00F646CB">
        <w:t xml:space="preserve">and interaction with their environment. </w:t>
      </w:r>
      <w:r w:rsidR="00117F8A">
        <w:t>A</w:t>
      </w:r>
      <w:r w:rsidR="00F646CB">
        <w:t xml:space="preserve">s opposed to </w:t>
      </w:r>
      <w:r w:rsidR="00117F8A">
        <w:t>Vygotsky’s (1978)</w:t>
      </w:r>
      <w:r w:rsidR="008D0FA9">
        <w:t xml:space="preserve"> idea that learning occurs through guided </w:t>
      </w:r>
      <w:r w:rsidR="00D27C15">
        <w:t>interactions with a</w:t>
      </w:r>
      <w:r w:rsidR="00B334A1">
        <w:t>n</w:t>
      </w:r>
      <w:r w:rsidR="00D27C15">
        <w:t xml:space="preserve"> MKO</w:t>
      </w:r>
      <w:r w:rsidR="00B334A1">
        <w:t xml:space="preserve">. </w:t>
      </w:r>
      <w:r w:rsidR="00967CCD">
        <w:t xml:space="preserve">While both </w:t>
      </w:r>
      <w:r w:rsidR="004072F3">
        <w:t>Vygotsky’s</w:t>
      </w:r>
      <w:r w:rsidR="007421F5">
        <w:t xml:space="preserve"> </w:t>
      </w:r>
      <w:r w:rsidR="004072F3">
        <w:t>and Piaget’s theories offer valuable insights</w:t>
      </w:r>
      <w:r w:rsidR="002624F4">
        <w:t xml:space="preserve"> into how children learn</w:t>
      </w:r>
      <w:r w:rsidR="001022EF">
        <w:t xml:space="preserve">, it could be considered that Vygotsky’s </w:t>
      </w:r>
      <w:r w:rsidR="00DB7F1D">
        <w:t>concept</w:t>
      </w:r>
      <w:r w:rsidR="001022EF">
        <w:t xml:space="preserve"> of ZPD </w:t>
      </w:r>
      <w:r w:rsidR="00DB7F1D">
        <w:t xml:space="preserve">aligns more closely with the aims of this research on </w:t>
      </w:r>
      <w:r w:rsidR="00F23C13">
        <w:t>cold and hot writes</w:t>
      </w:r>
      <w:r w:rsidR="00DB7F1D">
        <w:t>, as these strategies incorporate the structure of scaffolding and feedback.</w:t>
      </w:r>
      <w:r w:rsidR="007131D9">
        <w:t xml:space="preserve"> </w:t>
      </w:r>
    </w:p>
    <w:p w14:paraId="6F63D9FB" w14:textId="77777777" w:rsidR="00116B8C" w:rsidRDefault="00116B8C" w:rsidP="00A83B45">
      <w:pPr>
        <w:spacing w:line="360" w:lineRule="auto"/>
      </w:pPr>
    </w:p>
    <w:p w14:paraId="68DFA1F2" w14:textId="77777777" w:rsidR="003465FD" w:rsidRDefault="003465FD" w:rsidP="00A83B45">
      <w:pPr>
        <w:spacing w:line="360" w:lineRule="auto"/>
      </w:pPr>
    </w:p>
    <w:p w14:paraId="58E6D8D5" w14:textId="116D4858" w:rsidR="00E570CC" w:rsidRDefault="00465F6C" w:rsidP="00A83B45">
      <w:pPr>
        <w:spacing w:line="360" w:lineRule="auto"/>
      </w:pPr>
      <w:r>
        <w:t xml:space="preserve">This research </w:t>
      </w:r>
      <w:r w:rsidR="007953FD">
        <w:t>adopts</w:t>
      </w:r>
      <w:r>
        <w:t xml:space="preserve"> a mixed-method approach, </w:t>
      </w:r>
      <w:r w:rsidR="007953FD">
        <w:t xml:space="preserve">using </w:t>
      </w:r>
      <w:r>
        <w:t xml:space="preserve">questionnaires and semi-structured interviews to </w:t>
      </w:r>
      <w:r w:rsidR="007953FD">
        <w:t xml:space="preserve">explore a teacher and learner perspectives on cold and hot writes as an </w:t>
      </w:r>
      <w:proofErr w:type="spellStart"/>
      <w:r w:rsidR="007953FD">
        <w:t>AfL</w:t>
      </w:r>
      <w:proofErr w:type="spellEnd"/>
      <w:r w:rsidR="007953FD">
        <w:t xml:space="preserve"> strategy. Combining these methods offers both breadth and depth, aligning with Cohen, Manion, and Morrison (2017),</w:t>
      </w:r>
      <w:r w:rsidR="004A16C9">
        <w:t xml:space="preserve"> who </w:t>
      </w:r>
      <w:r w:rsidR="007953FD">
        <w:t xml:space="preserve">highlight the robustness and flexibility of mixed methods in educational research. Similarly, </w:t>
      </w:r>
      <w:r w:rsidR="00EA1AD1">
        <w:t>Creamer</w:t>
      </w:r>
      <w:r w:rsidR="007953FD">
        <w:t xml:space="preserve"> </w:t>
      </w:r>
      <w:r w:rsidR="00EA1AD1">
        <w:t xml:space="preserve">(2017) </w:t>
      </w:r>
      <w:r w:rsidR="007953FD">
        <w:t xml:space="preserve">supports the value of mixed methods in providing deeper insights. </w:t>
      </w:r>
      <w:r w:rsidR="00745719">
        <w:t xml:space="preserve">Nevertheless, </w:t>
      </w:r>
      <w:r w:rsidR="009032B4">
        <w:t>mixed-method approaches aren’t without their limitations.</w:t>
      </w:r>
      <w:r w:rsidR="00511A7F">
        <w:t xml:space="preserve"> </w:t>
      </w:r>
      <w:proofErr w:type="spellStart"/>
      <w:r w:rsidR="0014308A">
        <w:t>Tashakkori</w:t>
      </w:r>
      <w:proofErr w:type="spellEnd"/>
      <w:r w:rsidR="00AA1104">
        <w:t xml:space="preserve"> and Teddlie </w:t>
      </w:r>
      <w:r w:rsidR="00511762">
        <w:t>(200</w:t>
      </w:r>
      <w:r w:rsidR="007953FD">
        <w:t>3) note</w:t>
      </w:r>
      <w:r w:rsidR="00DA6B62">
        <w:t xml:space="preserve"> </w:t>
      </w:r>
      <w:r w:rsidR="00126149">
        <w:t xml:space="preserve">key challenges in </w:t>
      </w:r>
      <w:r w:rsidR="007953FD">
        <w:t xml:space="preserve">the complexity of integrating data and the time-consuming nature of collecting and analysing both </w:t>
      </w:r>
      <w:r w:rsidR="00814098">
        <w:t>qualitative and quantitative d</w:t>
      </w:r>
      <w:r w:rsidR="007953FD">
        <w:t xml:space="preserve">ata. </w:t>
      </w:r>
    </w:p>
    <w:p w14:paraId="37493DD3" w14:textId="4EF3B43A" w:rsidR="0014047C" w:rsidRDefault="00E570CC" w:rsidP="00A83B45">
      <w:pPr>
        <w:spacing w:line="360" w:lineRule="auto"/>
      </w:pPr>
      <w:r>
        <w:t>An</w:t>
      </w:r>
      <w:r w:rsidR="00814098">
        <w:t xml:space="preserve"> </w:t>
      </w:r>
      <w:r w:rsidR="00D34CB8">
        <w:t xml:space="preserve">interview </w:t>
      </w:r>
      <w:r w:rsidR="006727A3">
        <w:t xml:space="preserve">is a </w:t>
      </w:r>
      <w:r w:rsidR="0059312F">
        <w:t>common</w:t>
      </w:r>
      <w:r w:rsidR="007421F5">
        <w:t>ly used</w:t>
      </w:r>
      <w:r w:rsidR="00997BF3">
        <w:t>, discussion</w:t>
      </w:r>
      <w:r w:rsidR="0059312F">
        <w:t xml:space="preserve">-based </w:t>
      </w:r>
      <w:r w:rsidR="00AA0D74">
        <w:t>method</w:t>
      </w:r>
      <w:r w:rsidR="0059312F">
        <w:t xml:space="preserve"> for exploring perspectives and opinions </w:t>
      </w:r>
      <w:r w:rsidR="00C43633">
        <w:t>(</w:t>
      </w:r>
      <w:r w:rsidR="000E2F7D">
        <w:t>Phillips and Mrow</w:t>
      </w:r>
      <w:r w:rsidR="007D7A3F">
        <w:t>czynski, 2019)</w:t>
      </w:r>
      <w:r w:rsidR="00CA101E">
        <w:t xml:space="preserve">. </w:t>
      </w:r>
      <w:r w:rsidR="001F058F">
        <w:t>There are three types</w:t>
      </w:r>
      <w:r w:rsidR="0059312F">
        <w:t xml:space="preserve">: </w:t>
      </w:r>
      <w:r w:rsidR="008303B9">
        <w:t>unstructured, semi-structured, and structured</w:t>
      </w:r>
      <w:r w:rsidR="00DC3241">
        <w:t xml:space="preserve"> (Research Guides, 2020). </w:t>
      </w:r>
      <w:r w:rsidR="007421F5">
        <w:t>This</w:t>
      </w:r>
      <w:r w:rsidR="002D04C8">
        <w:t xml:space="preserve"> </w:t>
      </w:r>
      <w:r w:rsidR="0059312F">
        <w:t xml:space="preserve">study used semi-structured interviews, they provide a balance between structure and flexibility. Unlike unstructured interviews, which are more informal, semi-structured interviews provide a clear framework while allowing for follow up questions and deeper exploration. </w:t>
      </w:r>
      <w:r w:rsidR="00425546">
        <w:t>This flexibility is often missing in structured interviews, which restrict</w:t>
      </w:r>
      <w:r w:rsidR="006D000C">
        <w:t xml:space="preserve"> the interviewer’s ability to prompt or ask additional questions</w:t>
      </w:r>
      <w:r w:rsidR="00DF4004">
        <w:t xml:space="preserve"> (Kvale, 2012). </w:t>
      </w:r>
      <w:r w:rsidR="00F43D89">
        <w:t>One</w:t>
      </w:r>
      <w:r w:rsidR="0059312F">
        <w:t xml:space="preserve"> </w:t>
      </w:r>
      <w:r w:rsidR="00F43D89">
        <w:t xml:space="preserve">justification for using semi-structured interviews in </w:t>
      </w:r>
      <w:r w:rsidR="007421F5">
        <w:t>this</w:t>
      </w:r>
      <w:r w:rsidR="00F43D89">
        <w:t xml:space="preserve"> research is the limited timeframe available</w:t>
      </w:r>
      <w:r w:rsidR="00A526F3">
        <w:t xml:space="preserve">, which was one day. This constraint required me to use my time efficiently </w:t>
      </w:r>
      <w:r w:rsidR="00027452">
        <w:t xml:space="preserve">and choose a method that would </w:t>
      </w:r>
      <w:r w:rsidR="00300BEF">
        <w:t>provide</w:t>
      </w:r>
      <w:r w:rsidR="00027452">
        <w:t xml:space="preserve"> rich data and insights</w:t>
      </w:r>
      <w:r w:rsidR="00BA1CCC">
        <w:t xml:space="preserve"> within a short period. </w:t>
      </w:r>
      <w:r w:rsidR="00674626">
        <w:t>This can be supported by Bernard (2017)</w:t>
      </w:r>
      <w:r w:rsidR="002E0736">
        <w:t xml:space="preserve">, who suggests that semi-structured interviews are particularly </w:t>
      </w:r>
      <w:r w:rsidR="009778C8">
        <w:t>effective when there is only one opportunity to interview a participant, as they allow the researcher to</w:t>
      </w:r>
      <w:r w:rsidR="00F46EF5">
        <w:t xml:space="preserve"> gather the most data in a single session by balancing structured questions with the flexibility to explore topics in more depth. </w:t>
      </w:r>
      <w:r w:rsidR="003634FF">
        <w:t>This claim is further reinforced by Bryman (</w:t>
      </w:r>
      <w:r w:rsidR="003D6EE0">
        <w:t xml:space="preserve">2016), </w:t>
      </w:r>
      <w:r w:rsidR="004D0B54">
        <w:t xml:space="preserve">who suggests that semi-structured interviews </w:t>
      </w:r>
      <w:r w:rsidR="00912D14">
        <w:t>are useful for situations where only one chance to interview a participant is available</w:t>
      </w:r>
      <w:r w:rsidR="0019502F">
        <w:t xml:space="preserve">. This perspective has been contested by </w:t>
      </w:r>
      <w:proofErr w:type="spellStart"/>
      <w:r w:rsidR="0019502F">
        <w:t>Gabrium</w:t>
      </w:r>
      <w:proofErr w:type="spellEnd"/>
      <w:r w:rsidR="0019502F">
        <w:t xml:space="preserve"> </w:t>
      </w:r>
      <w:r w:rsidR="0019502F">
        <w:lastRenderedPageBreak/>
        <w:t>and Holstein (2002)</w:t>
      </w:r>
      <w:r w:rsidR="00A45379">
        <w:t>,</w:t>
      </w:r>
      <w:r w:rsidR="00CA233A">
        <w:t xml:space="preserve"> who argue the</w:t>
      </w:r>
      <w:r w:rsidR="005B71BB">
        <w:t xml:space="preserve"> </w:t>
      </w:r>
      <w:r w:rsidR="00CA233A">
        <w:t>effectiveness</w:t>
      </w:r>
      <w:r w:rsidR="005B71BB">
        <w:t xml:space="preserve"> of interviews</w:t>
      </w:r>
      <w:r w:rsidR="00CA233A">
        <w:t xml:space="preserve"> depends on proper execution, as over-structuring may limit participant-led responses. </w:t>
      </w:r>
      <w:r w:rsidR="000918CC">
        <w:t xml:space="preserve">This is consistent with the work of </w:t>
      </w:r>
      <w:r w:rsidR="00180190">
        <w:t>Creswell (2014)</w:t>
      </w:r>
      <w:r w:rsidR="004E1900">
        <w:t xml:space="preserve">, who </w:t>
      </w:r>
      <w:r w:rsidR="000C4378">
        <w:t>acknowledges</w:t>
      </w:r>
      <w:r w:rsidR="004E1900">
        <w:t xml:space="preserve"> </w:t>
      </w:r>
      <w:r w:rsidR="000C4378">
        <w:t xml:space="preserve">the common use of semi-structured interviews in qualitative research, though is cautious </w:t>
      </w:r>
      <w:r w:rsidR="0011302F">
        <w:t>of interview bias</w:t>
      </w:r>
      <w:r w:rsidR="00973716">
        <w:t xml:space="preserve">. Interview bias may become prominent in a semi-structured scenario because </w:t>
      </w:r>
      <w:r w:rsidR="00F90A54">
        <w:t>a researcher’s personal interpretation</w:t>
      </w:r>
      <w:r w:rsidR="008C0A83">
        <w:t xml:space="preserve"> </w:t>
      </w:r>
      <w:r w:rsidR="00897A44">
        <w:t xml:space="preserve">may influence data, which compromises </w:t>
      </w:r>
      <w:r w:rsidR="00385307">
        <w:t>objectivity and validity.</w:t>
      </w:r>
      <w:r w:rsidR="00067457">
        <w:t xml:space="preserve"> </w:t>
      </w:r>
      <w:r w:rsidR="00CA233A">
        <w:t>Furthermore, participants may alter responses to appear favourable, also known as the Hawthorne Effect. Originally identified by Harvard researchers Mayo et al., (1924, cited in Fripp, 2023), the phenomenon known as the Hawthorne Effect is used to show how behaviour modifies simply by being observed. This research originally took place in a factory</w:t>
      </w:r>
      <w:r w:rsidR="002168EE">
        <w:t>,</w:t>
      </w:r>
      <w:r w:rsidR="00CA233A">
        <w:t xml:space="preserve"> but it can be </w:t>
      </w:r>
      <w:r w:rsidR="005B71BB">
        <w:t>applied</w:t>
      </w:r>
      <w:r w:rsidR="00CA233A">
        <w:t xml:space="preserve"> into research </w:t>
      </w:r>
      <w:r w:rsidR="00700ACE">
        <w:t xml:space="preserve">by considering how participants may change their behaviour and responses to please the researcher. </w:t>
      </w:r>
      <w:r w:rsidR="008F6A66">
        <w:t xml:space="preserve">This is a limitation to interviews because </w:t>
      </w:r>
      <w:r w:rsidR="00201448">
        <w:t xml:space="preserve">validity and authenticity of data is compromised </w:t>
      </w:r>
      <w:r w:rsidR="000470AA">
        <w:t>(Cook and King</w:t>
      </w:r>
      <w:r w:rsidR="00792D80">
        <w:t xml:space="preserve">, </w:t>
      </w:r>
      <w:r w:rsidR="0045032E">
        <w:t>1971)</w:t>
      </w:r>
      <w:r w:rsidR="002F4FAB">
        <w:t>.</w:t>
      </w:r>
      <w:r>
        <w:t xml:space="preserve"> </w:t>
      </w:r>
      <w:r w:rsidR="002F4FAB">
        <w:t xml:space="preserve"> </w:t>
      </w:r>
    </w:p>
    <w:p w14:paraId="7EA448F6" w14:textId="44C36A68" w:rsidR="005B268A" w:rsidRDefault="00810D9C" w:rsidP="00A83B45">
      <w:pPr>
        <w:spacing w:line="360" w:lineRule="auto"/>
      </w:pPr>
      <w:r>
        <w:t xml:space="preserve">A questionnaire is </w:t>
      </w:r>
      <w:r w:rsidR="00BD1117">
        <w:t>a set of standardised questions in a logical order</w:t>
      </w:r>
      <w:r w:rsidR="00B32106">
        <w:t xml:space="preserve"> used to gather data from respondents </w:t>
      </w:r>
      <w:r w:rsidR="00BD1117">
        <w:t>(</w:t>
      </w:r>
      <w:r w:rsidR="00515B8A">
        <w:t xml:space="preserve">Hussain, 2022). </w:t>
      </w:r>
      <w:r w:rsidR="00B32106">
        <w:t>I</w:t>
      </w:r>
      <w:r w:rsidR="002168EE">
        <w:t xml:space="preserve">ts ability to collect data </w:t>
      </w:r>
      <w:r w:rsidR="00B32106">
        <w:t>quickly and cost-effectively</w:t>
      </w:r>
      <w:r w:rsidR="002168EE">
        <w:t xml:space="preserve"> justifie</w:t>
      </w:r>
      <w:r w:rsidR="00B32106">
        <w:t>s</w:t>
      </w:r>
      <w:r w:rsidR="002168EE">
        <w:t xml:space="preserve"> i</w:t>
      </w:r>
      <w:r w:rsidR="00B32106">
        <w:t xml:space="preserve">ts </w:t>
      </w:r>
      <w:r w:rsidR="005B71BB">
        <w:t xml:space="preserve">use in </w:t>
      </w:r>
      <w:r w:rsidR="002168EE">
        <w:t xml:space="preserve">this research. </w:t>
      </w:r>
      <w:r w:rsidR="009E3189">
        <w:t xml:space="preserve">Gillham (2008) </w:t>
      </w:r>
      <w:r w:rsidR="00B32106">
        <w:t>supports this, stating that</w:t>
      </w:r>
      <w:r w:rsidR="009E3189">
        <w:t xml:space="preserve"> questionnaires are one of the most economical methods of research, </w:t>
      </w:r>
      <w:r w:rsidR="00B32106">
        <w:t xml:space="preserve">particularly when conducted online, as they incur lower administration costs compared to interviews or observations. </w:t>
      </w:r>
      <w:r w:rsidR="009E3189">
        <w:t>Additionally,</w:t>
      </w:r>
      <w:r w:rsidR="00B32106">
        <w:t xml:space="preserve"> questionnaires allow for a large sample size, enhancing</w:t>
      </w:r>
      <w:r w:rsidR="009E3189">
        <w:t xml:space="preserve"> </w:t>
      </w:r>
      <w:r w:rsidR="00B32106">
        <w:t xml:space="preserve">the </w:t>
      </w:r>
      <w:r w:rsidR="009E3189">
        <w:t xml:space="preserve">generalisability of data. From this, it could be deducted that questionnaires are an effective method of research due to the ease of implementation. On the other hand, it is important to consider the structure of a questionnaire. </w:t>
      </w:r>
      <w:r w:rsidR="00B32106">
        <w:t xml:space="preserve">Oppenheim (2000) asserts that a well-implemented questionnaire should feature clear, precise wording and a mix of open and closed questions to balance depth standardisation. </w:t>
      </w:r>
    </w:p>
    <w:p w14:paraId="12A5BB51" w14:textId="2D3A4F7A" w:rsidR="00326A9D" w:rsidRDefault="005B268A" w:rsidP="00A83B45">
      <w:pPr>
        <w:spacing w:line="360" w:lineRule="auto"/>
      </w:pPr>
      <w:r>
        <w:t>During the research day</w:t>
      </w:r>
      <w:r w:rsidR="001B7AED">
        <w:t xml:space="preserve">, </w:t>
      </w:r>
      <w:r>
        <w:t>I conducted a semi-structured interview with</w:t>
      </w:r>
      <w:r w:rsidR="00EB29E8">
        <w:t xml:space="preserve"> a group of learners, all from year 3</w:t>
      </w:r>
      <w:r>
        <w:t xml:space="preserve"> </w:t>
      </w:r>
      <w:r w:rsidR="001B7AED">
        <w:t>and distributed a</w:t>
      </w:r>
      <w:r w:rsidR="00700ACE">
        <w:t>n online</w:t>
      </w:r>
      <w:r w:rsidR="001B7AED">
        <w:t xml:space="preserve"> questionnaire </w:t>
      </w:r>
      <w:r w:rsidR="00173297">
        <w:t>to all</w:t>
      </w:r>
      <w:r>
        <w:t xml:space="preserve"> </w:t>
      </w:r>
      <w:r w:rsidR="00173297">
        <w:t xml:space="preserve">primary phase </w:t>
      </w:r>
      <w:r>
        <w:t>staff members</w:t>
      </w:r>
      <w:r w:rsidR="00173297">
        <w:t>,</w:t>
      </w:r>
      <w:r w:rsidR="005B71BB">
        <w:t xml:space="preserve"> of</w:t>
      </w:r>
      <w:r w:rsidR="00173297">
        <w:t xml:space="preserve"> which </w:t>
      </w:r>
      <w:r w:rsidR="005B71BB">
        <w:t xml:space="preserve">there are </w:t>
      </w:r>
      <w:r w:rsidR="00173297">
        <w:t xml:space="preserve">around </w:t>
      </w:r>
      <w:r w:rsidR="005B71BB">
        <w:t>seven</w:t>
      </w:r>
      <w:r>
        <w:t>.</w:t>
      </w:r>
      <w:r w:rsidR="00DC1C6B">
        <w:t xml:space="preserve"> </w:t>
      </w:r>
      <w:r w:rsidR="00326A9D">
        <w:t xml:space="preserve">Greig, Taylor, and MacKay (2012) highlight several benefits of group interviews with young participants. The group dynamic can spark ideas and memories that might not emerge in individual interviews. </w:t>
      </w:r>
      <w:r w:rsidR="005B71BB">
        <w:t>A</w:t>
      </w:r>
      <w:r w:rsidR="00326A9D">
        <w:t>dditionally, group settings feel less intimidating, fostering natural conversation with peer support. This aligns with Bandura’s Social Learning theory (1977, cited in Rumjaun &amp; Narod, 2020), which suggests children learn through observation and imitation. This theory c</w:t>
      </w:r>
      <w:r w:rsidR="00237F7F">
        <w:t>ould</w:t>
      </w:r>
      <w:r w:rsidR="00326A9D">
        <w:t xml:space="preserve"> be applied to group interviews with young learners</w:t>
      </w:r>
      <w:r w:rsidR="00237F7F">
        <w:t xml:space="preserve"> by participants increasing confidence and willingness to engage by observing their peers. </w:t>
      </w:r>
    </w:p>
    <w:p w14:paraId="588C1630" w14:textId="45065617" w:rsidR="00E04982" w:rsidRDefault="005B268A" w:rsidP="00A83B45">
      <w:pPr>
        <w:spacing w:line="360" w:lineRule="auto"/>
      </w:pPr>
      <w:r>
        <w:lastRenderedPageBreak/>
        <w:t>The questionnaire</w:t>
      </w:r>
      <w:r w:rsidR="005B71BB">
        <w:t xml:space="preserve"> in this study</w:t>
      </w:r>
      <w:r>
        <w:t xml:space="preserve"> included both open and closed questions</w:t>
      </w:r>
      <w:r w:rsidR="00747C18">
        <w:t>; q</w:t>
      </w:r>
      <w:r w:rsidR="00BC1914">
        <w:t>u</w:t>
      </w:r>
      <w:r w:rsidR="00747C18">
        <w:t>antitative</w:t>
      </w:r>
      <w:r w:rsidR="00BC1914">
        <w:t xml:space="preserve"> d</w:t>
      </w:r>
      <w:r w:rsidR="00747C18">
        <w:t xml:space="preserve">ata have been visualised in graphs </w:t>
      </w:r>
      <w:r w:rsidR="00C12764">
        <w:t>(see Appendix 4-19)</w:t>
      </w:r>
      <w:r w:rsidR="00747C18">
        <w:t>.</w:t>
      </w:r>
      <w:r>
        <w:t xml:space="preserve"> </w:t>
      </w:r>
      <w:r w:rsidR="001B7AED">
        <w:t>O</w:t>
      </w:r>
      <w:r>
        <w:t>pen</w:t>
      </w:r>
      <w:r w:rsidR="001B7AED">
        <w:t>-ended</w:t>
      </w:r>
      <w:r>
        <w:t xml:space="preserve"> questions wer</w:t>
      </w:r>
      <w:r w:rsidR="00747C18">
        <w:t>e used to</w:t>
      </w:r>
      <w:r w:rsidR="001B7AED">
        <w:t xml:space="preserve"> ga</w:t>
      </w:r>
      <w:r w:rsidR="00747C18">
        <w:t>in</w:t>
      </w:r>
      <w:r w:rsidR="001B7AED">
        <w:t xml:space="preserve"> rich, </w:t>
      </w:r>
      <w:r>
        <w:t xml:space="preserve">qualitative </w:t>
      </w:r>
      <w:r w:rsidR="00747C18">
        <w:t xml:space="preserve">and detailed </w:t>
      </w:r>
      <w:r w:rsidR="001B7AED">
        <w:t>insights into respondents’ opinions.</w:t>
      </w:r>
      <w:r>
        <w:t xml:space="preserve"> </w:t>
      </w:r>
      <w:r w:rsidR="009F1F11">
        <w:t xml:space="preserve">This strength can be supported by Fowler (1995), </w:t>
      </w:r>
      <w:r w:rsidR="001B7AED">
        <w:t>noting th</w:t>
      </w:r>
      <w:r w:rsidR="004C495F">
        <w:t>eir capacity for in-depth responses</w:t>
      </w:r>
      <w:r w:rsidR="009F1F11">
        <w:t xml:space="preserve">. </w:t>
      </w:r>
      <w:r w:rsidR="001B7AED">
        <w:t>However, a limitation of open-ended questions is the</w:t>
      </w:r>
      <w:r w:rsidR="004C495F">
        <w:t xml:space="preserve"> reduction of response quality and completion rated due to being time consuming, ultimately leading to disengagement. </w:t>
      </w:r>
      <w:r w:rsidR="001B7AED">
        <w:t xml:space="preserve">This may lower the completion rate, affecting the generalisability of the results (Dillman, 2014). </w:t>
      </w:r>
      <w:r w:rsidR="00B54B6E">
        <w:t>Despite</w:t>
      </w:r>
      <w:r w:rsidR="004C495F">
        <w:t xml:space="preserve"> this, the value of obtaining detailed data potentially outweighs such limitations. The benefits instead include obtaining a breadth of rich, qualitative data. </w:t>
      </w:r>
      <w:r w:rsidR="00B54B6E">
        <w:t xml:space="preserve">After analysing relevant literature, one could conclude that including a mixture of both open and closed questions is essential. This approach helps maintain a low completion time and high engagement, while also ensuring that the data collected remains detailed and insightful. </w:t>
      </w:r>
      <w:r w:rsidR="004C495F">
        <w:t xml:space="preserve">In this study, teacher respondents provided thoughtful reflections. However, had the audience been young learners, closed questions would likely have provided clearer, more appropriate data, as they would have remained engaged. This informed my decision to use interviews with children, allowing them to express their views freely without written constraints. This aligns with Article 12 of the UNCRC, which emphasises children’s right to express their opinions and be heard. qualitative interview data were transcribed and are included in </w:t>
      </w:r>
      <w:r w:rsidR="00C12764" w:rsidRPr="00C12764">
        <w:t>Appendix</w:t>
      </w:r>
      <w:r w:rsidR="00C12764">
        <w:t xml:space="preserve"> 2.</w:t>
      </w:r>
      <w:r w:rsidR="00DC1C6B">
        <w:t xml:space="preserve"> After </w:t>
      </w:r>
      <w:r w:rsidR="00E04982">
        <w:t>considering the rights of the child, ethical implications</w:t>
      </w:r>
      <w:r w:rsidR="008C640C">
        <w:t xml:space="preserve"> were</w:t>
      </w:r>
      <w:r w:rsidR="00E04982">
        <w:t xml:space="preserve"> central to the design and implementation of this study.</w:t>
      </w:r>
      <w:r w:rsidR="00DC219F">
        <w:t xml:space="preserve"> Prior to data collection, I completed an Ethics Form, which was approved by the relevant university panel (</w:t>
      </w:r>
      <w:r w:rsidR="00AC4E67">
        <w:t>see Appendix 20</w:t>
      </w:r>
      <w:r w:rsidR="00DC219F">
        <w:t xml:space="preserve">). </w:t>
      </w:r>
      <w:r w:rsidR="00E04982">
        <w:t xml:space="preserve">In </w:t>
      </w:r>
      <w:r w:rsidR="008C640C">
        <w:t>accordance</w:t>
      </w:r>
      <w:r w:rsidR="00E04982">
        <w:t xml:space="preserve"> with the 2024 British Educational Research Association (BERA) guidelines, </w:t>
      </w:r>
      <w:r w:rsidR="008C640C">
        <w:t xml:space="preserve">specifically </w:t>
      </w:r>
      <w:r w:rsidR="00E04982">
        <w:t>the eighth responsibility to participants (p.13)</w:t>
      </w:r>
      <w:r w:rsidR="00DC1C6B">
        <w:t xml:space="preserve">, </w:t>
      </w:r>
      <w:r w:rsidR="00E04982">
        <w:t xml:space="preserve">refers to informed consent and its importance at the beginning of a study. To adhere to this, </w:t>
      </w:r>
      <w:r w:rsidR="008C640C">
        <w:t xml:space="preserve">participants of the questionnaire were provided with background information about the study, including how the findings would be used, </w:t>
      </w:r>
      <w:r w:rsidR="005B71BB">
        <w:t xml:space="preserve">ensuring </w:t>
      </w:r>
      <w:r w:rsidR="008C640C">
        <w:t xml:space="preserve">anonymity and why their responses were useful. After receiving all relevant information, participants could then give informed consent by clicking submit to the questionnaire </w:t>
      </w:r>
      <w:r w:rsidR="00AC4E67">
        <w:t xml:space="preserve">(see </w:t>
      </w:r>
      <w:r w:rsidR="00AC4E67" w:rsidRPr="00AC4E67">
        <w:t>Appendix</w:t>
      </w:r>
      <w:r w:rsidR="00AC4E67">
        <w:t xml:space="preserve"> 3)</w:t>
      </w:r>
      <w:r w:rsidR="008C640C">
        <w:t xml:space="preserve">. Additionally, prior to conducting interviews with learners, I explained the purpose of the research, the process, and how their responses would be used. I made it clear that participation was voluntary, with the option </w:t>
      </w:r>
      <w:r w:rsidR="00DC219F">
        <w:t>to withdraw at any time without consequence</w:t>
      </w:r>
      <w:r w:rsidR="008C640C">
        <w:t xml:space="preserve"> (see Appendix</w:t>
      </w:r>
      <w:r w:rsidR="00AC4E67">
        <w:t xml:space="preserve"> 2</w:t>
      </w:r>
      <w:r w:rsidR="008C640C">
        <w:t>). Alongside this,</w:t>
      </w:r>
      <w:r w:rsidR="00DC219F">
        <w:t xml:space="preserve"> the head of school X provided written consent for children to participate in interviews, in line with their blanket consent (see </w:t>
      </w:r>
      <w:r w:rsidR="00DC219F" w:rsidRPr="00AC4E67">
        <w:t>Appendix</w:t>
      </w:r>
      <w:r w:rsidR="00AC4E67">
        <w:t xml:space="preserve"> 21</w:t>
      </w:r>
      <w:r w:rsidR="00DC219F">
        <w:t>)</w:t>
      </w:r>
      <w:r w:rsidR="00AC4E67">
        <w:t xml:space="preserve">. </w:t>
      </w:r>
    </w:p>
    <w:p w14:paraId="5F2FEE04" w14:textId="6FAC3C5B" w:rsidR="001B7AED" w:rsidRDefault="001B7AED" w:rsidP="00A83B45">
      <w:pPr>
        <w:spacing w:line="360" w:lineRule="auto"/>
      </w:pPr>
    </w:p>
    <w:p w14:paraId="371053D3" w14:textId="09191B13" w:rsidR="00E617CF" w:rsidRDefault="00557C74" w:rsidP="00A83B45">
      <w:pPr>
        <w:spacing w:line="360" w:lineRule="auto"/>
      </w:pPr>
      <w:r>
        <w:lastRenderedPageBreak/>
        <w:t xml:space="preserve">The questionnaire data collected from teachers provides insight into their perspectives on cold and hot writes as an </w:t>
      </w:r>
      <w:proofErr w:type="spellStart"/>
      <w:r>
        <w:t>AfL</w:t>
      </w:r>
      <w:proofErr w:type="spellEnd"/>
      <w:r>
        <w:t xml:space="preserve"> strategy. Question 4 of the questionnaire (see Appendix 6) asked teachers how often they use cold and hot writes each term, on a scale of 1-5 (1 being never, 5 being very often). Two out of five teachers responded with a 5, indicating that cold and hot writes are regularly used each term. Notably, the teachers who reported frequent use are from year 4 and year 6 classes, suggesting that cold and hot writes may be more effective for older learners, who can reflect on feedback and apply it independently. This aligns with Vygotsky’s ZPD (1978), where scaffolding helps learners progress. Older learners, with more developed writing skills and metacognitive abilities, </w:t>
      </w:r>
      <w:r w:rsidR="00A83B45">
        <w:t>can</w:t>
      </w:r>
      <w:r>
        <w:t xml:space="preserve"> make more meaningful improvements between cold and hot writes. In contrast, young learners may not benefit as much, which is supported by Piaget’s Theory of Cognitive Development (1936, cited in Sutherland, 1992). According to Piaget, younger learners in the preoperational stage may struggle </w:t>
      </w:r>
      <w:r w:rsidR="00492408">
        <w:t xml:space="preserve">with concrete thinking, limiting their ability to engage with feedback and develop their writing. As seen in the interviews (see Appendix 2), younger learners expressed nervousness and uncertainty about cold writes. Their need for greater support aligns with the idea that their cognitive abilities are still developing. The interview data (see Appendix 2) supports the challenges noted in the questionnaire (see Appendix 10), </w:t>
      </w:r>
      <w:r w:rsidR="00814FB4">
        <w:t>w</w:t>
      </w:r>
      <w:r w:rsidR="00492408">
        <w:t>here teachers identified that students often</w:t>
      </w:r>
      <w:r w:rsidR="00F23419">
        <w:t xml:space="preserve"> find themselves “freezing at a blank page” or without</w:t>
      </w:r>
      <w:r w:rsidR="00A83B45">
        <w:t xml:space="preserve"> suitable</w:t>
      </w:r>
      <w:r w:rsidR="00F23419">
        <w:t xml:space="preserve"> prior knowledge</w:t>
      </w:r>
      <w:r w:rsidR="00A83B45">
        <w:t xml:space="preserve"> to complete the task</w:t>
      </w:r>
      <w:r w:rsidR="00F23419">
        <w:t xml:space="preserve">, which can impact their self-esteem. During the interview, learners expressed nervousness and uncertainty before cold writes, with some feeling “useless and sad” due to not knowing how to proceed. This aligns with Erikson’s Theory of Psychosocial Development (1950, cited in Scheck, 2014), particularly the stage of successful mastery of tasks. If students struggle with cold writes and feel unsupported, they may experience feelings of inferiority, hindering their academic development and self-esteem. However, with proper scaffolding after the cold write, students can transform initial insecurity into motivation. As one learner noted, feedback helps them “try their hardest to improve”, suggesting that the right support can motivate students to succeed. </w:t>
      </w:r>
      <w:r w:rsidR="00E617CF">
        <w:t>The interview findings showed mixed reactions to feedback, which align with Dweck’s Growth Mindset Theory (2006), where learners who view feedback as a tool for improvement are more motivated, while those who see it as failure may feel demotivated. However, limitations such as the small sample size and personal factors, like Additional Learning Needs (ALN)</w:t>
      </w:r>
      <w:r w:rsidR="00A83B45">
        <w:t xml:space="preserve"> for instance</w:t>
      </w:r>
      <w:r w:rsidR="00E617CF">
        <w:t xml:space="preserve">, must </w:t>
      </w:r>
      <w:r w:rsidR="00814FB4">
        <w:t xml:space="preserve">be considered, as these learners may struggle to process feedback effectively, requiring tailored support to stay motivated. </w:t>
      </w:r>
    </w:p>
    <w:p w14:paraId="3049FCDD" w14:textId="6DEB1D62" w:rsidR="00B25F13" w:rsidRDefault="00B25F13" w:rsidP="00A83B45">
      <w:pPr>
        <w:spacing w:line="360" w:lineRule="auto"/>
      </w:pPr>
    </w:p>
    <w:p w14:paraId="077F1777" w14:textId="77777777" w:rsidR="00067457" w:rsidRDefault="00067457" w:rsidP="00A83B45">
      <w:pPr>
        <w:spacing w:line="360" w:lineRule="auto"/>
      </w:pPr>
    </w:p>
    <w:p w14:paraId="5C30B410" w14:textId="56B99633" w:rsidR="00067457" w:rsidRDefault="00067457" w:rsidP="00A83B45">
      <w:pPr>
        <w:spacing w:line="360" w:lineRule="auto"/>
      </w:pPr>
      <w:r>
        <w:lastRenderedPageBreak/>
        <w:t xml:space="preserve">In conclusion, this research on the use of cold and hot writes in formative assessment has provided valuable insights into how feedback and scaffolding can </w:t>
      </w:r>
      <w:r w:rsidR="00A83B45">
        <w:t>support</w:t>
      </w:r>
      <w:r>
        <w:t xml:space="preserve"> students’ learning progress. The findings suggest that older learners benefit more from this strategy, as they can reflect on feedback and apply it independently, whereas younger learners, who are still developing their cognitive and emotional skills, may struggle with the cold write phase. This aligns with theories such as Vygotsky’s ZPD and Piaget’s cognitive stages of development. The study’s mixed-method approach has been a strength, providing both quantitative and qualitative data</w:t>
      </w:r>
      <w:r w:rsidR="00B410C8">
        <w:t xml:space="preserve">. Though the small sample size limits the generalisability of findings. Nevertheless, the research has important implications for professional learning, especially in developing </w:t>
      </w:r>
      <w:proofErr w:type="spellStart"/>
      <w:r w:rsidR="00B410C8">
        <w:t>AfL</w:t>
      </w:r>
      <w:proofErr w:type="spellEnd"/>
      <w:r w:rsidR="00B410C8">
        <w:t xml:space="preserve"> strategies that cater to diverse learner needs. Looking ahead, the findings will inform my future practice by helping me better differentiate feedback, ensuring </w:t>
      </w:r>
      <w:proofErr w:type="spellStart"/>
      <w:r w:rsidR="00B410C8">
        <w:t>I</w:t>
      </w:r>
      <w:r w:rsidR="00A83B45">
        <w:t>earning</w:t>
      </w:r>
      <w:proofErr w:type="spellEnd"/>
      <w:r w:rsidR="00B410C8">
        <w:t xml:space="preserve"> is both accessible and motivating. This aligns with the Curriculum for Wales’ pedagogical principle of “encouraging learners to take increasing responsibility for their own learning” (Pedagogy, 2022). By providing the right scaffolding and promoting a growth mindset, I will empower my learners to recognise the value of sustained effort and the importance of feedback, fostering a more engaging, motivating and effective learning environment. </w:t>
      </w:r>
    </w:p>
    <w:p w14:paraId="02BB080E" w14:textId="77777777" w:rsidR="00A83B45" w:rsidRDefault="00A83B45" w:rsidP="00A83B45">
      <w:pPr>
        <w:spacing w:line="360" w:lineRule="auto"/>
      </w:pPr>
    </w:p>
    <w:p w14:paraId="54C51BE4" w14:textId="77777777" w:rsidR="00A83B45" w:rsidRDefault="00A83B45" w:rsidP="00A83B45">
      <w:pPr>
        <w:spacing w:line="360" w:lineRule="auto"/>
      </w:pPr>
    </w:p>
    <w:p w14:paraId="2DD1E0D0" w14:textId="77777777" w:rsidR="00A83B45" w:rsidRDefault="00A83B45" w:rsidP="00A83B45">
      <w:pPr>
        <w:spacing w:line="360" w:lineRule="auto"/>
      </w:pPr>
    </w:p>
    <w:p w14:paraId="103208EA" w14:textId="77777777" w:rsidR="00A83B45" w:rsidRDefault="00A83B45" w:rsidP="00A83B45">
      <w:pPr>
        <w:spacing w:line="360" w:lineRule="auto"/>
      </w:pPr>
    </w:p>
    <w:p w14:paraId="3553F998" w14:textId="77777777" w:rsidR="00A83B45" w:rsidRDefault="00A83B45" w:rsidP="00A83B45">
      <w:pPr>
        <w:spacing w:line="360" w:lineRule="auto"/>
      </w:pPr>
    </w:p>
    <w:p w14:paraId="64AD1A80" w14:textId="77777777" w:rsidR="00A83B45" w:rsidRDefault="00A83B45" w:rsidP="00A83B45">
      <w:pPr>
        <w:spacing w:line="360" w:lineRule="auto"/>
      </w:pPr>
    </w:p>
    <w:p w14:paraId="77978FCA" w14:textId="77777777" w:rsidR="00A83B45" w:rsidRDefault="00A83B45" w:rsidP="00A83B45">
      <w:pPr>
        <w:spacing w:line="360" w:lineRule="auto"/>
      </w:pPr>
    </w:p>
    <w:p w14:paraId="5EC6059A" w14:textId="77777777" w:rsidR="00A83B45" w:rsidRDefault="00A83B45" w:rsidP="00A83B45">
      <w:pPr>
        <w:spacing w:line="360" w:lineRule="auto"/>
      </w:pPr>
    </w:p>
    <w:p w14:paraId="27A71C1C" w14:textId="77777777" w:rsidR="00A83B45" w:rsidRDefault="00A83B45" w:rsidP="00A83B45">
      <w:pPr>
        <w:spacing w:line="360" w:lineRule="auto"/>
      </w:pPr>
    </w:p>
    <w:p w14:paraId="5A0AC940" w14:textId="77777777" w:rsidR="00A83B45" w:rsidRDefault="00A83B45" w:rsidP="00A83B45">
      <w:pPr>
        <w:spacing w:line="360" w:lineRule="auto"/>
      </w:pPr>
    </w:p>
    <w:p w14:paraId="6683E5E8" w14:textId="77777777" w:rsidR="00A83B45" w:rsidRDefault="00A83B45" w:rsidP="00A83B45">
      <w:pPr>
        <w:spacing w:line="360" w:lineRule="auto"/>
      </w:pPr>
    </w:p>
    <w:p w14:paraId="46A81BF7" w14:textId="77777777" w:rsidR="00A83B45" w:rsidRDefault="00A83B45" w:rsidP="00A83B45">
      <w:pPr>
        <w:spacing w:line="360" w:lineRule="auto"/>
      </w:pPr>
    </w:p>
    <w:p w14:paraId="10505302" w14:textId="77777777" w:rsidR="00A83B45" w:rsidRDefault="00A83B45" w:rsidP="00A83B45">
      <w:pPr>
        <w:spacing w:line="360" w:lineRule="auto"/>
      </w:pPr>
    </w:p>
    <w:p w14:paraId="0CFB895F" w14:textId="53FEBE40" w:rsidR="00A83B45" w:rsidRDefault="00A83B45" w:rsidP="00A83B45">
      <w:pPr>
        <w:spacing w:line="360" w:lineRule="auto"/>
        <w:rPr>
          <w:sz w:val="28"/>
          <w:szCs w:val="28"/>
        </w:rPr>
      </w:pPr>
      <w:r w:rsidRPr="00A83B45">
        <w:rPr>
          <w:sz w:val="28"/>
          <w:szCs w:val="28"/>
        </w:rPr>
        <w:lastRenderedPageBreak/>
        <w:t>Reference list:</w:t>
      </w:r>
    </w:p>
    <w:p w14:paraId="6B95A663" w14:textId="77777777" w:rsidR="00A83B45" w:rsidRDefault="00A83B45" w:rsidP="00A83B45">
      <w:pPr>
        <w:spacing w:line="360" w:lineRule="auto"/>
      </w:pPr>
      <w:r>
        <w:t xml:space="preserve">Bandura, A (1977) cited in Rumjaun, A., Narod, F. (2020) </w:t>
      </w:r>
      <w:r>
        <w:rPr>
          <w:i/>
          <w:iCs/>
        </w:rPr>
        <w:t xml:space="preserve">Social Learning Theory – Albert Bandura. </w:t>
      </w:r>
      <w:r>
        <w:t xml:space="preserve">[online] p. 85-99. Available at: </w:t>
      </w:r>
      <w:hyperlink r:id="rId11" w:history="1">
        <w:r w:rsidRPr="003F0F61">
          <w:rPr>
            <w:rStyle w:val="Hyperlink"/>
          </w:rPr>
          <w:t>Social Learning Theory—Albert Bandura | SpringerLink</w:t>
        </w:r>
      </w:hyperlink>
      <w:r>
        <w:t xml:space="preserve">. [Accessed: 01.03.2025]. </w:t>
      </w:r>
    </w:p>
    <w:p w14:paraId="671D0F09" w14:textId="77777777" w:rsidR="00A83B45" w:rsidRPr="009C43C4" w:rsidRDefault="00A83B45" w:rsidP="00A83B45">
      <w:pPr>
        <w:spacing w:line="360" w:lineRule="auto"/>
      </w:pPr>
      <w:r w:rsidRPr="009C43C4">
        <w:t xml:space="preserve">BERA (2024). </w:t>
      </w:r>
      <w:r w:rsidRPr="009C43C4">
        <w:rPr>
          <w:i/>
          <w:iCs/>
        </w:rPr>
        <w:t>Ethical Guidelines for Educational Research</w:t>
      </w:r>
      <w:r>
        <w:rPr>
          <w:i/>
          <w:iCs/>
        </w:rPr>
        <w:t>.</w:t>
      </w:r>
      <w:r w:rsidRPr="009C43C4">
        <w:rPr>
          <w:i/>
          <w:iCs/>
        </w:rPr>
        <w:t xml:space="preserve"> </w:t>
      </w:r>
      <w:r w:rsidRPr="00927583">
        <w:t>5</w:t>
      </w:r>
      <w:r w:rsidRPr="00927583">
        <w:rPr>
          <w:vertAlign w:val="superscript"/>
        </w:rPr>
        <w:t>th</w:t>
      </w:r>
      <w:r w:rsidRPr="009C43C4">
        <w:t xml:space="preserve"> edition (2024). [online] www.bera.ac.uk. Available at: </w:t>
      </w:r>
      <w:hyperlink r:id="rId12" w:history="1">
        <w:r w:rsidRPr="009C43C4">
          <w:rPr>
            <w:rStyle w:val="Hyperlink"/>
          </w:rPr>
          <w:t>https://www.bera.ac.uk/publication/ethical-guidelines-for-educational-research-fifth-edition-2</w:t>
        </w:r>
        <w:r w:rsidRPr="009C43C4">
          <w:rPr>
            <w:rStyle w:val="Hyperlink"/>
          </w:rPr>
          <w:t>0</w:t>
        </w:r>
        <w:r w:rsidRPr="009C43C4">
          <w:rPr>
            <w:rStyle w:val="Hyperlink"/>
          </w:rPr>
          <w:t>24-online</w:t>
        </w:r>
      </w:hyperlink>
      <w:r w:rsidRPr="009C43C4">
        <w:t>.</w:t>
      </w:r>
      <w:r>
        <w:t xml:space="preserve"> </w:t>
      </w:r>
    </w:p>
    <w:p w14:paraId="60D6BBD6" w14:textId="77777777" w:rsidR="00A83B45" w:rsidRDefault="00A83B45" w:rsidP="00A83B45">
      <w:pPr>
        <w:spacing w:line="360" w:lineRule="auto"/>
      </w:pPr>
      <w:r>
        <w:t xml:space="preserve">Bernard, R. (2017). </w:t>
      </w:r>
      <w:r>
        <w:rPr>
          <w:i/>
          <w:iCs/>
        </w:rPr>
        <w:t xml:space="preserve">Research Methods in Anthropology – Qualitative and Quantitative Approaches. </w:t>
      </w:r>
      <w:r>
        <w:t>6</w:t>
      </w:r>
      <w:r w:rsidRPr="00927583">
        <w:rPr>
          <w:vertAlign w:val="superscript"/>
        </w:rPr>
        <w:t>th</w:t>
      </w:r>
      <w:r>
        <w:t xml:space="preserve"> edition.</w:t>
      </w:r>
      <w:r>
        <w:rPr>
          <w:i/>
          <w:iCs/>
        </w:rPr>
        <w:t xml:space="preserve"> </w:t>
      </w:r>
      <w:r>
        <w:t xml:space="preserve">[online]. Available at: </w:t>
      </w:r>
      <w:hyperlink r:id="rId13" w:history="1">
        <w:r w:rsidRPr="000A39FF">
          <w:rPr>
            <w:rStyle w:val="Hyperlink"/>
          </w:rPr>
          <w:t>Research Methods in Anthropology - Google Books</w:t>
        </w:r>
      </w:hyperlink>
      <w:r>
        <w:t>. [Accessed 28.03.2025].</w:t>
      </w:r>
    </w:p>
    <w:p w14:paraId="28F0EC57" w14:textId="77777777" w:rsidR="00A83B45" w:rsidRPr="001744DB" w:rsidRDefault="00A83B45" w:rsidP="00A83B45">
      <w:pPr>
        <w:spacing w:line="360" w:lineRule="auto"/>
      </w:pPr>
      <w:r w:rsidRPr="001744DB">
        <w:t>Black, P., Harrison, C., Lee, C., Marshall, B. and Wiliam, D. (20</w:t>
      </w:r>
      <w:r>
        <w:t xml:space="preserve">03). </w:t>
      </w:r>
      <w:r>
        <w:rPr>
          <w:i/>
          <w:iCs/>
        </w:rPr>
        <w:t xml:space="preserve">Assessment for Learning. </w:t>
      </w:r>
      <w:r>
        <w:t xml:space="preserve">Available at: </w:t>
      </w:r>
      <w:hyperlink r:id="rId14" w:history="1">
        <w:r w:rsidRPr="00F27023">
          <w:rPr>
            <w:rStyle w:val="Hyperlink"/>
          </w:rPr>
          <w:t>Assessment for Learni</w:t>
        </w:r>
        <w:r w:rsidRPr="00F27023">
          <w:rPr>
            <w:rStyle w:val="Hyperlink"/>
          </w:rPr>
          <w:t>n</w:t>
        </w:r>
        <w:r w:rsidRPr="00F27023">
          <w:rPr>
            <w:rStyle w:val="Hyperlink"/>
          </w:rPr>
          <w:t>g - Google Books</w:t>
        </w:r>
      </w:hyperlink>
      <w:r>
        <w:t xml:space="preserve"> [Accessed 27.03.2025].</w:t>
      </w:r>
    </w:p>
    <w:p w14:paraId="3DA79927" w14:textId="77777777" w:rsidR="00A83B45" w:rsidRDefault="00A83B45" w:rsidP="00A83B45">
      <w:pPr>
        <w:spacing w:line="360" w:lineRule="auto"/>
      </w:pPr>
      <w:r>
        <w:t xml:space="preserve">Bryman, A. (2016). </w:t>
      </w:r>
      <w:r>
        <w:rPr>
          <w:i/>
          <w:iCs/>
        </w:rPr>
        <w:t xml:space="preserve">Social Research Methods. </w:t>
      </w:r>
      <w:r>
        <w:t>5</w:t>
      </w:r>
      <w:r w:rsidRPr="00927583">
        <w:rPr>
          <w:vertAlign w:val="superscript"/>
        </w:rPr>
        <w:t>th</w:t>
      </w:r>
      <w:r>
        <w:t xml:space="preserve"> edition. [online]. Available at: </w:t>
      </w:r>
      <w:hyperlink r:id="rId15" w:history="1">
        <w:r w:rsidRPr="000F5499">
          <w:rPr>
            <w:rStyle w:val="Hyperlink"/>
          </w:rPr>
          <w:t>Social Research Methods - Google Books</w:t>
        </w:r>
      </w:hyperlink>
      <w:r>
        <w:t>. [Accessed 28.03.2025].</w:t>
      </w:r>
    </w:p>
    <w:p w14:paraId="61AB34F3" w14:textId="77777777" w:rsidR="00A83B45" w:rsidRPr="00CD5D74" w:rsidRDefault="00A83B45" w:rsidP="00A83B45">
      <w:pPr>
        <w:spacing w:line="360" w:lineRule="auto"/>
        <w:rPr>
          <w:i/>
          <w:iCs/>
        </w:rPr>
      </w:pPr>
      <w:r>
        <w:t xml:space="preserve">Clarke, S (2001). Unlocking Formative Assessment: Practical Strategies for Enhancing Pupils’ Learning in the Primary Classroom. [online]. Available at: </w:t>
      </w:r>
      <w:hyperlink r:id="rId16" w:history="1">
        <w:r w:rsidRPr="0035788C">
          <w:rPr>
            <w:rStyle w:val="Hyperlink"/>
          </w:rPr>
          <w:t>Unlocking formative assessment : practical strategies for enhancing pupils' learning in the primary classroom : Clarke, Shirley : Free Download, Borrow, and Streaming : Internet Archive</w:t>
        </w:r>
      </w:hyperlink>
      <w:r>
        <w:t xml:space="preserve">. [Accessed: 30.03.2025]. </w:t>
      </w:r>
    </w:p>
    <w:p w14:paraId="001B2892" w14:textId="77777777" w:rsidR="00A83B45" w:rsidRDefault="00A83B45" w:rsidP="00A83B45">
      <w:pPr>
        <w:spacing w:line="360" w:lineRule="auto"/>
      </w:pPr>
      <w:r>
        <w:t xml:space="preserve">Cohen, L., Manion, L., Morrison, K. (2017) </w:t>
      </w:r>
      <w:r>
        <w:rPr>
          <w:i/>
          <w:iCs/>
        </w:rPr>
        <w:t>Research Methods in Education, 8</w:t>
      </w:r>
      <w:r w:rsidRPr="00927583">
        <w:rPr>
          <w:i/>
          <w:iCs/>
          <w:vertAlign w:val="superscript"/>
        </w:rPr>
        <w:t>th</w:t>
      </w:r>
      <w:r>
        <w:rPr>
          <w:i/>
          <w:iCs/>
        </w:rPr>
        <w:t xml:space="preserve"> edition. </w:t>
      </w:r>
      <w:r>
        <w:t xml:space="preserve">[online]. Available at: </w:t>
      </w:r>
      <w:hyperlink r:id="rId17" w:history="1">
        <w:r w:rsidRPr="00104A5D">
          <w:rPr>
            <w:rStyle w:val="Hyperlink"/>
          </w:rPr>
          <w:t>Research Methods in Education - Google Books</w:t>
        </w:r>
      </w:hyperlink>
      <w:r>
        <w:t>. [Accessed 27.03.2025].</w:t>
      </w:r>
    </w:p>
    <w:p w14:paraId="2CF017CC" w14:textId="77777777" w:rsidR="00A83B45" w:rsidRPr="009D1FD8" w:rsidRDefault="00A83B45" w:rsidP="00A83B45">
      <w:pPr>
        <w:spacing w:line="360" w:lineRule="auto"/>
      </w:pPr>
      <w:r w:rsidRPr="009D1FD8">
        <w:t>Cook, D.L.</w:t>
      </w:r>
      <w:r>
        <w:t>,</w:t>
      </w:r>
      <w:r w:rsidRPr="009D1FD8">
        <w:t xml:space="preserve"> King, J. (</w:t>
      </w:r>
      <w:r>
        <w:t>2003</w:t>
      </w:r>
      <w:r w:rsidRPr="009D1FD8">
        <w:t xml:space="preserve">). </w:t>
      </w:r>
      <w:r w:rsidRPr="009D1FD8">
        <w:rPr>
          <w:i/>
          <w:iCs/>
        </w:rPr>
        <w:t>A Study of the Hawthorne Effect in Educational Research. Research in the Teaching of English</w:t>
      </w:r>
      <w:r w:rsidRPr="009D1FD8">
        <w:t xml:space="preserve">, [online] 2(2), p.93–98. Available at: </w:t>
      </w:r>
      <w:hyperlink r:id="rId18" w:history="1">
        <w:r w:rsidRPr="009D1FD8">
          <w:rPr>
            <w:rStyle w:val="Hyperlink"/>
          </w:rPr>
          <w:t>https://www.jstor.org/stable/40170508</w:t>
        </w:r>
      </w:hyperlink>
      <w:r w:rsidRPr="009D1FD8">
        <w:t>.</w:t>
      </w:r>
      <w:r>
        <w:t xml:space="preserve"> </w:t>
      </w:r>
    </w:p>
    <w:p w14:paraId="11CDADC7" w14:textId="77777777" w:rsidR="00A83B45" w:rsidRDefault="00A83B45" w:rsidP="00A83B45">
      <w:pPr>
        <w:spacing w:line="360" w:lineRule="auto"/>
      </w:pPr>
      <w:r>
        <w:t xml:space="preserve">Creamer, E. (2017). </w:t>
      </w:r>
      <w:r>
        <w:rPr>
          <w:i/>
          <w:iCs/>
        </w:rPr>
        <w:t xml:space="preserve">An Introduction to Fully Integrated Mixed Methods Research. </w:t>
      </w:r>
      <w:r>
        <w:t xml:space="preserve">[online]. Available at: </w:t>
      </w:r>
      <w:hyperlink r:id="rId19" w:history="1">
        <w:r w:rsidRPr="00546DA7">
          <w:rPr>
            <w:rStyle w:val="Hyperlink"/>
          </w:rPr>
          <w:t>An Introduction to Fully Integrated Mixed Methods Research - Google Books</w:t>
        </w:r>
      </w:hyperlink>
      <w:r>
        <w:t xml:space="preserve">. [Accessed 27.03.2025]. </w:t>
      </w:r>
    </w:p>
    <w:p w14:paraId="1A9063CB" w14:textId="77777777" w:rsidR="00A83B45" w:rsidRDefault="00A83B45" w:rsidP="00A83B45">
      <w:pPr>
        <w:spacing w:line="360" w:lineRule="auto"/>
      </w:pPr>
      <w:r>
        <w:t xml:space="preserve">Creswell, J. (2014). </w:t>
      </w:r>
      <w:r>
        <w:rPr>
          <w:i/>
          <w:iCs/>
        </w:rPr>
        <w:t xml:space="preserve">Research Design – Qualitative, Quantitative, and Mixed Methods Approaches. </w:t>
      </w:r>
      <w:r>
        <w:t>[online]. SAGE Publications. 4</w:t>
      </w:r>
      <w:r w:rsidRPr="007A73AC">
        <w:rPr>
          <w:vertAlign w:val="superscript"/>
        </w:rPr>
        <w:t>th</w:t>
      </w:r>
      <w:r>
        <w:t xml:space="preserve"> edition. Available at: </w:t>
      </w:r>
      <w:hyperlink r:id="rId20" w:history="1">
        <w:r w:rsidRPr="007A73AC">
          <w:rPr>
            <w:rStyle w:val="Hyperlink"/>
          </w:rPr>
          <w:t>Research Design - Google Books</w:t>
        </w:r>
      </w:hyperlink>
      <w:r>
        <w:t xml:space="preserve">. [Accessed 28.03.2025]. </w:t>
      </w:r>
    </w:p>
    <w:p w14:paraId="30511493" w14:textId="77777777" w:rsidR="00A83B45" w:rsidRDefault="00A83B45" w:rsidP="00A83B45">
      <w:pPr>
        <w:spacing w:line="360" w:lineRule="auto"/>
      </w:pPr>
      <w:r>
        <w:lastRenderedPageBreak/>
        <w:t xml:space="preserve">Creswell, J., Clark, V (2011). </w:t>
      </w:r>
      <w:r>
        <w:rPr>
          <w:i/>
          <w:iCs/>
        </w:rPr>
        <w:t xml:space="preserve">Designing and Conducting Mixed Methods Research. </w:t>
      </w:r>
      <w:r>
        <w:t xml:space="preserve">[online]. Available at: </w:t>
      </w:r>
      <w:hyperlink r:id="rId21" w:history="1">
        <w:r w:rsidRPr="00BB0DAA">
          <w:rPr>
            <w:rStyle w:val="Hyperlink"/>
          </w:rPr>
          <w:t>Designing and Conducting Mixed Methods Research - Google Books</w:t>
        </w:r>
      </w:hyperlink>
      <w:r>
        <w:t xml:space="preserve">. [Accessed 27.03.2025]. </w:t>
      </w:r>
    </w:p>
    <w:p w14:paraId="318F1D3A" w14:textId="77777777" w:rsidR="00A83B45" w:rsidRDefault="00A83B45" w:rsidP="00A83B45">
      <w:pPr>
        <w:spacing w:line="360" w:lineRule="auto"/>
      </w:pPr>
      <w:r>
        <w:t xml:space="preserve">Dillman, D., Smyth, J., Christian, L. (2014). </w:t>
      </w:r>
      <w:r>
        <w:rPr>
          <w:i/>
          <w:iCs/>
        </w:rPr>
        <w:t xml:space="preserve">Internet, Phone, Mail, and Mixed-Mode Surveys. </w:t>
      </w:r>
      <w:r w:rsidRPr="00682D1F">
        <w:t xml:space="preserve">[online]. </w:t>
      </w:r>
      <w:r>
        <w:t xml:space="preserve">Available at: </w:t>
      </w:r>
      <w:hyperlink r:id="rId22" w:history="1">
        <w:r w:rsidRPr="0088386A">
          <w:rPr>
            <w:rStyle w:val="Hyperlink"/>
          </w:rPr>
          <w:t>Internet, Phone, Mail, and Mixed-Mode Surveys - Google Books</w:t>
        </w:r>
      </w:hyperlink>
      <w:r>
        <w:t>. [Accessed 29.03.2025].</w:t>
      </w:r>
    </w:p>
    <w:p w14:paraId="5A60FB08" w14:textId="77777777" w:rsidR="00A83B45" w:rsidRDefault="00A83B45" w:rsidP="00A83B45">
      <w:pPr>
        <w:spacing w:line="360" w:lineRule="auto"/>
      </w:pPr>
      <w:r>
        <w:t xml:space="preserve">Dweck, C. (2012) </w:t>
      </w:r>
      <w:r>
        <w:rPr>
          <w:i/>
          <w:iCs/>
        </w:rPr>
        <w:t xml:space="preserve">Mindset – How you Can Fulfil your Potential. </w:t>
      </w:r>
      <w:r>
        <w:t xml:space="preserve">[online] Available at: </w:t>
      </w:r>
      <w:hyperlink r:id="rId23" w:history="1">
        <w:r w:rsidRPr="009F0D40">
          <w:rPr>
            <w:rStyle w:val="Hyperlink"/>
          </w:rPr>
          <w:t>Mindset - Google Books</w:t>
        </w:r>
      </w:hyperlink>
      <w:r>
        <w:t>. [Accessed 27.03.2025]</w:t>
      </w:r>
    </w:p>
    <w:p w14:paraId="558B4E40" w14:textId="77777777" w:rsidR="00A83B45" w:rsidRDefault="00A83B45" w:rsidP="00A83B45">
      <w:pPr>
        <w:spacing w:line="360" w:lineRule="auto"/>
      </w:pPr>
      <w:r>
        <w:t xml:space="preserve">Erikson, E (1950, cited in Scheck, S. 2014). </w:t>
      </w:r>
      <w:r>
        <w:rPr>
          <w:i/>
          <w:iCs/>
        </w:rPr>
        <w:t xml:space="preserve">The Stages of Psychosocial Development According to Erik H. Erikson. </w:t>
      </w:r>
      <w:r>
        <w:t xml:space="preserve">[online]. Available at: </w:t>
      </w:r>
      <w:hyperlink r:id="rId24" w:history="1">
        <w:r w:rsidRPr="00993D62">
          <w:rPr>
            <w:rStyle w:val="Hyperlink"/>
          </w:rPr>
          <w:t>The Stages of Psychosocial Development According to Erik H. Erikson - Google Books</w:t>
        </w:r>
      </w:hyperlink>
      <w:r>
        <w:t xml:space="preserve">. [Accessed 02.03.2025]. </w:t>
      </w:r>
    </w:p>
    <w:p w14:paraId="5C45E01D" w14:textId="77777777" w:rsidR="00A83B45" w:rsidRDefault="00A83B45" w:rsidP="00A83B45">
      <w:pPr>
        <w:spacing w:line="360" w:lineRule="auto"/>
      </w:pPr>
      <w:r w:rsidRPr="007E6CCA">
        <w:t xml:space="preserve">Estyn (2022). </w:t>
      </w:r>
      <w:r w:rsidRPr="007E6CCA">
        <w:rPr>
          <w:i/>
          <w:iCs/>
        </w:rPr>
        <w:t>Effective approaches to assessment that improve teaching and learning</w:t>
      </w:r>
      <w:r w:rsidRPr="007E6CCA">
        <w:t xml:space="preserve">. [online] Available at: </w:t>
      </w:r>
      <w:hyperlink r:id="rId25" w:history="1">
        <w:r w:rsidRPr="007E6CCA">
          <w:rPr>
            <w:rStyle w:val="Hyperlink"/>
          </w:rPr>
          <w:t>https://www.estyn.gov.wales/system/files/2022-10/Effective%20a</w:t>
        </w:r>
        <w:r w:rsidRPr="007E6CCA">
          <w:rPr>
            <w:rStyle w:val="Hyperlink"/>
          </w:rPr>
          <w:t>p</w:t>
        </w:r>
        <w:r w:rsidRPr="007E6CCA">
          <w:rPr>
            <w:rStyle w:val="Hyperlink"/>
          </w:rPr>
          <w:t>proaches%20to%20assessment%20that%20improve%20teaching%20and%20learning.pdf</w:t>
        </w:r>
      </w:hyperlink>
      <w:r w:rsidRPr="007E6CCA">
        <w:t>.</w:t>
      </w:r>
      <w:r>
        <w:t xml:space="preserve"> [Accessed 28.03.2025]. </w:t>
      </w:r>
    </w:p>
    <w:p w14:paraId="7FB3A3D4" w14:textId="77777777" w:rsidR="00A83B45" w:rsidRDefault="00A83B45" w:rsidP="00A83B45">
      <w:pPr>
        <w:spacing w:line="360" w:lineRule="auto"/>
      </w:pPr>
      <w:r>
        <w:t xml:space="preserve">Estyn (2023) </w:t>
      </w:r>
      <w:r w:rsidRPr="00810F39">
        <w:rPr>
          <w:i/>
          <w:iCs/>
        </w:rPr>
        <w:t>School X</w:t>
      </w:r>
      <w:r>
        <w:rPr>
          <w:i/>
          <w:iCs/>
        </w:rPr>
        <w:t xml:space="preserve"> Estyn Report. </w:t>
      </w:r>
      <w:r>
        <w:t xml:space="preserve">[online] Available at: </w:t>
      </w:r>
      <w:hyperlink r:id="rId26" w:history="1">
        <w:r>
          <w:rPr>
            <w:rStyle w:val="Hyperlink"/>
          </w:rPr>
          <w:t>School X Estyn Report</w:t>
        </w:r>
      </w:hyperlink>
    </w:p>
    <w:p w14:paraId="29A1006A" w14:textId="77777777" w:rsidR="00A83B45" w:rsidRPr="00AA5838" w:rsidRDefault="00A83B45" w:rsidP="00A83B45">
      <w:pPr>
        <w:spacing w:line="360" w:lineRule="auto"/>
        <w:rPr>
          <w:i/>
          <w:iCs/>
        </w:rPr>
      </w:pPr>
      <w:r w:rsidRPr="00AA5838">
        <w:rPr>
          <w:i/>
          <w:iCs/>
        </w:rPr>
        <w:t xml:space="preserve">Fripp, G. (2023). Overview of the Hawthorne Effect - Organizational </w:t>
      </w:r>
      <w:proofErr w:type="spellStart"/>
      <w:r w:rsidRPr="00AA5838">
        <w:rPr>
          <w:i/>
          <w:iCs/>
        </w:rPr>
        <w:t>Behavior</w:t>
      </w:r>
      <w:proofErr w:type="spellEnd"/>
      <w:r w:rsidRPr="00AA5838">
        <w:rPr>
          <w:i/>
          <w:iCs/>
        </w:rPr>
        <w:t xml:space="preserve">. [online] </w:t>
      </w:r>
      <w:r w:rsidRPr="00AA5838">
        <w:t xml:space="preserve">www.myorganisationalbehaviour.com. Available at: </w:t>
      </w:r>
      <w:hyperlink r:id="rId27" w:history="1">
        <w:r w:rsidRPr="00AA5838">
          <w:rPr>
            <w:rStyle w:val="Hyperlink"/>
          </w:rPr>
          <w:t>https://www.myorganisationalbehaviour.com/the-hawthorne-effect/</w:t>
        </w:r>
      </w:hyperlink>
      <w:r w:rsidRPr="00AA5838">
        <w:t>.</w:t>
      </w:r>
      <w:r>
        <w:t xml:space="preserve"> [Accessed 30.03.2025].</w:t>
      </w:r>
    </w:p>
    <w:p w14:paraId="2099BADA" w14:textId="77777777" w:rsidR="00A83B45" w:rsidRDefault="00A83B45" w:rsidP="00A83B45">
      <w:pPr>
        <w:spacing w:line="360" w:lineRule="auto"/>
      </w:pPr>
      <w:r>
        <w:t xml:space="preserve">Gillham, B (2008). </w:t>
      </w:r>
      <w:r>
        <w:rPr>
          <w:i/>
          <w:iCs/>
        </w:rPr>
        <w:t xml:space="preserve">Developing a Questionnaire. </w:t>
      </w:r>
      <w:r>
        <w:t>2</w:t>
      </w:r>
      <w:r w:rsidRPr="00FA7229">
        <w:rPr>
          <w:vertAlign w:val="superscript"/>
        </w:rPr>
        <w:t>nd</w:t>
      </w:r>
      <w:r>
        <w:t xml:space="preserve"> edition</w:t>
      </w:r>
      <w:r>
        <w:rPr>
          <w:i/>
          <w:iCs/>
        </w:rPr>
        <w:t xml:space="preserve"> </w:t>
      </w:r>
      <w:r>
        <w:t xml:space="preserve">[online]. Available at: </w:t>
      </w:r>
      <w:hyperlink r:id="rId28" w:history="1">
        <w:r w:rsidRPr="00FA7229">
          <w:rPr>
            <w:rStyle w:val="Hyperlink"/>
          </w:rPr>
          <w:t>Developing a Questionnaire - Google Books</w:t>
        </w:r>
      </w:hyperlink>
      <w:r>
        <w:t>. [Accessed: 30.03.2025].</w:t>
      </w:r>
    </w:p>
    <w:p w14:paraId="44A1F697" w14:textId="77777777" w:rsidR="00A83B45" w:rsidRDefault="00A83B45" w:rsidP="00A83B45">
      <w:pPr>
        <w:spacing w:line="360" w:lineRule="auto"/>
      </w:pPr>
      <w:r>
        <w:t xml:space="preserve">Greig, A., Taylor, J., MacKay, T (2012). </w:t>
      </w:r>
      <w:r>
        <w:rPr>
          <w:i/>
          <w:iCs/>
        </w:rPr>
        <w:t xml:space="preserve">Doing Research with Children – A Practical Guide. </w:t>
      </w:r>
      <w:r w:rsidRPr="00F16E39">
        <w:t>3</w:t>
      </w:r>
      <w:r w:rsidRPr="00F16E39">
        <w:rPr>
          <w:vertAlign w:val="superscript"/>
        </w:rPr>
        <w:t>rd</w:t>
      </w:r>
      <w:r w:rsidRPr="00F16E39">
        <w:t xml:space="preserve"> edition.</w:t>
      </w:r>
      <w:r>
        <w:rPr>
          <w:i/>
          <w:iCs/>
        </w:rPr>
        <w:t xml:space="preserve"> </w:t>
      </w:r>
      <w:r>
        <w:t xml:space="preserve">[online]. Available at: </w:t>
      </w:r>
      <w:hyperlink r:id="rId29" w:history="1">
        <w:r w:rsidRPr="00DC4065">
          <w:rPr>
            <w:rStyle w:val="Hyperlink"/>
          </w:rPr>
          <w:t>Doing Research with Children - Google Books</w:t>
        </w:r>
      </w:hyperlink>
      <w:r>
        <w:t xml:space="preserve">. [Accessed: 02.03.2025]. </w:t>
      </w:r>
    </w:p>
    <w:p w14:paraId="147DDDF1" w14:textId="77777777" w:rsidR="00A83B45" w:rsidRDefault="00A83B45" w:rsidP="00A83B45">
      <w:pPr>
        <w:spacing w:line="360" w:lineRule="auto"/>
      </w:pPr>
      <w:proofErr w:type="spellStart"/>
      <w:r w:rsidRPr="00B779B2">
        <w:t>Gubrium</w:t>
      </w:r>
      <w:proofErr w:type="spellEnd"/>
      <w:r w:rsidRPr="00B779B2">
        <w:t>, P.</w:t>
      </w:r>
      <w:r>
        <w:t xml:space="preserve">, </w:t>
      </w:r>
      <w:r w:rsidRPr="00B779B2">
        <w:t xml:space="preserve">Holstein, </w:t>
      </w:r>
      <w:r>
        <w:t>J</w:t>
      </w:r>
      <w:r w:rsidRPr="00B779B2">
        <w:t xml:space="preserve"> (2002). </w:t>
      </w:r>
      <w:r w:rsidRPr="00B779B2">
        <w:rPr>
          <w:i/>
          <w:iCs/>
        </w:rPr>
        <w:t>Handbook of Interview Research: Context and Method</w:t>
      </w:r>
      <w:r w:rsidRPr="00B779B2">
        <w:t xml:space="preserve">. [online] </w:t>
      </w:r>
      <w:r w:rsidRPr="00B779B2">
        <w:rPr>
          <w:i/>
          <w:iCs/>
        </w:rPr>
        <w:t>Google Books</w:t>
      </w:r>
      <w:r w:rsidRPr="00B779B2">
        <w:t xml:space="preserve">. SAGE. Available at: </w:t>
      </w:r>
      <w:hyperlink r:id="rId30" w:history="1">
        <w:r w:rsidRPr="00B779B2">
          <w:rPr>
            <w:rStyle w:val="Hyperlink"/>
          </w:rPr>
          <w:t>https://ww</w:t>
        </w:r>
        <w:r w:rsidRPr="00B779B2">
          <w:rPr>
            <w:rStyle w:val="Hyperlink"/>
          </w:rPr>
          <w:t>w</w:t>
        </w:r>
        <w:r w:rsidRPr="00B779B2">
          <w:rPr>
            <w:rStyle w:val="Hyperlink"/>
          </w:rPr>
          <w:t>.google.co.uk/books/edition/Handbook_of_Interview_Research/uQMUMQJZU4gC?hl=en&amp;gbpv=0</w:t>
        </w:r>
      </w:hyperlink>
      <w:r w:rsidRPr="00B779B2">
        <w:t>.</w:t>
      </w:r>
      <w:r>
        <w:t xml:space="preserve"> [Accessed 28.03.2025]. </w:t>
      </w:r>
    </w:p>
    <w:p w14:paraId="3BB82D49" w14:textId="77777777" w:rsidR="00A83B45" w:rsidRDefault="00A83B45" w:rsidP="00A83B45">
      <w:pPr>
        <w:spacing w:line="360" w:lineRule="auto"/>
      </w:pPr>
      <w:r w:rsidRPr="00662E27">
        <w:t xml:space="preserve">Hussain, A. (2022). </w:t>
      </w:r>
      <w:r w:rsidRPr="00662E27">
        <w:rPr>
          <w:i/>
          <w:iCs/>
        </w:rPr>
        <w:t>What is a Questionnaire?</w:t>
      </w:r>
      <w:r w:rsidRPr="00662E27">
        <w:t xml:space="preserve"> [online] ResearchGate.</w:t>
      </w:r>
      <w:r>
        <w:t xml:space="preserve"> Available at:</w:t>
      </w:r>
      <w:r w:rsidRPr="00662E27">
        <w:t xml:space="preserve"> </w:t>
      </w:r>
      <w:hyperlink r:id="rId31" w:history="1">
        <w:r w:rsidRPr="00887FAF">
          <w:rPr>
            <w:rStyle w:val="Hyperlink"/>
          </w:rPr>
          <w:t>(PDF) What is a Questionnaire?</w:t>
        </w:r>
      </w:hyperlink>
      <w:r>
        <w:t xml:space="preserve"> </w:t>
      </w:r>
    </w:p>
    <w:p w14:paraId="23AE0EFB" w14:textId="77777777" w:rsidR="00A83B45" w:rsidRDefault="00A83B45" w:rsidP="00A83B45">
      <w:pPr>
        <w:spacing w:line="360" w:lineRule="auto"/>
      </w:pPr>
      <w:r>
        <w:lastRenderedPageBreak/>
        <w:t xml:space="preserve">Kvale, S. (2012). </w:t>
      </w:r>
      <w:r>
        <w:rPr>
          <w:i/>
          <w:iCs/>
        </w:rPr>
        <w:t xml:space="preserve">Doing Interviews. </w:t>
      </w:r>
      <w:r>
        <w:t xml:space="preserve">[online]. Available at: </w:t>
      </w:r>
      <w:hyperlink r:id="rId32" w:history="1">
        <w:r w:rsidRPr="00BB1941">
          <w:rPr>
            <w:rStyle w:val="Hyperlink"/>
          </w:rPr>
          <w:t>Doing Interviews - Google Books</w:t>
        </w:r>
      </w:hyperlink>
      <w:r>
        <w:t xml:space="preserve">. [Accessed 28.03.2025]. </w:t>
      </w:r>
    </w:p>
    <w:p w14:paraId="67817545" w14:textId="77777777" w:rsidR="00A83B45" w:rsidRDefault="00A83B45" w:rsidP="00A83B45">
      <w:pPr>
        <w:spacing w:line="360" w:lineRule="auto"/>
      </w:pPr>
      <w:r>
        <w:t xml:space="preserve">Oppenheim, A. (2000). </w:t>
      </w:r>
      <w:r>
        <w:rPr>
          <w:i/>
          <w:iCs/>
        </w:rPr>
        <w:t xml:space="preserve">Questionnaire Design, Interviewing and Attitude Measurement. </w:t>
      </w:r>
      <w:r>
        <w:t xml:space="preserve">New edition. [online]. Available at: </w:t>
      </w:r>
      <w:hyperlink r:id="rId33" w:history="1">
        <w:r w:rsidRPr="001B45CE">
          <w:rPr>
            <w:rStyle w:val="Hyperlink"/>
          </w:rPr>
          <w:t>Questionnaire Design, Interviewing and Attitude Measurement - Google Books</w:t>
        </w:r>
      </w:hyperlink>
      <w:r>
        <w:t xml:space="preserve">. [Accessed: 30.03.2025]. </w:t>
      </w:r>
    </w:p>
    <w:p w14:paraId="6C7CB9D8" w14:textId="77777777" w:rsidR="00A83B45" w:rsidRDefault="00A83B45" w:rsidP="00A83B45">
      <w:pPr>
        <w:spacing w:line="360" w:lineRule="auto"/>
      </w:pPr>
      <w:r w:rsidRPr="00933013">
        <w:t xml:space="preserve">Philipps, A. and Mrowczynski, R. (2019). </w:t>
      </w:r>
      <w:r w:rsidRPr="00933013">
        <w:rPr>
          <w:i/>
          <w:iCs/>
        </w:rPr>
        <w:t>Getting more out of interviews. Understanding interviewees’ accounts in relation to their frames of orientation.</w:t>
      </w:r>
      <w:r w:rsidRPr="00933013">
        <w:t xml:space="preserve"> [online] 21(1).</w:t>
      </w:r>
      <w:r>
        <w:t xml:space="preserve"> Available at: </w:t>
      </w:r>
      <w:hyperlink r:id="rId34" w:history="1">
        <w:r w:rsidRPr="00044812">
          <w:rPr>
            <w:rStyle w:val="Hyperlink"/>
          </w:rPr>
          <w:t>Getting more out of interviews. Understanding interviewees’ accounts in relation to their frames of orientation - Axel Philipps, Rafael Mrowczynski, 2021</w:t>
        </w:r>
      </w:hyperlink>
      <w:r>
        <w:t>. [Accessed 27.03.2025].</w:t>
      </w:r>
    </w:p>
    <w:p w14:paraId="07F29540" w14:textId="77777777" w:rsidR="00A83B45" w:rsidRDefault="00A83B45" w:rsidP="00A83B45">
      <w:pPr>
        <w:spacing w:line="360" w:lineRule="auto"/>
      </w:pPr>
      <w:r>
        <w:t xml:space="preserve">Piaget, J (1936, cited in Sutherland, P. 1992). </w:t>
      </w:r>
      <w:r>
        <w:rPr>
          <w:i/>
          <w:iCs/>
        </w:rPr>
        <w:t xml:space="preserve">Cognitive Development Today. </w:t>
      </w:r>
      <w:r>
        <w:t xml:space="preserve">[online]. Available at: </w:t>
      </w:r>
      <w:hyperlink r:id="rId35" w:history="1">
        <w:r w:rsidRPr="00724ACE">
          <w:rPr>
            <w:rStyle w:val="Hyperlink"/>
          </w:rPr>
          <w:t>Cognitive Development Today - Google Books</w:t>
        </w:r>
      </w:hyperlink>
      <w:r>
        <w:t>. [Accessed: 01.03.2025].</w:t>
      </w:r>
    </w:p>
    <w:p w14:paraId="00545C72" w14:textId="77777777" w:rsidR="00A83B45" w:rsidRDefault="00A83B45" w:rsidP="00A83B45">
      <w:pPr>
        <w:spacing w:line="360" w:lineRule="auto"/>
      </w:pPr>
      <w:r>
        <w:t xml:space="preserve">Piaget, J. (1952) </w:t>
      </w:r>
      <w:r>
        <w:rPr>
          <w:i/>
          <w:iCs/>
        </w:rPr>
        <w:t xml:space="preserve">The Origins of Intelligence in Children. </w:t>
      </w:r>
      <w:r>
        <w:t xml:space="preserve">[online]. Available at: </w:t>
      </w:r>
      <w:hyperlink r:id="rId36" w:history="1">
        <w:r w:rsidRPr="007E6AE2">
          <w:rPr>
            <w:rStyle w:val="Hyperlink"/>
          </w:rPr>
          <w:t>The Origins of Intelligence in Children - Google Books</w:t>
        </w:r>
      </w:hyperlink>
      <w:r>
        <w:t>. [Accessed 27.03.2025].</w:t>
      </w:r>
    </w:p>
    <w:p w14:paraId="3F6B2AA0" w14:textId="77777777" w:rsidR="00A83B45" w:rsidRPr="007A5D80" w:rsidRDefault="00A83B45" w:rsidP="00A83B45">
      <w:pPr>
        <w:spacing w:line="360" w:lineRule="auto"/>
      </w:pPr>
      <w:r w:rsidRPr="007A5D80">
        <w:t xml:space="preserve">Research Guides (2020). </w:t>
      </w:r>
      <w:r w:rsidRPr="007A5D80">
        <w:rPr>
          <w:i/>
          <w:iCs/>
        </w:rPr>
        <w:t>Research Guides</w:t>
      </w:r>
      <w:r w:rsidRPr="007A5D80">
        <w:t xml:space="preserve">. [online] Harvard.edu. Available at: </w:t>
      </w:r>
      <w:hyperlink r:id="rId37" w:history="1">
        <w:r w:rsidRPr="007A5D80">
          <w:rPr>
            <w:rStyle w:val="Hyperlink"/>
          </w:rPr>
          <w:t>https://guides.library.har</w:t>
        </w:r>
        <w:r w:rsidRPr="007A5D80">
          <w:rPr>
            <w:rStyle w:val="Hyperlink"/>
          </w:rPr>
          <w:t>v</w:t>
        </w:r>
        <w:r w:rsidRPr="007A5D80">
          <w:rPr>
            <w:rStyle w:val="Hyperlink"/>
          </w:rPr>
          <w:t>ard.edu/</w:t>
        </w:r>
      </w:hyperlink>
      <w:r w:rsidRPr="007A5D80">
        <w:t>.</w:t>
      </w:r>
      <w:r>
        <w:t xml:space="preserve"> [Accessed 27.03.2025]. </w:t>
      </w:r>
    </w:p>
    <w:p w14:paraId="0D4F1239" w14:textId="77777777" w:rsidR="00A83B45" w:rsidRDefault="00A83B45" w:rsidP="00A83B45">
      <w:pPr>
        <w:spacing w:line="360" w:lineRule="auto"/>
      </w:pPr>
      <w:r w:rsidRPr="00413DF0">
        <w:rPr>
          <w:i/>
          <w:iCs/>
        </w:rPr>
        <w:t xml:space="preserve">UNICEF (2022). Convention on the Rights of the Child. </w:t>
      </w:r>
      <w:r w:rsidRPr="00413DF0">
        <w:t xml:space="preserve">[online] Unicef.org. Available at: </w:t>
      </w:r>
      <w:hyperlink r:id="rId38" w:history="1">
        <w:r w:rsidRPr="00413DF0">
          <w:rPr>
            <w:rStyle w:val="Hyperlink"/>
          </w:rPr>
          <w:t>https://www.unicef.org/cuba/en/reports/convention-rights-child-child-friendly-text?utm_source=chatgpt.com</w:t>
        </w:r>
      </w:hyperlink>
      <w:r>
        <w:t xml:space="preserve"> </w:t>
      </w:r>
      <w:r w:rsidRPr="00413DF0">
        <w:rPr>
          <w:i/>
          <w:iCs/>
        </w:rPr>
        <w:t xml:space="preserve"> </w:t>
      </w:r>
      <w:r w:rsidRPr="00413DF0">
        <w:t xml:space="preserve">[Accessed </w:t>
      </w:r>
      <w:r w:rsidRPr="008677D5">
        <w:t>29.03.2025]</w:t>
      </w:r>
      <w:r>
        <w:t>.</w:t>
      </w:r>
    </w:p>
    <w:p w14:paraId="2D7ACB42" w14:textId="77777777" w:rsidR="00A83B45" w:rsidRDefault="00A83B45" w:rsidP="00A83B45">
      <w:pPr>
        <w:spacing w:line="360" w:lineRule="auto"/>
      </w:pPr>
      <w:r>
        <w:t xml:space="preserve">Vygotsky, L. (2012) </w:t>
      </w:r>
      <w:r>
        <w:rPr>
          <w:i/>
          <w:iCs/>
        </w:rPr>
        <w:t xml:space="preserve">Mind in Society – The Development of Higher Psychological Processes. </w:t>
      </w:r>
      <w:r>
        <w:t xml:space="preserve">[online] Available at: </w:t>
      </w:r>
      <w:hyperlink r:id="rId39" w:history="1">
        <w:r w:rsidRPr="00C33454">
          <w:rPr>
            <w:rStyle w:val="Hyperlink"/>
          </w:rPr>
          <w:t>Mind in Society - Google Books</w:t>
        </w:r>
      </w:hyperlink>
      <w:r>
        <w:t>. [Accessed 27.03.2025].</w:t>
      </w:r>
    </w:p>
    <w:p w14:paraId="5AD45F71" w14:textId="77777777" w:rsidR="00A83B45" w:rsidRDefault="00A83B45" w:rsidP="00A83B45">
      <w:pPr>
        <w:spacing w:line="360" w:lineRule="auto"/>
      </w:pPr>
      <w:r w:rsidRPr="00B32570">
        <w:t xml:space="preserve">Welsh Government (2019). </w:t>
      </w:r>
      <w:r w:rsidRPr="00B32570">
        <w:rPr>
          <w:i/>
          <w:iCs/>
        </w:rPr>
        <w:t>Professional Standards for Teaching and Leadership</w:t>
      </w:r>
      <w:r w:rsidRPr="00B32570">
        <w:t xml:space="preserve">. [online] </w:t>
      </w:r>
      <w:r w:rsidRPr="00B32570">
        <w:rPr>
          <w:i/>
          <w:iCs/>
        </w:rPr>
        <w:t>Hwb</w:t>
      </w:r>
      <w:r w:rsidRPr="00B32570">
        <w:t xml:space="preserve">. Welsh Government. Available at: </w:t>
      </w:r>
      <w:hyperlink r:id="rId40" w:history="1">
        <w:r w:rsidRPr="001F145E">
          <w:rPr>
            <w:rStyle w:val="Hyperlink"/>
          </w:rPr>
          <w:t>professional-standards-for-teaching-and-leadership-interactive-pdf-for-pc.pdf</w:t>
        </w:r>
      </w:hyperlink>
    </w:p>
    <w:p w14:paraId="205E624C" w14:textId="77777777" w:rsidR="00A83B45" w:rsidRDefault="00A83B45" w:rsidP="00A83B45">
      <w:pPr>
        <w:spacing w:line="360" w:lineRule="auto"/>
      </w:pPr>
      <w:r>
        <w:t xml:space="preserve">Welsh Government (2020) </w:t>
      </w:r>
      <w:r>
        <w:rPr>
          <w:i/>
          <w:iCs/>
        </w:rPr>
        <w:t xml:space="preserve">Supporting Learner Progression: Assessment Guidance – Hwb </w:t>
      </w:r>
      <w:r>
        <w:t xml:space="preserve">[online] </w:t>
      </w:r>
      <w:proofErr w:type="spellStart"/>
      <w:proofErr w:type="gramStart"/>
      <w:r>
        <w:t>hwb.gov.wales</w:t>
      </w:r>
      <w:proofErr w:type="spellEnd"/>
      <w:proofErr w:type="gramEnd"/>
      <w:r>
        <w:t>.</w:t>
      </w:r>
      <w:r>
        <w:rPr>
          <w:i/>
          <w:iCs/>
        </w:rPr>
        <w:t xml:space="preserve"> </w:t>
      </w:r>
      <w:r>
        <w:t xml:space="preserve">Available at: </w:t>
      </w:r>
      <w:hyperlink r:id="rId41" w:anchor="the-purpose-of-assessment" w:history="1">
        <w:r w:rsidRPr="00554DFF">
          <w:rPr>
            <w:rStyle w:val="Hyperlink"/>
          </w:rPr>
          <w:t>Supporting learner progression assessment guidance - Hwb</w:t>
        </w:r>
      </w:hyperlink>
      <w:r>
        <w:t xml:space="preserve"> [Accessed: 27.03.2025] .</w:t>
      </w:r>
    </w:p>
    <w:p w14:paraId="5FEDB4D4" w14:textId="77777777" w:rsidR="00A83B45" w:rsidRDefault="00A83B45" w:rsidP="00A83B45">
      <w:pPr>
        <w:spacing w:line="360" w:lineRule="auto"/>
      </w:pPr>
      <w:r w:rsidRPr="00DC3787">
        <w:t xml:space="preserve">Welsh Government (2022). </w:t>
      </w:r>
      <w:r w:rsidRPr="00DC3787">
        <w:rPr>
          <w:i/>
          <w:iCs/>
        </w:rPr>
        <w:t>What’s changing in assessment? - Hwb</w:t>
      </w:r>
      <w:r w:rsidRPr="00DC3787">
        <w:t xml:space="preserve">. [online] </w:t>
      </w:r>
      <w:proofErr w:type="spellStart"/>
      <w:proofErr w:type="gramStart"/>
      <w:r w:rsidRPr="00DC3787">
        <w:t>hwb.gov.wales</w:t>
      </w:r>
      <w:proofErr w:type="spellEnd"/>
      <w:proofErr w:type="gramEnd"/>
      <w:r w:rsidRPr="00DC3787">
        <w:t xml:space="preserve">. Available at: </w:t>
      </w:r>
      <w:hyperlink r:id="rId42" w:history="1">
        <w:r w:rsidRPr="00DC3787">
          <w:rPr>
            <w:rStyle w:val="Hyperlink"/>
          </w:rPr>
          <w:t>https://hwb.gov.wales/curriculum-for-wales/assessment-arrangements/what-s-changing-in-assessment/</w:t>
        </w:r>
      </w:hyperlink>
      <w:r w:rsidRPr="00DC3787">
        <w:t>.</w:t>
      </w:r>
      <w:r>
        <w:t xml:space="preserve"> </w:t>
      </w:r>
    </w:p>
    <w:p w14:paraId="3D3F2433" w14:textId="77777777" w:rsidR="00A83B45" w:rsidRDefault="00A83B45" w:rsidP="00A83B45">
      <w:pPr>
        <w:spacing w:line="360" w:lineRule="auto"/>
      </w:pPr>
      <w:r w:rsidRPr="006F6132">
        <w:lastRenderedPageBreak/>
        <w:t xml:space="preserve">Welsh Government (2023). </w:t>
      </w:r>
      <w:r w:rsidRPr="006F6132">
        <w:rPr>
          <w:i/>
          <w:iCs/>
        </w:rPr>
        <w:t>Pedagogy - Hwb</w:t>
      </w:r>
      <w:r w:rsidRPr="006F6132">
        <w:t xml:space="preserve">. [online] </w:t>
      </w:r>
      <w:proofErr w:type="spellStart"/>
      <w:proofErr w:type="gramStart"/>
      <w:r w:rsidRPr="006F6132">
        <w:t>hwb.gov.wales</w:t>
      </w:r>
      <w:proofErr w:type="spellEnd"/>
      <w:proofErr w:type="gramEnd"/>
      <w:r w:rsidRPr="006F6132">
        <w:t xml:space="preserve">. Available at: </w:t>
      </w:r>
      <w:hyperlink r:id="rId43" w:history="1">
        <w:r w:rsidRPr="002361D9">
          <w:rPr>
            <w:rStyle w:val="Hyperlink"/>
          </w:rPr>
          <w:t>Pedagogy - Hwb</w:t>
        </w:r>
      </w:hyperlink>
      <w:r>
        <w:t xml:space="preserve"> [Accessed: 27.03.2025].</w:t>
      </w:r>
    </w:p>
    <w:p w14:paraId="0E3A18A1" w14:textId="77777777" w:rsidR="00A83B45" w:rsidRPr="00A83B45" w:rsidRDefault="00A83B45" w:rsidP="00A83B45">
      <w:pPr>
        <w:spacing w:line="360" w:lineRule="auto"/>
        <w:rPr>
          <w:sz w:val="28"/>
          <w:szCs w:val="28"/>
        </w:rPr>
      </w:pPr>
    </w:p>
    <w:sectPr w:rsidR="00A83B45" w:rsidRPr="00A83B45">
      <w:headerReference w:type="default"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F5E038" w14:textId="77777777" w:rsidR="00EE380F" w:rsidRDefault="00EE380F" w:rsidP="00074803">
      <w:pPr>
        <w:spacing w:after="0" w:line="240" w:lineRule="auto"/>
      </w:pPr>
      <w:r>
        <w:separator/>
      </w:r>
    </w:p>
  </w:endnote>
  <w:endnote w:type="continuationSeparator" w:id="0">
    <w:p w14:paraId="08479279" w14:textId="77777777" w:rsidR="00EE380F" w:rsidRDefault="00EE380F" w:rsidP="000748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9482286"/>
      <w:docPartObj>
        <w:docPartGallery w:val="Page Numbers (Bottom of Page)"/>
        <w:docPartUnique/>
      </w:docPartObj>
    </w:sdtPr>
    <w:sdtEndPr>
      <w:rPr>
        <w:noProof/>
      </w:rPr>
    </w:sdtEndPr>
    <w:sdtContent>
      <w:p w14:paraId="1CAFD54E" w14:textId="6C3F45F2" w:rsidR="00A83B45" w:rsidRDefault="00A83B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D70AC0" w14:textId="77777777" w:rsidR="00A83B45" w:rsidRDefault="00A83B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29BE47" w14:textId="77777777" w:rsidR="00EE380F" w:rsidRDefault="00EE380F" w:rsidP="00074803">
      <w:pPr>
        <w:spacing w:after="0" w:line="240" w:lineRule="auto"/>
      </w:pPr>
      <w:r>
        <w:separator/>
      </w:r>
    </w:p>
  </w:footnote>
  <w:footnote w:type="continuationSeparator" w:id="0">
    <w:p w14:paraId="634D43C1" w14:textId="77777777" w:rsidR="00EE380F" w:rsidRDefault="00EE380F" w:rsidP="000748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1E98A1" w14:textId="2F5DB5E8" w:rsidR="00074803" w:rsidRDefault="00074803" w:rsidP="00074803">
    <w:pPr>
      <w:pStyle w:val="Header"/>
      <w:jc w:val="right"/>
    </w:pPr>
    <w:r>
      <w:t>2305218</w:t>
    </w:r>
  </w:p>
  <w:p w14:paraId="76A5D49E" w14:textId="2A5238E7" w:rsidR="00074803" w:rsidRDefault="00074803" w:rsidP="00074803">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E23175"/>
    <w:multiLevelType w:val="hybridMultilevel"/>
    <w:tmpl w:val="8B7EDF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58887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803"/>
    <w:rsid w:val="00002159"/>
    <w:rsid w:val="00010E71"/>
    <w:rsid w:val="00013151"/>
    <w:rsid w:val="0001345A"/>
    <w:rsid w:val="00014D73"/>
    <w:rsid w:val="00023C0F"/>
    <w:rsid w:val="00027452"/>
    <w:rsid w:val="00027CF4"/>
    <w:rsid w:val="000470AA"/>
    <w:rsid w:val="000614EC"/>
    <w:rsid w:val="00065C26"/>
    <w:rsid w:val="00067457"/>
    <w:rsid w:val="00074148"/>
    <w:rsid w:val="00074803"/>
    <w:rsid w:val="00075E98"/>
    <w:rsid w:val="000779F5"/>
    <w:rsid w:val="0008269A"/>
    <w:rsid w:val="00082FEF"/>
    <w:rsid w:val="00085396"/>
    <w:rsid w:val="000918CC"/>
    <w:rsid w:val="00094DA8"/>
    <w:rsid w:val="000A534B"/>
    <w:rsid w:val="000C0215"/>
    <w:rsid w:val="000C4378"/>
    <w:rsid w:val="000C63AB"/>
    <w:rsid w:val="000D3605"/>
    <w:rsid w:val="000D363A"/>
    <w:rsid w:val="000D5A0F"/>
    <w:rsid w:val="000D7F13"/>
    <w:rsid w:val="000E2F7D"/>
    <w:rsid w:val="000E709A"/>
    <w:rsid w:val="000F5ACE"/>
    <w:rsid w:val="000F67BA"/>
    <w:rsid w:val="000F780C"/>
    <w:rsid w:val="00100262"/>
    <w:rsid w:val="001022EF"/>
    <w:rsid w:val="00103024"/>
    <w:rsid w:val="001033A3"/>
    <w:rsid w:val="001064CB"/>
    <w:rsid w:val="0011302F"/>
    <w:rsid w:val="00116B8C"/>
    <w:rsid w:val="00116BED"/>
    <w:rsid w:val="00117F8A"/>
    <w:rsid w:val="00120BD5"/>
    <w:rsid w:val="00126149"/>
    <w:rsid w:val="00134BCF"/>
    <w:rsid w:val="0014047C"/>
    <w:rsid w:val="0014308A"/>
    <w:rsid w:val="001553FF"/>
    <w:rsid w:val="0015742F"/>
    <w:rsid w:val="00173297"/>
    <w:rsid w:val="00173D9D"/>
    <w:rsid w:val="00180190"/>
    <w:rsid w:val="00184F0E"/>
    <w:rsid w:val="00187674"/>
    <w:rsid w:val="00191A5D"/>
    <w:rsid w:val="0019210D"/>
    <w:rsid w:val="001948E7"/>
    <w:rsid w:val="0019502F"/>
    <w:rsid w:val="001A7AB2"/>
    <w:rsid w:val="001B7AED"/>
    <w:rsid w:val="001C6F6B"/>
    <w:rsid w:val="001D68FD"/>
    <w:rsid w:val="001E4370"/>
    <w:rsid w:val="001E622A"/>
    <w:rsid w:val="001F058F"/>
    <w:rsid w:val="001F328B"/>
    <w:rsid w:val="001F4C53"/>
    <w:rsid w:val="001F633A"/>
    <w:rsid w:val="00200ED8"/>
    <w:rsid w:val="00201448"/>
    <w:rsid w:val="0020230B"/>
    <w:rsid w:val="0021373E"/>
    <w:rsid w:val="002165DB"/>
    <w:rsid w:val="002168EE"/>
    <w:rsid w:val="00221693"/>
    <w:rsid w:val="00227794"/>
    <w:rsid w:val="00235A5A"/>
    <w:rsid w:val="00237F7F"/>
    <w:rsid w:val="002624F4"/>
    <w:rsid w:val="00264A5B"/>
    <w:rsid w:val="00265EC8"/>
    <w:rsid w:val="00267006"/>
    <w:rsid w:val="00275DD2"/>
    <w:rsid w:val="00291A72"/>
    <w:rsid w:val="0029572F"/>
    <w:rsid w:val="0029727B"/>
    <w:rsid w:val="002A565C"/>
    <w:rsid w:val="002A6580"/>
    <w:rsid w:val="002B2D0A"/>
    <w:rsid w:val="002B37AA"/>
    <w:rsid w:val="002B5503"/>
    <w:rsid w:val="002D04C8"/>
    <w:rsid w:val="002D37A6"/>
    <w:rsid w:val="002D3F52"/>
    <w:rsid w:val="002D758E"/>
    <w:rsid w:val="002E0736"/>
    <w:rsid w:val="002E2B5C"/>
    <w:rsid w:val="002F1EBA"/>
    <w:rsid w:val="002F4FAB"/>
    <w:rsid w:val="002F50F8"/>
    <w:rsid w:val="002F5959"/>
    <w:rsid w:val="00300BEF"/>
    <w:rsid w:val="003049AB"/>
    <w:rsid w:val="0030567B"/>
    <w:rsid w:val="00305A75"/>
    <w:rsid w:val="00310889"/>
    <w:rsid w:val="00324C32"/>
    <w:rsid w:val="0032655A"/>
    <w:rsid w:val="0032695C"/>
    <w:rsid w:val="00326A9D"/>
    <w:rsid w:val="00340129"/>
    <w:rsid w:val="00341A69"/>
    <w:rsid w:val="003465FD"/>
    <w:rsid w:val="0036178E"/>
    <w:rsid w:val="003634FF"/>
    <w:rsid w:val="00370B41"/>
    <w:rsid w:val="0037638A"/>
    <w:rsid w:val="00385307"/>
    <w:rsid w:val="003920B6"/>
    <w:rsid w:val="0039521E"/>
    <w:rsid w:val="00396E42"/>
    <w:rsid w:val="003A14CA"/>
    <w:rsid w:val="003B388A"/>
    <w:rsid w:val="003C5E83"/>
    <w:rsid w:val="003C5FB8"/>
    <w:rsid w:val="003C73DB"/>
    <w:rsid w:val="003D6156"/>
    <w:rsid w:val="003D6EE0"/>
    <w:rsid w:val="003E326E"/>
    <w:rsid w:val="003E792E"/>
    <w:rsid w:val="003F0FF2"/>
    <w:rsid w:val="003F7BC5"/>
    <w:rsid w:val="00402B81"/>
    <w:rsid w:val="00404135"/>
    <w:rsid w:val="004042EE"/>
    <w:rsid w:val="00404D5E"/>
    <w:rsid w:val="00406CA3"/>
    <w:rsid w:val="004072F3"/>
    <w:rsid w:val="00407723"/>
    <w:rsid w:val="00412151"/>
    <w:rsid w:val="00414CD2"/>
    <w:rsid w:val="00425546"/>
    <w:rsid w:val="00430BCC"/>
    <w:rsid w:val="00434108"/>
    <w:rsid w:val="00440B0D"/>
    <w:rsid w:val="0044594F"/>
    <w:rsid w:val="0044782C"/>
    <w:rsid w:val="00450098"/>
    <w:rsid w:val="0045032E"/>
    <w:rsid w:val="0045713C"/>
    <w:rsid w:val="00465F6C"/>
    <w:rsid w:val="00467B77"/>
    <w:rsid w:val="00467E40"/>
    <w:rsid w:val="00492408"/>
    <w:rsid w:val="004961D8"/>
    <w:rsid w:val="004A16C9"/>
    <w:rsid w:val="004A2BAD"/>
    <w:rsid w:val="004A3214"/>
    <w:rsid w:val="004A798E"/>
    <w:rsid w:val="004C495F"/>
    <w:rsid w:val="004C5C45"/>
    <w:rsid w:val="004C7D91"/>
    <w:rsid w:val="004D0B54"/>
    <w:rsid w:val="004D2DC1"/>
    <w:rsid w:val="004D7143"/>
    <w:rsid w:val="004E0FE9"/>
    <w:rsid w:val="004E1900"/>
    <w:rsid w:val="004E1FAC"/>
    <w:rsid w:val="004E4C91"/>
    <w:rsid w:val="004E5F83"/>
    <w:rsid w:val="00511762"/>
    <w:rsid w:val="00511A7F"/>
    <w:rsid w:val="00515B8A"/>
    <w:rsid w:val="00521128"/>
    <w:rsid w:val="00526591"/>
    <w:rsid w:val="00531159"/>
    <w:rsid w:val="005437F3"/>
    <w:rsid w:val="00557222"/>
    <w:rsid w:val="00557C74"/>
    <w:rsid w:val="0056108B"/>
    <w:rsid w:val="005646EE"/>
    <w:rsid w:val="005735C3"/>
    <w:rsid w:val="00587E54"/>
    <w:rsid w:val="0059312F"/>
    <w:rsid w:val="005A30BF"/>
    <w:rsid w:val="005A5427"/>
    <w:rsid w:val="005A7294"/>
    <w:rsid w:val="005B268A"/>
    <w:rsid w:val="005B71BB"/>
    <w:rsid w:val="005C3B13"/>
    <w:rsid w:val="005C3DC6"/>
    <w:rsid w:val="005C50B7"/>
    <w:rsid w:val="005C51DF"/>
    <w:rsid w:val="005E1F56"/>
    <w:rsid w:val="005E4D45"/>
    <w:rsid w:val="005E5E4A"/>
    <w:rsid w:val="005F6C68"/>
    <w:rsid w:val="006019E5"/>
    <w:rsid w:val="00610B36"/>
    <w:rsid w:val="00615C5B"/>
    <w:rsid w:val="00617E63"/>
    <w:rsid w:val="00623AC1"/>
    <w:rsid w:val="00625A70"/>
    <w:rsid w:val="00651234"/>
    <w:rsid w:val="006645F2"/>
    <w:rsid w:val="00672132"/>
    <w:rsid w:val="006727A3"/>
    <w:rsid w:val="00674626"/>
    <w:rsid w:val="00676A02"/>
    <w:rsid w:val="00677C1D"/>
    <w:rsid w:val="0069246D"/>
    <w:rsid w:val="00695828"/>
    <w:rsid w:val="006A187D"/>
    <w:rsid w:val="006B0DE0"/>
    <w:rsid w:val="006C21C9"/>
    <w:rsid w:val="006C24BA"/>
    <w:rsid w:val="006D000C"/>
    <w:rsid w:val="006D18EF"/>
    <w:rsid w:val="006D40BC"/>
    <w:rsid w:val="006D43DF"/>
    <w:rsid w:val="006D5A9B"/>
    <w:rsid w:val="006D61C9"/>
    <w:rsid w:val="006F15A6"/>
    <w:rsid w:val="006F7EC2"/>
    <w:rsid w:val="00700ACE"/>
    <w:rsid w:val="007117F6"/>
    <w:rsid w:val="007131D9"/>
    <w:rsid w:val="00714287"/>
    <w:rsid w:val="00715E16"/>
    <w:rsid w:val="0071785E"/>
    <w:rsid w:val="007421F5"/>
    <w:rsid w:val="00743BD9"/>
    <w:rsid w:val="00745719"/>
    <w:rsid w:val="00747C18"/>
    <w:rsid w:val="00750EFB"/>
    <w:rsid w:val="007526B2"/>
    <w:rsid w:val="007544C0"/>
    <w:rsid w:val="0076125E"/>
    <w:rsid w:val="007674C3"/>
    <w:rsid w:val="0077384F"/>
    <w:rsid w:val="00784094"/>
    <w:rsid w:val="00790D57"/>
    <w:rsid w:val="00791043"/>
    <w:rsid w:val="00792D80"/>
    <w:rsid w:val="007953FD"/>
    <w:rsid w:val="007A1541"/>
    <w:rsid w:val="007B38AF"/>
    <w:rsid w:val="007B42A3"/>
    <w:rsid w:val="007C0AAF"/>
    <w:rsid w:val="007D7A3F"/>
    <w:rsid w:val="007E566F"/>
    <w:rsid w:val="007F1F0A"/>
    <w:rsid w:val="00810D9C"/>
    <w:rsid w:val="00814098"/>
    <w:rsid w:val="00814FB4"/>
    <w:rsid w:val="00820416"/>
    <w:rsid w:val="00827C22"/>
    <w:rsid w:val="008303B9"/>
    <w:rsid w:val="00832C55"/>
    <w:rsid w:val="00836191"/>
    <w:rsid w:val="008454BE"/>
    <w:rsid w:val="008479E6"/>
    <w:rsid w:val="008602BD"/>
    <w:rsid w:val="008653A9"/>
    <w:rsid w:val="00874FE8"/>
    <w:rsid w:val="00893526"/>
    <w:rsid w:val="00897A44"/>
    <w:rsid w:val="008A3930"/>
    <w:rsid w:val="008A3BBA"/>
    <w:rsid w:val="008B2E47"/>
    <w:rsid w:val="008C0A83"/>
    <w:rsid w:val="008C640C"/>
    <w:rsid w:val="008C7534"/>
    <w:rsid w:val="008D0FA9"/>
    <w:rsid w:val="008D3DD7"/>
    <w:rsid w:val="008D3DEC"/>
    <w:rsid w:val="008E2F26"/>
    <w:rsid w:val="008E597E"/>
    <w:rsid w:val="008F286D"/>
    <w:rsid w:val="008F6A66"/>
    <w:rsid w:val="009009A5"/>
    <w:rsid w:val="009022B4"/>
    <w:rsid w:val="00902B5B"/>
    <w:rsid w:val="009032B4"/>
    <w:rsid w:val="009109AE"/>
    <w:rsid w:val="009123E7"/>
    <w:rsid w:val="00912D14"/>
    <w:rsid w:val="009374A4"/>
    <w:rsid w:val="00940663"/>
    <w:rsid w:val="009406BA"/>
    <w:rsid w:val="0094249D"/>
    <w:rsid w:val="00942A43"/>
    <w:rsid w:val="00951BDC"/>
    <w:rsid w:val="00952373"/>
    <w:rsid w:val="0095446C"/>
    <w:rsid w:val="00960B16"/>
    <w:rsid w:val="00967CCD"/>
    <w:rsid w:val="00972278"/>
    <w:rsid w:val="00973716"/>
    <w:rsid w:val="009778C8"/>
    <w:rsid w:val="00981F5C"/>
    <w:rsid w:val="00982491"/>
    <w:rsid w:val="00997BF3"/>
    <w:rsid w:val="009A1EE4"/>
    <w:rsid w:val="009A61F0"/>
    <w:rsid w:val="009A668C"/>
    <w:rsid w:val="009A7754"/>
    <w:rsid w:val="009B2293"/>
    <w:rsid w:val="009B23C3"/>
    <w:rsid w:val="009C1812"/>
    <w:rsid w:val="009C465E"/>
    <w:rsid w:val="009C4ACC"/>
    <w:rsid w:val="009C4C3B"/>
    <w:rsid w:val="009C5BD9"/>
    <w:rsid w:val="009C7A7C"/>
    <w:rsid w:val="009D2660"/>
    <w:rsid w:val="009E3189"/>
    <w:rsid w:val="009F1F11"/>
    <w:rsid w:val="009F2CDA"/>
    <w:rsid w:val="00A04851"/>
    <w:rsid w:val="00A04E3E"/>
    <w:rsid w:val="00A115DC"/>
    <w:rsid w:val="00A13353"/>
    <w:rsid w:val="00A203EE"/>
    <w:rsid w:val="00A26EEF"/>
    <w:rsid w:val="00A306B9"/>
    <w:rsid w:val="00A30A63"/>
    <w:rsid w:val="00A36F58"/>
    <w:rsid w:val="00A45379"/>
    <w:rsid w:val="00A467EA"/>
    <w:rsid w:val="00A50B3A"/>
    <w:rsid w:val="00A526F3"/>
    <w:rsid w:val="00A56BA1"/>
    <w:rsid w:val="00A573C9"/>
    <w:rsid w:val="00A60155"/>
    <w:rsid w:val="00A6286D"/>
    <w:rsid w:val="00A64A36"/>
    <w:rsid w:val="00A83B45"/>
    <w:rsid w:val="00A927A9"/>
    <w:rsid w:val="00A953FE"/>
    <w:rsid w:val="00A964C0"/>
    <w:rsid w:val="00AA0D74"/>
    <w:rsid w:val="00AA1104"/>
    <w:rsid w:val="00AB131E"/>
    <w:rsid w:val="00AC4E67"/>
    <w:rsid w:val="00AC72CA"/>
    <w:rsid w:val="00AC7AD0"/>
    <w:rsid w:val="00AD71DD"/>
    <w:rsid w:val="00AE12F7"/>
    <w:rsid w:val="00AE5C99"/>
    <w:rsid w:val="00B02BBA"/>
    <w:rsid w:val="00B07BEA"/>
    <w:rsid w:val="00B07D3C"/>
    <w:rsid w:val="00B159B1"/>
    <w:rsid w:val="00B25CF6"/>
    <w:rsid w:val="00B25F13"/>
    <w:rsid w:val="00B32106"/>
    <w:rsid w:val="00B334A1"/>
    <w:rsid w:val="00B410C8"/>
    <w:rsid w:val="00B52E50"/>
    <w:rsid w:val="00B53FE9"/>
    <w:rsid w:val="00B54B6E"/>
    <w:rsid w:val="00B60120"/>
    <w:rsid w:val="00B61CAC"/>
    <w:rsid w:val="00B646B3"/>
    <w:rsid w:val="00B660FB"/>
    <w:rsid w:val="00B919AF"/>
    <w:rsid w:val="00BA1CCC"/>
    <w:rsid w:val="00BA6A5C"/>
    <w:rsid w:val="00BB3A06"/>
    <w:rsid w:val="00BC1914"/>
    <w:rsid w:val="00BD1117"/>
    <w:rsid w:val="00BD4FD6"/>
    <w:rsid w:val="00BE2DFA"/>
    <w:rsid w:val="00BE7BF1"/>
    <w:rsid w:val="00BF11AF"/>
    <w:rsid w:val="00C03E90"/>
    <w:rsid w:val="00C0432E"/>
    <w:rsid w:val="00C06F6F"/>
    <w:rsid w:val="00C12764"/>
    <w:rsid w:val="00C257EB"/>
    <w:rsid w:val="00C30AD0"/>
    <w:rsid w:val="00C43633"/>
    <w:rsid w:val="00C44D7B"/>
    <w:rsid w:val="00C44FFA"/>
    <w:rsid w:val="00C524A7"/>
    <w:rsid w:val="00C5488C"/>
    <w:rsid w:val="00C71E9B"/>
    <w:rsid w:val="00C72343"/>
    <w:rsid w:val="00C73095"/>
    <w:rsid w:val="00C9450D"/>
    <w:rsid w:val="00C97B95"/>
    <w:rsid w:val="00CA101E"/>
    <w:rsid w:val="00CA1FA4"/>
    <w:rsid w:val="00CA233A"/>
    <w:rsid w:val="00CA32DC"/>
    <w:rsid w:val="00CB1BFB"/>
    <w:rsid w:val="00CC1A2A"/>
    <w:rsid w:val="00CC356D"/>
    <w:rsid w:val="00CC553E"/>
    <w:rsid w:val="00CC5748"/>
    <w:rsid w:val="00CE0D4F"/>
    <w:rsid w:val="00CE11E8"/>
    <w:rsid w:val="00CE3AEF"/>
    <w:rsid w:val="00CF1D58"/>
    <w:rsid w:val="00CF1FC8"/>
    <w:rsid w:val="00CF23DE"/>
    <w:rsid w:val="00CF2BB1"/>
    <w:rsid w:val="00CF3A5C"/>
    <w:rsid w:val="00D07C5A"/>
    <w:rsid w:val="00D155DA"/>
    <w:rsid w:val="00D20B1E"/>
    <w:rsid w:val="00D2442C"/>
    <w:rsid w:val="00D24825"/>
    <w:rsid w:val="00D272A2"/>
    <w:rsid w:val="00D27C15"/>
    <w:rsid w:val="00D31FD3"/>
    <w:rsid w:val="00D34CB8"/>
    <w:rsid w:val="00D3572C"/>
    <w:rsid w:val="00D42557"/>
    <w:rsid w:val="00D42842"/>
    <w:rsid w:val="00D51456"/>
    <w:rsid w:val="00D527F1"/>
    <w:rsid w:val="00D81386"/>
    <w:rsid w:val="00D832B4"/>
    <w:rsid w:val="00D84F7F"/>
    <w:rsid w:val="00D955E2"/>
    <w:rsid w:val="00DA12A5"/>
    <w:rsid w:val="00DA6B62"/>
    <w:rsid w:val="00DB7F1D"/>
    <w:rsid w:val="00DC1C6B"/>
    <w:rsid w:val="00DC219F"/>
    <w:rsid w:val="00DC3241"/>
    <w:rsid w:val="00DD2044"/>
    <w:rsid w:val="00DD5C68"/>
    <w:rsid w:val="00DD61ED"/>
    <w:rsid w:val="00DE00CB"/>
    <w:rsid w:val="00DE3399"/>
    <w:rsid w:val="00DE4CD6"/>
    <w:rsid w:val="00DF4004"/>
    <w:rsid w:val="00DF6E64"/>
    <w:rsid w:val="00E04982"/>
    <w:rsid w:val="00E11D3D"/>
    <w:rsid w:val="00E12A82"/>
    <w:rsid w:val="00E15A05"/>
    <w:rsid w:val="00E20702"/>
    <w:rsid w:val="00E354D8"/>
    <w:rsid w:val="00E45AA8"/>
    <w:rsid w:val="00E521E1"/>
    <w:rsid w:val="00E543E1"/>
    <w:rsid w:val="00E570CC"/>
    <w:rsid w:val="00E617CF"/>
    <w:rsid w:val="00E638A5"/>
    <w:rsid w:val="00E71955"/>
    <w:rsid w:val="00E71E6F"/>
    <w:rsid w:val="00E72381"/>
    <w:rsid w:val="00E73666"/>
    <w:rsid w:val="00E74452"/>
    <w:rsid w:val="00E75627"/>
    <w:rsid w:val="00E77D3F"/>
    <w:rsid w:val="00E840A6"/>
    <w:rsid w:val="00E86FA0"/>
    <w:rsid w:val="00E90A81"/>
    <w:rsid w:val="00E94F1C"/>
    <w:rsid w:val="00E950A4"/>
    <w:rsid w:val="00EA1AD1"/>
    <w:rsid w:val="00EB29E8"/>
    <w:rsid w:val="00EB32A2"/>
    <w:rsid w:val="00EC00E3"/>
    <w:rsid w:val="00EC0F09"/>
    <w:rsid w:val="00EC25DB"/>
    <w:rsid w:val="00EC3B1B"/>
    <w:rsid w:val="00EC55DA"/>
    <w:rsid w:val="00EC5A79"/>
    <w:rsid w:val="00ED25E8"/>
    <w:rsid w:val="00ED31C7"/>
    <w:rsid w:val="00ED66D8"/>
    <w:rsid w:val="00EE1E58"/>
    <w:rsid w:val="00EE380F"/>
    <w:rsid w:val="00EE6A45"/>
    <w:rsid w:val="00EE78BC"/>
    <w:rsid w:val="00EF51F4"/>
    <w:rsid w:val="00EF5365"/>
    <w:rsid w:val="00F057DA"/>
    <w:rsid w:val="00F2157F"/>
    <w:rsid w:val="00F2285B"/>
    <w:rsid w:val="00F23419"/>
    <w:rsid w:val="00F23C13"/>
    <w:rsid w:val="00F3080A"/>
    <w:rsid w:val="00F34068"/>
    <w:rsid w:val="00F43D89"/>
    <w:rsid w:val="00F45A54"/>
    <w:rsid w:val="00F45F5C"/>
    <w:rsid w:val="00F46EF5"/>
    <w:rsid w:val="00F521FE"/>
    <w:rsid w:val="00F622DD"/>
    <w:rsid w:val="00F645D2"/>
    <w:rsid w:val="00F646CB"/>
    <w:rsid w:val="00F75A31"/>
    <w:rsid w:val="00F76382"/>
    <w:rsid w:val="00F83140"/>
    <w:rsid w:val="00F90A54"/>
    <w:rsid w:val="00F92DB4"/>
    <w:rsid w:val="00F95E57"/>
    <w:rsid w:val="00FA406D"/>
    <w:rsid w:val="00FA65F4"/>
    <w:rsid w:val="00FB05D4"/>
    <w:rsid w:val="00FB69E5"/>
    <w:rsid w:val="00FC1694"/>
    <w:rsid w:val="00FC59B1"/>
    <w:rsid w:val="00FD11A2"/>
    <w:rsid w:val="00FD21F8"/>
    <w:rsid w:val="00FD4E47"/>
    <w:rsid w:val="00FD6E6F"/>
    <w:rsid w:val="00FE60D6"/>
    <w:rsid w:val="00FE7878"/>
    <w:rsid w:val="00FF4D6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ACE96"/>
  <w15:chartTrackingRefBased/>
  <w15:docId w15:val="{42494DCA-84CA-492B-B6DF-67C377D85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48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48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48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48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48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48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48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48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48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48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48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48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48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48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48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48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48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4803"/>
    <w:rPr>
      <w:rFonts w:eastAsiaTheme="majorEastAsia" w:cstheme="majorBidi"/>
      <w:color w:val="272727" w:themeColor="text1" w:themeTint="D8"/>
    </w:rPr>
  </w:style>
  <w:style w:type="paragraph" w:styleId="Title">
    <w:name w:val="Title"/>
    <w:basedOn w:val="Normal"/>
    <w:next w:val="Normal"/>
    <w:link w:val="TitleChar"/>
    <w:uiPriority w:val="10"/>
    <w:qFormat/>
    <w:rsid w:val="000748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48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48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48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4803"/>
    <w:pPr>
      <w:spacing w:before="160"/>
      <w:jc w:val="center"/>
    </w:pPr>
    <w:rPr>
      <w:i/>
      <w:iCs/>
      <w:color w:val="404040" w:themeColor="text1" w:themeTint="BF"/>
    </w:rPr>
  </w:style>
  <w:style w:type="character" w:customStyle="1" w:styleId="QuoteChar">
    <w:name w:val="Quote Char"/>
    <w:basedOn w:val="DefaultParagraphFont"/>
    <w:link w:val="Quote"/>
    <w:uiPriority w:val="29"/>
    <w:rsid w:val="00074803"/>
    <w:rPr>
      <w:i/>
      <w:iCs/>
      <w:color w:val="404040" w:themeColor="text1" w:themeTint="BF"/>
    </w:rPr>
  </w:style>
  <w:style w:type="paragraph" w:styleId="ListParagraph">
    <w:name w:val="List Paragraph"/>
    <w:basedOn w:val="Normal"/>
    <w:uiPriority w:val="34"/>
    <w:qFormat/>
    <w:rsid w:val="00074803"/>
    <w:pPr>
      <w:ind w:left="720"/>
      <w:contextualSpacing/>
    </w:pPr>
  </w:style>
  <w:style w:type="character" w:styleId="IntenseEmphasis">
    <w:name w:val="Intense Emphasis"/>
    <w:basedOn w:val="DefaultParagraphFont"/>
    <w:uiPriority w:val="21"/>
    <w:qFormat/>
    <w:rsid w:val="00074803"/>
    <w:rPr>
      <w:i/>
      <w:iCs/>
      <w:color w:val="0F4761" w:themeColor="accent1" w:themeShade="BF"/>
    </w:rPr>
  </w:style>
  <w:style w:type="paragraph" w:styleId="IntenseQuote">
    <w:name w:val="Intense Quote"/>
    <w:basedOn w:val="Normal"/>
    <w:next w:val="Normal"/>
    <w:link w:val="IntenseQuoteChar"/>
    <w:uiPriority w:val="30"/>
    <w:qFormat/>
    <w:rsid w:val="000748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4803"/>
    <w:rPr>
      <w:i/>
      <w:iCs/>
      <w:color w:val="0F4761" w:themeColor="accent1" w:themeShade="BF"/>
    </w:rPr>
  </w:style>
  <w:style w:type="character" w:styleId="IntenseReference">
    <w:name w:val="Intense Reference"/>
    <w:basedOn w:val="DefaultParagraphFont"/>
    <w:uiPriority w:val="32"/>
    <w:qFormat/>
    <w:rsid w:val="00074803"/>
    <w:rPr>
      <w:b/>
      <w:bCs/>
      <w:smallCaps/>
      <w:color w:val="0F4761" w:themeColor="accent1" w:themeShade="BF"/>
      <w:spacing w:val="5"/>
    </w:rPr>
  </w:style>
  <w:style w:type="paragraph" w:styleId="Header">
    <w:name w:val="header"/>
    <w:basedOn w:val="Normal"/>
    <w:link w:val="HeaderChar"/>
    <w:uiPriority w:val="99"/>
    <w:unhideWhenUsed/>
    <w:rsid w:val="000748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4803"/>
  </w:style>
  <w:style w:type="paragraph" w:styleId="Footer">
    <w:name w:val="footer"/>
    <w:basedOn w:val="Normal"/>
    <w:link w:val="FooterChar"/>
    <w:uiPriority w:val="99"/>
    <w:unhideWhenUsed/>
    <w:rsid w:val="000748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4803"/>
  </w:style>
  <w:style w:type="table" w:styleId="TableGrid">
    <w:name w:val="Table Grid"/>
    <w:basedOn w:val="TableNormal"/>
    <w:uiPriority w:val="39"/>
    <w:rsid w:val="000748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2157F"/>
    <w:rPr>
      <w:color w:val="467886" w:themeColor="hyperlink"/>
      <w:u w:val="single"/>
    </w:rPr>
  </w:style>
  <w:style w:type="character" w:styleId="UnresolvedMention">
    <w:name w:val="Unresolved Mention"/>
    <w:basedOn w:val="DefaultParagraphFont"/>
    <w:uiPriority w:val="99"/>
    <w:semiHidden/>
    <w:unhideWhenUsed/>
    <w:rsid w:val="00F2157F"/>
    <w:rPr>
      <w:color w:val="605E5C"/>
      <w:shd w:val="clear" w:color="auto" w:fill="E1DFDD"/>
    </w:rPr>
  </w:style>
  <w:style w:type="character" w:styleId="FollowedHyperlink">
    <w:name w:val="FollowedHyperlink"/>
    <w:basedOn w:val="DefaultParagraphFont"/>
    <w:uiPriority w:val="99"/>
    <w:semiHidden/>
    <w:unhideWhenUsed/>
    <w:rsid w:val="00A83B4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2472552">
      <w:bodyDiv w:val="1"/>
      <w:marLeft w:val="0"/>
      <w:marRight w:val="0"/>
      <w:marTop w:val="0"/>
      <w:marBottom w:val="0"/>
      <w:divBdr>
        <w:top w:val="none" w:sz="0" w:space="0" w:color="auto"/>
        <w:left w:val="none" w:sz="0" w:space="0" w:color="auto"/>
        <w:bottom w:val="none" w:sz="0" w:space="0" w:color="auto"/>
        <w:right w:val="none" w:sz="0" w:space="0" w:color="auto"/>
      </w:divBdr>
    </w:div>
    <w:div w:id="1753043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ogle.co.uk/books/edition/Research_Methods_in_Anthropology/2Fk7DwAAQBAJ?hl=en&amp;gbpv=1" TargetMode="External"/><Relationship Id="rId18" Type="http://schemas.openxmlformats.org/officeDocument/2006/relationships/hyperlink" Target="https://www.jstor.org/stable/40170508" TargetMode="External"/><Relationship Id="rId26" Type="http://schemas.openxmlformats.org/officeDocument/2006/relationships/hyperlink" Target="https://estyn.gov.wales/system/files/2023-03/Inspection%20report%20Treorchy%20Primary%20School%202023.pdf" TargetMode="External"/><Relationship Id="rId39" Type="http://schemas.openxmlformats.org/officeDocument/2006/relationships/hyperlink" Target="https://www.google.co.uk/books/edition/Mind_in_Society/u2PP6b0ddtoC?hl=en&amp;gbpv=1" TargetMode="External"/><Relationship Id="rId21" Type="http://schemas.openxmlformats.org/officeDocument/2006/relationships/hyperlink" Target="https://www.google.co.uk/books/edition/Designing_and_Conducting_Mixed_Methods_R/6tYNo0UpEqkC?hl=en&amp;gbpv=1" TargetMode="External"/><Relationship Id="rId34" Type="http://schemas.openxmlformats.org/officeDocument/2006/relationships/hyperlink" Target="https://journals.sagepub.com/doi/full/10.1177/1468794119867548" TargetMode="External"/><Relationship Id="rId42" Type="http://schemas.openxmlformats.org/officeDocument/2006/relationships/hyperlink" Target="https://hwb.gov.wales/curriculum-for-wales/assessment-arrangements/what-s-changing-in-assessment/" TargetMode="External"/><Relationship Id="rId47"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archive.org/details/unlockingformati0000clar" TargetMode="External"/><Relationship Id="rId29" Type="http://schemas.openxmlformats.org/officeDocument/2006/relationships/hyperlink" Target="https://www.google.co.uk/books/edition/Doing_Research_with_Children/zTb7AwAAQBAJ?hl=en&amp;gbpv=1"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link.springer.com/chapter/10.1007/978-3-030-43620-9_7" TargetMode="External"/><Relationship Id="rId24" Type="http://schemas.openxmlformats.org/officeDocument/2006/relationships/hyperlink" Target="https://www.google.co.uk/books/edition/The_Stages_of_Psychosocial_Development_A/_NdoBQAAQBAJ?hl=en&amp;gbpv=1" TargetMode="External"/><Relationship Id="rId32" Type="http://schemas.openxmlformats.org/officeDocument/2006/relationships/hyperlink" Target="https://www.google.co.uk/books/edition/Doing_Interviews/x7lXd08rD7IC?hl=en&amp;gbpv=1" TargetMode="External"/><Relationship Id="rId37" Type="http://schemas.openxmlformats.org/officeDocument/2006/relationships/hyperlink" Target="https://guides.library.harvard.edu/" TargetMode="External"/><Relationship Id="rId40" Type="http://schemas.openxmlformats.org/officeDocument/2006/relationships/hyperlink" Target="https://hwb.gov.wales/api/storage/19bc948b-8a3f-41e0-944a-7bf2cadf7d18/professional-standards-for-teaching-and-leadership-interactive-pdf-for-pc.pdf" TargetMode="External"/><Relationship Id="rId45"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google.co.uk/books/edition/Social_Research_Methods/N2zQCgAAQBAJ?hl=en&amp;gbpv=1" TargetMode="External"/><Relationship Id="rId23" Type="http://schemas.openxmlformats.org/officeDocument/2006/relationships/hyperlink" Target="https://www.google.co.uk/books/edition/Mindset/R0-eBAAAQBAJ?hl=en&amp;gbpv=1" TargetMode="External"/><Relationship Id="rId28" Type="http://schemas.openxmlformats.org/officeDocument/2006/relationships/hyperlink" Target="https://www.google.co.uk/books/edition/Developing_a_Questionnaire/EpKvAwAAQBAJ?hl=en&amp;gbpv=1" TargetMode="External"/><Relationship Id="rId36" Type="http://schemas.openxmlformats.org/officeDocument/2006/relationships/hyperlink" Target="https://www.google.co.uk/books/edition/The_Origins_of_Intelligence_in_Children/PAd_AAAAMAAJ?hl=en&amp;gbpv=0&amp;bsq=piaget%20the%20origins%20of%20intelligence%20in%20children" TargetMode="External"/><Relationship Id="rId10" Type="http://schemas.openxmlformats.org/officeDocument/2006/relationships/hyperlink" Target="https://chatgpt.com/?ref=dotcom" TargetMode="External"/><Relationship Id="rId19" Type="http://schemas.openxmlformats.org/officeDocument/2006/relationships/hyperlink" Target="https://www.google.co.uk/books/edition/An_Introduction_to_Fully_Integrated_Mixe/wX5ZDwAAQBAJ?hl=en&amp;gbpv=1" TargetMode="External"/><Relationship Id="rId31" Type="http://schemas.openxmlformats.org/officeDocument/2006/relationships/hyperlink" Target="https://www.researchgate.net/publication/364093373_What_is_a_Questionnaire" TargetMode="External"/><Relationship Id="rId44"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ogle.co.uk/books/edition/Assessment_for_Learning/ZoTl52PANJUC?hl=en&amp;gbpv=1" TargetMode="External"/><Relationship Id="rId22" Type="http://schemas.openxmlformats.org/officeDocument/2006/relationships/hyperlink" Target="https://www.google.co.uk/books/edition/Internet_Phone_Mail_and_Mixed_Mode_Surve/fhQNBAAAQBAJ?hl=en&amp;gbpv=0" TargetMode="External"/><Relationship Id="rId27" Type="http://schemas.openxmlformats.org/officeDocument/2006/relationships/hyperlink" Target="https://www.myorganisationalbehaviour.com/the-hawthorne-effect/" TargetMode="External"/><Relationship Id="rId30" Type="http://schemas.openxmlformats.org/officeDocument/2006/relationships/hyperlink" Target="https://www.google.co.uk/books/edition/Handbook_of_Interview_Research/uQMUMQJZU4gC?hl=en&amp;gbpv=0" TargetMode="External"/><Relationship Id="rId35" Type="http://schemas.openxmlformats.org/officeDocument/2006/relationships/hyperlink" Target="https://www.google.co.uk/books/edition/Cognitive_Development_Today/A_iICwAAQBAJ?hl=en&amp;gbpv=1" TargetMode="External"/><Relationship Id="rId43" Type="http://schemas.openxmlformats.org/officeDocument/2006/relationships/hyperlink" Target="https://hwb.gov.wales/curriculum-for-wales/designing-your-curriculum/pedagogy/"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bera.ac.uk/publication/ethical-guidelines-for-educational-research-fifth-edition-2024-online" TargetMode="External"/><Relationship Id="rId17" Type="http://schemas.openxmlformats.org/officeDocument/2006/relationships/hyperlink" Target="https://www.google.co.uk/books/edition/Research_Methods_in_Education/iaQ5DwAAQBAJ?hl=en&amp;gbpv=1" TargetMode="External"/><Relationship Id="rId25" Type="http://schemas.openxmlformats.org/officeDocument/2006/relationships/hyperlink" Target="https://www.estyn.gov.wales/system/files/2022-10/Effective%20approaches%20to%20assessment%20that%20improve%20teaching%20and%20learning.pdf" TargetMode="External"/><Relationship Id="rId33" Type="http://schemas.openxmlformats.org/officeDocument/2006/relationships/hyperlink" Target="https://www.google.co.uk/books/edition/Questionnaire_Design_Interviewing_and_At/6V4GnZS7TO4C?hl=en&amp;gbpv=1" TargetMode="External"/><Relationship Id="rId38" Type="http://schemas.openxmlformats.org/officeDocument/2006/relationships/hyperlink" Target="https://www.unicef.org/cuba/en/reports/convention-rights-child-child-friendly-text?utm_source=chatgpt.com" TargetMode="External"/><Relationship Id="rId46" Type="http://schemas.openxmlformats.org/officeDocument/2006/relationships/fontTable" Target="fontTable.xml"/><Relationship Id="rId20" Type="http://schemas.openxmlformats.org/officeDocument/2006/relationships/hyperlink" Target="https://www.google.co.uk/books/edition/Research_Design/4uB76IC_pOQC?hl=en&amp;gbpv=1" TargetMode="External"/><Relationship Id="rId41" Type="http://schemas.openxmlformats.org/officeDocument/2006/relationships/hyperlink" Target="https://hwb.gov.wales/curriculum-for-wales/assessment-arrangements/supporting-learner-progression-assessment-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1" ma:contentTypeDescription="Create a new document." ma:contentTypeScope="" ma:versionID="e4c6167cf593c1996c99830b79f0af2c">
  <xsd:schema xmlns:xsd="http://www.w3.org/2001/XMLSchema" xmlns:xs="http://www.w3.org/2001/XMLSchema" xmlns:p="http://schemas.microsoft.com/office/2006/metadata/properties" xmlns:ns3="ad7316b1-23f1-480c-8fa6-cbf037f4db9c" targetNamespace="http://schemas.microsoft.com/office/2006/metadata/properties" ma:root="true" ma:fieldsID="37088e319970383a0c61492180afd2ac" ns3:_="">
    <xsd:import namespace="ad7316b1-23f1-480c-8fa6-cbf037f4db9c"/>
    <xsd:element name="properties">
      <xsd:complexType>
        <xsd:sequence>
          <xsd:element name="documentManagement">
            <xsd:complexType>
              <xsd:all>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9E535D3-6E42-4DEA-9801-BA8770DF44E2}">
  <ds:schemaRefs>
    <ds:schemaRef ds:uri="ad7316b1-23f1-480c-8fa6-cbf037f4db9c"/>
    <ds:schemaRef ds:uri="http://schemas.microsoft.com/office/2006/documentManagement/types"/>
    <ds:schemaRef ds:uri="http://www.w3.org/XML/1998/namespace"/>
    <ds:schemaRef ds:uri="http://purl.org/dc/terms/"/>
    <ds:schemaRef ds:uri="http://schemas.microsoft.com/office/infopath/2007/PartnerControls"/>
    <ds:schemaRef ds:uri="http://purl.org/dc/elements/1.1/"/>
    <ds:schemaRef ds:uri="http://schemas.openxmlformats.org/package/2006/metadata/core-properties"/>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F72F9059-4DAF-4099-8DC0-A8F5B980F570}">
  <ds:schemaRefs>
    <ds:schemaRef ds:uri="http://schemas.microsoft.com/sharepoint/v3/contenttype/forms"/>
  </ds:schemaRefs>
</ds:datastoreItem>
</file>

<file path=customXml/itemProps3.xml><?xml version="1.0" encoding="utf-8"?>
<ds:datastoreItem xmlns:ds="http://schemas.openxmlformats.org/officeDocument/2006/customXml" ds:itemID="{25933A63-B179-416B-99D5-CCE6F7AAB4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4524</Words>
  <Characters>25792</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Liann Wigley</dc:creator>
  <cp:keywords/>
  <dc:description/>
  <cp:lastModifiedBy>Liann Wigley</cp:lastModifiedBy>
  <cp:revision>2</cp:revision>
  <dcterms:created xsi:type="dcterms:W3CDTF">2025-04-04T21:20:00Z</dcterms:created>
  <dcterms:modified xsi:type="dcterms:W3CDTF">2025-04-04T21:20:00Z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