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000000" w:themeColor="text1"/>
          <w:sz w:val="24"/>
          <w:szCs w:val="24"/>
          <w:lang w:val="en-GB"/>
        </w:rPr>
        <w:id w:val="-1522475554"/>
        <w:docPartObj>
          <w:docPartGallery w:val="Cover Pages"/>
          <w:docPartUnique/>
        </w:docPartObj>
      </w:sdtPr>
      <w:sdtEndPr>
        <w:rPr>
          <w:color w:val="auto"/>
          <w:sz w:val="22"/>
          <w:szCs w:val="22"/>
        </w:rPr>
      </w:sdtEndPr>
      <w:sdtContent>
        <w:p w14:paraId="43A015CA" w14:textId="77777777" w:rsidR="007D1947" w:rsidRPr="00DD1651" w:rsidRDefault="007D1947" w:rsidP="00227D45">
          <w:pPr>
            <w:pStyle w:val="NoSpacing"/>
            <w:spacing w:before="1540" w:after="240" w:line="360" w:lineRule="auto"/>
            <w:jc w:val="center"/>
            <w:rPr>
              <w:rFonts w:ascii="Arial" w:hAnsi="Arial" w:cs="Arial"/>
              <w:color w:val="000000" w:themeColor="text1"/>
              <w:sz w:val="24"/>
              <w:szCs w:val="24"/>
            </w:rPr>
          </w:pPr>
          <w:r w:rsidRPr="00DD1651">
            <w:rPr>
              <w:rFonts w:ascii="Arial" w:hAnsi="Arial" w:cs="Arial"/>
              <w:noProof/>
              <w:color w:val="000000" w:themeColor="text1"/>
              <w:sz w:val="24"/>
              <w:szCs w:val="24"/>
              <w:lang w:val="en-GB" w:eastAsia="en-GB"/>
            </w:rPr>
            <w:drawing>
              <wp:inline distT="0" distB="0" distL="0" distR="0" wp14:anchorId="701C1CD6" wp14:editId="018B26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F70C4B7" w14:textId="3BA395E2" w:rsidR="007D1947" w:rsidRPr="00DD1651" w:rsidRDefault="004F4F84" w:rsidP="00227D45">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aps/>
              <w:color w:val="000000" w:themeColor="text1"/>
              <w:sz w:val="24"/>
              <w:szCs w:val="24"/>
            </w:rPr>
          </w:pPr>
          <w:r w:rsidRPr="00DD1651">
            <w:rPr>
              <w:rFonts w:ascii="Arial" w:eastAsiaTheme="majorEastAsia" w:hAnsi="Arial" w:cs="Arial"/>
              <w:caps/>
              <w:color w:val="000000" w:themeColor="text1"/>
              <w:sz w:val="24"/>
              <w:szCs w:val="24"/>
            </w:rPr>
            <w:t>Marriot International inc</w:t>
          </w:r>
        </w:p>
        <w:p w14:paraId="5437949E" w14:textId="073117E8" w:rsidR="007D1947" w:rsidRPr="00DD1651" w:rsidRDefault="007D1947" w:rsidP="00227D45">
          <w:pPr>
            <w:pStyle w:val="NoSpacing"/>
            <w:spacing w:line="360" w:lineRule="auto"/>
            <w:jc w:val="center"/>
            <w:rPr>
              <w:rFonts w:ascii="Arial" w:hAnsi="Arial" w:cs="Arial"/>
              <w:color w:val="000000" w:themeColor="text1"/>
              <w:sz w:val="24"/>
              <w:szCs w:val="24"/>
            </w:rPr>
          </w:pPr>
        </w:p>
        <w:p w14:paraId="734D6037" w14:textId="60238D3D" w:rsidR="007D1947" w:rsidRDefault="0033171A" w:rsidP="00227D45">
          <w:pPr>
            <w:pStyle w:val="NoSpacing"/>
            <w:spacing w:before="480" w:line="360" w:lineRule="auto"/>
            <w:jc w:val="center"/>
            <w:rPr>
              <w:rFonts w:ascii="Arial" w:hAnsi="Arial" w:cs="Arial"/>
              <w:color w:val="000000" w:themeColor="text1"/>
              <w:sz w:val="24"/>
              <w:szCs w:val="24"/>
            </w:rPr>
          </w:pPr>
          <w:r w:rsidRPr="00DD1651">
            <w:rPr>
              <w:rFonts w:ascii="Arial" w:hAnsi="Arial" w:cs="Arial"/>
              <w:noProof/>
              <w:color w:val="000000" w:themeColor="text1"/>
              <w:sz w:val="24"/>
              <w:szCs w:val="24"/>
              <w:lang w:val="en-GB" w:eastAsia="en-GB"/>
            </w:rPr>
            <mc:AlternateContent>
              <mc:Choice Requires="wps">
                <w:drawing>
                  <wp:anchor distT="0" distB="0" distL="114300" distR="114300" simplePos="0" relativeHeight="251659264" behindDoc="0" locked="0" layoutInCell="1" allowOverlap="1" wp14:anchorId="524507BB" wp14:editId="07B247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138C1" w14:textId="16C9C0B6" w:rsidR="00227D45" w:rsidRDefault="00227D45">
                                <w:pPr>
                                  <w:pStyle w:val="NoSpacing"/>
                                  <w:spacing w:after="40"/>
                                  <w:jc w:val="center"/>
                                  <w:rPr>
                                    <w:caps/>
                                    <w:color w:val="5B9BD5" w:themeColor="accent1"/>
                                    <w:sz w:val="28"/>
                                    <w:szCs w:val="28"/>
                                  </w:rPr>
                                </w:pPr>
                              </w:p>
                              <w:p w14:paraId="275B0767" w14:textId="2859C43B" w:rsidR="00227D45" w:rsidRDefault="00227D45">
                                <w:pPr>
                                  <w:pStyle w:val="NoSpacing"/>
                                  <w:jc w:val="center"/>
                                  <w:rPr>
                                    <w:color w:val="5B9BD5" w:themeColor="accent1"/>
                                  </w:rPr>
                                </w:pPr>
                                <w:r>
                                  <w:rPr>
                                    <w:caps/>
                                    <w:color w:val="5B9BD5" w:themeColor="accent1"/>
                                    <w:lang w:val="en-GB"/>
                                  </w:rPr>
                                  <w:t>University of Wales Trinity Saint David</w:t>
                                </w:r>
                              </w:p>
                              <w:p w14:paraId="6A37B23D" w14:textId="54F2BF36" w:rsidR="00227D45" w:rsidRDefault="00227D45">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4507BB"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" filled="f" stroked="f" strokeweight=".5pt">
                    <v:textbox style="mso-fit-shape-to-text:t" inset="0,0,0,0">
                      <w:txbxContent>
                        <w:p w14:paraId="1C3138C1" w14:textId="16C9C0B6" w:rsidR="00227D45" w:rsidRDefault="00227D45">
                          <w:pPr>
                            <w:pStyle w:val="NoSpacing"/>
                            <w:spacing w:after="40"/>
                            <w:jc w:val="center"/>
                            <w:rPr>
                              <w:caps/>
                              <w:color w:val="5B9BD5" w:themeColor="accent1"/>
                              <w:sz w:val="28"/>
                              <w:szCs w:val="28"/>
                            </w:rPr>
                          </w:pPr>
                        </w:p>
                        <w:p w14:paraId="275B0767" w14:textId="2859C43B" w:rsidR="00227D45" w:rsidRDefault="00227D45">
                          <w:pPr>
                            <w:pStyle w:val="NoSpacing"/>
                            <w:jc w:val="center"/>
                            <w:rPr>
                              <w:color w:val="5B9BD5" w:themeColor="accent1"/>
                            </w:rPr>
                          </w:pPr>
                          <w:r>
                            <w:rPr>
                              <w:caps/>
                              <w:color w:val="5B9BD5" w:themeColor="accent1"/>
                              <w:lang w:val="en-GB"/>
                            </w:rPr>
                            <w:t>University of Wales Trinity Saint David</w:t>
                          </w:r>
                        </w:p>
                        <w:p w14:paraId="6A37B23D" w14:textId="54F2BF36" w:rsidR="00227D45" w:rsidRDefault="00227D45">
                          <w:pPr>
                            <w:pStyle w:val="NoSpacing"/>
                            <w:jc w:val="center"/>
                            <w:rPr>
                              <w:color w:val="5B9BD5" w:themeColor="accent1"/>
                            </w:rPr>
                          </w:pPr>
                        </w:p>
                      </w:txbxContent>
                    </v:textbox>
                    <w10:wrap anchorx="margin" anchory="page"/>
                  </v:shape>
                </w:pict>
              </mc:Fallback>
            </mc:AlternateContent>
          </w:r>
          <w:r w:rsidR="007D1947" w:rsidRPr="00DD1651">
            <w:rPr>
              <w:rFonts w:ascii="Arial" w:hAnsi="Arial" w:cs="Arial"/>
              <w:noProof/>
              <w:color w:val="000000" w:themeColor="text1"/>
              <w:sz w:val="24"/>
              <w:szCs w:val="24"/>
              <w:lang w:val="en-GB" w:eastAsia="en-GB"/>
            </w:rPr>
            <w:drawing>
              <wp:inline distT="0" distB="0" distL="0" distR="0" wp14:anchorId="3D467A49" wp14:editId="53CE104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EE380C" w14:textId="23E90ADD" w:rsidR="00DD1651" w:rsidRDefault="00DD1651" w:rsidP="00227D45">
          <w:pPr>
            <w:pStyle w:val="NoSpacing"/>
            <w:spacing w:before="480" w:line="360" w:lineRule="auto"/>
            <w:jc w:val="center"/>
            <w:rPr>
              <w:rFonts w:ascii="Arial" w:hAnsi="Arial" w:cs="Arial"/>
              <w:color w:val="000000" w:themeColor="text1"/>
              <w:sz w:val="24"/>
              <w:szCs w:val="24"/>
            </w:rPr>
          </w:pPr>
        </w:p>
        <w:p w14:paraId="3E528658" w14:textId="7EF8B16F" w:rsidR="00DD1651" w:rsidRDefault="00DD1651" w:rsidP="00227D45">
          <w:pPr>
            <w:pStyle w:val="NoSpacing"/>
            <w:spacing w:before="480" w:line="360" w:lineRule="auto"/>
            <w:jc w:val="center"/>
            <w:rPr>
              <w:rFonts w:ascii="Arial" w:hAnsi="Arial" w:cs="Arial"/>
              <w:color w:val="000000" w:themeColor="text1"/>
              <w:sz w:val="24"/>
              <w:szCs w:val="24"/>
            </w:rPr>
          </w:pPr>
        </w:p>
        <w:p w14:paraId="25BBFCDE" w14:textId="37E088C5" w:rsidR="00DD1651" w:rsidRDefault="00DD1651" w:rsidP="00227D45">
          <w:pPr>
            <w:pStyle w:val="NoSpacing"/>
            <w:spacing w:before="480" w:line="360" w:lineRule="auto"/>
            <w:jc w:val="center"/>
            <w:rPr>
              <w:rFonts w:ascii="Arial" w:hAnsi="Arial" w:cs="Arial"/>
              <w:color w:val="000000" w:themeColor="text1"/>
              <w:sz w:val="24"/>
              <w:szCs w:val="24"/>
            </w:rPr>
          </w:pPr>
        </w:p>
        <w:p w14:paraId="3BEBC947" w14:textId="77777777" w:rsidR="00DD1651" w:rsidRPr="00DD1651" w:rsidRDefault="00DD1651" w:rsidP="00227D45">
          <w:pPr>
            <w:pStyle w:val="NoSpacing"/>
            <w:spacing w:before="480" w:line="360" w:lineRule="auto"/>
            <w:jc w:val="center"/>
            <w:rPr>
              <w:rFonts w:ascii="Arial" w:hAnsi="Arial" w:cs="Arial"/>
              <w:color w:val="000000" w:themeColor="text1"/>
              <w:sz w:val="24"/>
              <w:szCs w:val="24"/>
            </w:rPr>
          </w:pPr>
        </w:p>
        <w:p w14:paraId="629B391A" w14:textId="3FDA6B23" w:rsidR="00DD1651" w:rsidRDefault="00DD1651" w:rsidP="00805A14">
          <w:pPr>
            <w:pStyle w:val="Heading1"/>
            <w:rPr>
              <w:rFonts w:ascii="Arial" w:hAnsi="Arial" w:cs="Arial"/>
            </w:rPr>
          </w:pPr>
          <w:r w:rsidRPr="00DD1651">
            <w:rPr>
              <w:rFonts w:ascii="Arial" w:hAnsi="Arial" w:cs="Arial"/>
            </w:rPr>
            <w:t>Student:</w:t>
          </w:r>
          <w:r>
            <w:rPr>
              <w:rFonts w:ascii="Arial" w:hAnsi="Arial" w:cs="Arial"/>
            </w:rPr>
            <w:t xml:space="preserve"> </w:t>
          </w:r>
          <w:proofErr w:type="spellStart"/>
          <w:r>
            <w:rPr>
              <w:rFonts w:ascii="Arial" w:hAnsi="Arial" w:cs="Arial"/>
            </w:rPr>
            <w:t>Oana</w:t>
          </w:r>
          <w:proofErr w:type="spellEnd"/>
          <w:r>
            <w:rPr>
              <w:rFonts w:ascii="Arial" w:hAnsi="Arial" w:cs="Arial"/>
            </w:rPr>
            <w:t xml:space="preserve"> </w:t>
          </w:r>
          <w:proofErr w:type="spellStart"/>
          <w:r>
            <w:rPr>
              <w:rFonts w:ascii="Arial" w:hAnsi="Arial" w:cs="Arial"/>
            </w:rPr>
            <w:t>Raluca</w:t>
          </w:r>
          <w:proofErr w:type="spellEnd"/>
          <w:r>
            <w:rPr>
              <w:rFonts w:ascii="Arial" w:hAnsi="Arial" w:cs="Arial"/>
            </w:rPr>
            <w:t xml:space="preserve"> </w:t>
          </w:r>
          <w:proofErr w:type="spellStart"/>
          <w:r>
            <w:rPr>
              <w:rFonts w:ascii="Arial" w:hAnsi="Arial" w:cs="Arial"/>
            </w:rPr>
            <w:t>Radu</w:t>
          </w:r>
          <w:proofErr w:type="spellEnd"/>
        </w:p>
        <w:p w14:paraId="1E2836B6" w14:textId="43825B26" w:rsidR="00DD1651" w:rsidRDefault="00DD1651" w:rsidP="00DD1651">
          <w:pPr>
            <w:rPr>
              <w:rFonts w:ascii="Arial" w:eastAsiaTheme="majorEastAsia" w:hAnsi="Arial" w:cs="Arial"/>
              <w:b/>
              <w:bCs/>
              <w:color w:val="000000" w:themeColor="text1"/>
              <w:sz w:val="32"/>
              <w:szCs w:val="32"/>
            </w:rPr>
          </w:pPr>
          <w:proofErr w:type="spellStart"/>
          <w:r w:rsidRPr="00DD1651">
            <w:rPr>
              <w:rFonts w:ascii="Arial" w:eastAsiaTheme="majorEastAsia" w:hAnsi="Arial" w:cs="Arial"/>
              <w:b/>
              <w:bCs/>
              <w:color w:val="000000" w:themeColor="text1"/>
              <w:sz w:val="32"/>
              <w:szCs w:val="32"/>
            </w:rPr>
            <w:t>Lectuer</w:t>
          </w:r>
          <w:proofErr w:type="spellEnd"/>
          <w:r>
            <w:rPr>
              <w:rFonts w:ascii="Arial" w:eastAsiaTheme="majorEastAsia" w:hAnsi="Arial" w:cs="Arial"/>
              <w:b/>
              <w:bCs/>
              <w:color w:val="000000" w:themeColor="text1"/>
              <w:sz w:val="32"/>
              <w:szCs w:val="32"/>
            </w:rPr>
            <w:t>: Dale Clarke</w:t>
          </w:r>
        </w:p>
        <w:p w14:paraId="7AEF93F9" w14:textId="036017C5" w:rsidR="00DD1651" w:rsidRDefault="00DD1651" w:rsidP="00DD1651">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t>Module: Financial Ma</w:t>
          </w:r>
          <w:r w:rsidR="00FB60AA">
            <w:rPr>
              <w:rFonts w:ascii="Arial" w:eastAsiaTheme="majorEastAsia" w:hAnsi="Arial" w:cs="Arial"/>
              <w:b/>
              <w:bCs/>
              <w:color w:val="000000" w:themeColor="text1"/>
              <w:sz w:val="32"/>
              <w:szCs w:val="32"/>
            </w:rPr>
            <w:t>n</w:t>
          </w:r>
          <w:r>
            <w:rPr>
              <w:rFonts w:ascii="Arial" w:eastAsiaTheme="majorEastAsia" w:hAnsi="Arial" w:cs="Arial"/>
              <w:b/>
              <w:bCs/>
              <w:color w:val="000000" w:themeColor="text1"/>
              <w:sz w:val="32"/>
              <w:szCs w:val="32"/>
            </w:rPr>
            <w:t xml:space="preserve">agement For The Hotel </w:t>
          </w:r>
          <w:proofErr w:type="spellStart"/>
          <w:r>
            <w:rPr>
              <w:rFonts w:ascii="Arial" w:eastAsiaTheme="majorEastAsia" w:hAnsi="Arial" w:cs="Arial"/>
              <w:b/>
              <w:bCs/>
              <w:color w:val="000000" w:themeColor="text1"/>
              <w:sz w:val="32"/>
              <w:szCs w:val="32"/>
            </w:rPr>
            <w:t>Intustry</w:t>
          </w:r>
          <w:proofErr w:type="spellEnd"/>
        </w:p>
        <w:p w14:paraId="0657ED80" w14:textId="47A30A44" w:rsidR="00DD1651" w:rsidRDefault="00DD1651" w:rsidP="00DD1651">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t>(BMIH5007)</w:t>
          </w:r>
        </w:p>
        <w:p w14:paraId="5B658170" w14:textId="77777777" w:rsidR="00DD1651" w:rsidRPr="00DD1651" w:rsidRDefault="00DD1651" w:rsidP="00DD1651">
          <w:pPr>
            <w:rPr>
              <w:rFonts w:ascii="Arial" w:eastAsiaTheme="majorEastAsia" w:hAnsi="Arial" w:cs="Arial"/>
              <w:b/>
              <w:bCs/>
              <w:color w:val="000000" w:themeColor="text1"/>
              <w:sz w:val="32"/>
              <w:szCs w:val="32"/>
            </w:rPr>
          </w:pPr>
        </w:p>
        <w:p w14:paraId="07A43CCD" w14:textId="77777777" w:rsidR="00DD1651" w:rsidRDefault="00DD1651" w:rsidP="00805A14">
          <w:pPr>
            <w:pStyle w:val="Heading1"/>
            <w:rPr>
              <w:rFonts w:ascii="Arial" w:hAnsi="Arial" w:cs="Arial"/>
            </w:rPr>
          </w:pPr>
        </w:p>
        <w:p w14:paraId="15ECC557" w14:textId="77777777" w:rsidR="00DD1651" w:rsidRDefault="00DD1651" w:rsidP="00805A14">
          <w:pPr>
            <w:pStyle w:val="Heading1"/>
            <w:rPr>
              <w:rFonts w:ascii="Arial" w:hAnsi="Arial" w:cs="Arial"/>
            </w:rPr>
          </w:pPr>
        </w:p>
        <w:p w14:paraId="2624FB21" w14:textId="77777777" w:rsidR="00DD1651" w:rsidRDefault="007D1947" w:rsidP="00805A14">
          <w:pPr>
            <w:pStyle w:val="Heading1"/>
            <w:rPr>
              <w:rFonts w:ascii="Arial" w:hAnsi="Arial" w:cs="Arial"/>
            </w:rPr>
          </w:pPr>
          <w:r w:rsidRPr="00DD1651">
            <w:rPr>
              <w:rFonts w:ascii="Arial" w:hAnsi="Arial" w:cs="Arial"/>
            </w:rPr>
            <w:br w:type="page"/>
          </w:r>
          <w:bookmarkStart w:id="0" w:name="_Toc121488479"/>
        </w:p>
        <w:p w14:paraId="6A6C27BF" w14:textId="77777777" w:rsidR="00DD1651" w:rsidRDefault="00DD1651" w:rsidP="00805A14">
          <w:pPr>
            <w:pStyle w:val="Heading1"/>
            <w:rPr>
              <w:rFonts w:ascii="Arial" w:hAnsi="Arial" w:cs="Arial"/>
            </w:rPr>
          </w:pPr>
        </w:p>
        <w:p w14:paraId="03CE3E3A" w14:textId="77777777" w:rsidR="00DD1651" w:rsidRDefault="00DD1651" w:rsidP="00805A14">
          <w:pPr>
            <w:pStyle w:val="Heading1"/>
            <w:rPr>
              <w:rFonts w:ascii="Arial" w:hAnsi="Arial" w:cs="Arial"/>
            </w:rPr>
          </w:pPr>
        </w:p>
        <w:p w14:paraId="1893F3C7" w14:textId="77777777" w:rsidR="00DD1651" w:rsidRDefault="00DD1651" w:rsidP="00805A14">
          <w:pPr>
            <w:pStyle w:val="Heading1"/>
            <w:rPr>
              <w:rFonts w:ascii="Arial" w:hAnsi="Arial" w:cs="Arial"/>
            </w:rPr>
          </w:pPr>
        </w:p>
        <w:p w14:paraId="14278AB2" w14:textId="77777777" w:rsidR="00DD1651" w:rsidRDefault="00DD1651" w:rsidP="00805A14">
          <w:pPr>
            <w:pStyle w:val="Heading1"/>
            <w:rPr>
              <w:rFonts w:ascii="Arial" w:hAnsi="Arial" w:cs="Arial"/>
            </w:rPr>
          </w:pPr>
        </w:p>
        <w:p w14:paraId="309C9154" w14:textId="77777777" w:rsidR="00DD1651" w:rsidRDefault="00DD1651" w:rsidP="00805A14">
          <w:pPr>
            <w:pStyle w:val="Heading1"/>
            <w:rPr>
              <w:rFonts w:ascii="Arial" w:hAnsi="Arial" w:cs="Arial"/>
            </w:rPr>
          </w:pPr>
        </w:p>
        <w:p w14:paraId="35D252DD" w14:textId="77777777" w:rsidR="00DD1651" w:rsidRDefault="00DD1651" w:rsidP="00805A14">
          <w:pPr>
            <w:pStyle w:val="Heading1"/>
            <w:rPr>
              <w:rFonts w:ascii="Arial" w:hAnsi="Arial" w:cs="Arial"/>
            </w:rPr>
          </w:pPr>
        </w:p>
        <w:p w14:paraId="0431C977" w14:textId="77777777" w:rsidR="00DD1651" w:rsidRDefault="00DD1651" w:rsidP="00805A14">
          <w:pPr>
            <w:pStyle w:val="Heading1"/>
            <w:rPr>
              <w:rFonts w:ascii="Arial" w:hAnsi="Arial" w:cs="Arial"/>
            </w:rPr>
          </w:pPr>
        </w:p>
        <w:p w14:paraId="7A71109E" w14:textId="71311CFB" w:rsidR="007D1947" w:rsidRPr="00DD1651" w:rsidRDefault="007D1947" w:rsidP="00805A14">
          <w:pPr>
            <w:pStyle w:val="Heading1"/>
            <w:rPr>
              <w:rFonts w:ascii="Arial" w:hAnsi="Arial" w:cs="Arial"/>
            </w:rPr>
          </w:pPr>
          <w:r w:rsidRPr="00DD1651">
            <w:rPr>
              <w:rFonts w:ascii="Arial" w:hAnsi="Arial" w:cs="Arial"/>
            </w:rPr>
            <w:t>Executive Summary</w:t>
          </w:r>
          <w:bookmarkEnd w:id="0"/>
        </w:p>
        <w:p w14:paraId="5E977A4D" w14:textId="77777777" w:rsidR="00D854A5" w:rsidRPr="00DD1651" w:rsidRDefault="003937A5" w:rsidP="00DD1651">
          <w:pPr>
            <w:spacing w:line="360" w:lineRule="auto"/>
            <w:ind w:firstLine="720"/>
            <w:jc w:val="both"/>
            <w:rPr>
              <w:rFonts w:ascii="Arial" w:hAnsi="Arial" w:cs="Arial"/>
              <w:color w:val="000000" w:themeColor="text1"/>
              <w:sz w:val="24"/>
              <w:szCs w:val="24"/>
            </w:rPr>
          </w:pPr>
          <w:r w:rsidRPr="00DD1651">
            <w:rPr>
              <w:rFonts w:ascii="Arial" w:hAnsi="Arial" w:cs="Arial"/>
              <w:color w:val="000000" w:themeColor="text1"/>
              <w:sz w:val="24"/>
              <w:szCs w:val="24"/>
            </w:rPr>
            <w:t xml:space="preserve">Objective of this report was to apply ratio analysis on Marriot’s financial statements and determine a trend. The trend was used to access efficiency of its operations. It has been found that company’s profit increased by around 6% because its revenues increased at a higher rate than its costs. This fact shows that customers are willing to buy its services, which is increasing receivable turnover, which is increasing cash inflow, which is increasing current ratio. This cash is being used for paying off </w:t>
          </w:r>
          <w:r w:rsidR="00227D45" w:rsidRPr="00DD1651">
            <w:rPr>
              <w:rFonts w:ascii="Arial" w:hAnsi="Arial" w:cs="Arial"/>
              <w:color w:val="000000" w:themeColor="text1"/>
              <w:sz w:val="24"/>
              <w:szCs w:val="24"/>
            </w:rPr>
            <w:t>debt;</w:t>
          </w:r>
          <w:r w:rsidRPr="00DD1651">
            <w:rPr>
              <w:rFonts w:ascii="Arial" w:hAnsi="Arial" w:cs="Arial"/>
              <w:color w:val="000000" w:themeColor="text1"/>
              <w:sz w:val="24"/>
              <w:szCs w:val="24"/>
            </w:rPr>
            <w:t xml:space="preserve"> as a result, this ratio has fallen to 7.17times in 2021, thereby allowing the company to reduce its going concern risk. The </w:t>
          </w:r>
          <w:r w:rsidR="00227D45" w:rsidRPr="00DD1651">
            <w:rPr>
              <w:rFonts w:ascii="Arial" w:hAnsi="Arial" w:cs="Arial"/>
              <w:color w:val="000000" w:themeColor="text1"/>
              <w:sz w:val="24"/>
              <w:szCs w:val="24"/>
            </w:rPr>
            <w:t>analysis shows</w:t>
          </w:r>
          <w:r w:rsidRPr="00DD1651">
            <w:rPr>
              <w:rFonts w:ascii="Arial" w:hAnsi="Arial" w:cs="Arial"/>
              <w:color w:val="000000" w:themeColor="text1"/>
              <w:sz w:val="24"/>
              <w:szCs w:val="24"/>
            </w:rPr>
            <w:t xml:space="preserve"> that ratio analysis could be used for increasing hotel performance positively.</w:t>
          </w:r>
        </w:p>
        <w:p w14:paraId="743BD461" w14:textId="77777777" w:rsidR="007D1947" w:rsidRPr="00DD1651" w:rsidRDefault="007D1947" w:rsidP="00227D45">
          <w:pPr>
            <w:spacing w:line="360" w:lineRule="auto"/>
            <w:rPr>
              <w:rFonts w:ascii="Arial" w:hAnsi="Arial" w:cs="Arial"/>
              <w:color w:val="000000" w:themeColor="text1"/>
              <w:sz w:val="24"/>
              <w:szCs w:val="24"/>
            </w:rPr>
          </w:pPr>
        </w:p>
        <w:p w14:paraId="364F8978" w14:textId="77777777" w:rsidR="007D1947" w:rsidRPr="00DD1651" w:rsidRDefault="007D1947" w:rsidP="00227D45">
          <w:pPr>
            <w:spacing w:line="360" w:lineRule="auto"/>
            <w:rPr>
              <w:rFonts w:ascii="Arial" w:hAnsi="Arial" w:cs="Arial"/>
              <w:color w:val="000000" w:themeColor="text1"/>
              <w:sz w:val="24"/>
              <w:szCs w:val="24"/>
            </w:rPr>
          </w:pPr>
        </w:p>
        <w:p w14:paraId="2459A0BB" w14:textId="77777777" w:rsidR="007D1947" w:rsidRPr="00DD1651" w:rsidRDefault="007D1947" w:rsidP="00227D45">
          <w:pPr>
            <w:spacing w:line="360" w:lineRule="auto"/>
            <w:rPr>
              <w:rFonts w:ascii="Arial" w:hAnsi="Arial" w:cs="Arial"/>
              <w:color w:val="000000" w:themeColor="text1"/>
              <w:sz w:val="24"/>
              <w:szCs w:val="24"/>
            </w:rPr>
          </w:pPr>
        </w:p>
        <w:p w14:paraId="1D77DB23" w14:textId="77777777" w:rsidR="007D1947" w:rsidRPr="00DD1651" w:rsidRDefault="007D1947" w:rsidP="00227D45">
          <w:pPr>
            <w:spacing w:line="360" w:lineRule="auto"/>
            <w:rPr>
              <w:rFonts w:ascii="Arial" w:hAnsi="Arial" w:cs="Arial"/>
              <w:color w:val="000000" w:themeColor="text1"/>
              <w:sz w:val="24"/>
              <w:szCs w:val="24"/>
            </w:rPr>
          </w:pPr>
        </w:p>
        <w:p w14:paraId="1A1E7FD8" w14:textId="77777777" w:rsidR="007D1947" w:rsidRPr="00DD1651" w:rsidRDefault="007D1947" w:rsidP="00227D45">
          <w:pPr>
            <w:spacing w:line="360" w:lineRule="auto"/>
            <w:rPr>
              <w:rFonts w:ascii="Arial" w:hAnsi="Arial" w:cs="Arial"/>
              <w:color w:val="000000" w:themeColor="text1"/>
              <w:sz w:val="24"/>
              <w:szCs w:val="24"/>
            </w:rPr>
          </w:pPr>
        </w:p>
        <w:p w14:paraId="1F1B48CE" w14:textId="77777777" w:rsidR="007D1947" w:rsidRPr="00DD1651" w:rsidRDefault="007D1947" w:rsidP="00227D45">
          <w:pPr>
            <w:spacing w:line="360" w:lineRule="auto"/>
            <w:rPr>
              <w:rFonts w:ascii="Arial" w:hAnsi="Arial" w:cs="Arial"/>
              <w:color w:val="000000" w:themeColor="text1"/>
              <w:sz w:val="24"/>
              <w:szCs w:val="24"/>
            </w:rPr>
          </w:pPr>
        </w:p>
        <w:p w14:paraId="74C4B750" w14:textId="77777777" w:rsidR="007D1947" w:rsidRPr="00DD1651" w:rsidRDefault="007D1947" w:rsidP="00227D45">
          <w:pPr>
            <w:spacing w:line="360" w:lineRule="auto"/>
            <w:rPr>
              <w:rFonts w:ascii="Arial" w:hAnsi="Arial" w:cs="Arial"/>
              <w:color w:val="000000" w:themeColor="text1"/>
              <w:sz w:val="24"/>
              <w:szCs w:val="24"/>
            </w:rPr>
          </w:pPr>
        </w:p>
        <w:p w14:paraId="39B965E8" w14:textId="77777777" w:rsidR="007D1947" w:rsidRPr="00DD1651" w:rsidRDefault="007D1947" w:rsidP="00227D45">
          <w:pPr>
            <w:spacing w:line="360" w:lineRule="auto"/>
            <w:rPr>
              <w:rFonts w:ascii="Arial" w:hAnsi="Arial" w:cs="Arial"/>
              <w:color w:val="000000" w:themeColor="text1"/>
              <w:sz w:val="24"/>
              <w:szCs w:val="24"/>
            </w:rPr>
          </w:pPr>
        </w:p>
        <w:p w14:paraId="18875A36" w14:textId="77777777" w:rsidR="007D1947" w:rsidRPr="00DD1651" w:rsidRDefault="007D1947" w:rsidP="00227D45">
          <w:pPr>
            <w:spacing w:line="360" w:lineRule="auto"/>
            <w:rPr>
              <w:rFonts w:ascii="Arial" w:hAnsi="Arial" w:cs="Arial"/>
              <w:color w:val="000000" w:themeColor="text1"/>
              <w:sz w:val="24"/>
              <w:szCs w:val="24"/>
            </w:rPr>
          </w:pPr>
        </w:p>
        <w:p w14:paraId="1B9C96CC" w14:textId="77777777" w:rsidR="007D1947" w:rsidRPr="00DD1651" w:rsidRDefault="007D1947" w:rsidP="00227D45">
          <w:pPr>
            <w:spacing w:line="360" w:lineRule="auto"/>
            <w:rPr>
              <w:rFonts w:ascii="Arial" w:hAnsi="Arial" w:cs="Arial"/>
              <w:color w:val="000000" w:themeColor="text1"/>
              <w:sz w:val="24"/>
              <w:szCs w:val="24"/>
            </w:rPr>
          </w:pPr>
        </w:p>
        <w:p w14:paraId="6151C708" w14:textId="77777777" w:rsidR="007D1947" w:rsidRPr="00DD1651" w:rsidRDefault="007D1947" w:rsidP="00227D45">
          <w:pPr>
            <w:spacing w:line="360" w:lineRule="auto"/>
            <w:rPr>
              <w:rFonts w:ascii="Arial" w:hAnsi="Arial" w:cs="Arial"/>
              <w:color w:val="000000" w:themeColor="text1"/>
              <w:sz w:val="24"/>
              <w:szCs w:val="24"/>
            </w:rPr>
          </w:pPr>
        </w:p>
        <w:p w14:paraId="194D5D38" w14:textId="77777777" w:rsidR="007D1947" w:rsidRPr="00DD1651" w:rsidRDefault="007D1947" w:rsidP="00227D45">
          <w:pPr>
            <w:spacing w:line="360" w:lineRule="auto"/>
            <w:rPr>
              <w:rFonts w:ascii="Arial" w:hAnsi="Arial" w:cs="Arial"/>
              <w:color w:val="000000" w:themeColor="text1"/>
              <w:sz w:val="24"/>
              <w:szCs w:val="24"/>
            </w:rPr>
          </w:pPr>
        </w:p>
        <w:p w14:paraId="47FDE29E" w14:textId="77777777" w:rsidR="007D1947" w:rsidRPr="00DD1651" w:rsidRDefault="007D1947" w:rsidP="00227D45">
          <w:pPr>
            <w:spacing w:line="360" w:lineRule="auto"/>
            <w:rPr>
              <w:rFonts w:ascii="Arial" w:hAnsi="Arial" w:cs="Arial"/>
              <w:color w:val="000000" w:themeColor="text1"/>
              <w:sz w:val="24"/>
              <w:szCs w:val="24"/>
            </w:rPr>
          </w:pPr>
        </w:p>
        <w:p w14:paraId="71EBA6DB" w14:textId="77777777" w:rsidR="007D1947" w:rsidRPr="00DD1651" w:rsidRDefault="007D1947" w:rsidP="00227D45">
          <w:pPr>
            <w:spacing w:line="360" w:lineRule="auto"/>
            <w:rPr>
              <w:rFonts w:ascii="Arial" w:hAnsi="Arial" w:cs="Arial"/>
              <w:color w:val="000000" w:themeColor="text1"/>
              <w:sz w:val="24"/>
              <w:szCs w:val="24"/>
            </w:rPr>
          </w:pPr>
        </w:p>
        <w:p w14:paraId="786D0921" w14:textId="77777777" w:rsidR="007D1947" w:rsidRPr="00DD1651" w:rsidRDefault="007D1947" w:rsidP="00227D45">
          <w:pPr>
            <w:spacing w:line="360" w:lineRule="auto"/>
            <w:rPr>
              <w:rFonts w:ascii="Arial" w:hAnsi="Arial" w:cs="Arial"/>
              <w:color w:val="000000" w:themeColor="text1"/>
              <w:sz w:val="24"/>
              <w:szCs w:val="24"/>
            </w:rPr>
          </w:pPr>
        </w:p>
        <w:p w14:paraId="0A0434A6" w14:textId="77777777" w:rsidR="007D1947" w:rsidRPr="00DD1651" w:rsidRDefault="007D1947" w:rsidP="00227D45">
          <w:pPr>
            <w:spacing w:line="360" w:lineRule="auto"/>
            <w:rPr>
              <w:rFonts w:ascii="Arial" w:hAnsi="Arial" w:cs="Arial"/>
              <w:color w:val="000000" w:themeColor="text1"/>
              <w:sz w:val="24"/>
              <w:szCs w:val="24"/>
            </w:rPr>
          </w:pPr>
        </w:p>
        <w:p w14:paraId="6BF820BB" w14:textId="77777777" w:rsidR="007D1947" w:rsidRPr="00DD1651" w:rsidRDefault="007D1947" w:rsidP="00227D45">
          <w:pPr>
            <w:spacing w:line="360" w:lineRule="auto"/>
            <w:rPr>
              <w:rFonts w:ascii="Arial" w:hAnsi="Arial" w:cs="Arial"/>
              <w:color w:val="000000" w:themeColor="text1"/>
              <w:sz w:val="24"/>
              <w:szCs w:val="24"/>
            </w:rPr>
          </w:pPr>
        </w:p>
        <w:sdt>
          <w:sdtPr>
            <w:rPr>
              <w:rFonts w:ascii="Arial" w:eastAsiaTheme="minorHAnsi" w:hAnsi="Arial" w:cs="Arial"/>
              <w:b w:val="0"/>
              <w:bCs w:val="0"/>
              <w:color w:val="auto"/>
              <w:sz w:val="22"/>
              <w:szCs w:val="22"/>
              <w:lang w:val="en-GB"/>
            </w:rPr>
            <w:id w:val="-1297214018"/>
            <w:docPartObj>
              <w:docPartGallery w:val="Table of Contents"/>
              <w:docPartUnique/>
            </w:docPartObj>
          </w:sdtPr>
          <w:sdtEndPr>
            <w:rPr>
              <w:noProof/>
              <w:sz w:val="24"/>
              <w:szCs w:val="24"/>
            </w:rPr>
          </w:sdtEndPr>
          <w:sdtContent>
            <w:p w14:paraId="290CA251" w14:textId="77777777" w:rsidR="007D1947" w:rsidRPr="00DD1651" w:rsidRDefault="007D1947" w:rsidP="00805A14">
              <w:pPr>
                <w:pStyle w:val="TOCHeading"/>
                <w:spacing w:before="0"/>
                <w:contextualSpacing/>
                <w:jc w:val="center"/>
                <w:rPr>
                  <w:rFonts w:ascii="Arial" w:hAnsi="Arial" w:cs="Arial"/>
                </w:rPr>
              </w:pPr>
              <w:r w:rsidRPr="00DD1651">
                <w:rPr>
                  <w:rFonts w:ascii="Arial" w:hAnsi="Arial" w:cs="Arial"/>
                </w:rPr>
                <w:t>Table of Contents</w:t>
              </w:r>
            </w:p>
            <w:p w14:paraId="64BBC4FB" w14:textId="77777777" w:rsidR="003937A5" w:rsidRPr="00DD1651" w:rsidRDefault="006A1E5E"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r w:rsidRPr="00DD1651">
                <w:rPr>
                  <w:rFonts w:ascii="Arial" w:hAnsi="Arial" w:cs="Arial"/>
                  <w:color w:val="000000" w:themeColor="text1"/>
                  <w:sz w:val="24"/>
                  <w:szCs w:val="24"/>
                </w:rPr>
                <w:fldChar w:fldCharType="begin"/>
              </w:r>
              <w:r w:rsidR="007D1947" w:rsidRPr="00DD1651">
                <w:rPr>
                  <w:rFonts w:ascii="Arial" w:hAnsi="Arial" w:cs="Arial"/>
                  <w:color w:val="000000" w:themeColor="text1"/>
                  <w:sz w:val="24"/>
                  <w:szCs w:val="24"/>
                </w:rPr>
                <w:instrText xml:space="preserve"> TOC \o "1-3" \h \z \u </w:instrText>
              </w:r>
              <w:r w:rsidRPr="00DD1651">
                <w:rPr>
                  <w:rFonts w:ascii="Arial" w:hAnsi="Arial" w:cs="Arial"/>
                  <w:color w:val="000000" w:themeColor="text1"/>
                  <w:sz w:val="24"/>
                  <w:szCs w:val="24"/>
                </w:rPr>
                <w:fldChar w:fldCharType="separate"/>
              </w:r>
              <w:hyperlink w:anchor="_Toc121488479" w:history="1">
                <w:r w:rsidR="003937A5" w:rsidRPr="00DD1651">
                  <w:rPr>
                    <w:rStyle w:val="Hyperlink"/>
                    <w:rFonts w:ascii="Arial" w:hAnsi="Arial" w:cs="Arial"/>
                    <w:noProof/>
                    <w:color w:val="000000" w:themeColor="text1"/>
                    <w:sz w:val="24"/>
                    <w:szCs w:val="24"/>
                  </w:rPr>
                  <w:t>Executive Summary</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_Toc121488479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1</w:t>
                </w:r>
                <w:r w:rsidR="003937A5" w:rsidRPr="00DD1651">
                  <w:rPr>
                    <w:rFonts w:ascii="Arial" w:hAnsi="Arial" w:cs="Arial"/>
                    <w:noProof/>
                    <w:webHidden/>
                    <w:color w:val="000000" w:themeColor="text1"/>
                    <w:sz w:val="24"/>
                    <w:szCs w:val="24"/>
                  </w:rPr>
                  <w:fldChar w:fldCharType="end"/>
                </w:r>
              </w:hyperlink>
            </w:p>
            <w:p w14:paraId="1280BCEF" w14:textId="77777777"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0" w:history="1">
                <w:r w:rsidR="003937A5" w:rsidRPr="00DD1651">
                  <w:rPr>
                    <w:rStyle w:val="Hyperlink"/>
                    <w:rFonts w:ascii="Arial" w:hAnsi="Arial" w:cs="Arial"/>
                    <w:noProof/>
                    <w:color w:val="000000" w:themeColor="text1"/>
                    <w:sz w:val="24"/>
                    <w:szCs w:val="24"/>
                  </w:rPr>
                  <w:t>Introduction</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_Toc121488480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6FDCD7F1" w14:textId="77777777" w:rsidR="003937A5" w:rsidRPr="00DD1651" w:rsidRDefault="00000000" w:rsidP="00805A14">
              <w:pPr>
                <w:pStyle w:val="TOC2"/>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1" w:history="1">
                <w:r w:rsidR="003937A5" w:rsidRPr="00DD1651">
                  <w:rPr>
                    <w:rStyle w:val="Hyperlink"/>
                    <w:rFonts w:ascii="Arial" w:hAnsi="Arial" w:cs="Arial"/>
                    <w:noProof/>
                    <w:color w:val="000000" w:themeColor="text1"/>
                    <w:sz w:val="24"/>
                    <w:szCs w:val="24"/>
                  </w:rPr>
                  <w:t>About the report</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_Toc121488481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06551E75" w14:textId="77777777" w:rsidR="003937A5" w:rsidRPr="00DD1651" w:rsidRDefault="00000000" w:rsidP="00805A14">
              <w:pPr>
                <w:pStyle w:val="TOC2"/>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2" w:history="1">
                <w:r w:rsidR="003937A5" w:rsidRPr="00DD1651">
                  <w:rPr>
                    <w:rStyle w:val="Hyperlink"/>
                    <w:rFonts w:ascii="Arial" w:hAnsi="Arial" w:cs="Arial"/>
                    <w:noProof/>
                    <w:color w:val="000000" w:themeColor="text1"/>
                    <w:sz w:val="24"/>
                    <w:szCs w:val="24"/>
                  </w:rPr>
                  <w:t>Background information on the company</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_Toc121488482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0A7E232F" w14:textId="77777777"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3" w:history="1">
                <w:r w:rsidR="003937A5" w:rsidRPr="00DD1651">
                  <w:rPr>
                    <w:rStyle w:val="Hyperlink"/>
                    <w:rFonts w:ascii="Arial" w:hAnsi="Arial" w:cs="Arial"/>
                    <w:noProof/>
                    <w:color w:val="000000" w:themeColor="text1"/>
                    <w:sz w:val="24"/>
                    <w:szCs w:val="24"/>
                  </w:rPr>
                  <w:t>Financial Analysis Trends</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_Toc121488483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241869CA" w14:textId="77777777" w:rsidR="003937A5" w:rsidRPr="00DD1651" w:rsidRDefault="00000000" w:rsidP="00805A14">
              <w:pPr>
                <w:pStyle w:val="TOC2"/>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4" w:history="1">
                <w:r w:rsidR="003937A5" w:rsidRPr="00DD1651">
                  <w:rPr>
                    <w:rStyle w:val="Hyperlink"/>
                    <w:rFonts w:ascii="Arial" w:hAnsi="Arial" w:cs="Arial"/>
                    <w:noProof/>
                    <w:color w:val="000000" w:themeColor="text1"/>
                    <w:sz w:val="24"/>
                    <w:szCs w:val="24"/>
                  </w:rPr>
                  <w:t>Profitability</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_Toc121488484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579F2833" w14:textId="77777777" w:rsidR="003937A5" w:rsidRPr="00DD1651" w:rsidRDefault="00000000" w:rsidP="00805A14">
              <w:pPr>
                <w:pStyle w:val="TOC3"/>
                <w:tabs>
                  <w:tab w:val="right" w:leader="dot" w:pos="9016"/>
                </w:tabs>
                <w:spacing w:after="0" w:line="360" w:lineRule="auto"/>
                <w:contextualSpacing/>
                <w:rPr>
                  <w:rFonts w:ascii="Arial" w:hAnsi="Arial" w:cs="Arial"/>
                  <w:noProof/>
                  <w:color w:val="000000" w:themeColor="text1"/>
                  <w:sz w:val="24"/>
                  <w:szCs w:val="24"/>
                </w:rPr>
              </w:pPr>
              <w:hyperlink w:anchor="_Toc121488485" w:history="1">
                <w:r w:rsidR="003937A5" w:rsidRPr="00DD1651">
                  <w:rPr>
                    <w:rStyle w:val="Hyperlink"/>
                    <w:rFonts w:ascii="Arial" w:hAnsi="Arial" w:cs="Arial"/>
                    <w:noProof/>
                    <w:color w:val="000000" w:themeColor="text1"/>
                    <w:sz w:val="24"/>
                    <w:szCs w:val="24"/>
                  </w:rPr>
                  <w:t>Gross Profit</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_Toc121488485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3</w:t>
                </w:r>
                <w:r w:rsidR="003937A5" w:rsidRPr="00DD1651">
                  <w:rPr>
                    <w:rFonts w:ascii="Arial" w:hAnsi="Arial" w:cs="Arial"/>
                    <w:noProof/>
                    <w:webHidden/>
                    <w:color w:val="000000" w:themeColor="text1"/>
                    <w:sz w:val="24"/>
                    <w:szCs w:val="24"/>
                  </w:rPr>
                  <w:fldChar w:fldCharType="end"/>
                </w:r>
              </w:hyperlink>
            </w:p>
            <w:p w14:paraId="0FD600C0" w14:textId="77777777" w:rsidR="003937A5" w:rsidRPr="00DD1651" w:rsidRDefault="00000000" w:rsidP="00805A14">
              <w:pPr>
                <w:pStyle w:val="TOC2"/>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6" w:history="1">
                <w:r w:rsidR="003937A5" w:rsidRPr="00DD1651">
                  <w:rPr>
                    <w:rStyle w:val="Hyperlink"/>
                    <w:rFonts w:ascii="Arial" w:hAnsi="Arial" w:cs="Arial"/>
                    <w:noProof/>
                    <w:color w:val="000000" w:themeColor="text1"/>
                    <w:sz w:val="24"/>
                    <w:szCs w:val="24"/>
                  </w:rPr>
                  <w:t>Liquidity</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_Toc121488486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4</w:t>
                </w:r>
                <w:r w:rsidR="003937A5" w:rsidRPr="00DD1651">
                  <w:rPr>
                    <w:rFonts w:ascii="Arial" w:hAnsi="Arial" w:cs="Arial"/>
                    <w:noProof/>
                    <w:webHidden/>
                    <w:color w:val="000000" w:themeColor="text1"/>
                    <w:sz w:val="24"/>
                    <w:szCs w:val="24"/>
                  </w:rPr>
                  <w:fldChar w:fldCharType="end"/>
                </w:r>
              </w:hyperlink>
            </w:p>
            <w:p w14:paraId="1FE77F86" w14:textId="77777777" w:rsidR="003937A5" w:rsidRPr="00DD1651" w:rsidRDefault="00000000" w:rsidP="00805A14">
              <w:pPr>
                <w:pStyle w:val="TOC3"/>
                <w:tabs>
                  <w:tab w:val="right" w:leader="dot" w:pos="9016"/>
                </w:tabs>
                <w:spacing w:after="0" w:line="360" w:lineRule="auto"/>
                <w:contextualSpacing/>
                <w:rPr>
                  <w:rFonts w:ascii="Arial" w:hAnsi="Arial" w:cs="Arial"/>
                  <w:noProof/>
                  <w:color w:val="000000" w:themeColor="text1"/>
                  <w:sz w:val="24"/>
                  <w:szCs w:val="24"/>
                </w:rPr>
              </w:pPr>
              <w:hyperlink w:anchor="_Toc121488487" w:history="1">
                <w:r w:rsidR="003937A5" w:rsidRPr="00DD1651">
                  <w:rPr>
                    <w:rStyle w:val="Hyperlink"/>
                    <w:rFonts w:ascii="Arial" w:hAnsi="Arial" w:cs="Arial"/>
                    <w:noProof/>
                    <w:color w:val="000000" w:themeColor="text1"/>
                    <w:sz w:val="24"/>
                    <w:szCs w:val="24"/>
                  </w:rPr>
                  <w:t>Current Ratio</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_Toc121488487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4</w:t>
                </w:r>
                <w:r w:rsidR="003937A5" w:rsidRPr="00DD1651">
                  <w:rPr>
                    <w:rFonts w:ascii="Arial" w:hAnsi="Arial" w:cs="Arial"/>
                    <w:noProof/>
                    <w:webHidden/>
                    <w:color w:val="000000" w:themeColor="text1"/>
                    <w:sz w:val="24"/>
                    <w:szCs w:val="24"/>
                  </w:rPr>
                  <w:fldChar w:fldCharType="end"/>
                </w:r>
              </w:hyperlink>
            </w:p>
            <w:p w14:paraId="0F13ECE2" w14:textId="77777777" w:rsidR="003937A5" w:rsidRPr="00DD1651" w:rsidRDefault="00000000" w:rsidP="00805A14">
              <w:pPr>
                <w:pStyle w:val="TOC2"/>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88" w:history="1">
                <w:r w:rsidR="003937A5" w:rsidRPr="00DD1651">
                  <w:rPr>
                    <w:rStyle w:val="Hyperlink"/>
                    <w:rFonts w:ascii="Arial" w:hAnsi="Arial" w:cs="Arial"/>
                    <w:noProof/>
                    <w:color w:val="000000" w:themeColor="text1"/>
                    <w:sz w:val="24"/>
                    <w:szCs w:val="24"/>
                  </w:rPr>
                  <w:t>Gearing</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_Toc121488488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4</w:t>
                </w:r>
                <w:r w:rsidR="003937A5" w:rsidRPr="00DD1651">
                  <w:rPr>
                    <w:rFonts w:ascii="Arial" w:hAnsi="Arial" w:cs="Arial"/>
                    <w:noProof/>
                    <w:webHidden/>
                    <w:color w:val="000000" w:themeColor="text1"/>
                    <w:sz w:val="24"/>
                    <w:szCs w:val="24"/>
                  </w:rPr>
                  <w:fldChar w:fldCharType="end"/>
                </w:r>
              </w:hyperlink>
            </w:p>
            <w:p w14:paraId="0A734C3B" w14:textId="77777777" w:rsidR="003937A5" w:rsidRPr="00DD1651" w:rsidRDefault="00000000" w:rsidP="00805A14">
              <w:pPr>
                <w:pStyle w:val="TOC3"/>
                <w:tabs>
                  <w:tab w:val="right" w:leader="dot" w:pos="9016"/>
                </w:tabs>
                <w:spacing w:after="0" w:line="360" w:lineRule="auto"/>
                <w:contextualSpacing/>
                <w:rPr>
                  <w:rFonts w:ascii="Arial" w:hAnsi="Arial" w:cs="Arial"/>
                  <w:noProof/>
                  <w:color w:val="000000" w:themeColor="text1"/>
                  <w:sz w:val="24"/>
                  <w:szCs w:val="24"/>
                </w:rPr>
              </w:pPr>
              <w:hyperlink w:anchor="_Toc121488489" w:history="1">
                <w:r w:rsidR="003937A5" w:rsidRPr="00DD1651">
                  <w:rPr>
                    <w:rStyle w:val="Hyperlink"/>
                    <w:rFonts w:ascii="Arial" w:hAnsi="Arial" w:cs="Arial"/>
                    <w:noProof/>
                    <w:color w:val="000000" w:themeColor="text1"/>
                    <w:sz w:val="24"/>
                    <w:szCs w:val="24"/>
                  </w:rPr>
                  <w:t>Debt to equity ratio</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_Toc121488489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4</w:t>
                </w:r>
                <w:r w:rsidR="003937A5" w:rsidRPr="00DD1651">
                  <w:rPr>
                    <w:rFonts w:ascii="Arial" w:hAnsi="Arial" w:cs="Arial"/>
                    <w:noProof/>
                    <w:webHidden/>
                    <w:color w:val="000000" w:themeColor="text1"/>
                    <w:sz w:val="24"/>
                    <w:szCs w:val="24"/>
                  </w:rPr>
                  <w:fldChar w:fldCharType="end"/>
                </w:r>
              </w:hyperlink>
            </w:p>
            <w:p w14:paraId="04403AC5" w14:textId="77777777"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90" w:history="1">
                <w:r w:rsidR="003937A5" w:rsidRPr="00DD1651">
                  <w:rPr>
                    <w:rStyle w:val="Hyperlink"/>
                    <w:rFonts w:ascii="Arial" w:hAnsi="Arial" w:cs="Arial"/>
                    <w:noProof/>
                    <w:color w:val="000000" w:themeColor="text1"/>
                    <w:sz w:val="24"/>
                    <w:szCs w:val="24"/>
                  </w:rPr>
                  <w:t>Knowledge from Ratio Analysis</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_Toc121488490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5</w:t>
                </w:r>
                <w:r w:rsidR="003937A5" w:rsidRPr="00DD1651">
                  <w:rPr>
                    <w:rFonts w:ascii="Arial" w:hAnsi="Arial" w:cs="Arial"/>
                    <w:noProof/>
                    <w:webHidden/>
                    <w:color w:val="000000" w:themeColor="text1"/>
                    <w:sz w:val="24"/>
                    <w:szCs w:val="24"/>
                  </w:rPr>
                  <w:fldChar w:fldCharType="end"/>
                </w:r>
              </w:hyperlink>
            </w:p>
            <w:p w14:paraId="2F1B480C" w14:textId="77777777"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91" w:history="1">
                <w:r w:rsidR="003937A5" w:rsidRPr="00DD1651">
                  <w:rPr>
                    <w:rStyle w:val="Hyperlink"/>
                    <w:rFonts w:ascii="Arial" w:hAnsi="Arial" w:cs="Arial"/>
                    <w:noProof/>
                    <w:color w:val="000000" w:themeColor="text1"/>
                    <w:sz w:val="24"/>
                    <w:szCs w:val="24"/>
                  </w:rPr>
                  <w:t>Benefits and Limitations of Ratio Analysis</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_Toc121488491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5</w:t>
                </w:r>
                <w:r w:rsidR="003937A5" w:rsidRPr="00DD1651">
                  <w:rPr>
                    <w:rFonts w:ascii="Arial" w:hAnsi="Arial" w:cs="Arial"/>
                    <w:noProof/>
                    <w:webHidden/>
                    <w:color w:val="000000" w:themeColor="text1"/>
                    <w:sz w:val="24"/>
                    <w:szCs w:val="24"/>
                  </w:rPr>
                  <w:fldChar w:fldCharType="end"/>
                </w:r>
              </w:hyperlink>
            </w:p>
            <w:p w14:paraId="44A7BBD7" w14:textId="77777777"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92" w:history="1">
                <w:r w:rsidR="003937A5" w:rsidRPr="00DD1651">
                  <w:rPr>
                    <w:rStyle w:val="Hyperlink"/>
                    <w:rFonts w:ascii="Arial" w:hAnsi="Arial" w:cs="Arial"/>
                    <w:noProof/>
                    <w:color w:val="000000" w:themeColor="text1"/>
                    <w:sz w:val="24"/>
                    <w:szCs w:val="24"/>
                  </w:rPr>
                  <w:t>Conclusion</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_Toc121488492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6</w:t>
                </w:r>
                <w:r w:rsidR="003937A5" w:rsidRPr="00DD1651">
                  <w:rPr>
                    <w:rFonts w:ascii="Arial" w:hAnsi="Arial" w:cs="Arial"/>
                    <w:noProof/>
                    <w:webHidden/>
                    <w:color w:val="000000" w:themeColor="text1"/>
                    <w:sz w:val="24"/>
                    <w:szCs w:val="24"/>
                  </w:rPr>
                  <w:fldChar w:fldCharType="end"/>
                </w:r>
              </w:hyperlink>
            </w:p>
            <w:p w14:paraId="71DE0BE2" w14:textId="4500DE59" w:rsidR="003937A5" w:rsidRPr="00DD1651" w:rsidRDefault="00000000" w:rsidP="00805A14">
              <w:pPr>
                <w:pStyle w:val="TOC1"/>
                <w:tabs>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21488493" w:history="1">
                <w:r w:rsidR="00DD1651">
                  <w:rPr>
                    <w:rStyle w:val="Hyperlink"/>
                    <w:rFonts w:ascii="Arial" w:hAnsi="Arial" w:cs="Arial"/>
                    <w:noProof/>
                    <w:color w:val="000000" w:themeColor="text1"/>
                    <w:sz w:val="24"/>
                    <w:szCs w:val="24"/>
                  </w:rPr>
                  <w:t xml:space="preserve">References </w:t>
                </w:r>
                <w:r w:rsidR="003937A5" w:rsidRPr="00DD1651">
                  <w:rPr>
                    <w:rFonts w:ascii="Arial" w:hAnsi="Arial" w:cs="Arial"/>
                    <w:noProof/>
                    <w:webHidden/>
                    <w:color w:val="000000" w:themeColor="text1"/>
                    <w:sz w:val="24"/>
                    <w:szCs w:val="24"/>
                  </w:rPr>
                  <w:tab/>
                </w:r>
                <w:r w:rsidR="003937A5" w:rsidRPr="00DD1651">
                  <w:rPr>
                    <w:rFonts w:ascii="Arial" w:hAnsi="Arial" w:cs="Arial"/>
                    <w:noProof/>
                    <w:webHidden/>
                    <w:color w:val="000000" w:themeColor="text1"/>
                    <w:sz w:val="24"/>
                    <w:szCs w:val="24"/>
                  </w:rPr>
                  <w:fldChar w:fldCharType="begin"/>
                </w:r>
                <w:r w:rsidR="003937A5" w:rsidRPr="00DD1651">
                  <w:rPr>
                    <w:rFonts w:ascii="Arial" w:hAnsi="Arial" w:cs="Arial"/>
                    <w:noProof/>
                    <w:webHidden/>
                    <w:color w:val="000000" w:themeColor="text1"/>
                    <w:sz w:val="24"/>
                    <w:szCs w:val="24"/>
                  </w:rPr>
                  <w:instrText xml:space="preserve"> PAGEREF _Toc121488493 \h </w:instrText>
                </w:r>
                <w:r w:rsidR="003937A5" w:rsidRPr="00DD1651">
                  <w:rPr>
                    <w:rFonts w:ascii="Arial" w:hAnsi="Arial" w:cs="Arial"/>
                    <w:noProof/>
                    <w:webHidden/>
                    <w:color w:val="000000" w:themeColor="text1"/>
                    <w:sz w:val="24"/>
                    <w:szCs w:val="24"/>
                  </w:rPr>
                </w:r>
                <w:r w:rsidR="003937A5" w:rsidRPr="00DD1651">
                  <w:rPr>
                    <w:rFonts w:ascii="Arial" w:hAnsi="Arial" w:cs="Arial"/>
                    <w:noProof/>
                    <w:webHidden/>
                    <w:color w:val="000000" w:themeColor="text1"/>
                    <w:sz w:val="24"/>
                    <w:szCs w:val="24"/>
                  </w:rPr>
                  <w:fldChar w:fldCharType="separate"/>
                </w:r>
                <w:r w:rsidR="003937A5" w:rsidRPr="00DD1651">
                  <w:rPr>
                    <w:rFonts w:ascii="Arial" w:hAnsi="Arial" w:cs="Arial"/>
                    <w:noProof/>
                    <w:webHidden/>
                    <w:color w:val="000000" w:themeColor="text1"/>
                    <w:sz w:val="24"/>
                    <w:szCs w:val="24"/>
                  </w:rPr>
                  <w:t>6</w:t>
                </w:r>
                <w:r w:rsidR="003937A5" w:rsidRPr="00DD1651">
                  <w:rPr>
                    <w:rFonts w:ascii="Arial" w:hAnsi="Arial" w:cs="Arial"/>
                    <w:noProof/>
                    <w:webHidden/>
                    <w:color w:val="000000" w:themeColor="text1"/>
                    <w:sz w:val="24"/>
                    <w:szCs w:val="24"/>
                  </w:rPr>
                  <w:fldChar w:fldCharType="end"/>
                </w:r>
              </w:hyperlink>
            </w:p>
            <w:p w14:paraId="6E7AC2B4" w14:textId="77777777" w:rsidR="007D1947" w:rsidRPr="00DD1651" w:rsidRDefault="006A1E5E" w:rsidP="00805A14">
              <w:pPr>
                <w:spacing w:after="0" w:line="360" w:lineRule="auto"/>
                <w:contextualSpacing/>
                <w:rPr>
                  <w:rFonts w:ascii="Arial" w:hAnsi="Arial" w:cs="Arial"/>
                  <w:color w:val="000000" w:themeColor="text1"/>
                  <w:sz w:val="24"/>
                  <w:szCs w:val="24"/>
                </w:rPr>
              </w:pPr>
              <w:r w:rsidRPr="00DD1651">
                <w:rPr>
                  <w:rFonts w:ascii="Arial" w:hAnsi="Arial" w:cs="Arial"/>
                  <w:b/>
                  <w:bCs/>
                  <w:noProof/>
                  <w:color w:val="000000" w:themeColor="text1"/>
                  <w:sz w:val="24"/>
                  <w:szCs w:val="24"/>
                </w:rPr>
                <w:fldChar w:fldCharType="end"/>
              </w:r>
              <w:r w:rsidR="003937A5" w:rsidRPr="00DD1651">
                <w:rPr>
                  <w:rFonts w:ascii="Arial" w:hAnsi="Arial" w:cs="Arial"/>
                  <w:b/>
                  <w:bCs/>
                  <w:noProof/>
                  <w:color w:val="000000" w:themeColor="text1"/>
                  <w:sz w:val="24"/>
                  <w:szCs w:val="24"/>
                </w:rPr>
                <w:t xml:space="preserve"> </w:t>
              </w:r>
            </w:p>
          </w:sdtContent>
        </w:sdt>
        <w:p w14:paraId="768C58EA" w14:textId="77777777" w:rsidR="00416630" w:rsidRPr="00DD1651" w:rsidRDefault="00416630">
          <w:pPr>
            <w:rPr>
              <w:rFonts w:ascii="Arial" w:eastAsiaTheme="majorEastAsia" w:hAnsi="Arial" w:cs="Arial"/>
              <w:color w:val="000000" w:themeColor="text1"/>
              <w:sz w:val="24"/>
              <w:szCs w:val="24"/>
            </w:rPr>
          </w:pPr>
          <w:bookmarkStart w:id="1" w:name="_Toc121488480"/>
          <w:r w:rsidRPr="00DD1651">
            <w:rPr>
              <w:rFonts w:ascii="Arial" w:hAnsi="Arial" w:cs="Arial"/>
              <w:color w:val="000000" w:themeColor="text1"/>
              <w:sz w:val="24"/>
              <w:szCs w:val="24"/>
            </w:rPr>
            <w:br w:type="page"/>
          </w:r>
        </w:p>
        <w:p w14:paraId="013C0E02" w14:textId="77777777" w:rsidR="007D1947" w:rsidRPr="00DD1651" w:rsidRDefault="007D1947" w:rsidP="00805A14">
          <w:pPr>
            <w:pStyle w:val="Heading1"/>
            <w:rPr>
              <w:rFonts w:ascii="Arial" w:hAnsi="Arial" w:cs="Arial"/>
            </w:rPr>
          </w:pPr>
          <w:r w:rsidRPr="00DD1651">
            <w:rPr>
              <w:rFonts w:ascii="Arial" w:hAnsi="Arial" w:cs="Arial"/>
            </w:rPr>
            <w:t>Introduction</w:t>
          </w:r>
          <w:bookmarkEnd w:id="1"/>
        </w:p>
        <w:p w14:paraId="77F22616" w14:textId="77777777" w:rsidR="007D1947" w:rsidRPr="00DD1651" w:rsidRDefault="002A18CF" w:rsidP="00DD1651">
          <w:pPr>
            <w:pStyle w:val="Heading2"/>
            <w:spacing w:line="360" w:lineRule="auto"/>
            <w:jc w:val="both"/>
            <w:rPr>
              <w:rFonts w:ascii="Arial" w:hAnsi="Arial" w:cs="Arial"/>
              <w:color w:val="000000" w:themeColor="text1"/>
              <w:sz w:val="24"/>
              <w:szCs w:val="24"/>
            </w:rPr>
          </w:pPr>
          <w:bookmarkStart w:id="2" w:name="_Toc121488481"/>
          <w:r w:rsidRPr="00DD1651">
            <w:rPr>
              <w:rFonts w:ascii="Arial" w:hAnsi="Arial" w:cs="Arial"/>
              <w:color w:val="000000" w:themeColor="text1"/>
              <w:sz w:val="24"/>
              <w:szCs w:val="24"/>
            </w:rPr>
            <w:t>About the report</w:t>
          </w:r>
          <w:bookmarkEnd w:id="2"/>
        </w:p>
        <w:p w14:paraId="1FABFF26" w14:textId="77777777" w:rsidR="002A18CF" w:rsidRPr="00DD1651" w:rsidRDefault="002A18CF"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The report produced below has used ratio analysis for determining a trend in the financial statements. The parts covered included profitability, liquidity, and gearing, doing so reduced the risk of accounting policy affecting financial performance and escaping detection. Based upon this analysis, a conclusion over financial performance is going to be made, which is going to enlighten the upon the technique’s role in decision-making.</w:t>
          </w:r>
        </w:p>
        <w:p w14:paraId="24681C10" w14:textId="77777777" w:rsidR="004A11F6" w:rsidRPr="00DD1651" w:rsidRDefault="00284F1F" w:rsidP="00DD1651">
          <w:pPr>
            <w:pStyle w:val="Heading2"/>
            <w:spacing w:line="360" w:lineRule="auto"/>
            <w:jc w:val="both"/>
            <w:rPr>
              <w:rFonts w:ascii="Arial" w:hAnsi="Arial" w:cs="Arial"/>
              <w:color w:val="000000" w:themeColor="text1"/>
              <w:sz w:val="24"/>
              <w:szCs w:val="24"/>
            </w:rPr>
          </w:pPr>
          <w:bookmarkStart w:id="3" w:name="_Toc121488482"/>
          <w:r w:rsidRPr="00DD1651">
            <w:rPr>
              <w:rFonts w:ascii="Arial" w:hAnsi="Arial" w:cs="Arial"/>
              <w:color w:val="000000" w:themeColor="text1"/>
              <w:sz w:val="24"/>
              <w:szCs w:val="24"/>
            </w:rPr>
            <w:t>Background information on the company</w:t>
          </w:r>
          <w:bookmarkEnd w:id="3"/>
        </w:p>
        <w:p w14:paraId="490961B0" w14:textId="77777777" w:rsidR="002E512A" w:rsidRPr="00DD1651" w:rsidRDefault="002A18CF"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Marriot is an American hotel group with around 8,000 properties spread around in 139 countries. The hotel owns thirty brands and was founded as A&amp;W root beet stall</w:t>
          </w:r>
          <w:r w:rsidR="002E512A" w:rsidRPr="00DD1651">
            <w:rPr>
              <w:rFonts w:ascii="Arial" w:hAnsi="Arial" w:cs="Arial"/>
              <w:color w:val="000000" w:themeColor="text1"/>
              <w:sz w:val="24"/>
              <w:szCs w:val="24"/>
            </w:rPr>
            <w:t xml:space="preserve"> (Marriot, 2022)</w:t>
          </w:r>
          <w:r w:rsidRPr="00DD1651">
            <w:rPr>
              <w:rFonts w:ascii="Arial" w:hAnsi="Arial" w:cs="Arial"/>
              <w:color w:val="000000" w:themeColor="text1"/>
              <w:sz w:val="24"/>
              <w:szCs w:val="24"/>
            </w:rPr>
            <w:t>. Willard Marriot and his wife got it started back in the year 1927</w:t>
          </w:r>
          <w:r w:rsidR="002E512A" w:rsidRPr="00DD1651">
            <w:rPr>
              <w:rFonts w:ascii="Arial" w:hAnsi="Arial" w:cs="Arial"/>
              <w:color w:val="000000" w:themeColor="text1"/>
              <w:sz w:val="24"/>
              <w:szCs w:val="24"/>
            </w:rPr>
            <w:t xml:space="preserve"> (Marriot, 2022a)</w:t>
          </w:r>
          <w:r w:rsidRPr="00DD1651">
            <w:rPr>
              <w:rFonts w:ascii="Arial" w:hAnsi="Arial" w:cs="Arial"/>
              <w:color w:val="000000" w:themeColor="text1"/>
              <w:sz w:val="24"/>
              <w:szCs w:val="24"/>
            </w:rPr>
            <w:t>.</w:t>
          </w:r>
          <w:r w:rsidR="002E512A" w:rsidRPr="00DD1651">
            <w:rPr>
              <w:rFonts w:ascii="Arial" w:hAnsi="Arial" w:cs="Arial"/>
              <w:color w:val="000000" w:themeColor="text1"/>
              <w:sz w:val="24"/>
              <w:szCs w:val="24"/>
            </w:rPr>
            <w:t xml:space="preserve"> They based this stand in Washington D.C. along with their partner, Hugh Colton. The stand did not become a public company until 1953. In 1957, the business diversified into hotel industry by opening its first motor hotel in Virginia and continued on its journey toward what it has become today. </w:t>
          </w:r>
        </w:p>
        <w:p w14:paraId="07F5688B" w14:textId="77777777" w:rsidR="004A11F6" w:rsidRPr="00DD1651" w:rsidRDefault="004D519C" w:rsidP="00805A14">
          <w:pPr>
            <w:pStyle w:val="Heading1"/>
            <w:rPr>
              <w:rFonts w:ascii="Arial" w:hAnsi="Arial" w:cs="Arial"/>
            </w:rPr>
          </w:pPr>
          <w:bookmarkStart w:id="4" w:name="_Toc121488483"/>
          <w:r w:rsidRPr="00DD1651">
            <w:rPr>
              <w:rFonts w:ascii="Arial" w:hAnsi="Arial" w:cs="Arial"/>
            </w:rPr>
            <w:t>Financial Analysis Trends</w:t>
          </w:r>
          <w:bookmarkEnd w:id="4"/>
        </w:p>
        <w:p w14:paraId="6CB85A89" w14:textId="77777777" w:rsidR="00284F1F" w:rsidRPr="00DD1651" w:rsidRDefault="002E512A"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 xml:space="preserve">This technique is also called ratio analysis because it is based upon formulas, which </w:t>
          </w:r>
          <w:r w:rsidR="0022785C" w:rsidRPr="00DD1651">
            <w:rPr>
              <w:rFonts w:ascii="Arial" w:hAnsi="Arial" w:cs="Arial"/>
              <w:color w:val="000000" w:themeColor="text1"/>
              <w:sz w:val="24"/>
              <w:szCs w:val="24"/>
            </w:rPr>
            <w:t xml:space="preserve">reveal </w:t>
          </w:r>
          <w:r w:rsidRPr="00DD1651">
            <w:rPr>
              <w:rFonts w:ascii="Arial" w:hAnsi="Arial" w:cs="Arial"/>
              <w:color w:val="000000" w:themeColor="text1"/>
              <w:sz w:val="24"/>
              <w:szCs w:val="24"/>
            </w:rPr>
            <w:t xml:space="preserve">their results </w:t>
          </w:r>
          <w:r w:rsidR="0022785C" w:rsidRPr="00DD1651">
            <w:rPr>
              <w:rFonts w:ascii="Arial" w:hAnsi="Arial" w:cs="Arial"/>
              <w:color w:val="000000" w:themeColor="text1"/>
              <w:sz w:val="24"/>
              <w:szCs w:val="24"/>
            </w:rPr>
            <w:t xml:space="preserve">either </w:t>
          </w:r>
          <w:r w:rsidRPr="00DD1651">
            <w:rPr>
              <w:rFonts w:ascii="Arial" w:hAnsi="Arial" w:cs="Arial"/>
              <w:color w:val="000000" w:themeColor="text1"/>
              <w:sz w:val="24"/>
              <w:szCs w:val="24"/>
            </w:rPr>
            <w:t xml:space="preserve">in a ratio form or in a percentage form, which makes these results easier to understand. </w:t>
          </w:r>
          <w:r w:rsidR="0022785C" w:rsidRPr="00DD1651">
            <w:rPr>
              <w:rFonts w:ascii="Arial" w:hAnsi="Arial" w:cs="Arial"/>
              <w:color w:val="000000" w:themeColor="text1"/>
              <w:sz w:val="24"/>
              <w:szCs w:val="24"/>
            </w:rPr>
            <w:t>This form of information also makes creation of a trend easier; trend is a series of change happening in a certain figure over the course of period. Revelation of this trend could allow the management to take remedial action or continue with the strategy and manage performance (</w:t>
          </w:r>
          <w:r w:rsidR="0022785C" w:rsidRPr="00DD1651">
            <w:rPr>
              <w:rFonts w:ascii="Arial" w:hAnsi="Arial" w:cs="Arial"/>
              <w:color w:val="000000" w:themeColor="text1"/>
              <w:sz w:val="24"/>
              <w:szCs w:val="24"/>
              <w:shd w:val="clear" w:color="auto" w:fill="FFFFFF"/>
            </w:rPr>
            <w:t>Grant, 2021)</w:t>
          </w:r>
          <w:r w:rsidR="0022785C" w:rsidRPr="00DD1651">
            <w:rPr>
              <w:rFonts w:ascii="Arial" w:hAnsi="Arial" w:cs="Arial"/>
              <w:color w:val="000000" w:themeColor="text1"/>
              <w:sz w:val="24"/>
              <w:szCs w:val="24"/>
            </w:rPr>
            <w:t xml:space="preserve">. Since the technique is a ratio, thus, it could be expanded into any part of the company’s supply chain, however, the condition of generated information falling under following categories or at the least linking with them remains applicable at all time. </w:t>
          </w:r>
        </w:p>
        <w:tbl>
          <w:tblPr>
            <w:tblW w:w="0" w:type="auto"/>
            <w:jc w:val="center"/>
            <w:tblLook w:val="04A0" w:firstRow="1" w:lastRow="0" w:firstColumn="1" w:lastColumn="0" w:noHBand="0" w:noVBand="1"/>
          </w:tblPr>
          <w:tblGrid>
            <w:gridCol w:w="2351"/>
            <w:gridCol w:w="1284"/>
            <w:gridCol w:w="1284"/>
          </w:tblGrid>
          <w:tr w:rsidR="00805A14" w:rsidRPr="00DD1651" w14:paraId="737AB0C5" w14:textId="77777777" w:rsidTr="007E65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7622E4" w14:textId="77777777" w:rsidR="007E65A6" w:rsidRPr="00DD1651" w:rsidRDefault="007E65A6" w:rsidP="00227D45">
                <w:pPr>
                  <w:spacing w:after="0" w:line="360" w:lineRule="auto"/>
                  <w:rPr>
                    <w:rFonts w:ascii="Arial" w:eastAsia="Times New Roman" w:hAnsi="Arial" w:cs="Arial"/>
                    <w:b/>
                    <w:bCs/>
                    <w:color w:val="000000" w:themeColor="text1"/>
                    <w:sz w:val="24"/>
                    <w:szCs w:val="24"/>
                    <w:lang w:eastAsia="en-GB"/>
                  </w:rPr>
                </w:pPr>
                <w:r w:rsidRPr="00DD1651">
                  <w:rPr>
                    <w:rFonts w:ascii="Arial" w:eastAsia="Times New Roman" w:hAnsi="Arial" w:cs="Arial"/>
                    <w:b/>
                    <w:bCs/>
                    <w:color w:val="000000" w:themeColor="text1"/>
                    <w:sz w:val="24"/>
                    <w:szCs w:val="24"/>
                    <w:lang w:eastAsia="en-GB"/>
                  </w:rPr>
                  <w:t xml:space="preserve">Ratio or Margin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A257F0A" w14:textId="77777777" w:rsidR="007E65A6" w:rsidRPr="00DD1651" w:rsidRDefault="007E65A6" w:rsidP="00227D45">
                <w:pPr>
                  <w:spacing w:after="0" w:line="360" w:lineRule="auto"/>
                  <w:jc w:val="right"/>
                  <w:rPr>
                    <w:rFonts w:ascii="Arial" w:eastAsia="Times New Roman" w:hAnsi="Arial" w:cs="Arial"/>
                    <w:b/>
                    <w:bCs/>
                    <w:color w:val="000000" w:themeColor="text1"/>
                    <w:sz w:val="24"/>
                    <w:szCs w:val="24"/>
                    <w:lang w:eastAsia="en-GB"/>
                  </w:rPr>
                </w:pPr>
                <w:r w:rsidRPr="00DD1651">
                  <w:rPr>
                    <w:rFonts w:ascii="Arial" w:eastAsia="Times New Roman" w:hAnsi="Arial" w:cs="Arial"/>
                    <w:b/>
                    <w:bCs/>
                    <w:color w:val="000000" w:themeColor="text1"/>
                    <w:sz w:val="24"/>
                    <w:szCs w:val="24"/>
                    <w:lang w:eastAsia="en-GB"/>
                  </w:rPr>
                  <w:t>2021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B875FFF" w14:textId="77777777" w:rsidR="007E65A6" w:rsidRPr="00DD1651" w:rsidRDefault="007E65A6" w:rsidP="00227D45">
                <w:pPr>
                  <w:spacing w:after="0" w:line="360" w:lineRule="auto"/>
                  <w:jc w:val="right"/>
                  <w:rPr>
                    <w:rFonts w:ascii="Arial" w:eastAsia="Times New Roman" w:hAnsi="Arial" w:cs="Arial"/>
                    <w:b/>
                    <w:bCs/>
                    <w:color w:val="000000" w:themeColor="text1"/>
                    <w:sz w:val="24"/>
                    <w:szCs w:val="24"/>
                    <w:lang w:eastAsia="en-GB"/>
                  </w:rPr>
                </w:pPr>
                <w:r w:rsidRPr="00DD1651">
                  <w:rPr>
                    <w:rFonts w:ascii="Arial" w:eastAsia="Times New Roman" w:hAnsi="Arial" w:cs="Arial"/>
                    <w:b/>
                    <w:bCs/>
                    <w:color w:val="000000" w:themeColor="text1"/>
                    <w:sz w:val="24"/>
                    <w:szCs w:val="24"/>
                    <w:lang w:eastAsia="en-GB"/>
                  </w:rPr>
                  <w:t>2020</w:t>
                </w:r>
              </w:p>
            </w:tc>
          </w:tr>
          <w:tr w:rsidR="00805A14" w:rsidRPr="00DD1651" w14:paraId="62EC2677" w14:textId="77777777" w:rsidTr="007E65A6">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4DC6E6D"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Gross Margin</w:t>
                </w:r>
              </w:p>
            </w:tc>
            <w:tc>
              <w:tcPr>
                <w:tcW w:w="0" w:type="auto"/>
                <w:tcBorders>
                  <w:top w:val="nil"/>
                  <w:left w:val="nil"/>
                  <w:bottom w:val="single" w:sz="4" w:space="0" w:color="auto"/>
                  <w:right w:val="single" w:sz="4" w:space="0" w:color="auto"/>
                </w:tcBorders>
                <w:shd w:val="clear" w:color="auto" w:fill="auto"/>
                <w:noWrap/>
                <w:vAlign w:val="bottom"/>
                <w:hideMark/>
              </w:tcPr>
              <w:p w14:paraId="578524FC" w14:textId="77777777" w:rsidR="007E65A6" w:rsidRPr="00DD1651" w:rsidRDefault="007E65A6" w:rsidP="00227D45">
                <w:pPr>
                  <w:spacing w:after="0" w:line="360" w:lineRule="auto"/>
                  <w:jc w:val="right"/>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20.21%</w:t>
                </w:r>
              </w:p>
            </w:tc>
            <w:tc>
              <w:tcPr>
                <w:tcW w:w="0" w:type="auto"/>
                <w:tcBorders>
                  <w:top w:val="nil"/>
                  <w:left w:val="nil"/>
                  <w:bottom w:val="single" w:sz="4" w:space="0" w:color="auto"/>
                  <w:right w:val="single" w:sz="4" w:space="0" w:color="auto"/>
                </w:tcBorders>
                <w:shd w:val="clear" w:color="auto" w:fill="auto"/>
                <w:noWrap/>
                <w:vAlign w:val="bottom"/>
                <w:hideMark/>
              </w:tcPr>
              <w:p w14:paraId="29E8CC23" w14:textId="77777777" w:rsidR="007E65A6" w:rsidRPr="00DD1651" w:rsidRDefault="007E65A6" w:rsidP="00227D45">
                <w:pPr>
                  <w:spacing w:after="0" w:line="360" w:lineRule="auto"/>
                  <w:jc w:val="right"/>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13.80%</w:t>
                </w:r>
              </w:p>
            </w:tc>
          </w:tr>
          <w:tr w:rsidR="00805A14" w:rsidRPr="00DD1651" w14:paraId="36F22F42" w14:textId="77777777" w:rsidTr="007E65A6">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8C9593"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Receivable turnover</w:t>
                </w:r>
              </w:p>
            </w:tc>
            <w:tc>
              <w:tcPr>
                <w:tcW w:w="0" w:type="auto"/>
                <w:tcBorders>
                  <w:top w:val="nil"/>
                  <w:left w:val="nil"/>
                  <w:bottom w:val="single" w:sz="4" w:space="0" w:color="auto"/>
                  <w:right w:val="single" w:sz="4" w:space="0" w:color="auto"/>
                </w:tcBorders>
                <w:shd w:val="clear" w:color="auto" w:fill="auto"/>
                <w:noWrap/>
                <w:vAlign w:val="bottom"/>
                <w:hideMark/>
              </w:tcPr>
              <w:p w14:paraId="6452E2EB"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6.99 </w:t>
                </w:r>
              </w:p>
            </w:tc>
            <w:tc>
              <w:tcPr>
                <w:tcW w:w="0" w:type="auto"/>
                <w:tcBorders>
                  <w:top w:val="nil"/>
                  <w:left w:val="nil"/>
                  <w:bottom w:val="single" w:sz="4" w:space="0" w:color="auto"/>
                  <w:right w:val="single" w:sz="4" w:space="0" w:color="auto"/>
                </w:tcBorders>
                <w:shd w:val="clear" w:color="auto" w:fill="auto"/>
                <w:noWrap/>
                <w:vAlign w:val="bottom"/>
                <w:hideMark/>
              </w:tcPr>
              <w:p w14:paraId="5AD84C41"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5.97 </w:t>
                </w:r>
              </w:p>
            </w:tc>
          </w:tr>
          <w:tr w:rsidR="00805A14" w:rsidRPr="00DD1651" w14:paraId="0414DFBE" w14:textId="77777777" w:rsidTr="007E65A6">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0BC20F"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Current Ratio</w:t>
                </w:r>
              </w:p>
            </w:tc>
            <w:tc>
              <w:tcPr>
                <w:tcW w:w="0" w:type="auto"/>
                <w:tcBorders>
                  <w:top w:val="nil"/>
                  <w:left w:val="nil"/>
                  <w:bottom w:val="single" w:sz="4" w:space="0" w:color="auto"/>
                  <w:right w:val="single" w:sz="4" w:space="0" w:color="auto"/>
                </w:tcBorders>
                <w:shd w:val="clear" w:color="auto" w:fill="auto"/>
                <w:noWrap/>
                <w:vAlign w:val="bottom"/>
                <w:hideMark/>
              </w:tcPr>
              <w:p w14:paraId="52206D13"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0.57 </w:t>
                </w:r>
              </w:p>
            </w:tc>
            <w:tc>
              <w:tcPr>
                <w:tcW w:w="0" w:type="auto"/>
                <w:tcBorders>
                  <w:top w:val="nil"/>
                  <w:left w:val="nil"/>
                  <w:bottom w:val="single" w:sz="4" w:space="0" w:color="auto"/>
                  <w:right w:val="single" w:sz="4" w:space="0" w:color="auto"/>
                </w:tcBorders>
                <w:shd w:val="clear" w:color="auto" w:fill="auto"/>
                <w:noWrap/>
                <w:vAlign w:val="bottom"/>
                <w:hideMark/>
              </w:tcPr>
              <w:p w14:paraId="41055183"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0.49 </w:t>
                </w:r>
              </w:p>
            </w:tc>
          </w:tr>
          <w:tr w:rsidR="00805A14" w:rsidRPr="00DD1651" w14:paraId="72C8BBB2" w14:textId="77777777" w:rsidTr="007E65A6">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FD824A3"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Debt to Equity Ratio</w:t>
                </w:r>
              </w:p>
            </w:tc>
            <w:tc>
              <w:tcPr>
                <w:tcW w:w="0" w:type="auto"/>
                <w:tcBorders>
                  <w:top w:val="nil"/>
                  <w:left w:val="nil"/>
                  <w:bottom w:val="single" w:sz="4" w:space="0" w:color="auto"/>
                  <w:right w:val="single" w:sz="4" w:space="0" w:color="auto"/>
                </w:tcBorders>
                <w:shd w:val="clear" w:color="auto" w:fill="auto"/>
                <w:noWrap/>
                <w:vAlign w:val="bottom"/>
                <w:hideMark/>
              </w:tcPr>
              <w:p w14:paraId="120245ED"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7.17 </w:t>
                </w:r>
              </w:p>
            </w:tc>
            <w:tc>
              <w:tcPr>
                <w:tcW w:w="0" w:type="auto"/>
                <w:tcBorders>
                  <w:top w:val="nil"/>
                  <w:left w:val="nil"/>
                  <w:bottom w:val="single" w:sz="4" w:space="0" w:color="auto"/>
                  <w:right w:val="single" w:sz="4" w:space="0" w:color="auto"/>
                </w:tcBorders>
                <w:shd w:val="clear" w:color="auto" w:fill="auto"/>
                <w:noWrap/>
                <w:vAlign w:val="bottom"/>
                <w:hideMark/>
              </w:tcPr>
              <w:p w14:paraId="7C415E39" w14:textId="77777777" w:rsidR="007E65A6" w:rsidRPr="00DD1651" w:rsidRDefault="007E65A6" w:rsidP="00227D45">
                <w:pPr>
                  <w:spacing w:after="0" w:line="360" w:lineRule="auto"/>
                  <w:rPr>
                    <w:rFonts w:ascii="Arial" w:eastAsia="Times New Roman" w:hAnsi="Arial" w:cs="Arial"/>
                    <w:color w:val="000000" w:themeColor="text1"/>
                    <w:sz w:val="24"/>
                    <w:szCs w:val="24"/>
                    <w:lang w:eastAsia="en-GB"/>
                  </w:rPr>
                </w:pPr>
                <w:r w:rsidRPr="00DD1651">
                  <w:rPr>
                    <w:rFonts w:ascii="Arial" w:eastAsia="Times New Roman" w:hAnsi="Arial" w:cs="Arial"/>
                    <w:color w:val="000000" w:themeColor="text1"/>
                    <w:sz w:val="24"/>
                    <w:szCs w:val="24"/>
                    <w:lang w:eastAsia="en-GB"/>
                  </w:rPr>
                  <w:t xml:space="preserve">       24.13 </w:t>
                </w:r>
              </w:p>
            </w:tc>
          </w:tr>
        </w:tbl>
        <w:p w14:paraId="19D599C5" w14:textId="77777777" w:rsidR="004D519C" w:rsidRPr="00DD1651" w:rsidRDefault="004D519C" w:rsidP="00DD1651">
          <w:pPr>
            <w:pStyle w:val="Heading3"/>
            <w:spacing w:line="360" w:lineRule="auto"/>
            <w:rPr>
              <w:rFonts w:ascii="Arial" w:hAnsi="Arial" w:cs="Arial"/>
              <w:color w:val="000000" w:themeColor="text1"/>
              <w:sz w:val="24"/>
              <w:szCs w:val="24"/>
            </w:rPr>
          </w:pPr>
          <w:bookmarkStart w:id="5" w:name="_Toc121488484"/>
          <w:r w:rsidRPr="00DD1651">
            <w:rPr>
              <w:rFonts w:ascii="Arial" w:hAnsi="Arial" w:cs="Arial"/>
              <w:color w:val="000000" w:themeColor="text1"/>
              <w:sz w:val="24"/>
              <w:szCs w:val="24"/>
            </w:rPr>
            <w:t>Profitability</w:t>
          </w:r>
          <w:bookmarkEnd w:id="5"/>
        </w:p>
        <w:p w14:paraId="3278E904" w14:textId="77777777" w:rsidR="004D519C" w:rsidRPr="00DD1651" w:rsidRDefault="0022785C" w:rsidP="00DD1651">
          <w:pPr>
            <w:spacing w:line="360" w:lineRule="auto"/>
            <w:ind w:firstLine="720"/>
            <w:jc w:val="both"/>
            <w:rPr>
              <w:rFonts w:ascii="Arial" w:hAnsi="Arial" w:cs="Arial"/>
              <w:color w:val="000000" w:themeColor="text1"/>
              <w:sz w:val="24"/>
              <w:szCs w:val="24"/>
            </w:rPr>
          </w:pPr>
          <w:r w:rsidRPr="00DD1651">
            <w:rPr>
              <w:rFonts w:ascii="Arial" w:hAnsi="Arial" w:cs="Arial"/>
              <w:color w:val="000000" w:themeColor="text1"/>
              <w:sz w:val="24"/>
              <w:szCs w:val="24"/>
            </w:rPr>
            <w:t xml:space="preserve">The term profit means net figure computed after subtracting costs out of revenues earned. Since costs could be fixed as well as variable and needing cash payment as well as might be in a notional form, thus, </w:t>
          </w:r>
          <w:r w:rsidR="00E618E0" w:rsidRPr="00DD1651">
            <w:rPr>
              <w:rFonts w:ascii="Arial" w:hAnsi="Arial" w:cs="Arial"/>
              <w:color w:val="000000" w:themeColor="text1"/>
              <w:sz w:val="24"/>
              <w:szCs w:val="24"/>
            </w:rPr>
            <w:t>as per situation, the approach is varied. Since inclusion of notional items often taint financial performance, thus, cash based figures are included (</w:t>
          </w:r>
          <w:proofErr w:type="spellStart"/>
          <w:r w:rsidR="00E618E0" w:rsidRPr="00DD1651">
            <w:rPr>
              <w:rFonts w:ascii="Arial" w:hAnsi="Arial" w:cs="Arial"/>
              <w:color w:val="000000" w:themeColor="text1"/>
              <w:sz w:val="24"/>
              <w:szCs w:val="24"/>
              <w:shd w:val="clear" w:color="auto" w:fill="FFFFFF"/>
            </w:rPr>
            <w:t>Bugnosen</w:t>
          </w:r>
          <w:proofErr w:type="spellEnd"/>
          <w:r w:rsidR="00E618E0" w:rsidRPr="00DD1651">
            <w:rPr>
              <w:rFonts w:ascii="Arial" w:hAnsi="Arial" w:cs="Arial"/>
              <w:color w:val="000000" w:themeColor="text1"/>
              <w:sz w:val="24"/>
              <w:szCs w:val="24"/>
              <w:shd w:val="clear" w:color="auto" w:fill="FFFFFF"/>
            </w:rPr>
            <w:t xml:space="preserve"> et al., 2021)</w:t>
          </w:r>
          <w:r w:rsidR="00E618E0" w:rsidRPr="00DD1651">
            <w:rPr>
              <w:rFonts w:ascii="Arial" w:hAnsi="Arial" w:cs="Arial"/>
              <w:color w:val="000000" w:themeColor="text1"/>
              <w:sz w:val="24"/>
              <w:szCs w:val="24"/>
            </w:rPr>
            <w:t>. Doing so reduces risk of misstatement.</w:t>
          </w:r>
        </w:p>
        <w:p w14:paraId="63901F1C" w14:textId="77777777" w:rsidR="00E618E0" w:rsidRPr="00DD1651" w:rsidRDefault="00E618E0" w:rsidP="00227D45">
          <w:pPr>
            <w:pStyle w:val="Heading3"/>
            <w:spacing w:line="360" w:lineRule="auto"/>
            <w:rPr>
              <w:rFonts w:ascii="Arial" w:hAnsi="Arial" w:cs="Arial"/>
              <w:color w:val="000000" w:themeColor="text1"/>
              <w:sz w:val="24"/>
              <w:szCs w:val="24"/>
            </w:rPr>
          </w:pPr>
          <w:bookmarkStart w:id="6" w:name="_Toc121488485"/>
          <w:r w:rsidRPr="00DD1651">
            <w:rPr>
              <w:rFonts w:ascii="Arial" w:hAnsi="Arial" w:cs="Arial"/>
              <w:color w:val="000000" w:themeColor="text1"/>
              <w:sz w:val="24"/>
              <w:szCs w:val="24"/>
            </w:rPr>
            <w:t>Gross Profit</w:t>
          </w:r>
          <w:bookmarkEnd w:id="6"/>
        </w:p>
        <w:p w14:paraId="2B065B27" w14:textId="77777777" w:rsidR="00CF77D4" w:rsidRPr="00DD1651" w:rsidRDefault="00E618E0"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This figure is also called operating profit and it includes costs that make it possible for the company to earn revenues</w:t>
          </w:r>
          <w:r w:rsidR="00CA5F14" w:rsidRPr="00DD1651">
            <w:rPr>
              <w:rFonts w:ascii="Arial" w:hAnsi="Arial" w:cs="Arial"/>
              <w:color w:val="000000" w:themeColor="text1"/>
              <w:sz w:val="24"/>
              <w:szCs w:val="24"/>
            </w:rPr>
            <w:t xml:space="preserve"> (</w:t>
          </w:r>
          <w:r w:rsidR="00CA5F14" w:rsidRPr="00DD1651">
            <w:rPr>
              <w:rFonts w:ascii="Arial" w:hAnsi="Arial" w:cs="Arial"/>
              <w:color w:val="000000" w:themeColor="text1"/>
              <w:sz w:val="24"/>
              <w:szCs w:val="24"/>
              <w:shd w:val="clear" w:color="auto" w:fill="FFFFFF"/>
            </w:rPr>
            <w:t>Wan, 2019)</w:t>
          </w:r>
          <w:r w:rsidRPr="00DD1651">
            <w:rPr>
              <w:rFonts w:ascii="Arial" w:hAnsi="Arial" w:cs="Arial"/>
              <w:color w:val="000000" w:themeColor="text1"/>
              <w:sz w:val="24"/>
              <w:szCs w:val="24"/>
            </w:rPr>
            <w:t xml:space="preserve">. These costs include, cost of sales, which include raw material labour and other direct expenses without which final product cannot be created. This fact is the reason that gross margin is viewed </w:t>
          </w:r>
          <w:r w:rsidR="00CA5F14" w:rsidRPr="00DD1651">
            <w:rPr>
              <w:rFonts w:ascii="Arial" w:hAnsi="Arial" w:cs="Arial"/>
              <w:color w:val="000000" w:themeColor="text1"/>
              <w:sz w:val="24"/>
              <w:szCs w:val="24"/>
            </w:rPr>
            <w:t>internal processes efficiency from input and output point. Higher the gross margin, lower the amount of input being consumed (</w:t>
          </w:r>
          <w:proofErr w:type="spellStart"/>
          <w:r w:rsidR="00CA5F14" w:rsidRPr="00DD1651">
            <w:rPr>
              <w:rFonts w:ascii="Arial" w:hAnsi="Arial" w:cs="Arial"/>
              <w:color w:val="000000" w:themeColor="text1"/>
              <w:sz w:val="24"/>
              <w:szCs w:val="24"/>
              <w:shd w:val="clear" w:color="auto" w:fill="FFFFFF"/>
            </w:rPr>
            <w:t>Kenchington</w:t>
          </w:r>
          <w:proofErr w:type="spellEnd"/>
          <w:r w:rsidR="00CA5F14" w:rsidRPr="00DD1651">
            <w:rPr>
              <w:rFonts w:ascii="Arial" w:hAnsi="Arial" w:cs="Arial"/>
              <w:color w:val="000000" w:themeColor="text1"/>
              <w:sz w:val="24"/>
              <w:szCs w:val="24"/>
              <w:shd w:val="clear" w:color="auto" w:fill="FFFFFF"/>
            </w:rPr>
            <w:t xml:space="preserve">, Wan, and </w:t>
          </w:r>
          <w:proofErr w:type="spellStart"/>
          <w:r w:rsidR="00CA5F14" w:rsidRPr="00DD1651">
            <w:rPr>
              <w:rFonts w:ascii="Arial" w:hAnsi="Arial" w:cs="Arial"/>
              <w:color w:val="000000" w:themeColor="text1"/>
              <w:sz w:val="24"/>
              <w:szCs w:val="24"/>
              <w:shd w:val="clear" w:color="auto" w:fill="FFFFFF"/>
            </w:rPr>
            <w:t>Yüksel</w:t>
          </w:r>
          <w:proofErr w:type="spellEnd"/>
          <w:r w:rsidR="00CA5F14" w:rsidRPr="00DD1651">
            <w:rPr>
              <w:rFonts w:ascii="Arial" w:hAnsi="Arial" w:cs="Arial"/>
              <w:color w:val="000000" w:themeColor="text1"/>
              <w:sz w:val="24"/>
              <w:szCs w:val="24"/>
              <w:shd w:val="clear" w:color="auto" w:fill="FFFFFF"/>
            </w:rPr>
            <w:t>, 2019)</w:t>
          </w:r>
          <w:r w:rsidR="00CA5F14" w:rsidRPr="00DD1651">
            <w:rPr>
              <w:rFonts w:ascii="Arial" w:hAnsi="Arial" w:cs="Arial"/>
              <w:color w:val="000000" w:themeColor="text1"/>
              <w:sz w:val="24"/>
              <w:szCs w:val="24"/>
            </w:rPr>
            <w:t xml:space="preserve">. Hence, higher the chance of firm being able to retain its competitive advantage by either maintaining a lower product price or redeveloping the product because of ability to spend higher amount on research and development. Since research and development play an indirect role in gross profit, thus, it is included in operating margin. This figure includes </w:t>
          </w:r>
          <w:r w:rsidRPr="00DD1651">
            <w:rPr>
              <w:rFonts w:ascii="Arial" w:hAnsi="Arial" w:cs="Arial"/>
              <w:color w:val="000000" w:themeColor="text1"/>
              <w:sz w:val="24"/>
              <w:szCs w:val="24"/>
            </w:rPr>
            <w:t xml:space="preserve">marketing, distribution, </w:t>
          </w:r>
          <w:r w:rsidR="00CA5F14" w:rsidRPr="00DD1651">
            <w:rPr>
              <w:rFonts w:ascii="Arial" w:hAnsi="Arial" w:cs="Arial"/>
              <w:color w:val="000000" w:themeColor="text1"/>
              <w:sz w:val="24"/>
              <w:szCs w:val="24"/>
            </w:rPr>
            <w:t>and other direct costs that allow the company to operate smoothly (</w:t>
          </w:r>
          <w:proofErr w:type="spellStart"/>
          <w:r w:rsidR="00CA5F14" w:rsidRPr="00DD1651">
            <w:rPr>
              <w:rFonts w:ascii="Arial" w:hAnsi="Arial" w:cs="Arial"/>
              <w:color w:val="000000" w:themeColor="text1"/>
              <w:sz w:val="24"/>
              <w:szCs w:val="24"/>
              <w:shd w:val="clear" w:color="auto" w:fill="FFFFFF"/>
            </w:rPr>
            <w:t>Gursoy</w:t>
          </w:r>
          <w:proofErr w:type="spellEnd"/>
          <w:r w:rsidR="00CA5F14" w:rsidRPr="00DD1651">
            <w:rPr>
              <w:rFonts w:ascii="Arial" w:hAnsi="Arial" w:cs="Arial"/>
              <w:color w:val="000000" w:themeColor="text1"/>
              <w:sz w:val="24"/>
              <w:szCs w:val="24"/>
              <w:shd w:val="clear" w:color="auto" w:fill="FFFFFF"/>
            </w:rPr>
            <w:t>, and Chi, 2020)</w:t>
          </w:r>
          <w:r w:rsidR="00CA5F14" w:rsidRPr="00DD1651">
            <w:rPr>
              <w:rFonts w:ascii="Arial" w:hAnsi="Arial" w:cs="Arial"/>
              <w:color w:val="000000" w:themeColor="text1"/>
              <w:sz w:val="24"/>
              <w:szCs w:val="24"/>
            </w:rPr>
            <w:t>.</w:t>
          </w:r>
        </w:p>
        <w:p w14:paraId="2DE3A2D0" w14:textId="77777777" w:rsidR="004D519C" w:rsidRPr="00DD1651" w:rsidRDefault="004D519C" w:rsidP="00DD1651">
          <w:pPr>
            <w:pStyle w:val="Heading2"/>
            <w:spacing w:line="360" w:lineRule="auto"/>
            <w:jc w:val="both"/>
            <w:rPr>
              <w:rFonts w:ascii="Arial" w:hAnsi="Arial" w:cs="Arial"/>
              <w:color w:val="000000" w:themeColor="text1"/>
              <w:sz w:val="24"/>
              <w:szCs w:val="24"/>
            </w:rPr>
          </w:pPr>
          <w:bookmarkStart w:id="7" w:name="_Toc121488486"/>
          <w:r w:rsidRPr="00DD1651">
            <w:rPr>
              <w:rFonts w:ascii="Arial" w:hAnsi="Arial" w:cs="Arial"/>
              <w:color w:val="000000" w:themeColor="text1"/>
              <w:sz w:val="24"/>
              <w:szCs w:val="24"/>
            </w:rPr>
            <w:t>Liquidity</w:t>
          </w:r>
          <w:bookmarkEnd w:id="7"/>
        </w:p>
        <w:p w14:paraId="10E9CF85" w14:textId="77777777" w:rsidR="00CA5F14" w:rsidRPr="00DD1651" w:rsidRDefault="00CA5F14"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 xml:space="preserve">Liquidity is the capability of the organisation to pay off its operating expenses in cash or with assets that are deemed as convertible in cash at terms equivalent as cash. This fact is the reason that profitability is </w:t>
          </w:r>
          <w:r w:rsidR="00D661E4" w:rsidRPr="00DD1651">
            <w:rPr>
              <w:rFonts w:ascii="Arial" w:hAnsi="Arial" w:cs="Arial"/>
              <w:color w:val="000000" w:themeColor="text1"/>
              <w:sz w:val="24"/>
              <w:szCs w:val="24"/>
            </w:rPr>
            <w:t>computed differently but viewed</w:t>
          </w:r>
          <w:r w:rsidRPr="00DD1651">
            <w:rPr>
              <w:rFonts w:ascii="Arial" w:hAnsi="Arial" w:cs="Arial"/>
              <w:color w:val="000000" w:themeColor="text1"/>
              <w:sz w:val="24"/>
              <w:szCs w:val="24"/>
            </w:rPr>
            <w:t xml:space="preserve"> with liquidity because different between </w:t>
          </w:r>
          <w:r w:rsidR="00227D45" w:rsidRPr="00DD1651">
            <w:rPr>
              <w:rFonts w:ascii="Arial" w:hAnsi="Arial" w:cs="Arial"/>
              <w:color w:val="000000" w:themeColor="text1"/>
              <w:sz w:val="24"/>
              <w:szCs w:val="24"/>
            </w:rPr>
            <w:t>inputs</w:t>
          </w:r>
          <w:r w:rsidRPr="00DD1651">
            <w:rPr>
              <w:rFonts w:ascii="Arial" w:hAnsi="Arial" w:cs="Arial"/>
              <w:color w:val="000000" w:themeColor="text1"/>
              <w:sz w:val="24"/>
              <w:szCs w:val="24"/>
            </w:rPr>
            <w:t xml:space="preserve"> and output is going to influence amount of cash generated from operations</w:t>
          </w:r>
          <w:r w:rsidR="00D661E4" w:rsidRPr="00DD1651">
            <w:rPr>
              <w:rFonts w:ascii="Arial" w:hAnsi="Arial" w:cs="Arial"/>
              <w:color w:val="000000" w:themeColor="text1"/>
              <w:sz w:val="24"/>
              <w:szCs w:val="24"/>
            </w:rPr>
            <w:t xml:space="preserve"> (</w:t>
          </w:r>
          <w:r w:rsidR="00D661E4" w:rsidRPr="00DD1651">
            <w:rPr>
              <w:rFonts w:ascii="Arial" w:hAnsi="Arial" w:cs="Arial"/>
              <w:color w:val="000000" w:themeColor="text1"/>
              <w:sz w:val="24"/>
              <w:szCs w:val="24"/>
              <w:shd w:val="clear" w:color="auto" w:fill="FFFFFF"/>
            </w:rPr>
            <w:t>Pape, 2020)</w:t>
          </w:r>
          <w:r w:rsidRPr="00DD1651">
            <w:rPr>
              <w:rFonts w:ascii="Arial" w:hAnsi="Arial" w:cs="Arial"/>
              <w:color w:val="000000" w:themeColor="text1"/>
              <w:sz w:val="24"/>
              <w:szCs w:val="24"/>
            </w:rPr>
            <w:t>.</w:t>
          </w:r>
        </w:p>
        <w:p w14:paraId="74CADF81" w14:textId="77777777" w:rsidR="00E618E0" w:rsidRPr="00DD1651" w:rsidRDefault="00CF77D4" w:rsidP="00227D45">
          <w:pPr>
            <w:pStyle w:val="Heading3"/>
            <w:spacing w:line="360" w:lineRule="auto"/>
            <w:rPr>
              <w:rFonts w:ascii="Arial" w:hAnsi="Arial" w:cs="Arial"/>
              <w:color w:val="000000" w:themeColor="text1"/>
              <w:sz w:val="24"/>
              <w:szCs w:val="24"/>
            </w:rPr>
          </w:pPr>
          <w:bookmarkStart w:id="8" w:name="_Toc121488487"/>
          <w:r w:rsidRPr="00DD1651">
            <w:rPr>
              <w:rFonts w:ascii="Arial" w:hAnsi="Arial" w:cs="Arial"/>
              <w:color w:val="000000" w:themeColor="text1"/>
              <w:sz w:val="24"/>
              <w:szCs w:val="24"/>
            </w:rPr>
            <w:t>Current</w:t>
          </w:r>
          <w:r w:rsidR="00E618E0" w:rsidRPr="00DD1651">
            <w:rPr>
              <w:rFonts w:ascii="Arial" w:hAnsi="Arial" w:cs="Arial"/>
              <w:color w:val="000000" w:themeColor="text1"/>
              <w:sz w:val="24"/>
              <w:szCs w:val="24"/>
            </w:rPr>
            <w:t xml:space="preserve"> Ratio</w:t>
          </w:r>
          <w:bookmarkEnd w:id="8"/>
        </w:p>
        <w:p w14:paraId="25ED4EED" w14:textId="77777777" w:rsidR="00D661E4" w:rsidRPr="00DD1651" w:rsidRDefault="00D661E4"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This ratio shows how much ratio of total current assets could be used as a payment against operating expenses. It needs to be used maintaining balance between liquidity and profitability because too high reserves could risk it with theft</w:t>
          </w:r>
          <w:r w:rsidR="00CF77D4" w:rsidRPr="00DD1651">
            <w:rPr>
              <w:rFonts w:ascii="Arial" w:hAnsi="Arial" w:cs="Arial"/>
              <w:color w:val="000000" w:themeColor="text1"/>
              <w:sz w:val="24"/>
              <w:szCs w:val="24"/>
            </w:rPr>
            <w:t>, obsolescence,</w:t>
          </w:r>
          <w:r w:rsidRPr="00DD1651">
            <w:rPr>
              <w:rFonts w:ascii="Arial" w:hAnsi="Arial" w:cs="Arial"/>
              <w:color w:val="000000" w:themeColor="text1"/>
              <w:sz w:val="24"/>
              <w:szCs w:val="24"/>
            </w:rPr>
            <w:t xml:space="preserve"> and other losses types (</w:t>
          </w:r>
          <w:proofErr w:type="spellStart"/>
          <w:r w:rsidRPr="00DD1651">
            <w:rPr>
              <w:rFonts w:ascii="Arial" w:hAnsi="Arial" w:cs="Arial"/>
              <w:color w:val="000000" w:themeColor="text1"/>
              <w:sz w:val="24"/>
              <w:szCs w:val="24"/>
              <w:shd w:val="clear" w:color="auto" w:fill="FFFFFF"/>
            </w:rPr>
            <w:t>ur</w:t>
          </w:r>
          <w:proofErr w:type="spellEnd"/>
          <w:r w:rsidRPr="00DD1651">
            <w:rPr>
              <w:rFonts w:ascii="Arial" w:hAnsi="Arial" w:cs="Arial"/>
              <w:color w:val="000000" w:themeColor="text1"/>
              <w:sz w:val="24"/>
              <w:szCs w:val="24"/>
              <w:shd w:val="clear" w:color="auto" w:fill="FFFFFF"/>
            </w:rPr>
            <w:t xml:space="preserve"> Rahman, Iqbal, and Nadeem, 2019)</w:t>
          </w:r>
          <w:r w:rsidRPr="00DD1651">
            <w:rPr>
              <w:rFonts w:ascii="Arial" w:hAnsi="Arial" w:cs="Arial"/>
              <w:color w:val="000000" w:themeColor="text1"/>
              <w:sz w:val="24"/>
              <w:szCs w:val="24"/>
            </w:rPr>
            <w:t>. On the other hand, low reserves could mean disruptions in supply chain because of firm’s ability to source labour or raw material.</w:t>
          </w:r>
        </w:p>
        <w:p w14:paraId="1BF9A5B4" w14:textId="77777777" w:rsidR="004D519C" w:rsidRPr="00DD1651" w:rsidRDefault="004D519C" w:rsidP="00227D45">
          <w:pPr>
            <w:pStyle w:val="Heading2"/>
            <w:spacing w:line="360" w:lineRule="auto"/>
            <w:rPr>
              <w:rFonts w:ascii="Arial" w:hAnsi="Arial" w:cs="Arial"/>
              <w:b/>
              <w:bCs/>
              <w:color w:val="000000" w:themeColor="text1"/>
              <w:sz w:val="24"/>
              <w:szCs w:val="24"/>
            </w:rPr>
          </w:pPr>
          <w:bookmarkStart w:id="9" w:name="_Toc121488488"/>
          <w:r w:rsidRPr="00DD1651">
            <w:rPr>
              <w:rFonts w:ascii="Arial" w:hAnsi="Arial" w:cs="Arial"/>
              <w:b/>
              <w:bCs/>
              <w:color w:val="000000" w:themeColor="text1"/>
              <w:sz w:val="24"/>
              <w:szCs w:val="24"/>
            </w:rPr>
            <w:t>Gearing</w:t>
          </w:r>
          <w:bookmarkEnd w:id="9"/>
        </w:p>
        <w:p w14:paraId="5356A86E" w14:textId="77777777" w:rsidR="00D661E4" w:rsidRPr="00DD1651" w:rsidRDefault="00D661E4"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Gearing is the ratio that reveals influx of debt in firm’s total capital, it is important because a debt capital costs lower than an equity capital. However, requires fixed payment on annual bases in cash and the rate of this payment depends on the risk of firm’s gearing</w:t>
          </w:r>
          <w:r w:rsidR="00CF77D4" w:rsidRPr="00DD1651">
            <w:rPr>
              <w:rFonts w:ascii="Arial" w:hAnsi="Arial" w:cs="Arial"/>
              <w:color w:val="000000" w:themeColor="text1"/>
              <w:sz w:val="24"/>
              <w:szCs w:val="24"/>
            </w:rPr>
            <w:t xml:space="preserve"> (</w:t>
          </w:r>
          <w:proofErr w:type="spellStart"/>
          <w:r w:rsidR="00CF77D4" w:rsidRPr="00DD1651">
            <w:rPr>
              <w:rFonts w:ascii="Arial" w:hAnsi="Arial" w:cs="Arial"/>
              <w:color w:val="000000" w:themeColor="text1"/>
              <w:sz w:val="24"/>
              <w:szCs w:val="24"/>
              <w:shd w:val="clear" w:color="auto" w:fill="FFFFFF"/>
            </w:rPr>
            <w:t>Effiong</w:t>
          </w:r>
          <w:proofErr w:type="spellEnd"/>
          <w:r w:rsidR="00CF77D4" w:rsidRPr="00DD1651">
            <w:rPr>
              <w:rFonts w:ascii="Arial" w:hAnsi="Arial" w:cs="Arial"/>
              <w:color w:val="000000" w:themeColor="text1"/>
              <w:sz w:val="24"/>
              <w:szCs w:val="24"/>
              <w:shd w:val="clear" w:color="auto" w:fill="FFFFFF"/>
            </w:rPr>
            <w:t xml:space="preserve">, </w:t>
          </w:r>
          <w:proofErr w:type="spellStart"/>
          <w:r w:rsidR="00CF77D4" w:rsidRPr="00DD1651">
            <w:rPr>
              <w:rFonts w:ascii="Arial" w:hAnsi="Arial" w:cs="Arial"/>
              <w:color w:val="000000" w:themeColor="text1"/>
              <w:sz w:val="24"/>
              <w:szCs w:val="24"/>
              <w:shd w:val="clear" w:color="auto" w:fill="FFFFFF"/>
            </w:rPr>
            <w:t>Asuquo</w:t>
          </w:r>
          <w:proofErr w:type="spellEnd"/>
          <w:r w:rsidR="00CF77D4" w:rsidRPr="00DD1651">
            <w:rPr>
              <w:rFonts w:ascii="Arial" w:hAnsi="Arial" w:cs="Arial"/>
              <w:color w:val="000000" w:themeColor="text1"/>
              <w:sz w:val="24"/>
              <w:szCs w:val="24"/>
              <w:shd w:val="clear" w:color="auto" w:fill="FFFFFF"/>
            </w:rPr>
            <w:t>, and Enya, 2020)</w:t>
          </w:r>
          <w:r w:rsidRPr="00DD1651">
            <w:rPr>
              <w:rFonts w:ascii="Arial" w:hAnsi="Arial" w:cs="Arial"/>
              <w:color w:val="000000" w:themeColor="text1"/>
              <w:sz w:val="24"/>
              <w:szCs w:val="24"/>
            </w:rPr>
            <w:t>. Higher the gearing levels, higher the rate and more the chances of bankruptcy. The reason, interest payment is enforceable by law. That is why this ratio is also called firm’s leverage, to use a cheaper source of finance and stop using it before the limit, after which a higher rate of interest is going to be put upon firm.</w:t>
          </w:r>
        </w:p>
        <w:p w14:paraId="3E886D16" w14:textId="77777777" w:rsidR="00E618E0" w:rsidRPr="00DD1651" w:rsidRDefault="00E618E0" w:rsidP="00227D45">
          <w:pPr>
            <w:pStyle w:val="Heading3"/>
            <w:spacing w:line="360" w:lineRule="auto"/>
            <w:rPr>
              <w:rFonts w:ascii="Arial" w:hAnsi="Arial" w:cs="Arial"/>
              <w:color w:val="000000" w:themeColor="text1"/>
              <w:sz w:val="24"/>
              <w:szCs w:val="24"/>
            </w:rPr>
          </w:pPr>
          <w:bookmarkStart w:id="10" w:name="_Toc121488489"/>
          <w:r w:rsidRPr="00DD1651">
            <w:rPr>
              <w:rFonts w:ascii="Arial" w:hAnsi="Arial" w:cs="Arial"/>
              <w:color w:val="000000" w:themeColor="text1"/>
              <w:sz w:val="24"/>
              <w:szCs w:val="24"/>
            </w:rPr>
            <w:t>Debt to equity ratio</w:t>
          </w:r>
          <w:bookmarkEnd w:id="10"/>
        </w:p>
        <w:p w14:paraId="12CDB8C4" w14:textId="77777777" w:rsidR="00CF77D4" w:rsidRPr="00DD1651" w:rsidRDefault="00CF77D4"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This ratio reveals a break-up of firm’s capital structure between equity and debt finance. It is an important ratio because based upon it; the firm could reduce high risk of gearing against going concern assumption. Moreover, investors and banks use this ratio to offer sources of funds to organisation.</w:t>
          </w:r>
        </w:p>
        <w:p w14:paraId="7935ED86" w14:textId="77777777" w:rsidR="00D661E4" w:rsidRPr="00DD1651" w:rsidRDefault="001446A5" w:rsidP="00227D45">
          <w:pPr>
            <w:spacing w:line="360" w:lineRule="auto"/>
            <w:rPr>
              <w:rFonts w:ascii="Arial" w:hAnsi="Arial" w:cs="Arial"/>
              <w:color w:val="000000" w:themeColor="text1"/>
              <w:sz w:val="24"/>
              <w:szCs w:val="24"/>
            </w:rPr>
          </w:pPr>
          <w:r w:rsidRPr="00DD1651">
            <w:rPr>
              <w:rFonts w:ascii="Arial" w:hAnsi="Arial" w:cs="Arial"/>
              <w:noProof/>
              <w:color w:val="000000" w:themeColor="text1"/>
              <w:sz w:val="24"/>
              <w:szCs w:val="24"/>
              <w:lang w:eastAsia="en-GB"/>
            </w:rPr>
            <w:drawing>
              <wp:inline distT="0" distB="0" distL="0" distR="0" wp14:anchorId="2353FBEB" wp14:editId="67F424B6">
                <wp:extent cx="5731510" cy="3040884"/>
                <wp:effectExtent l="19050" t="0" r="21590" b="7116"/>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4E621F8" w14:textId="77777777" w:rsidR="00AA2A91" w:rsidRPr="00DD1651" w:rsidRDefault="00AA2A91" w:rsidP="00805A14">
          <w:pPr>
            <w:pStyle w:val="Heading1"/>
            <w:rPr>
              <w:rFonts w:ascii="Arial" w:hAnsi="Arial" w:cs="Arial"/>
            </w:rPr>
          </w:pPr>
          <w:bookmarkStart w:id="11" w:name="_Toc121488490"/>
          <w:r w:rsidRPr="00DD1651">
            <w:rPr>
              <w:rFonts w:ascii="Arial" w:hAnsi="Arial" w:cs="Arial"/>
            </w:rPr>
            <w:t>Knowledge from Ratio Analysis</w:t>
          </w:r>
          <w:bookmarkEnd w:id="11"/>
        </w:p>
        <w:p w14:paraId="2BB1FD56" w14:textId="77777777" w:rsidR="00C9512E" w:rsidRPr="00DD1651" w:rsidRDefault="00C9512E" w:rsidP="00DD1651">
          <w:pPr>
            <w:spacing w:line="360" w:lineRule="auto"/>
            <w:ind w:firstLine="720"/>
            <w:jc w:val="both"/>
            <w:rPr>
              <w:rFonts w:ascii="Arial" w:hAnsi="Arial" w:cs="Arial"/>
              <w:color w:val="000000" w:themeColor="text1"/>
              <w:sz w:val="24"/>
              <w:szCs w:val="24"/>
              <w:shd w:val="clear" w:color="auto" w:fill="FFFFFF"/>
            </w:rPr>
          </w:pPr>
          <w:r w:rsidRPr="00DD1651">
            <w:rPr>
              <w:rFonts w:ascii="Arial" w:hAnsi="Arial" w:cs="Arial"/>
              <w:color w:val="000000" w:themeColor="text1"/>
              <w:sz w:val="24"/>
              <w:szCs w:val="24"/>
            </w:rPr>
            <w:t xml:space="preserve">If the </w:t>
          </w:r>
          <w:r w:rsidR="001446A5" w:rsidRPr="00DD1651">
            <w:rPr>
              <w:rFonts w:ascii="Arial" w:hAnsi="Arial" w:cs="Arial"/>
              <w:color w:val="000000" w:themeColor="text1"/>
              <w:sz w:val="24"/>
              <w:szCs w:val="24"/>
            </w:rPr>
            <w:t>chart</w:t>
          </w:r>
          <w:r w:rsidRPr="00DD1651">
            <w:rPr>
              <w:rFonts w:ascii="Arial" w:hAnsi="Arial" w:cs="Arial"/>
              <w:color w:val="000000" w:themeColor="text1"/>
              <w:sz w:val="24"/>
              <w:szCs w:val="24"/>
            </w:rPr>
            <w:t xml:space="preserve"> contrived above is looked through</w:t>
          </w:r>
          <w:r w:rsidR="001446A5" w:rsidRPr="00DD1651">
            <w:rPr>
              <w:rFonts w:ascii="Arial" w:hAnsi="Arial" w:cs="Arial"/>
              <w:color w:val="000000" w:themeColor="text1"/>
              <w:sz w:val="24"/>
              <w:szCs w:val="24"/>
            </w:rPr>
            <w:t>,</w:t>
          </w:r>
          <w:r w:rsidRPr="00DD1651">
            <w:rPr>
              <w:rFonts w:ascii="Arial" w:hAnsi="Arial" w:cs="Arial"/>
              <w:color w:val="000000" w:themeColor="text1"/>
              <w:sz w:val="24"/>
              <w:szCs w:val="24"/>
            </w:rPr>
            <w:t xml:space="preserve"> it could be seen that well-connected trend is arising. Assets and there triggers in the shape of gross margin are changing positively, whereas debt ratio is falling. This mixed combination is not opposing each other; it is rather augmenting each other and overall leaving a positive influence upon the Marriot group’s performance. According to </w:t>
          </w:r>
          <w:proofErr w:type="spellStart"/>
          <w:r w:rsidRPr="00DD1651">
            <w:rPr>
              <w:rFonts w:ascii="Arial" w:hAnsi="Arial" w:cs="Arial"/>
              <w:color w:val="000000" w:themeColor="text1"/>
              <w:sz w:val="24"/>
              <w:szCs w:val="24"/>
              <w:shd w:val="clear" w:color="auto" w:fill="FFFFFF"/>
            </w:rPr>
            <w:t>Effiong</w:t>
          </w:r>
          <w:proofErr w:type="spellEnd"/>
          <w:r w:rsidRPr="00DD1651">
            <w:rPr>
              <w:rFonts w:ascii="Arial" w:hAnsi="Arial" w:cs="Arial"/>
              <w:color w:val="000000" w:themeColor="text1"/>
              <w:sz w:val="24"/>
              <w:szCs w:val="24"/>
              <w:shd w:val="clear" w:color="auto" w:fill="FFFFFF"/>
            </w:rPr>
            <w:t xml:space="preserve"> </w:t>
          </w:r>
          <w:proofErr w:type="spellStart"/>
          <w:r w:rsidRPr="00DD1651">
            <w:rPr>
              <w:rFonts w:ascii="Arial" w:hAnsi="Arial" w:cs="Arial"/>
              <w:color w:val="000000" w:themeColor="text1"/>
              <w:sz w:val="24"/>
              <w:szCs w:val="24"/>
              <w:shd w:val="clear" w:color="auto" w:fill="FFFFFF"/>
            </w:rPr>
            <w:t>Asuquo</w:t>
          </w:r>
          <w:proofErr w:type="spellEnd"/>
          <w:r w:rsidRPr="00DD1651">
            <w:rPr>
              <w:rFonts w:ascii="Arial" w:hAnsi="Arial" w:cs="Arial"/>
              <w:color w:val="000000" w:themeColor="text1"/>
              <w:sz w:val="24"/>
              <w:szCs w:val="24"/>
              <w:shd w:val="clear" w:color="auto" w:fill="FFFFFF"/>
            </w:rPr>
            <w:t xml:space="preserve"> and Enya (2020), higher integration of debt capital in a firm could lower its liquidity because of increased finance charge payment and its need to be paid in cash. The fall in the ratio is thus going with higher financial performance. </w:t>
          </w:r>
        </w:p>
        <w:p w14:paraId="6650A8B4" w14:textId="77777777" w:rsidR="00AA2A91" w:rsidRPr="00DD1651" w:rsidRDefault="00C9512E" w:rsidP="00DD1651">
          <w:pPr>
            <w:spacing w:line="360" w:lineRule="auto"/>
            <w:ind w:firstLine="720"/>
            <w:jc w:val="both"/>
            <w:rPr>
              <w:rFonts w:ascii="Arial" w:hAnsi="Arial" w:cs="Arial"/>
              <w:color w:val="000000" w:themeColor="text1"/>
              <w:sz w:val="24"/>
              <w:szCs w:val="24"/>
            </w:rPr>
          </w:pPr>
          <w:r w:rsidRPr="00DD1651">
            <w:rPr>
              <w:rFonts w:ascii="Arial" w:hAnsi="Arial" w:cs="Arial"/>
              <w:color w:val="000000" w:themeColor="text1"/>
              <w:sz w:val="24"/>
              <w:szCs w:val="24"/>
            </w:rPr>
            <w:t>I</w:t>
          </w:r>
          <w:r w:rsidR="001446A5" w:rsidRPr="00DD1651">
            <w:rPr>
              <w:rFonts w:ascii="Arial" w:hAnsi="Arial" w:cs="Arial"/>
              <w:color w:val="000000" w:themeColor="text1"/>
              <w:sz w:val="24"/>
              <w:szCs w:val="24"/>
            </w:rPr>
            <w:t xml:space="preserve">t could be seen that the Marriot PLC in the year 22021 has reduced its debt to equity ratio because of a positive change in gross margin. The change is around 6.2%, </w:t>
          </w:r>
          <w:r w:rsidR="00711F34" w:rsidRPr="00DD1651">
            <w:rPr>
              <w:rFonts w:ascii="Arial" w:hAnsi="Arial" w:cs="Arial"/>
              <w:color w:val="000000" w:themeColor="text1"/>
              <w:sz w:val="24"/>
              <w:szCs w:val="24"/>
            </w:rPr>
            <w:t xml:space="preserve">upon close review, it could be seen </w:t>
          </w:r>
          <w:r w:rsidR="001446A5" w:rsidRPr="00DD1651">
            <w:rPr>
              <w:rFonts w:ascii="Arial" w:hAnsi="Arial" w:cs="Arial"/>
              <w:color w:val="000000" w:themeColor="text1"/>
              <w:sz w:val="24"/>
              <w:szCs w:val="24"/>
            </w:rPr>
            <w:t xml:space="preserve">that costs of sales have </w:t>
          </w:r>
          <w:r w:rsidR="00711F34" w:rsidRPr="00DD1651">
            <w:rPr>
              <w:rFonts w:ascii="Arial" w:hAnsi="Arial" w:cs="Arial"/>
              <w:color w:val="000000" w:themeColor="text1"/>
              <w:sz w:val="24"/>
              <w:szCs w:val="24"/>
            </w:rPr>
            <w:t xml:space="preserve">inclined by 21.33%, whereas </w:t>
          </w:r>
          <w:r w:rsidR="001446A5" w:rsidRPr="00DD1651">
            <w:rPr>
              <w:rFonts w:ascii="Arial" w:hAnsi="Arial" w:cs="Arial"/>
              <w:color w:val="000000" w:themeColor="text1"/>
              <w:sz w:val="24"/>
              <w:szCs w:val="24"/>
            </w:rPr>
            <w:t xml:space="preserve">revenues </w:t>
          </w:r>
          <w:r w:rsidR="00711F34" w:rsidRPr="00DD1651">
            <w:rPr>
              <w:rFonts w:ascii="Arial" w:hAnsi="Arial" w:cs="Arial"/>
              <w:color w:val="000000" w:themeColor="text1"/>
              <w:sz w:val="24"/>
              <w:szCs w:val="24"/>
            </w:rPr>
            <w:t xml:space="preserve">have </w:t>
          </w:r>
          <w:r w:rsidR="001446A5" w:rsidRPr="00DD1651">
            <w:rPr>
              <w:rFonts w:ascii="Arial" w:hAnsi="Arial" w:cs="Arial"/>
              <w:color w:val="000000" w:themeColor="text1"/>
              <w:sz w:val="24"/>
              <w:szCs w:val="24"/>
            </w:rPr>
            <w:t>increased</w:t>
          </w:r>
          <w:r w:rsidR="00711F34" w:rsidRPr="00DD1651">
            <w:rPr>
              <w:rFonts w:ascii="Arial" w:hAnsi="Arial" w:cs="Arial"/>
              <w:color w:val="000000" w:themeColor="text1"/>
              <w:sz w:val="24"/>
              <w:szCs w:val="24"/>
            </w:rPr>
            <w:t xml:space="preserve"> by 31.085%</w:t>
          </w:r>
          <w:r w:rsidR="001446A5" w:rsidRPr="00DD1651">
            <w:rPr>
              <w:rFonts w:ascii="Arial" w:hAnsi="Arial" w:cs="Arial"/>
              <w:color w:val="000000" w:themeColor="text1"/>
              <w:sz w:val="24"/>
              <w:szCs w:val="24"/>
            </w:rPr>
            <w:t>.</w:t>
          </w:r>
          <w:r w:rsidR="00711F34" w:rsidRPr="00DD1651">
            <w:rPr>
              <w:rFonts w:ascii="Arial" w:hAnsi="Arial" w:cs="Arial"/>
              <w:color w:val="000000" w:themeColor="text1"/>
              <w:sz w:val="24"/>
              <w:szCs w:val="24"/>
            </w:rPr>
            <w:t xml:space="preserve"> These figures on one hand are generating cash and receivables, which is </w:t>
          </w:r>
          <w:r w:rsidR="00227D45" w:rsidRPr="00DD1651">
            <w:rPr>
              <w:rFonts w:ascii="Arial" w:hAnsi="Arial" w:cs="Arial"/>
              <w:color w:val="000000" w:themeColor="text1"/>
              <w:sz w:val="24"/>
              <w:szCs w:val="24"/>
            </w:rPr>
            <w:t>why;</w:t>
          </w:r>
          <w:r w:rsidR="00711F34" w:rsidRPr="00DD1651">
            <w:rPr>
              <w:rFonts w:ascii="Arial" w:hAnsi="Arial" w:cs="Arial"/>
              <w:color w:val="000000" w:themeColor="text1"/>
              <w:sz w:val="24"/>
              <w:szCs w:val="24"/>
            </w:rPr>
            <w:t xml:space="preserve"> current ratio has improved by 16.23%</w:t>
          </w:r>
          <w:r w:rsidRPr="00DD1651">
            <w:rPr>
              <w:rFonts w:ascii="Arial" w:hAnsi="Arial" w:cs="Arial"/>
              <w:color w:val="000000" w:themeColor="text1"/>
              <w:sz w:val="24"/>
              <w:szCs w:val="24"/>
            </w:rPr>
            <w:t>. The reason is that inventory’s sales has gotten better and receipt of cash inflow from operations has expanded.</w:t>
          </w:r>
          <w:r w:rsidR="00711F34" w:rsidRPr="00DD1651">
            <w:rPr>
              <w:rFonts w:ascii="Arial" w:hAnsi="Arial" w:cs="Arial"/>
              <w:color w:val="000000" w:themeColor="text1"/>
              <w:sz w:val="24"/>
              <w:szCs w:val="24"/>
            </w:rPr>
            <w:t xml:space="preserve"> </w:t>
          </w:r>
          <w:r w:rsidRPr="00DD1651">
            <w:rPr>
              <w:rFonts w:ascii="Arial" w:hAnsi="Arial" w:cs="Arial"/>
              <w:color w:val="000000" w:themeColor="text1"/>
              <w:sz w:val="24"/>
              <w:szCs w:val="24"/>
            </w:rPr>
            <w:t>O</w:t>
          </w:r>
          <w:r w:rsidR="00711F34" w:rsidRPr="00DD1651">
            <w:rPr>
              <w:rFonts w:ascii="Arial" w:hAnsi="Arial" w:cs="Arial"/>
              <w:color w:val="000000" w:themeColor="text1"/>
              <w:sz w:val="24"/>
              <w:szCs w:val="24"/>
            </w:rPr>
            <w:t>n the other hand</w:t>
          </w:r>
          <w:r w:rsidRPr="00DD1651">
            <w:rPr>
              <w:rFonts w:ascii="Arial" w:hAnsi="Arial" w:cs="Arial"/>
              <w:color w:val="000000" w:themeColor="text1"/>
              <w:sz w:val="24"/>
              <w:szCs w:val="24"/>
            </w:rPr>
            <w:t xml:space="preserve">, varied change in sales </w:t>
          </w:r>
          <w:r w:rsidR="00227D45" w:rsidRPr="00DD1651">
            <w:rPr>
              <w:rFonts w:ascii="Arial" w:hAnsi="Arial" w:cs="Arial"/>
              <w:color w:val="000000" w:themeColor="text1"/>
              <w:sz w:val="24"/>
              <w:szCs w:val="24"/>
            </w:rPr>
            <w:t>and cost</w:t>
          </w:r>
          <w:r w:rsidRPr="00DD1651">
            <w:rPr>
              <w:rFonts w:ascii="Arial" w:hAnsi="Arial" w:cs="Arial"/>
              <w:color w:val="000000" w:themeColor="text1"/>
              <w:sz w:val="24"/>
              <w:szCs w:val="24"/>
            </w:rPr>
            <w:t xml:space="preserve"> of sales </w:t>
          </w:r>
          <w:r w:rsidR="00711F34" w:rsidRPr="00DD1651">
            <w:rPr>
              <w:rFonts w:ascii="Arial" w:hAnsi="Arial" w:cs="Arial"/>
              <w:color w:val="000000" w:themeColor="text1"/>
              <w:sz w:val="24"/>
              <w:szCs w:val="24"/>
            </w:rPr>
            <w:t>are yielding a difference of about 9.5%, some of which have been retained as</w:t>
          </w:r>
          <w:r w:rsidR="001446A5" w:rsidRPr="00DD1651">
            <w:rPr>
              <w:rFonts w:ascii="Arial" w:hAnsi="Arial" w:cs="Arial"/>
              <w:color w:val="000000" w:themeColor="text1"/>
              <w:sz w:val="24"/>
              <w:szCs w:val="24"/>
            </w:rPr>
            <w:t xml:space="preserve"> retained</w:t>
          </w:r>
          <w:r w:rsidR="00711F34" w:rsidRPr="00DD1651">
            <w:rPr>
              <w:rFonts w:ascii="Arial" w:hAnsi="Arial" w:cs="Arial"/>
              <w:color w:val="000000" w:themeColor="text1"/>
              <w:sz w:val="24"/>
              <w:szCs w:val="24"/>
            </w:rPr>
            <w:t xml:space="preserve"> earnings</w:t>
          </w:r>
          <w:r w:rsidR="001446A5" w:rsidRPr="00DD1651">
            <w:rPr>
              <w:rFonts w:ascii="Arial" w:hAnsi="Arial" w:cs="Arial"/>
              <w:color w:val="000000" w:themeColor="text1"/>
              <w:sz w:val="24"/>
              <w:szCs w:val="24"/>
            </w:rPr>
            <w:t>. Retained capital according to Pecking order theory is the least costly capital</w:t>
          </w:r>
          <w:r w:rsidR="00711F34" w:rsidRPr="00DD1651">
            <w:rPr>
              <w:rFonts w:ascii="Arial" w:hAnsi="Arial" w:cs="Arial"/>
              <w:color w:val="000000" w:themeColor="text1"/>
              <w:sz w:val="24"/>
              <w:szCs w:val="24"/>
            </w:rPr>
            <w:t>, and is thus called equity capital because the owners of Marriot have retained it; this capital has been used for paying off debt. That is why; debt to equity ratio has also reduced</w:t>
          </w:r>
          <w:r w:rsidR="001446A5" w:rsidRPr="00DD1651">
            <w:rPr>
              <w:rFonts w:ascii="Arial" w:hAnsi="Arial" w:cs="Arial"/>
              <w:color w:val="000000" w:themeColor="text1"/>
              <w:sz w:val="24"/>
              <w:szCs w:val="24"/>
            </w:rPr>
            <w:t xml:space="preserve"> </w:t>
          </w:r>
          <w:r w:rsidR="00711F34" w:rsidRPr="00DD1651">
            <w:rPr>
              <w:rFonts w:ascii="Arial" w:hAnsi="Arial" w:cs="Arial"/>
              <w:color w:val="000000" w:themeColor="text1"/>
              <w:sz w:val="24"/>
              <w:szCs w:val="24"/>
            </w:rPr>
            <w:t>to 7.71% from 24.12 in 2020.</w:t>
          </w:r>
          <w:r w:rsidR="001446A5" w:rsidRPr="00DD1651">
            <w:rPr>
              <w:rFonts w:ascii="Arial" w:hAnsi="Arial" w:cs="Arial"/>
              <w:color w:val="000000" w:themeColor="text1"/>
              <w:sz w:val="24"/>
              <w:szCs w:val="24"/>
            </w:rPr>
            <w:t xml:space="preserve"> </w:t>
          </w:r>
        </w:p>
        <w:p w14:paraId="3F64E0C6" w14:textId="77777777" w:rsidR="00AA2A91" w:rsidRPr="00DD1651" w:rsidRDefault="00AA2A91" w:rsidP="00805A14">
          <w:pPr>
            <w:pStyle w:val="Heading1"/>
            <w:rPr>
              <w:rFonts w:ascii="Arial" w:hAnsi="Arial" w:cs="Arial"/>
            </w:rPr>
          </w:pPr>
          <w:bookmarkStart w:id="12" w:name="_Toc121488491"/>
          <w:r w:rsidRPr="00DD1651">
            <w:rPr>
              <w:rFonts w:ascii="Arial" w:hAnsi="Arial" w:cs="Arial"/>
            </w:rPr>
            <w:t>Benefits and Limitations of Ratio Analysis</w:t>
          </w:r>
          <w:bookmarkEnd w:id="12"/>
        </w:p>
        <w:p w14:paraId="1C0FEE8A" w14:textId="77777777" w:rsidR="004D519C" w:rsidRPr="00DD1651" w:rsidRDefault="00C9512E" w:rsidP="00DD1651">
          <w:pPr>
            <w:spacing w:line="360" w:lineRule="auto"/>
            <w:ind w:firstLine="720"/>
            <w:jc w:val="both"/>
            <w:rPr>
              <w:rFonts w:ascii="Arial" w:hAnsi="Arial" w:cs="Arial"/>
              <w:color w:val="000000" w:themeColor="text1"/>
              <w:sz w:val="24"/>
              <w:szCs w:val="24"/>
            </w:rPr>
          </w:pPr>
          <w:r w:rsidRPr="00DD1651">
            <w:rPr>
              <w:rFonts w:ascii="Arial" w:hAnsi="Arial" w:cs="Arial"/>
              <w:color w:val="000000" w:themeColor="text1"/>
              <w:sz w:val="24"/>
              <w:szCs w:val="24"/>
            </w:rPr>
            <w:t xml:space="preserve">The ratios are more than a mix-up of a formula, the reason is the formulas is made up of an accounting head that is appearing in the financial statements and as these financial statements are a by-product of double entry book keeping system. Therefore, a change in one head means change in the other head of account. For instance, in the chart above, gross margin increased because sales increased, and cost of sales reduced. Sales were increased because Marriot is offering value adding services and eliminating non-value adding activities. It is sourcing only needed inventory and thus reducing the need of cash in operations and attracting </w:t>
          </w:r>
          <w:r w:rsidR="00DE47CD" w:rsidRPr="00DD1651">
            <w:rPr>
              <w:rFonts w:ascii="Arial" w:hAnsi="Arial" w:cs="Arial"/>
              <w:color w:val="000000" w:themeColor="text1"/>
              <w:sz w:val="24"/>
              <w:szCs w:val="24"/>
            </w:rPr>
            <w:t xml:space="preserve">quicker payment (accounts receivables) from </w:t>
          </w:r>
          <w:r w:rsidRPr="00DD1651">
            <w:rPr>
              <w:rFonts w:ascii="Arial" w:hAnsi="Arial" w:cs="Arial"/>
              <w:color w:val="000000" w:themeColor="text1"/>
              <w:sz w:val="24"/>
              <w:szCs w:val="24"/>
            </w:rPr>
            <w:t>customers</w:t>
          </w:r>
          <w:r w:rsidR="007E65A6" w:rsidRPr="00DD1651">
            <w:rPr>
              <w:rFonts w:ascii="Arial" w:hAnsi="Arial" w:cs="Arial"/>
              <w:color w:val="000000" w:themeColor="text1"/>
              <w:sz w:val="24"/>
              <w:szCs w:val="24"/>
            </w:rPr>
            <w:t xml:space="preserve"> (</w:t>
          </w:r>
          <w:proofErr w:type="spellStart"/>
          <w:r w:rsidR="007E65A6" w:rsidRPr="00DD1651">
            <w:rPr>
              <w:rFonts w:ascii="Arial" w:hAnsi="Arial" w:cs="Arial"/>
              <w:color w:val="000000" w:themeColor="text1"/>
              <w:sz w:val="24"/>
              <w:szCs w:val="24"/>
              <w:shd w:val="clear" w:color="auto" w:fill="FFFFFF"/>
            </w:rPr>
            <w:t>Keasey</w:t>
          </w:r>
          <w:proofErr w:type="spellEnd"/>
          <w:r w:rsidR="007E65A6" w:rsidRPr="00DD1651">
            <w:rPr>
              <w:rFonts w:ascii="Arial" w:hAnsi="Arial" w:cs="Arial"/>
              <w:color w:val="000000" w:themeColor="text1"/>
              <w:sz w:val="24"/>
              <w:szCs w:val="24"/>
              <w:shd w:val="clear" w:color="auto" w:fill="FFFFFF"/>
            </w:rPr>
            <w:t>, and Watson, 2019)</w:t>
          </w:r>
          <w:r w:rsidR="00DE47CD" w:rsidRPr="00DD1651">
            <w:rPr>
              <w:rFonts w:ascii="Arial" w:hAnsi="Arial" w:cs="Arial"/>
              <w:color w:val="000000" w:themeColor="text1"/>
              <w:sz w:val="24"/>
              <w:szCs w:val="24"/>
            </w:rPr>
            <w:t>. Inclined sales are also widening cash</w:t>
          </w:r>
          <w:r w:rsidRPr="00DD1651">
            <w:rPr>
              <w:rFonts w:ascii="Arial" w:hAnsi="Arial" w:cs="Arial"/>
              <w:color w:val="000000" w:themeColor="text1"/>
              <w:sz w:val="24"/>
              <w:szCs w:val="24"/>
            </w:rPr>
            <w:t xml:space="preserve"> </w:t>
          </w:r>
          <w:r w:rsidR="00DE47CD" w:rsidRPr="00DD1651">
            <w:rPr>
              <w:rFonts w:ascii="Arial" w:hAnsi="Arial" w:cs="Arial"/>
              <w:color w:val="000000" w:themeColor="text1"/>
              <w:sz w:val="24"/>
              <w:szCs w:val="24"/>
            </w:rPr>
            <w:t xml:space="preserve">on hand, a change of 58.83% in 2021 from 2020, because more customers are becoming attracted to brand because of increased brand rating on social media. Increased cash on hand is being as CAPEX or paying off debt capital, which is increasing return on assets as finance expenses are lowering. </w:t>
          </w:r>
        </w:p>
        <w:p w14:paraId="2A3ED91C" w14:textId="77777777" w:rsidR="00DE47CD" w:rsidRPr="00DD1651" w:rsidRDefault="00DE47CD" w:rsidP="00DD1651">
          <w:pPr>
            <w:spacing w:line="360" w:lineRule="auto"/>
            <w:ind w:firstLine="720"/>
            <w:jc w:val="both"/>
            <w:rPr>
              <w:rFonts w:ascii="Arial" w:hAnsi="Arial" w:cs="Arial"/>
              <w:color w:val="000000" w:themeColor="text1"/>
              <w:sz w:val="24"/>
              <w:szCs w:val="24"/>
            </w:rPr>
          </w:pPr>
          <w:r w:rsidRPr="00DD1651">
            <w:rPr>
              <w:rFonts w:ascii="Arial" w:hAnsi="Arial" w:cs="Arial"/>
              <w:color w:val="000000" w:themeColor="text1"/>
              <w:sz w:val="24"/>
              <w:szCs w:val="24"/>
            </w:rPr>
            <w:t>While the management could directly determine a trend in financial statements by comparing periodic figures of each head of account</w:t>
          </w:r>
          <w:r w:rsidR="00DC64E9" w:rsidRPr="00DD1651">
            <w:rPr>
              <w:rFonts w:ascii="Arial" w:hAnsi="Arial" w:cs="Arial"/>
              <w:color w:val="000000" w:themeColor="text1"/>
              <w:sz w:val="24"/>
              <w:szCs w:val="24"/>
              <w:lang w:val="en-US"/>
            </w:rPr>
            <w:t>, however, ratio analysis permits identification of an abnormal trend between two heads of accounts</w:t>
          </w:r>
          <w:r w:rsidRPr="00DD1651">
            <w:rPr>
              <w:rFonts w:ascii="Arial" w:hAnsi="Arial" w:cs="Arial"/>
              <w:color w:val="000000" w:themeColor="text1"/>
              <w:sz w:val="24"/>
              <w:szCs w:val="24"/>
            </w:rPr>
            <w:t>.</w:t>
          </w:r>
          <w:r w:rsidR="00DC64E9" w:rsidRPr="00DD1651">
            <w:rPr>
              <w:rFonts w:ascii="Arial" w:hAnsi="Arial" w:cs="Arial"/>
              <w:color w:val="000000" w:themeColor="text1"/>
              <w:sz w:val="24"/>
              <w:szCs w:val="24"/>
            </w:rPr>
            <w:t xml:space="preserve"> For example, it would have been odd, if gross profit would have increased </w:t>
          </w:r>
          <w:r w:rsidR="007E65A6" w:rsidRPr="00DD1651">
            <w:rPr>
              <w:rFonts w:ascii="Arial" w:hAnsi="Arial" w:cs="Arial"/>
              <w:color w:val="000000" w:themeColor="text1"/>
              <w:sz w:val="24"/>
              <w:szCs w:val="24"/>
            </w:rPr>
            <w:t xml:space="preserve">but </w:t>
          </w:r>
          <w:r w:rsidR="00DC64E9" w:rsidRPr="00DD1651">
            <w:rPr>
              <w:rFonts w:ascii="Arial" w:hAnsi="Arial" w:cs="Arial"/>
              <w:color w:val="000000" w:themeColor="text1"/>
              <w:sz w:val="24"/>
              <w:szCs w:val="24"/>
            </w:rPr>
            <w:t>cost of sales have grown at a higher pace. The reason is that then it</w:t>
          </w:r>
          <w:r w:rsidR="007E65A6" w:rsidRPr="00DD1651">
            <w:rPr>
              <w:rFonts w:ascii="Arial" w:hAnsi="Arial" w:cs="Arial"/>
              <w:color w:val="000000" w:themeColor="text1"/>
              <w:sz w:val="24"/>
              <w:szCs w:val="24"/>
            </w:rPr>
            <w:t>, would have been highly probable that credit terms had been changed in order to attract customers to the brand. However, the trend would have not been identified because the formula would still have shown widening gross profit (</w:t>
          </w:r>
          <w:proofErr w:type="spellStart"/>
          <w:r w:rsidR="007E65A6" w:rsidRPr="00DD1651">
            <w:rPr>
              <w:rFonts w:ascii="Arial" w:hAnsi="Arial" w:cs="Arial"/>
              <w:color w:val="000000" w:themeColor="text1"/>
              <w:sz w:val="24"/>
              <w:szCs w:val="24"/>
              <w:shd w:val="clear" w:color="auto" w:fill="FFFFFF"/>
            </w:rPr>
            <w:t>Keasey</w:t>
          </w:r>
          <w:proofErr w:type="spellEnd"/>
          <w:r w:rsidR="007E65A6" w:rsidRPr="00DD1651">
            <w:rPr>
              <w:rFonts w:ascii="Arial" w:hAnsi="Arial" w:cs="Arial"/>
              <w:color w:val="000000" w:themeColor="text1"/>
              <w:sz w:val="24"/>
              <w:szCs w:val="24"/>
              <w:shd w:val="clear" w:color="auto" w:fill="FFFFFF"/>
            </w:rPr>
            <w:t>, and Watson, 2019)</w:t>
          </w:r>
          <w:r w:rsidR="007E65A6" w:rsidRPr="00DD1651">
            <w:rPr>
              <w:rFonts w:ascii="Arial" w:hAnsi="Arial" w:cs="Arial"/>
              <w:color w:val="000000" w:themeColor="text1"/>
              <w:sz w:val="24"/>
              <w:szCs w:val="24"/>
            </w:rPr>
            <w:t xml:space="preserve">. </w:t>
          </w:r>
        </w:p>
        <w:p w14:paraId="481BCAC2" w14:textId="77777777" w:rsidR="00AA2A91" w:rsidRPr="00DD1651" w:rsidRDefault="00AA2A91" w:rsidP="00805A14">
          <w:pPr>
            <w:pStyle w:val="Heading1"/>
            <w:rPr>
              <w:rFonts w:ascii="Arial" w:hAnsi="Arial" w:cs="Arial"/>
            </w:rPr>
          </w:pPr>
          <w:bookmarkStart w:id="13" w:name="_Toc121488492"/>
          <w:r w:rsidRPr="00DD1651">
            <w:rPr>
              <w:rFonts w:ascii="Arial" w:hAnsi="Arial" w:cs="Arial"/>
            </w:rPr>
            <w:t>Conclusion</w:t>
          </w:r>
          <w:bookmarkEnd w:id="13"/>
        </w:p>
        <w:p w14:paraId="6D3E482B" w14:textId="534B5E8D" w:rsidR="007E65A6" w:rsidRPr="00DD1651" w:rsidRDefault="007E65A6" w:rsidP="00DD1651">
          <w:pPr>
            <w:spacing w:line="360" w:lineRule="auto"/>
            <w:jc w:val="both"/>
            <w:rPr>
              <w:rFonts w:ascii="Arial" w:hAnsi="Arial" w:cs="Arial"/>
              <w:color w:val="000000" w:themeColor="text1"/>
              <w:sz w:val="24"/>
              <w:szCs w:val="24"/>
            </w:rPr>
          </w:pPr>
          <w:r w:rsidRPr="00DD1651">
            <w:rPr>
              <w:rFonts w:ascii="Arial" w:hAnsi="Arial" w:cs="Arial"/>
              <w:color w:val="000000" w:themeColor="text1"/>
              <w:sz w:val="24"/>
              <w:szCs w:val="24"/>
            </w:rPr>
            <w:tab/>
            <w:t>The report produced above found that the Marriot’s profitability has increased by about 6%</w:t>
          </w:r>
          <w:r w:rsidR="00227D45" w:rsidRPr="00DD1651">
            <w:rPr>
              <w:rFonts w:ascii="Arial" w:hAnsi="Arial" w:cs="Arial"/>
              <w:color w:val="000000" w:themeColor="text1"/>
              <w:sz w:val="24"/>
              <w:szCs w:val="24"/>
            </w:rPr>
            <w:t>;</w:t>
          </w:r>
          <w:r w:rsidRPr="00DD1651">
            <w:rPr>
              <w:rFonts w:ascii="Arial" w:hAnsi="Arial" w:cs="Arial"/>
              <w:color w:val="000000" w:themeColor="text1"/>
              <w:sz w:val="24"/>
              <w:szCs w:val="24"/>
            </w:rPr>
            <w:t xml:space="preserve"> the reason is change in cost of sales being lower than change in revenues. The company has been able to expand its revenues because it is managing its operations </w:t>
          </w:r>
          <w:r w:rsidR="003937A5" w:rsidRPr="00DD1651">
            <w:rPr>
              <w:rFonts w:ascii="Arial" w:hAnsi="Arial" w:cs="Arial"/>
              <w:color w:val="000000" w:themeColor="text1"/>
              <w:sz w:val="24"/>
              <w:szCs w:val="24"/>
            </w:rPr>
            <w:t>well;</w:t>
          </w:r>
          <w:r w:rsidRPr="00DD1651">
            <w:rPr>
              <w:rFonts w:ascii="Arial" w:hAnsi="Arial" w:cs="Arial"/>
              <w:color w:val="000000" w:themeColor="text1"/>
              <w:sz w:val="24"/>
              <w:szCs w:val="24"/>
            </w:rPr>
            <w:t xml:space="preserve"> it is engaging with customers and using its resources to offer them specific value. As a result, Marriot’s receivable turnover has increased to 6.99times in 2021 from 5.97times in 2020. The increased liquidity is allowing the company to pay off its debts, consequently, its debt ratio had fallen to 7</w:t>
          </w:r>
          <w:r w:rsidR="00DD1651" w:rsidRPr="00DD1651">
            <w:rPr>
              <w:rFonts w:ascii="Arial" w:hAnsi="Arial" w:cs="Arial"/>
              <w:color w:val="000000" w:themeColor="text1"/>
              <w:sz w:val="24"/>
              <w:szCs w:val="24"/>
            </w:rPr>
            <w:t xml:space="preserve"> </w:t>
          </w:r>
          <w:r w:rsidRPr="00DD1651">
            <w:rPr>
              <w:rFonts w:ascii="Arial" w:hAnsi="Arial" w:cs="Arial"/>
              <w:color w:val="000000" w:themeColor="text1"/>
              <w:sz w:val="24"/>
              <w:szCs w:val="24"/>
            </w:rPr>
            <w:t>times 2021 from being 2</w:t>
          </w:r>
          <w:r w:rsidR="00DD1651" w:rsidRPr="00DD1651">
            <w:rPr>
              <w:rFonts w:ascii="Arial" w:hAnsi="Arial" w:cs="Arial"/>
              <w:color w:val="000000" w:themeColor="text1"/>
              <w:sz w:val="24"/>
              <w:szCs w:val="24"/>
            </w:rPr>
            <w:t xml:space="preserve"> </w:t>
          </w:r>
          <w:r w:rsidRPr="00DD1651">
            <w:rPr>
              <w:rFonts w:ascii="Arial" w:hAnsi="Arial" w:cs="Arial"/>
              <w:color w:val="000000" w:themeColor="text1"/>
              <w:sz w:val="24"/>
              <w:szCs w:val="24"/>
            </w:rPr>
            <w:t xml:space="preserve">4times in 2020. As a </w:t>
          </w:r>
          <w:r w:rsidR="00227D45" w:rsidRPr="00DD1651">
            <w:rPr>
              <w:rFonts w:ascii="Arial" w:hAnsi="Arial" w:cs="Arial"/>
              <w:color w:val="000000" w:themeColor="text1"/>
              <w:sz w:val="24"/>
              <w:szCs w:val="24"/>
            </w:rPr>
            <w:t>result,</w:t>
          </w:r>
          <w:r w:rsidRPr="00DD1651">
            <w:rPr>
              <w:rFonts w:ascii="Arial" w:hAnsi="Arial" w:cs="Arial"/>
              <w:color w:val="000000" w:themeColor="text1"/>
              <w:sz w:val="24"/>
              <w:szCs w:val="24"/>
            </w:rPr>
            <w:t xml:space="preserve"> the company has been able to increase its leverage and reduce the risk to its going concern level. It has been using retained profit, which is the cheapest source of finance as its cost is zero because it is generated internally</w:t>
          </w:r>
          <w:r w:rsidR="003937A5" w:rsidRPr="00DD1651">
            <w:rPr>
              <w:rFonts w:ascii="Arial" w:hAnsi="Arial" w:cs="Arial"/>
              <w:color w:val="000000" w:themeColor="text1"/>
              <w:sz w:val="24"/>
              <w:szCs w:val="24"/>
            </w:rPr>
            <w:t>.</w:t>
          </w:r>
          <w:r w:rsidRPr="00DD1651">
            <w:rPr>
              <w:rFonts w:ascii="Arial" w:hAnsi="Arial" w:cs="Arial"/>
              <w:color w:val="000000" w:themeColor="text1"/>
              <w:sz w:val="24"/>
              <w:szCs w:val="24"/>
            </w:rPr>
            <w:tab/>
          </w:r>
        </w:p>
        <w:p w14:paraId="096395B5" w14:textId="77777777" w:rsidR="00227D45" w:rsidRPr="00DD1651" w:rsidRDefault="00227D45" w:rsidP="00227D45">
          <w:pPr>
            <w:spacing w:line="360" w:lineRule="auto"/>
            <w:rPr>
              <w:rFonts w:ascii="Arial" w:eastAsiaTheme="majorEastAsia" w:hAnsi="Arial" w:cs="Arial"/>
              <w:color w:val="000000" w:themeColor="text1"/>
              <w:sz w:val="24"/>
              <w:szCs w:val="24"/>
            </w:rPr>
          </w:pPr>
          <w:bookmarkStart w:id="14" w:name="_Toc121488493"/>
          <w:r w:rsidRPr="00DD1651">
            <w:rPr>
              <w:rFonts w:ascii="Arial" w:hAnsi="Arial" w:cs="Arial"/>
              <w:color w:val="000000" w:themeColor="text1"/>
              <w:sz w:val="24"/>
              <w:szCs w:val="24"/>
            </w:rPr>
            <w:br w:type="page"/>
          </w:r>
        </w:p>
        <w:bookmarkEnd w:id="14"/>
        <w:p w14:paraId="4C72EC70" w14:textId="2CBC0D85" w:rsidR="00AA2A91" w:rsidRPr="00DD1651" w:rsidRDefault="00DD1651" w:rsidP="00805A14">
          <w:pPr>
            <w:pStyle w:val="Heading1"/>
            <w:rPr>
              <w:rFonts w:ascii="Arial" w:hAnsi="Arial" w:cs="Arial"/>
            </w:rPr>
          </w:pPr>
          <w:r>
            <w:rPr>
              <w:rFonts w:ascii="Arial" w:hAnsi="Arial" w:cs="Arial"/>
            </w:rPr>
            <w:t>References:</w:t>
          </w:r>
        </w:p>
        <w:p w14:paraId="6FE55A8D" w14:textId="77777777" w:rsidR="00E618E0" w:rsidRPr="00DD1651" w:rsidRDefault="00E618E0" w:rsidP="00DD1651">
          <w:pPr>
            <w:pStyle w:val="ListParagraph"/>
            <w:numPr>
              <w:ilvl w:val="0"/>
              <w:numId w:val="1"/>
            </w:numPr>
            <w:spacing w:line="360" w:lineRule="auto"/>
            <w:rPr>
              <w:rFonts w:ascii="Arial" w:hAnsi="Arial" w:cs="Arial"/>
              <w:color w:val="000000" w:themeColor="text1"/>
              <w:sz w:val="24"/>
              <w:szCs w:val="24"/>
              <w:shd w:val="clear" w:color="auto" w:fill="FFFFFF"/>
            </w:rPr>
          </w:pPr>
          <w:proofErr w:type="spellStart"/>
          <w:r w:rsidRPr="00DD1651">
            <w:rPr>
              <w:rFonts w:ascii="Arial" w:hAnsi="Arial" w:cs="Arial"/>
              <w:color w:val="000000" w:themeColor="text1"/>
              <w:sz w:val="24"/>
              <w:szCs w:val="24"/>
              <w:shd w:val="clear" w:color="auto" w:fill="FFFFFF"/>
            </w:rPr>
            <w:t>Bugnosen</w:t>
          </w:r>
          <w:proofErr w:type="spellEnd"/>
          <w:r w:rsidRPr="00DD1651">
            <w:rPr>
              <w:rFonts w:ascii="Arial" w:hAnsi="Arial" w:cs="Arial"/>
              <w:color w:val="000000" w:themeColor="text1"/>
              <w:sz w:val="24"/>
              <w:szCs w:val="24"/>
              <w:shd w:val="clear" w:color="auto" w:fill="FFFFFF"/>
            </w:rPr>
            <w:t>, K., DSG, P.A., Ali, M., Accountant, I.D., Smith, B., Block, E.Y., Block, S. and Block, H.N., (2021). Agenda Item. </w:t>
          </w:r>
          <w:r w:rsidRPr="00DD1651">
            <w:rPr>
              <w:rFonts w:ascii="Arial" w:hAnsi="Arial" w:cs="Arial"/>
              <w:i/>
              <w:iCs/>
              <w:color w:val="000000" w:themeColor="text1"/>
              <w:sz w:val="24"/>
              <w:szCs w:val="24"/>
              <w:shd w:val="clear" w:color="auto" w:fill="FFFFFF"/>
            </w:rPr>
            <w:t>policy</w:t>
          </w:r>
          <w:r w:rsidRPr="00DD1651">
            <w:rPr>
              <w:rFonts w:ascii="Arial" w:hAnsi="Arial" w:cs="Arial"/>
              <w:color w:val="000000" w:themeColor="text1"/>
              <w:sz w:val="24"/>
              <w:szCs w:val="24"/>
              <w:shd w:val="clear" w:color="auto" w:fill="FFFFFF"/>
            </w:rPr>
            <w:t>, p.22.</w:t>
          </w:r>
        </w:p>
        <w:p w14:paraId="4CCFD992" w14:textId="77777777" w:rsidR="00CF77D4" w:rsidRPr="00DD1651" w:rsidRDefault="00CF77D4" w:rsidP="00DD1651">
          <w:pPr>
            <w:pStyle w:val="ListParagraph"/>
            <w:numPr>
              <w:ilvl w:val="0"/>
              <w:numId w:val="1"/>
            </w:numPr>
            <w:spacing w:line="360" w:lineRule="auto"/>
            <w:rPr>
              <w:rFonts w:ascii="Arial" w:hAnsi="Arial" w:cs="Arial"/>
              <w:color w:val="000000" w:themeColor="text1"/>
              <w:sz w:val="24"/>
              <w:szCs w:val="24"/>
              <w:shd w:val="clear" w:color="auto" w:fill="FFFFFF"/>
            </w:rPr>
          </w:pPr>
          <w:proofErr w:type="spellStart"/>
          <w:r w:rsidRPr="00DD1651">
            <w:rPr>
              <w:rFonts w:ascii="Arial" w:hAnsi="Arial" w:cs="Arial"/>
              <w:color w:val="000000" w:themeColor="text1"/>
              <w:sz w:val="24"/>
              <w:szCs w:val="24"/>
              <w:shd w:val="clear" w:color="auto" w:fill="FFFFFF"/>
            </w:rPr>
            <w:t>Effiong</w:t>
          </w:r>
          <w:proofErr w:type="spellEnd"/>
          <w:r w:rsidRPr="00DD1651">
            <w:rPr>
              <w:rFonts w:ascii="Arial" w:hAnsi="Arial" w:cs="Arial"/>
              <w:color w:val="000000" w:themeColor="text1"/>
              <w:sz w:val="24"/>
              <w:szCs w:val="24"/>
              <w:shd w:val="clear" w:color="auto" w:fill="FFFFFF"/>
            </w:rPr>
            <w:t xml:space="preserve">, S.A., </w:t>
          </w:r>
          <w:proofErr w:type="spellStart"/>
          <w:r w:rsidRPr="00DD1651">
            <w:rPr>
              <w:rFonts w:ascii="Arial" w:hAnsi="Arial" w:cs="Arial"/>
              <w:color w:val="000000" w:themeColor="text1"/>
              <w:sz w:val="24"/>
              <w:szCs w:val="24"/>
              <w:shd w:val="clear" w:color="auto" w:fill="FFFFFF"/>
            </w:rPr>
            <w:t>Asuquo</w:t>
          </w:r>
          <w:proofErr w:type="spellEnd"/>
          <w:r w:rsidRPr="00DD1651">
            <w:rPr>
              <w:rFonts w:ascii="Arial" w:hAnsi="Arial" w:cs="Arial"/>
              <w:color w:val="000000" w:themeColor="text1"/>
              <w:sz w:val="24"/>
              <w:szCs w:val="24"/>
              <w:shd w:val="clear" w:color="auto" w:fill="FFFFFF"/>
            </w:rPr>
            <w:t>, A.I. and Enya, E.F., (2020). Discretionary accruals and going concern of manufacturing companies. </w:t>
          </w:r>
          <w:r w:rsidRPr="00DD1651">
            <w:rPr>
              <w:rFonts w:ascii="Arial" w:hAnsi="Arial" w:cs="Arial"/>
              <w:i/>
              <w:iCs/>
              <w:color w:val="000000" w:themeColor="text1"/>
              <w:sz w:val="24"/>
              <w:szCs w:val="24"/>
              <w:shd w:val="clear" w:color="auto" w:fill="FFFFFF"/>
            </w:rPr>
            <w:t>International Journal of Scientific &amp; Technology Research</w:t>
          </w:r>
          <w:r w:rsidRPr="00DD1651">
            <w:rPr>
              <w:rFonts w:ascii="Arial" w:hAnsi="Arial" w:cs="Arial"/>
              <w:color w:val="000000" w:themeColor="text1"/>
              <w:sz w:val="24"/>
              <w:szCs w:val="24"/>
              <w:shd w:val="clear" w:color="auto" w:fill="FFFFFF"/>
            </w:rPr>
            <w:t>, </w:t>
          </w:r>
          <w:r w:rsidRPr="00DD1651">
            <w:rPr>
              <w:rFonts w:ascii="Arial" w:hAnsi="Arial" w:cs="Arial"/>
              <w:i/>
              <w:iCs/>
              <w:color w:val="000000" w:themeColor="text1"/>
              <w:sz w:val="24"/>
              <w:szCs w:val="24"/>
              <w:shd w:val="clear" w:color="auto" w:fill="FFFFFF"/>
            </w:rPr>
            <w:t>9</w:t>
          </w:r>
          <w:r w:rsidRPr="00DD1651">
            <w:rPr>
              <w:rFonts w:ascii="Arial" w:hAnsi="Arial" w:cs="Arial"/>
              <w:color w:val="000000" w:themeColor="text1"/>
              <w:sz w:val="24"/>
              <w:szCs w:val="24"/>
              <w:shd w:val="clear" w:color="auto" w:fill="FFFFFF"/>
            </w:rPr>
            <w:t>(2), pp.2976-2983.</w:t>
          </w:r>
        </w:p>
        <w:p w14:paraId="5CDA83BD" w14:textId="77777777" w:rsidR="0022785C" w:rsidRPr="00DD1651" w:rsidRDefault="0022785C"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shd w:val="clear" w:color="auto" w:fill="FFFFFF"/>
            </w:rPr>
            <w:t>Grant, R.M., (2021). </w:t>
          </w:r>
          <w:r w:rsidRPr="00DD1651">
            <w:rPr>
              <w:rFonts w:ascii="Arial" w:hAnsi="Arial" w:cs="Arial"/>
              <w:i/>
              <w:iCs/>
              <w:color w:val="000000" w:themeColor="text1"/>
              <w:sz w:val="24"/>
              <w:szCs w:val="24"/>
              <w:shd w:val="clear" w:color="auto" w:fill="FFFFFF"/>
            </w:rPr>
            <w:t>Contemporary strategy analysis</w:t>
          </w:r>
          <w:r w:rsidRPr="00DD1651">
            <w:rPr>
              <w:rFonts w:ascii="Arial" w:hAnsi="Arial" w:cs="Arial"/>
              <w:color w:val="000000" w:themeColor="text1"/>
              <w:sz w:val="24"/>
              <w:szCs w:val="24"/>
              <w:shd w:val="clear" w:color="auto" w:fill="FFFFFF"/>
            </w:rPr>
            <w:t>. John Wiley &amp; Sons.</w:t>
          </w:r>
        </w:p>
        <w:p w14:paraId="45FCD15C" w14:textId="77777777" w:rsidR="00CA5F14" w:rsidRPr="00DD1651" w:rsidRDefault="00CA5F14" w:rsidP="00DD1651">
          <w:pPr>
            <w:pStyle w:val="ListParagraph"/>
            <w:numPr>
              <w:ilvl w:val="0"/>
              <w:numId w:val="1"/>
            </w:numPr>
            <w:spacing w:line="360" w:lineRule="auto"/>
            <w:rPr>
              <w:rFonts w:ascii="Arial" w:hAnsi="Arial" w:cs="Arial"/>
              <w:color w:val="000000" w:themeColor="text1"/>
              <w:sz w:val="24"/>
              <w:szCs w:val="24"/>
              <w:shd w:val="clear" w:color="auto" w:fill="FFFFFF"/>
            </w:rPr>
          </w:pPr>
          <w:proofErr w:type="spellStart"/>
          <w:r w:rsidRPr="00DD1651">
            <w:rPr>
              <w:rFonts w:ascii="Arial" w:hAnsi="Arial" w:cs="Arial"/>
              <w:color w:val="000000" w:themeColor="text1"/>
              <w:sz w:val="24"/>
              <w:szCs w:val="24"/>
              <w:shd w:val="clear" w:color="auto" w:fill="FFFFFF"/>
            </w:rPr>
            <w:t>Gursoy</w:t>
          </w:r>
          <w:proofErr w:type="spellEnd"/>
          <w:r w:rsidRPr="00DD1651">
            <w:rPr>
              <w:rFonts w:ascii="Arial" w:hAnsi="Arial" w:cs="Arial"/>
              <w:color w:val="000000" w:themeColor="text1"/>
              <w:sz w:val="24"/>
              <w:szCs w:val="24"/>
              <w:shd w:val="clear" w:color="auto" w:fill="FFFFFF"/>
            </w:rPr>
            <w:t>, D. and Chi, C.G., (2020). Effects of COVID-19 pandemic on hospitality industry: review of the current situations and a research agenda. </w:t>
          </w:r>
          <w:r w:rsidRPr="00DD1651">
            <w:rPr>
              <w:rFonts w:ascii="Arial" w:hAnsi="Arial" w:cs="Arial"/>
              <w:i/>
              <w:iCs/>
              <w:color w:val="000000" w:themeColor="text1"/>
              <w:sz w:val="24"/>
              <w:szCs w:val="24"/>
              <w:shd w:val="clear" w:color="auto" w:fill="FFFFFF"/>
            </w:rPr>
            <w:t>Journal of Hospitality Marketing &amp; Management</w:t>
          </w:r>
          <w:r w:rsidRPr="00DD1651">
            <w:rPr>
              <w:rFonts w:ascii="Arial" w:hAnsi="Arial" w:cs="Arial"/>
              <w:color w:val="000000" w:themeColor="text1"/>
              <w:sz w:val="24"/>
              <w:szCs w:val="24"/>
              <w:shd w:val="clear" w:color="auto" w:fill="FFFFFF"/>
            </w:rPr>
            <w:t>, </w:t>
          </w:r>
          <w:r w:rsidRPr="00DD1651">
            <w:rPr>
              <w:rFonts w:ascii="Arial" w:hAnsi="Arial" w:cs="Arial"/>
              <w:i/>
              <w:iCs/>
              <w:color w:val="000000" w:themeColor="text1"/>
              <w:sz w:val="24"/>
              <w:szCs w:val="24"/>
              <w:shd w:val="clear" w:color="auto" w:fill="FFFFFF"/>
            </w:rPr>
            <w:t>29</w:t>
          </w:r>
          <w:r w:rsidRPr="00DD1651">
            <w:rPr>
              <w:rFonts w:ascii="Arial" w:hAnsi="Arial" w:cs="Arial"/>
              <w:color w:val="000000" w:themeColor="text1"/>
              <w:sz w:val="24"/>
              <w:szCs w:val="24"/>
              <w:shd w:val="clear" w:color="auto" w:fill="FFFFFF"/>
            </w:rPr>
            <w:t>(5), pp.527-529.</w:t>
          </w:r>
        </w:p>
        <w:p w14:paraId="0EF89F40" w14:textId="77777777" w:rsidR="007E65A6" w:rsidRPr="00DD1651" w:rsidRDefault="007E65A6" w:rsidP="00DD1651">
          <w:pPr>
            <w:pStyle w:val="ListParagraph"/>
            <w:numPr>
              <w:ilvl w:val="0"/>
              <w:numId w:val="1"/>
            </w:numPr>
            <w:spacing w:line="360" w:lineRule="auto"/>
            <w:rPr>
              <w:rFonts w:ascii="Arial" w:hAnsi="Arial" w:cs="Arial"/>
              <w:color w:val="000000" w:themeColor="text1"/>
              <w:sz w:val="24"/>
              <w:szCs w:val="24"/>
              <w:shd w:val="clear" w:color="auto" w:fill="FFFFFF"/>
            </w:rPr>
          </w:pPr>
          <w:proofErr w:type="spellStart"/>
          <w:r w:rsidRPr="00DD1651">
            <w:rPr>
              <w:rFonts w:ascii="Arial" w:hAnsi="Arial" w:cs="Arial"/>
              <w:color w:val="000000" w:themeColor="text1"/>
              <w:sz w:val="24"/>
              <w:szCs w:val="24"/>
              <w:shd w:val="clear" w:color="auto" w:fill="FFFFFF"/>
            </w:rPr>
            <w:t>Keasey</w:t>
          </w:r>
          <w:proofErr w:type="spellEnd"/>
          <w:r w:rsidRPr="00DD1651">
            <w:rPr>
              <w:rFonts w:ascii="Arial" w:hAnsi="Arial" w:cs="Arial"/>
              <w:color w:val="000000" w:themeColor="text1"/>
              <w:sz w:val="24"/>
              <w:szCs w:val="24"/>
              <w:shd w:val="clear" w:color="auto" w:fill="FFFFFF"/>
            </w:rPr>
            <w:t>, K. and Watson, R., (2019). Financial distress prediction models: a review of their usefulness 1. </w:t>
          </w:r>
          <w:r w:rsidRPr="00DD1651">
            <w:rPr>
              <w:rFonts w:ascii="Arial" w:hAnsi="Arial" w:cs="Arial"/>
              <w:i/>
              <w:iCs/>
              <w:color w:val="000000" w:themeColor="text1"/>
              <w:sz w:val="24"/>
              <w:szCs w:val="24"/>
              <w:shd w:val="clear" w:color="auto" w:fill="FFFFFF"/>
            </w:rPr>
            <w:t>Risk Management</w:t>
          </w:r>
          <w:r w:rsidRPr="00DD1651">
            <w:rPr>
              <w:rFonts w:ascii="Arial" w:hAnsi="Arial" w:cs="Arial"/>
              <w:color w:val="000000" w:themeColor="text1"/>
              <w:sz w:val="24"/>
              <w:szCs w:val="24"/>
              <w:shd w:val="clear" w:color="auto" w:fill="FFFFFF"/>
            </w:rPr>
            <w:t>, pp.35-48.</w:t>
          </w:r>
        </w:p>
        <w:p w14:paraId="73021225" w14:textId="77777777" w:rsidR="00CA5F14" w:rsidRPr="00DD1651" w:rsidRDefault="00CA5F14" w:rsidP="00DD1651">
          <w:pPr>
            <w:pStyle w:val="ListParagraph"/>
            <w:numPr>
              <w:ilvl w:val="0"/>
              <w:numId w:val="1"/>
            </w:numPr>
            <w:spacing w:line="360" w:lineRule="auto"/>
            <w:rPr>
              <w:rFonts w:ascii="Arial" w:hAnsi="Arial" w:cs="Arial"/>
              <w:color w:val="000000" w:themeColor="text1"/>
              <w:sz w:val="24"/>
              <w:szCs w:val="24"/>
            </w:rPr>
          </w:pPr>
          <w:proofErr w:type="spellStart"/>
          <w:r w:rsidRPr="00DD1651">
            <w:rPr>
              <w:rFonts w:ascii="Arial" w:hAnsi="Arial" w:cs="Arial"/>
              <w:color w:val="000000" w:themeColor="text1"/>
              <w:sz w:val="24"/>
              <w:szCs w:val="24"/>
              <w:shd w:val="clear" w:color="auto" w:fill="FFFFFF"/>
            </w:rPr>
            <w:t>Kenchington</w:t>
          </w:r>
          <w:proofErr w:type="spellEnd"/>
          <w:r w:rsidRPr="00DD1651">
            <w:rPr>
              <w:rFonts w:ascii="Arial" w:hAnsi="Arial" w:cs="Arial"/>
              <w:color w:val="000000" w:themeColor="text1"/>
              <w:sz w:val="24"/>
              <w:szCs w:val="24"/>
              <w:shd w:val="clear" w:color="auto" w:fill="FFFFFF"/>
            </w:rPr>
            <w:t xml:space="preserve">, D., Wan, C. and </w:t>
          </w:r>
          <w:proofErr w:type="spellStart"/>
          <w:r w:rsidRPr="00DD1651">
            <w:rPr>
              <w:rFonts w:ascii="Arial" w:hAnsi="Arial" w:cs="Arial"/>
              <w:color w:val="000000" w:themeColor="text1"/>
              <w:sz w:val="24"/>
              <w:szCs w:val="24"/>
              <w:shd w:val="clear" w:color="auto" w:fill="FFFFFF"/>
            </w:rPr>
            <w:t>Yüksel</w:t>
          </w:r>
          <w:proofErr w:type="spellEnd"/>
          <w:r w:rsidRPr="00DD1651">
            <w:rPr>
              <w:rFonts w:ascii="Arial" w:hAnsi="Arial" w:cs="Arial"/>
              <w:color w:val="000000" w:themeColor="text1"/>
              <w:sz w:val="24"/>
              <w:szCs w:val="24"/>
              <w:shd w:val="clear" w:color="auto" w:fill="FFFFFF"/>
            </w:rPr>
            <w:t>, H.Z., (2019). Gross profitability and mutual fund performance. </w:t>
          </w:r>
          <w:r w:rsidRPr="00DD1651">
            <w:rPr>
              <w:rFonts w:ascii="Arial" w:hAnsi="Arial" w:cs="Arial"/>
              <w:i/>
              <w:iCs/>
              <w:color w:val="000000" w:themeColor="text1"/>
              <w:sz w:val="24"/>
              <w:szCs w:val="24"/>
              <w:shd w:val="clear" w:color="auto" w:fill="FFFFFF"/>
            </w:rPr>
            <w:t>Journal of Banking &amp; Finance</w:t>
          </w:r>
          <w:r w:rsidRPr="00DD1651">
            <w:rPr>
              <w:rFonts w:ascii="Arial" w:hAnsi="Arial" w:cs="Arial"/>
              <w:color w:val="000000" w:themeColor="text1"/>
              <w:sz w:val="24"/>
              <w:szCs w:val="24"/>
              <w:shd w:val="clear" w:color="auto" w:fill="FFFFFF"/>
            </w:rPr>
            <w:t>, </w:t>
          </w:r>
          <w:r w:rsidRPr="00DD1651">
            <w:rPr>
              <w:rFonts w:ascii="Arial" w:hAnsi="Arial" w:cs="Arial"/>
              <w:i/>
              <w:iCs/>
              <w:color w:val="000000" w:themeColor="text1"/>
              <w:sz w:val="24"/>
              <w:szCs w:val="24"/>
              <w:shd w:val="clear" w:color="auto" w:fill="FFFFFF"/>
            </w:rPr>
            <w:t>104</w:t>
          </w:r>
          <w:r w:rsidRPr="00DD1651">
            <w:rPr>
              <w:rFonts w:ascii="Arial" w:hAnsi="Arial" w:cs="Arial"/>
              <w:color w:val="000000" w:themeColor="text1"/>
              <w:sz w:val="24"/>
              <w:szCs w:val="24"/>
              <w:shd w:val="clear" w:color="auto" w:fill="FFFFFF"/>
            </w:rPr>
            <w:t>, pp.31-49.</w:t>
          </w:r>
        </w:p>
        <w:p w14:paraId="317F029D" w14:textId="77777777" w:rsidR="00227D45" w:rsidRPr="00DD1651" w:rsidRDefault="00227D45"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rPr>
            <w:t>Macro trends (2022).</w:t>
          </w:r>
          <w:r w:rsidRPr="00DD1651">
            <w:rPr>
              <w:rFonts w:ascii="Arial" w:hAnsi="Arial" w:cs="Arial"/>
              <w:i/>
              <w:color w:val="000000" w:themeColor="text1"/>
              <w:sz w:val="24"/>
              <w:szCs w:val="24"/>
            </w:rPr>
            <w:t xml:space="preserve"> Marriot ratios.</w:t>
          </w:r>
          <w:r w:rsidRPr="00DD1651">
            <w:rPr>
              <w:rFonts w:ascii="Arial" w:hAnsi="Arial" w:cs="Arial"/>
              <w:color w:val="000000" w:themeColor="text1"/>
              <w:sz w:val="24"/>
              <w:szCs w:val="24"/>
            </w:rPr>
            <w:t xml:space="preserve"> Available at https://www.macrotrends.net/stocks/charts/MAR/marriott/financial-ratios accessed on 9th December 2022</w:t>
          </w:r>
        </w:p>
        <w:p w14:paraId="70940D89" w14:textId="77777777" w:rsidR="00227D45" w:rsidRPr="00DD1651" w:rsidRDefault="00227D45"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rPr>
            <w:t>Macro trends (2022a).</w:t>
          </w:r>
          <w:r w:rsidRPr="00DD1651">
            <w:rPr>
              <w:rFonts w:ascii="Arial" w:hAnsi="Arial" w:cs="Arial"/>
              <w:i/>
              <w:color w:val="000000" w:themeColor="text1"/>
              <w:sz w:val="24"/>
              <w:szCs w:val="24"/>
            </w:rPr>
            <w:t xml:space="preserve"> Balance Sheet.</w:t>
          </w:r>
          <w:r w:rsidRPr="00DD1651">
            <w:rPr>
              <w:rFonts w:ascii="Arial" w:hAnsi="Arial" w:cs="Arial"/>
              <w:color w:val="000000" w:themeColor="text1"/>
              <w:sz w:val="24"/>
              <w:szCs w:val="24"/>
            </w:rPr>
            <w:t xml:space="preserve"> Available at https://www.macrotrends.net/stocks/charts/MAR/marriott/balance-sheet accessed on 9th December 2022</w:t>
          </w:r>
        </w:p>
        <w:p w14:paraId="7AD82C10" w14:textId="77777777" w:rsidR="002E512A" w:rsidRPr="00DD1651" w:rsidRDefault="002E512A"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rPr>
            <w:t>Marriot (2022).</w:t>
          </w:r>
          <w:r w:rsidRPr="00DD1651">
            <w:rPr>
              <w:rFonts w:ascii="Arial" w:hAnsi="Arial" w:cs="Arial"/>
              <w:i/>
              <w:color w:val="000000" w:themeColor="text1"/>
              <w:sz w:val="24"/>
              <w:szCs w:val="24"/>
            </w:rPr>
            <w:t xml:space="preserve"> Our story.</w:t>
          </w:r>
          <w:r w:rsidRPr="00DD1651">
            <w:rPr>
              <w:rFonts w:ascii="Arial" w:hAnsi="Arial" w:cs="Arial"/>
              <w:color w:val="000000" w:themeColor="text1"/>
              <w:sz w:val="24"/>
              <w:szCs w:val="24"/>
            </w:rPr>
            <w:t xml:space="preserve"> Available at https://www.marriott.com/about/culture-and-values/history.mi accessed on 9th December 2022</w:t>
          </w:r>
        </w:p>
        <w:p w14:paraId="521F6636" w14:textId="77777777" w:rsidR="002E512A" w:rsidRPr="00DD1651" w:rsidRDefault="002E512A"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rPr>
            <w:t>Marriot (2022a).</w:t>
          </w:r>
          <w:r w:rsidRPr="00DD1651">
            <w:rPr>
              <w:rFonts w:ascii="Arial" w:hAnsi="Arial" w:cs="Arial"/>
              <w:i/>
              <w:color w:val="000000" w:themeColor="text1"/>
              <w:sz w:val="24"/>
              <w:szCs w:val="24"/>
            </w:rPr>
            <w:t xml:space="preserve"> Our story.</w:t>
          </w:r>
          <w:r w:rsidRPr="00DD1651">
            <w:rPr>
              <w:rFonts w:ascii="Arial" w:hAnsi="Arial" w:cs="Arial"/>
              <w:color w:val="000000" w:themeColor="text1"/>
              <w:sz w:val="24"/>
              <w:szCs w:val="24"/>
            </w:rPr>
            <w:t xml:space="preserve"> Available at https://www.marriott.com/marriott/aboutmarriott.mi accessed on 9th December 2022</w:t>
          </w:r>
        </w:p>
        <w:p w14:paraId="19A0FDF6" w14:textId="77777777" w:rsidR="00D661E4" w:rsidRPr="00DD1651" w:rsidRDefault="00D661E4" w:rsidP="00DD1651">
          <w:pPr>
            <w:pStyle w:val="ListParagraph"/>
            <w:numPr>
              <w:ilvl w:val="0"/>
              <w:numId w:val="1"/>
            </w:numPr>
            <w:spacing w:line="360" w:lineRule="auto"/>
            <w:rPr>
              <w:rFonts w:ascii="Arial" w:hAnsi="Arial" w:cs="Arial"/>
              <w:color w:val="000000" w:themeColor="text1"/>
              <w:sz w:val="24"/>
              <w:szCs w:val="24"/>
              <w:shd w:val="clear" w:color="auto" w:fill="FFFFFF"/>
            </w:rPr>
          </w:pPr>
          <w:r w:rsidRPr="00DD1651">
            <w:rPr>
              <w:rFonts w:ascii="Arial" w:hAnsi="Arial" w:cs="Arial"/>
              <w:color w:val="000000" w:themeColor="text1"/>
              <w:sz w:val="24"/>
              <w:szCs w:val="24"/>
              <w:shd w:val="clear" w:color="auto" w:fill="FFFFFF"/>
            </w:rPr>
            <w:t>Pape, F., (2020). Rethinking liquidity: A critical macro-finance view. </w:t>
          </w:r>
          <w:r w:rsidRPr="00DD1651">
            <w:rPr>
              <w:rFonts w:ascii="Arial" w:hAnsi="Arial" w:cs="Arial"/>
              <w:i/>
              <w:iCs/>
              <w:color w:val="000000" w:themeColor="text1"/>
              <w:sz w:val="24"/>
              <w:szCs w:val="24"/>
              <w:shd w:val="clear" w:color="auto" w:fill="FFFFFF"/>
            </w:rPr>
            <w:t>Finance and society</w:t>
          </w:r>
          <w:r w:rsidRPr="00DD1651">
            <w:rPr>
              <w:rFonts w:ascii="Arial" w:hAnsi="Arial" w:cs="Arial"/>
              <w:color w:val="000000" w:themeColor="text1"/>
              <w:sz w:val="24"/>
              <w:szCs w:val="24"/>
              <w:shd w:val="clear" w:color="auto" w:fill="FFFFFF"/>
            </w:rPr>
            <w:t>, </w:t>
          </w:r>
          <w:r w:rsidRPr="00DD1651">
            <w:rPr>
              <w:rFonts w:ascii="Arial" w:hAnsi="Arial" w:cs="Arial"/>
              <w:i/>
              <w:iCs/>
              <w:color w:val="000000" w:themeColor="text1"/>
              <w:sz w:val="24"/>
              <w:szCs w:val="24"/>
              <w:shd w:val="clear" w:color="auto" w:fill="FFFFFF"/>
            </w:rPr>
            <w:t>6</w:t>
          </w:r>
          <w:r w:rsidRPr="00DD1651">
            <w:rPr>
              <w:rFonts w:ascii="Arial" w:hAnsi="Arial" w:cs="Arial"/>
              <w:color w:val="000000" w:themeColor="text1"/>
              <w:sz w:val="24"/>
              <w:szCs w:val="24"/>
              <w:shd w:val="clear" w:color="auto" w:fill="FFFFFF"/>
            </w:rPr>
            <w:t>(1), pp.67-75.</w:t>
          </w:r>
        </w:p>
        <w:p w14:paraId="503B7FC3" w14:textId="5A58993F" w:rsidR="00D661E4" w:rsidRPr="00DD1651" w:rsidRDefault="00D661E4" w:rsidP="00DD1651">
          <w:pPr>
            <w:pStyle w:val="ListParagraph"/>
            <w:numPr>
              <w:ilvl w:val="0"/>
              <w:numId w:val="1"/>
            </w:numPr>
            <w:spacing w:line="360" w:lineRule="auto"/>
            <w:rPr>
              <w:rFonts w:ascii="Arial" w:hAnsi="Arial" w:cs="Arial"/>
              <w:color w:val="000000" w:themeColor="text1"/>
              <w:sz w:val="24"/>
              <w:szCs w:val="24"/>
              <w:shd w:val="clear" w:color="auto" w:fill="FFFFFF"/>
            </w:rPr>
          </w:pPr>
          <w:r w:rsidRPr="00DD1651">
            <w:rPr>
              <w:rFonts w:ascii="Arial" w:hAnsi="Arial" w:cs="Arial"/>
              <w:color w:val="000000" w:themeColor="text1"/>
              <w:sz w:val="24"/>
              <w:szCs w:val="24"/>
              <w:shd w:val="clear" w:color="auto" w:fill="FFFFFF"/>
            </w:rPr>
            <w:t>Rahman, S., Iqbal, K. and Nadeem, A., (2019). Effect of working capital management on firm performance: the role of ownership structure. </w:t>
          </w:r>
          <w:r w:rsidRPr="00DD1651">
            <w:rPr>
              <w:rFonts w:ascii="Arial" w:hAnsi="Arial" w:cs="Arial"/>
              <w:i/>
              <w:iCs/>
              <w:color w:val="000000" w:themeColor="text1"/>
              <w:sz w:val="24"/>
              <w:szCs w:val="24"/>
              <w:shd w:val="clear" w:color="auto" w:fill="FFFFFF"/>
            </w:rPr>
            <w:t>Global Social Sciences Review</w:t>
          </w:r>
          <w:r w:rsidRPr="00DD1651">
            <w:rPr>
              <w:rFonts w:ascii="Arial" w:hAnsi="Arial" w:cs="Arial"/>
              <w:color w:val="000000" w:themeColor="text1"/>
              <w:sz w:val="24"/>
              <w:szCs w:val="24"/>
              <w:shd w:val="clear" w:color="auto" w:fill="FFFFFF"/>
            </w:rPr>
            <w:t>, </w:t>
          </w:r>
          <w:r w:rsidRPr="00DD1651">
            <w:rPr>
              <w:rFonts w:ascii="Arial" w:hAnsi="Arial" w:cs="Arial"/>
              <w:i/>
              <w:iCs/>
              <w:color w:val="000000" w:themeColor="text1"/>
              <w:sz w:val="24"/>
              <w:szCs w:val="24"/>
              <w:shd w:val="clear" w:color="auto" w:fill="FFFFFF"/>
            </w:rPr>
            <w:t>4</w:t>
          </w:r>
          <w:r w:rsidRPr="00DD1651">
            <w:rPr>
              <w:rFonts w:ascii="Arial" w:hAnsi="Arial" w:cs="Arial"/>
              <w:color w:val="000000" w:themeColor="text1"/>
              <w:sz w:val="24"/>
              <w:szCs w:val="24"/>
              <w:shd w:val="clear" w:color="auto" w:fill="FFFFFF"/>
            </w:rPr>
            <w:t>(1), pp.108-119.</w:t>
          </w:r>
        </w:p>
        <w:p w14:paraId="15A13AED" w14:textId="77777777" w:rsidR="002E512A" w:rsidRPr="00DD1651" w:rsidRDefault="00CA5F14" w:rsidP="00DD1651">
          <w:pPr>
            <w:pStyle w:val="ListParagraph"/>
            <w:numPr>
              <w:ilvl w:val="0"/>
              <w:numId w:val="1"/>
            </w:numPr>
            <w:spacing w:line="360" w:lineRule="auto"/>
            <w:rPr>
              <w:rFonts w:ascii="Arial" w:hAnsi="Arial" w:cs="Arial"/>
              <w:color w:val="000000" w:themeColor="text1"/>
              <w:sz w:val="24"/>
              <w:szCs w:val="24"/>
            </w:rPr>
          </w:pPr>
          <w:r w:rsidRPr="00DD1651">
            <w:rPr>
              <w:rFonts w:ascii="Arial" w:hAnsi="Arial" w:cs="Arial"/>
              <w:color w:val="000000" w:themeColor="text1"/>
              <w:sz w:val="24"/>
              <w:szCs w:val="24"/>
              <w:shd w:val="clear" w:color="auto" w:fill="FFFFFF"/>
            </w:rPr>
            <w:t>Wan, G., (2019). Accounting for income inequality in rural China: a regression-based approach. In </w:t>
          </w:r>
          <w:r w:rsidRPr="00DD1651">
            <w:rPr>
              <w:rFonts w:ascii="Arial" w:hAnsi="Arial" w:cs="Arial"/>
              <w:i/>
              <w:iCs/>
              <w:color w:val="000000" w:themeColor="text1"/>
              <w:sz w:val="24"/>
              <w:szCs w:val="24"/>
              <w:shd w:val="clear" w:color="auto" w:fill="FFFFFF"/>
            </w:rPr>
            <w:t>China’s Rural Economy after WTO</w:t>
          </w:r>
          <w:r w:rsidRPr="00DD1651">
            <w:rPr>
              <w:rFonts w:ascii="Arial" w:hAnsi="Arial" w:cs="Arial"/>
              <w:color w:val="000000" w:themeColor="text1"/>
              <w:sz w:val="24"/>
              <w:szCs w:val="24"/>
              <w:shd w:val="clear" w:color="auto" w:fill="FFFFFF"/>
            </w:rPr>
            <w:t> (pp. 115-133). Routledge.</w:t>
          </w:r>
        </w:p>
      </w:sdtContent>
    </w:sdt>
    <w:p w14:paraId="655E5CD4" w14:textId="77777777" w:rsidR="00CA09F3" w:rsidRPr="00DD1651" w:rsidRDefault="00CA09F3" w:rsidP="00227D45">
      <w:pPr>
        <w:tabs>
          <w:tab w:val="left" w:pos="5760"/>
        </w:tabs>
        <w:spacing w:line="360" w:lineRule="auto"/>
        <w:rPr>
          <w:rFonts w:ascii="Arial" w:hAnsi="Arial" w:cs="Arial"/>
          <w:color w:val="000000" w:themeColor="text1"/>
          <w:sz w:val="24"/>
          <w:szCs w:val="24"/>
        </w:rPr>
      </w:pPr>
    </w:p>
    <w:sectPr w:rsidR="00CA09F3" w:rsidRPr="00DD1651" w:rsidSect="007D1947">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ABFEE" w14:textId="77777777" w:rsidR="009D7A44" w:rsidRDefault="009D7A44" w:rsidP="00FE471E">
      <w:pPr>
        <w:spacing w:after="0" w:line="240" w:lineRule="auto"/>
      </w:pPr>
      <w:r>
        <w:separator/>
      </w:r>
    </w:p>
  </w:endnote>
  <w:endnote w:type="continuationSeparator" w:id="0">
    <w:p w14:paraId="78190662" w14:textId="77777777" w:rsidR="009D7A44" w:rsidRDefault="009D7A44" w:rsidP="00FE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7F286" w14:textId="77777777" w:rsidR="009D7A44" w:rsidRDefault="009D7A44" w:rsidP="00FE471E">
      <w:pPr>
        <w:spacing w:after="0" w:line="240" w:lineRule="auto"/>
      </w:pPr>
      <w:r>
        <w:separator/>
      </w:r>
    </w:p>
  </w:footnote>
  <w:footnote w:type="continuationSeparator" w:id="0">
    <w:p w14:paraId="2078CB21" w14:textId="77777777" w:rsidR="009D7A44" w:rsidRDefault="009D7A44" w:rsidP="00FE4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36669744"/>
      <w:docPartObj>
        <w:docPartGallery w:val="Page Numbers (Top of Page)"/>
        <w:docPartUnique/>
      </w:docPartObj>
    </w:sdtPr>
    <w:sdtEndPr>
      <w:rPr>
        <w:noProof/>
      </w:rPr>
    </w:sdtEndPr>
    <w:sdtContent>
      <w:p w14:paraId="4E92D887" w14:textId="7E42C721" w:rsidR="00ED24F1" w:rsidRPr="00ED24F1" w:rsidRDefault="00ED24F1">
        <w:pPr>
          <w:pStyle w:val="Header"/>
          <w:jc w:val="right"/>
          <w:rPr>
            <w:rFonts w:ascii="Times New Roman" w:hAnsi="Times New Roman" w:cs="Times New Roman"/>
            <w:sz w:val="24"/>
            <w:szCs w:val="24"/>
          </w:rPr>
        </w:pPr>
        <w:r w:rsidRPr="00ED24F1">
          <w:rPr>
            <w:rFonts w:ascii="Times New Roman" w:hAnsi="Times New Roman" w:cs="Times New Roman"/>
            <w:sz w:val="24"/>
            <w:szCs w:val="24"/>
          </w:rPr>
          <w:fldChar w:fldCharType="begin"/>
        </w:r>
        <w:r w:rsidRPr="00ED24F1">
          <w:rPr>
            <w:rFonts w:ascii="Times New Roman" w:hAnsi="Times New Roman" w:cs="Times New Roman"/>
            <w:sz w:val="24"/>
            <w:szCs w:val="24"/>
          </w:rPr>
          <w:instrText xml:space="preserve"> PAGE   \* MERGEFORMAT </w:instrText>
        </w:r>
        <w:r w:rsidRPr="00ED24F1">
          <w:rPr>
            <w:rFonts w:ascii="Times New Roman" w:hAnsi="Times New Roman" w:cs="Times New Roman"/>
            <w:sz w:val="24"/>
            <w:szCs w:val="24"/>
          </w:rPr>
          <w:fldChar w:fldCharType="separate"/>
        </w:r>
        <w:r w:rsidR="00DD1651">
          <w:rPr>
            <w:rFonts w:ascii="Times New Roman" w:hAnsi="Times New Roman" w:cs="Times New Roman"/>
            <w:noProof/>
            <w:sz w:val="24"/>
            <w:szCs w:val="24"/>
          </w:rPr>
          <w:t>9</w:t>
        </w:r>
        <w:r w:rsidRPr="00ED24F1">
          <w:rPr>
            <w:rFonts w:ascii="Times New Roman" w:hAnsi="Times New Roman" w:cs="Times New Roman"/>
            <w:noProof/>
            <w:sz w:val="24"/>
            <w:szCs w:val="24"/>
          </w:rPr>
          <w:fldChar w:fldCharType="end"/>
        </w:r>
      </w:p>
    </w:sdtContent>
  </w:sdt>
  <w:p w14:paraId="5AA5B31A" w14:textId="77777777" w:rsidR="00ED24F1" w:rsidRPr="00ED24F1" w:rsidRDefault="00ED24F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B4E50"/>
    <w:multiLevelType w:val="hybridMultilevel"/>
    <w:tmpl w:val="55201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65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7"/>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1446A5"/>
    <w:rsid w:val="0022785C"/>
    <w:rsid w:val="00227D45"/>
    <w:rsid w:val="00261A2F"/>
    <w:rsid w:val="00284F1F"/>
    <w:rsid w:val="002A18CF"/>
    <w:rsid w:val="002E512A"/>
    <w:rsid w:val="00324CCD"/>
    <w:rsid w:val="0033171A"/>
    <w:rsid w:val="0038471D"/>
    <w:rsid w:val="003937A5"/>
    <w:rsid w:val="00416630"/>
    <w:rsid w:val="004A11F6"/>
    <w:rsid w:val="004D519C"/>
    <w:rsid w:val="004F4F84"/>
    <w:rsid w:val="006A1E5E"/>
    <w:rsid w:val="006C6CBC"/>
    <w:rsid w:val="00711F34"/>
    <w:rsid w:val="007D1947"/>
    <w:rsid w:val="007E65A6"/>
    <w:rsid w:val="007F63D7"/>
    <w:rsid w:val="00805A14"/>
    <w:rsid w:val="009D7A44"/>
    <w:rsid w:val="00AA2A91"/>
    <w:rsid w:val="00C15068"/>
    <w:rsid w:val="00C71FB5"/>
    <w:rsid w:val="00C9512E"/>
    <w:rsid w:val="00CA09F3"/>
    <w:rsid w:val="00CA5F14"/>
    <w:rsid w:val="00CE2B79"/>
    <w:rsid w:val="00CF77D4"/>
    <w:rsid w:val="00D661E4"/>
    <w:rsid w:val="00D854A5"/>
    <w:rsid w:val="00DC64E9"/>
    <w:rsid w:val="00DD1651"/>
    <w:rsid w:val="00DE47CD"/>
    <w:rsid w:val="00E21B48"/>
    <w:rsid w:val="00E618E0"/>
    <w:rsid w:val="00ED24F1"/>
    <w:rsid w:val="00F65C91"/>
    <w:rsid w:val="00FB60AA"/>
    <w:rsid w:val="00FE47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4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E5E"/>
  </w:style>
  <w:style w:type="paragraph" w:styleId="Heading1">
    <w:name w:val="heading 1"/>
    <w:basedOn w:val="Normal"/>
    <w:next w:val="Normal"/>
    <w:link w:val="Heading1Char"/>
    <w:uiPriority w:val="9"/>
    <w:qFormat/>
    <w:rsid w:val="00805A14"/>
    <w:pPr>
      <w:keepNext/>
      <w:keepLines/>
      <w:spacing w:before="240" w:after="0" w:line="360" w:lineRule="auto"/>
      <w:outlineLvl w:val="0"/>
    </w:pPr>
    <w:rPr>
      <w:rFonts w:eastAsiaTheme="majorEastAsia" w:cstheme="minorHAnsi"/>
      <w:b/>
      <w:bCs/>
      <w:color w:val="000000" w:themeColor="text1"/>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18E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805A14"/>
    <w:rPr>
      <w:rFonts w:eastAsiaTheme="majorEastAsia" w:cstheme="minorHAnsi"/>
      <w:b/>
      <w:bCs/>
      <w:color w:val="000000" w:themeColor="text1"/>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A18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8CF"/>
    <w:rPr>
      <w:rFonts w:ascii="Tahoma" w:hAnsi="Tahoma" w:cs="Tahoma"/>
      <w:sz w:val="16"/>
      <w:szCs w:val="16"/>
    </w:rPr>
  </w:style>
  <w:style w:type="character" w:customStyle="1" w:styleId="Heading3Char">
    <w:name w:val="Heading 3 Char"/>
    <w:basedOn w:val="DefaultParagraphFont"/>
    <w:link w:val="Heading3"/>
    <w:uiPriority w:val="9"/>
    <w:rsid w:val="00E618E0"/>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3937A5"/>
    <w:pPr>
      <w:spacing w:after="100"/>
      <w:ind w:left="440"/>
    </w:pPr>
  </w:style>
  <w:style w:type="paragraph" w:styleId="Header">
    <w:name w:val="header"/>
    <w:basedOn w:val="Normal"/>
    <w:link w:val="HeaderChar"/>
    <w:uiPriority w:val="99"/>
    <w:unhideWhenUsed/>
    <w:rsid w:val="00FE4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1E"/>
  </w:style>
  <w:style w:type="paragraph" w:styleId="Footer">
    <w:name w:val="footer"/>
    <w:basedOn w:val="Normal"/>
    <w:link w:val="FooterChar"/>
    <w:uiPriority w:val="99"/>
    <w:unhideWhenUsed/>
    <w:rsid w:val="00FE4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1E"/>
  </w:style>
  <w:style w:type="paragraph" w:styleId="ListParagraph">
    <w:name w:val="List Paragraph"/>
    <w:basedOn w:val="Normal"/>
    <w:uiPriority w:val="34"/>
    <w:qFormat/>
    <w:rsid w:val="00DD1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292595">
      <w:bodyDiv w:val="1"/>
      <w:marLeft w:val="0"/>
      <w:marRight w:val="0"/>
      <w:marTop w:val="0"/>
      <w:marBottom w:val="0"/>
      <w:divBdr>
        <w:top w:val="none" w:sz="0" w:space="0" w:color="auto"/>
        <w:left w:val="none" w:sz="0" w:space="0" w:color="auto"/>
        <w:bottom w:val="none" w:sz="0" w:space="0" w:color="auto"/>
        <w:right w:val="none" w:sz="0" w:space="0" w:color="auto"/>
      </w:divBdr>
    </w:div>
    <w:div w:id="154744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chart" Target="charts/chart1.xml" /><Relationship Id="rId4" Type="http://schemas.openxmlformats.org/officeDocument/2006/relationships/settings" Target="settings.xml" /><Relationship Id="rId9" Type="http://schemas.openxmlformats.org/officeDocument/2006/relationships/image" Target="media/image2.png" /></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v>2021</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Gross Margin</c:v>
                </c:pt>
                <c:pt idx="1">
                  <c:v>Current Ratio</c:v>
                </c:pt>
                <c:pt idx="2">
                  <c:v>Debt to Equity Ratio</c:v>
                </c:pt>
              </c:strCache>
            </c:strRef>
          </c:cat>
          <c:val>
            <c:numRef>
              <c:f>Sheet1!$B$2:$B$4</c:f>
              <c:numCache>
                <c:formatCode>_(* #,##0.00_);_(* \(#,##0.00\);_(* "-"??_);_(@_)</c:formatCode>
                <c:ptCount val="3"/>
                <c:pt idx="0" formatCode="0.00%">
                  <c:v>0.2021</c:v>
                </c:pt>
                <c:pt idx="1">
                  <c:v>0.56590000000000007</c:v>
                </c:pt>
                <c:pt idx="2">
                  <c:v>7.17</c:v>
                </c:pt>
              </c:numCache>
            </c:numRef>
          </c:val>
          <c:extLst>
            <c:ext xmlns:c16="http://schemas.microsoft.com/office/drawing/2014/chart" uri="{C3380CC4-5D6E-409C-BE32-E72D297353CC}">
              <c16:uniqueId val="{00000000-0052-48AC-92EE-C2E4E185031F}"/>
            </c:ext>
          </c:extLst>
        </c:ser>
        <c:ser>
          <c:idx val="2"/>
          <c:order val="1"/>
          <c:tx>
            <c:v>2020</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Gross Margin</c:v>
                </c:pt>
                <c:pt idx="1">
                  <c:v>Current Ratio</c:v>
                </c:pt>
                <c:pt idx="2">
                  <c:v>Debt to Equity Ratio</c:v>
                </c:pt>
              </c:strCache>
            </c:strRef>
          </c:cat>
          <c:val>
            <c:numRef>
              <c:f>Sheet1!$C$2:$C$4</c:f>
              <c:numCache>
                <c:formatCode>_(* #,##0.00_);_(* \(#,##0.00\);_(* "-"??_);_(@_)</c:formatCode>
                <c:ptCount val="3"/>
                <c:pt idx="0" formatCode="0.00%">
                  <c:v>0.13800000000000001</c:v>
                </c:pt>
                <c:pt idx="1">
                  <c:v>0.49110000000000004</c:v>
                </c:pt>
                <c:pt idx="2">
                  <c:v>24.130000000000003</c:v>
                </c:pt>
              </c:numCache>
            </c:numRef>
          </c:val>
          <c:extLst>
            <c:ext xmlns:c16="http://schemas.microsoft.com/office/drawing/2014/chart" uri="{C3380CC4-5D6E-409C-BE32-E72D297353CC}">
              <c16:uniqueId val="{00000001-0052-48AC-92EE-C2E4E185031F}"/>
            </c:ext>
          </c:extLst>
        </c:ser>
        <c:dLbls>
          <c:showLegendKey val="0"/>
          <c:showVal val="0"/>
          <c:showCatName val="0"/>
          <c:showSerName val="0"/>
          <c:showPercent val="0"/>
          <c:showBubbleSize val="0"/>
        </c:dLbls>
        <c:gapWidth val="150"/>
        <c:axId val="92627712"/>
        <c:axId val="95136384"/>
      </c:barChart>
      <c:catAx>
        <c:axId val="92627712"/>
        <c:scaling>
          <c:orientation val="minMax"/>
        </c:scaling>
        <c:delete val="0"/>
        <c:axPos val="b"/>
        <c:numFmt formatCode="General" sourceLinked="0"/>
        <c:majorTickMark val="out"/>
        <c:minorTickMark val="none"/>
        <c:tickLblPos val="nextTo"/>
        <c:crossAx val="95136384"/>
        <c:crosses val="autoZero"/>
        <c:auto val="1"/>
        <c:lblAlgn val="ctr"/>
        <c:lblOffset val="100"/>
        <c:noMultiLvlLbl val="0"/>
      </c:catAx>
      <c:valAx>
        <c:axId val="95136384"/>
        <c:scaling>
          <c:orientation val="minMax"/>
        </c:scaling>
        <c:delete val="0"/>
        <c:axPos val="l"/>
        <c:majorGridlines/>
        <c:numFmt formatCode="0.00%" sourceLinked="1"/>
        <c:majorTickMark val="out"/>
        <c:minorTickMark val="none"/>
        <c:tickLblPos val="nextTo"/>
        <c:crossAx val="9262771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A56B3-5425-4C6F-BFBC-33308EB46D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2022-12-09T20:52:00Z</dcterms:created>
  <dcterms:modified xsi:type="dcterms:W3CDTF">2022-12-09T21:55:00Z</dcterms:modified>
</cp:coreProperties>
</file>