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249F9"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Style w:val="normaltextrun"/>
          <w:rFonts w:ascii="Arial" w:eastAsiaTheme="majorEastAsia" w:hAnsi="Arial" w:cs="Arial"/>
          <w:color w:val="000000"/>
          <w:sz w:val="22"/>
          <w:szCs w:val="22"/>
          <w:lang w:val="en"/>
        </w:rPr>
        <w:t>Name: Shaukat Ali</w:t>
      </w:r>
      <w:r w:rsidRPr="005407B8">
        <w:rPr>
          <w:rStyle w:val="eop"/>
          <w:rFonts w:ascii="Arial" w:eastAsiaTheme="majorEastAsia" w:hAnsi="Arial" w:cs="Arial"/>
          <w:color w:val="000000"/>
          <w:sz w:val="22"/>
          <w:szCs w:val="22"/>
        </w:rPr>
        <w:t> </w:t>
      </w:r>
    </w:p>
    <w:p w14:paraId="095C8125"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Style w:val="normaltextrun"/>
          <w:rFonts w:ascii="Arial" w:eastAsiaTheme="majorEastAsia" w:hAnsi="Arial" w:cs="Arial"/>
          <w:color w:val="000000"/>
          <w:sz w:val="22"/>
          <w:szCs w:val="22"/>
          <w:lang w:val="en"/>
        </w:rPr>
        <w:t>Student number: 2511229</w:t>
      </w:r>
      <w:r w:rsidRPr="005407B8">
        <w:rPr>
          <w:rStyle w:val="eop"/>
          <w:rFonts w:ascii="Arial" w:eastAsiaTheme="majorEastAsia" w:hAnsi="Arial" w:cs="Arial"/>
          <w:color w:val="000000"/>
          <w:sz w:val="22"/>
          <w:szCs w:val="22"/>
        </w:rPr>
        <w:t> </w:t>
      </w:r>
    </w:p>
    <w:p w14:paraId="3CD317F2"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Style w:val="normaltextrun"/>
          <w:rFonts w:ascii="Arial" w:eastAsiaTheme="majorEastAsia" w:hAnsi="Arial" w:cs="Arial"/>
          <w:color w:val="000000"/>
          <w:sz w:val="22"/>
          <w:szCs w:val="22"/>
          <w:lang w:val="en"/>
        </w:rPr>
        <w:t>Module code: LCHS4003 (Birmingham) </w:t>
      </w:r>
      <w:r w:rsidRPr="005407B8">
        <w:rPr>
          <w:rStyle w:val="eop"/>
          <w:rFonts w:ascii="Arial" w:eastAsiaTheme="majorEastAsia" w:hAnsi="Arial" w:cs="Arial"/>
          <w:color w:val="000000"/>
          <w:sz w:val="22"/>
          <w:szCs w:val="22"/>
        </w:rPr>
        <w:t> </w:t>
      </w:r>
    </w:p>
    <w:p w14:paraId="094A7EE7"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Style w:val="normaltextrun"/>
          <w:rFonts w:ascii="Arial" w:eastAsiaTheme="majorEastAsia" w:hAnsi="Arial" w:cs="Arial"/>
          <w:color w:val="000000"/>
          <w:sz w:val="22"/>
          <w:szCs w:val="22"/>
          <w:lang w:val="en"/>
        </w:rPr>
        <w:t>Lecturer name: Azida Zanol </w:t>
      </w:r>
      <w:r w:rsidRPr="005407B8">
        <w:rPr>
          <w:rStyle w:val="eop"/>
          <w:rFonts w:ascii="Arial" w:eastAsiaTheme="majorEastAsia" w:hAnsi="Arial" w:cs="Arial"/>
          <w:color w:val="000000"/>
          <w:sz w:val="22"/>
          <w:szCs w:val="22"/>
        </w:rPr>
        <w:t> </w:t>
      </w:r>
    </w:p>
    <w:p w14:paraId="09F30B2F"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Style w:val="normaltextrun"/>
          <w:rFonts w:ascii="Arial" w:eastAsiaTheme="majorEastAsia" w:hAnsi="Arial" w:cs="Arial"/>
          <w:color w:val="000000"/>
          <w:sz w:val="22"/>
          <w:szCs w:val="22"/>
          <w:lang w:val="en"/>
        </w:rPr>
        <w:t>Module name: Introduction to Health and Social Care </w:t>
      </w:r>
      <w:r w:rsidRPr="005407B8">
        <w:rPr>
          <w:rStyle w:val="eop"/>
          <w:rFonts w:ascii="Arial" w:eastAsiaTheme="majorEastAsia" w:hAnsi="Arial" w:cs="Arial"/>
          <w:color w:val="000000"/>
          <w:sz w:val="22"/>
          <w:szCs w:val="22"/>
        </w:rPr>
        <w:t> </w:t>
      </w:r>
    </w:p>
    <w:p w14:paraId="4C00C471"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r w:rsidRPr="005407B8">
        <w:rPr>
          <w:rStyle w:val="normaltextrun"/>
          <w:rFonts w:ascii="Arial" w:eastAsiaTheme="majorEastAsia" w:hAnsi="Arial" w:cs="Arial"/>
          <w:color w:val="000000"/>
          <w:sz w:val="22"/>
          <w:szCs w:val="22"/>
          <w:lang w:val="en-US"/>
        </w:rPr>
        <w:t>Assignment title: Case Study report: </w:t>
      </w:r>
      <w:proofErr w:type="spellStart"/>
      <w:r w:rsidRPr="005407B8">
        <w:rPr>
          <w:rStyle w:val="normaltextrun"/>
          <w:rFonts w:ascii="Arial" w:eastAsiaTheme="majorEastAsia" w:hAnsi="Arial" w:cs="Arial"/>
          <w:color w:val="000000"/>
          <w:sz w:val="22"/>
          <w:szCs w:val="22"/>
          <w:lang w:val="en-US"/>
        </w:rPr>
        <w:t>Mr</w:t>
      </w:r>
      <w:proofErr w:type="spellEnd"/>
      <w:r w:rsidRPr="005407B8">
        <w:rPr>
          <w:rStyle w:val="normaltextrun"/>
          <w:rFonts w:ascii="Arial" w:eastAsiaTheme="majorEastAsia" w:hAnsi="Arial" w:cs="Arial"/>
          <w:color w:val="000000"/>
          <w:sz w:val="22"/>
          <w:szCs w:val="22"/>
          <w:lang w:val="en-US"/>
        </w:rPr>
        <w:t> Ahmed </w:t>
      </w:r>
      <w:r w:rsidRPr="005407B8">
        <w:rPr>
          <w:rStyle w:val="eop"/>
          <w:rFonts w:ascii="Arial" w:eastAsiaTheme="majorEastAsia" w:hAnsi="Arial" w:cs="Arial"/>
          <w:color w:val="000000"/>
          <w:sz w:val="22"/>
          <w:szCs w:val="22"/>
        </w:rPr>
        <w:t> </w:t>
      </w:r>
    </w:p>
    <w:p w14:paraId="13E6CBF1"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3500C16A"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5FCF87CF"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9D92F18"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4BC5692"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B5E2611"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0EE98B3"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3F9130AD"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1FC87560"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390551D5"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3D548543"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05CBC4D"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FFD4DCB"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09860A26"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1347111B"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359001D0"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0A01B5A"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4E85FF35"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5C2A2C8C"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5000AF02"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46CAF005"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69FD1E9A"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47370172"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E4E4967"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44A995FF"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55CBC2AB"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37347798"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19CB6CF9"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707A54DE"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2D3FF96"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2DA755A1"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3CD63017"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346B7D7F"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 xml:space="preserve">Assignment Component 2: Case Study of Mr Ahmed </w:t>
      </w:r>
    </w:p>
    <w:p w14:paraId="75546796"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045F84DD"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Introduction</w:t>
      </w:r>
    </w:p>
    <w:p w14:paraId="38EE2880"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 xml:space="preserve"> Health and social care services in the United Kingdom support individuals with medical, physical, emotional, and social needs. These services are mainly provided by the National Health Service (NHS), local authority social services, and voluntary organisations. Their main aim is to promote recovery, protect wellbeing, and help people maintain independence (NHS England, 2023). This assignment focuses on Mr Ahmed, a 68</w:t>
      </w:r>
      <w:r w:rsidRPr="005407B8">
        <w:rPr>
          <w:rFonts w:ascii="Arial" w:hAnsi="Arial" w:cs="Arial"/>
          <w:sz w:val="22"/>
          <w:szCs w:val="22"/>
        </w:rPr>
        <w:noBreakHyphen/>
        <w:t>year</w:t>
      </w:r>
      <w:r w:rsidRPr="005407B8">
        <w:rPr>
          <w:rFonts w:ascii="Arial" w:hAnsi="Arial" w:cs="Arial"/>
          <w:sz w:val="22"/>
          <w:szCs w:val="22"/>
        </w:rPr>
        <w:noBreakHyphen/>
        <w:t xml:space="preserve">old man who has recently been discharged from hospital after experiencing a stroke. A stroke can affect mobility, speech, swallowing, memory and the ability to carry out everyday tasks. Because Mr Ahmed is an older adult, recovery may take longer and he may require additional support at home. Mr Ahmed lives with his </w:t>
      </w:r>
      <w:proofErr w:type="gramStart"/>
      <w:r w:rsidRPr="005407B8">
        <w:rPr>
          <w:rFonts w:ascii="Arial" w:hAnsi="Arial" w:cs="Arial"/>
          <w:sz w:val="22"/>
          <w:szCs w:val="22"/>
        </w:rPr>
        <w:t>family</w:t>
      </w:r>
      <w:proofErr w:type="gramEnd"/>
      <w:r w:rsidRPr="005407B8">
        <w:rPr>
          <w:rFonts w:ascii="Arial" w:hAnsi="Arial" w:cs="Arial"/>
          <w:sz w:val="22"/>
          <w:szCs w:val="22"/>
        </w:rPr>
        <w:t xml:space="preserve"> and his first language is Bengali, which may create communication challenges when receiving healthcare support. Therefore, coordinated health and social care services are essential to help him recover and maintain independence. This assignment will explain the structure of the UK health and social care system, the roles of professionals involved in Mr Ahmed’s care, the importance of partnership working and communication, the role of person</w:t>
      </w:r>
      <w:r w:rsidRPr="005407B8">
        <w:rPr>
          <w:rFonts w:ascii="Arial" w:hAnsi="Arial" w:cs="Arial"/>
          <w:sz w:val="22"/>
          <w:szCs w:val="22"/>
        </w:rPr>
        <w:noBreakHyphen/>
        <w:t>centred care, and the legislation that protects his rights. Understanding these aspects of professional practice is important because they help ensure that individuals receive safe, effective and respectful care that supports their long</w:t>
      </w:r>
      <w:r w:rsidRPr="005407B8">
        <w:rPr>
          <w:rFonts w:ascii="Arial" w:hAnsi="Arial" w:cs="Arial"/>
          <w:sz w:val="22"/>
          <w:szCs w:val="22"/>
        </w:rPr>
        <w:noBreakHyphen/>
        <w:t xml:space="preserve">term wellbeing. </w:t>
      </w:r>
    </w:p>
    <w:p w14:paraId="16947E38"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71A8A9C7"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 xml:space="preserve">Structure of the UK Health and Social Care System </w:t>
      </w:r>
    </w:p>
    <w:p w14:paraId="2A5FDF1A"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5BC9C670"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The UK health and social care system is made up of health services, social care services and voluntary organisations. The National Health Service (NHS) provides medical care such as hospital treatment, GP services, specialist services and rehabilitation. It is funded through taxation and healthcare is free at the point of use (Department of Health and Social Care, 2022). After Mr Ahmed’s stroke he received treatment in hospital from doctors, nurses and a specialist stroke team. This early treatment is important because it stabilises the patient and prevents further complications. After leaving hospital, community health services continue supporting recovery.</w:t>
      </w:r>
    </w:p>
    <w:p w14:paraId="1E577389"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 xml:space="preserve"> Physiotherapists help improve movement, balance and strength, while speech and language therapists support communication and swallowing difficulties (NICE, 2023). Occupational therapists may also help patients relearn everyday tasks such as dressing or cooking safely. These rehabilitation services help people regain independence following a </w:t>
      </w:r>
      <w:r w:rsidRPr="005407B8">
        <w:rPr>
          <w:rFonts w:ascii="Arial" w:hAnsi="Arial" w:cs="Arial"/>
          <w:sz w:val="22"/>
          <w:szCs w:val="22"/>
        </w:rPr>
        <w:lastRenderedPageBreak/>
        <w:t>stroke. Rehabilitation is often a gradual process and may require regular therapy sessions over several months to support recovery.</w:t>
      </w:r>
    </w:p>
    <w:p w14:paraId="168EC4A3"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53D97457"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12594B07" w14:textId="3844D4FF"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 xml:space="preserve"> Social care services are provided by local authorities under the Care Act 2014. These servic</w:t>
      </w:r>
      <w:r w:rsidRPr="005407B8">
        <w:rPr>
          <w:rFonts w:ascii="Arial" w:hAnsi="Arial" w:cs="Arial"/>
          <w:sz w:val="22"/>
          <w:szCs w:val="22"/>
        </w:rPr>
        <w:t xml:space="preserve">es </w:t>
      </w:r>
      <w:r w:rsidRPr="005407B8">
        <w:rPr>
          <w:rFonts w:ascii="Arial" w:hAnsi="Arial" w:cs="Arial"/>
          <w:sz w:val="22"/>
          <w:szCs w:val="22"/>
        </w:rPr>
        <w:t>individuals with daily activities such as personal care, preparing meals and maintaining a safe living environment (Care Act, 2014). A social worker may assess Mr Ahmed’s needs and decide whether he requires home care visits, mobility aids or home adaptations. Because he is recovering from a stroke and is 68 years old, he may need support to prevent falls and maintain independence. When health and social care services work together, they provide more effective support and improve overall recovery outcomes for individuals like Mr Ahmed.</w:t>
      </w:r>
    </w:p>
    <w:p w14:paraId="7CF226A5"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48D084F3" w14:textId="77777777" w:rsidR="00DD146C" w:rsidRPr="005407B8" w:rsidRDefault="00DD146C" w:rsidP="005407B8">
      <w:pPr>
        <w:pStyle w:val="paragraph"/>
        <w:spacing w:before="0" w:beforeAutospacing="0" w:after="0" w:afterAutospacing="0" w:line="360" w:lineRule="auto"/>
        <w:textAlignment w:val="baseline"/>
        <w:rPr>
          <w:rStyle w:val="eop"/>
          <w:rFonts w:ascii="Arial" w:eastAsiaTheme="majorEastAsia" w:hAnsi="Arial" w:cs="Arial"/>
          <w:color w:val="000000"/>
          <w:sz w:val="22"/>
          <w:szCs w:val="22"/>
        </w:rPr>
      </w:pPr>
    </w:p>
    <w:p w14:paraId="06757741" w14:textId="77777777" w:rsidR="005407B8"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Roles and Responsibilities of Professionals</w:t>
      </w:r>
    </w:p>
    <w:p w14:paraId="58EDB8BA" w14:textId="77777777" w:rsidR="005407B8"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 xml:space="preserve"> Several professionals are involved in supporting Mr Ahmed’s recovery. The General Practitioner (GP) plays a key role in monitoring his health and reviewing medication (NHS England, 2023). Stroke patients often need long</w:t>
      </w:r>
      <w:r w:rsidRPr="005407B8">
        <w:rPr>
          <w:rFonts w:ascii="Arial" w:hAnsi="Arial" w:cs="Arial"/>
          <w:sz w:val="22"/>
          <w:szCs w:val="22"/>
        </w:rPr>
        <w:noBreakHyphen/>
        <w:t xml:space="preserve">term monitoring to prevent further health problems such as high blood pressure or heart disease. The GP can also refer Mr Ahmed to specialist services when necessary and help coordinate his ongoing treatment plan. </w:t>
      </w:r>
    </w:p>
    <w:p w14:paraId="22C3B953" w14:textId="77777777" w:rsidR="005407B8" w:rsidRPr="005407B8" w:rsidRDefault="005407B8" w:rsidP="005407B8">
      <w:pPr>
        <w:pStyle w:val="paragraph"/>
        <w:spacing w:before="0" w:beforeAutospacing="0" w:after="0" w:afterAutospacing="0" w:line="360" w:lineRule="auto"/>
        <w:textAlignment w:val="baseline"/>
        <w:rPr>
          <w:rFonts w:ascii="Arial" w:hAnsi="Arial" w:cs="Arial"/>
          <w:sz w:val="22"/>
          <w:szCs w:val="22"/>
        </w:rPr>
      </w:pPr>
    </w:p>
    <w:p w14:paraId="19C8F7C6" w14:textId="32D4A4D1"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 xml:space="preserve">The physiotherapist works with Mr Ahmed to improve strength, coordination and mobility after his stroke (NICE, 2023). These exercises help him regain independence and reduce the risk of falls. The speech and language therapist helps with communication difficulties or swallowing problems, which are common after a stroke. This support allows Mr Ahmed to communicate better and maintain healthy eating and drinking. </w:t>
      </w:r>
    </w:p>
    <w:p w14:paraId="2991DB86"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4329B2F0" w14:textId="1BC2DD61"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An occupational therapist may also support Mr Ahmed by helping him adapt everyday activiti</w:t>
      </w:r>
      <w:r w:rsidRPr="005407B8">
        <w:rPr>
          <w:rFonts w:ascii="Arial" w:hAnsi="Arial" w:cs="Arial"/>
          <w:sz w:val="22"/>
          <w:szCs w:val="22"/>
        </w:rPr>
        <w:t xml:space="preserve">es. </w:t>
      </w:r>
      <w:r w:rsidRPr="005407B8">
        <w:rPr>
          <w:rFonts w:ascii="Arial" w:hAnsi="Arial" w:cs="Arial"/>
          <w:sz w:val="22"/>
          <w:szCs w:val="22"/>
        </w:rPr>
        <w:t>For example, they might recommend equipment such as grab rails or walking aids to make movement around the home safer. A social worker assesses Mr Ahmed’s needs under the Care Act 2014 and arranges services such as home care support (Care Act, 2014). Community nurses may visit his home to monitor his health, support medication management and provide health advice to him and his family. All these professionals contribute to improving Mr Ahmed’s wellbeing and independence and ensure he receives coordinated care that meets both his medical and social needs.</w:t>
      </w:r>
      <w:r w:rsidRPr="005407B8">
        <w:rPr>
          <w:rFonts w:ascii="Arial" w:hAnsi="Arial" w:cs="Arial"/>
          <w:sz w:val="22"/>
          <w:szCs w:val="22"/>
        </w:rPr>
        <w:t xml:space="preserve"> </w:t>
      </w:r>
    </w:p>
    <w:p w14:paraId="0D201802"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4356E478"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66738604"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Style w:val="eop"/>
          <w:rFonts w:ascii="Arial" w:eastAsiaTheme="majorEastAsia" w:hAnsi="Arial" w:cs="Arial"/>
          <w:sz w:val="22"/>
          <w:szCs w:val="22"/>
        </w:rPr>
        <w:lastRenderedPageBreak/>
        <w:t> </w:t>
      </w:r>
      <w:r w:rsidRPr="005407B8">
        <w:rPr>
          <w:rFonts w:ascii="Arial" w:hAnsi="Arial" w:cs="Arial"/>
          <w:sz w:val="22"/>
          <w:szCs w:val="22"/>
        </w:rPr>
        <w:t xml:space="preserve">Partnership Working Partnership working means professionals from different services working together to provide coordinated care (Glasby and Dickinson, 2014). Stroke recovery often requires input from several professionals, so teamwork is very important. When professionals share information and work collaboratively, patients receive more consistent care. </w:t>
      </w:r>
    </w:p>
    <w:p w14:paraId="24D6F317"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42D060BD"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For example, the physiotherapist may identify mobility problems and inform the social worker so that mobility equipment can be arranged. The GP may review medication and communicate this with community nurses who monitor Mr Ahmed at home. Sharing information helps avoid mistakes and ensures that all professionals understand the patient’s needs.</w:t>
      </w:r>
    </w:p>
    <w:p w14:paraId="00E7A9E2" w14:textId="77777777"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p>
    <w:p w14:paraId="547D0FFF" w14:textId="4F1C048E" w:rsidR="00DD146C" w:rsidRPr="005407B8" w:rsidRDefault="00DD146C" w:rsidP="005407B8">
      <w:pPr>
        <w:pStyle w:val="paragraph"/>
        <w:spacing w:before="0" w:beforeAutospacing="0" w:after="0" w:afterAutospacing="0" w:line="360" w:lineRule="auto"/>
        <w:textAlignment w:val="baseline"/>
        <w:rPr>
          <w:rFonts w:ascii="Arial" w:hAnsi="Arial" w:cs="Arial"/>
          <w:sz w:val="22"/>
          <w:szCs w:val="22"/>
        </w:rPr>
      </w:pPr>
      <w:r w:rsidRPr="005407B8">
        <w:rPr>
          <w:rFonts w:ascii="Arial" w:hAnsi="Arial" w:cs="Arial"/>
          <w:sz w:val="22"/>
          <w:szCs w:val="22"/>
        </w:rPr>
        <w:t xml:space="preserve"> Effective partnership working improves the quality of care and reduces duplication of services. It also ensures that decisions about care are made collectively and focus on the patient’s wellbeing. In Mr Ahmed’s situation, partnership working helps ensure his rehabilitation, medical care and home support are organised in a coordinated way that supports his recovery and independence.</w:t>
      </w:r>
    </w:p>
    <w:p w14:paraId="2BFC719D" w14:textId="77777777" w:rsidR="005638CC" w:rsidRPr="005407B8" w:rsidRDefault="005638CC" w:rsidP="005407B8">
      <w:pPr>
        <w:spacing w:line="360" w:lineRule="auto"/>
        <w:rPr>
          <w:rFonts w:ascii="Arial" w:hAnsi="Arial" w:cs="Arial"/>
          <w:sz w:val="22"/>
          <w:szCs w:val="22"/>
        </w:rPr>
      </w:pPr>
    </w:p>
    <w:p w14:paraId="51685181" w14:textId="77777777" w:rsidR="00DD146C" w:rsidRPr="005407B8" w:rsidRDefault="00DD146C" w:rsidP="005407B8">
      <w:pPr>
        <w:spacing w:line="360" w:lineRule="auto"/>
        <w:rPr>
          <w:rFonts w:ascii="Arial" w:hAnsi="Arial" w:cs="Arial"/>
          <w:sz w:val="22"/>
          <w:szCs w:val="22"/>
        </w:rPr>
      </w:pPr>
      <w:r w:rsidRPr="005407B8">
        <w:rPr>
          <w:rFonts w:ascii="Arial" w:hAnsi="Arial" w:cs="Arial"/>
          <w:sz w:val="22"/>
          <w:szCs w:val="22"/>
        </w:rPr>
        <w:t>Communication</w:t>
      </w:r>
    </w:p>
    <w:p w14:paraId="1B3B903C" w14:textId="77777777" w:rsidR="00DD146C" w:rsidRPr="005407B8" w:rsidRDefault="00DD146C" w:rsidP="005407B8">
      <w:pPr>
        <w:spacing w:line="360" w:lineRule="auto"/>
        <w:rPr>
          <w:rFonts w:ascii="Arial" w:hAnsi="Arial" w:cs="Arial"/>
          <w:sz w:val="22"/>
          <w:szCs w:val="22"/>
        </w:rPr>
      </w:pPr>
      <w:r w:rsidRPr="005407B8">
        <w:rPr>
          <w:rFonts w:ascii="Arial" w:hAnsi="Arial" w:cs="Arial"/>
          <w:sz w:val="22"/>
          <w:szCs w:val="22"/>
        </w:rPr>
        <w:t xml:space="preserve"> </w:t>
      </w:r>
      <w:proofErr w:type="spellStart"/>
      <w:r w:rsidRPr="005407B8">
        <w:rPr>
          <w:rFonts w:ascii="Arial" w:hAnsi="Arial" w:cs="Arial"/>
          <w:sz w:val="22"/>
          <w:szCs w:val="22"/>
        </w:rPr>
        <w:t>Communication</w:t>
      </w:r>
      <w:proofErr w:type="spellEnd"/>
      <w:r w:rsidRPr="005407B8">
        <w:rPr>
          <w:rFonts w:ascii="Arial" w:hAnsi="Arial" w:cs="Arial"/>
          <w:sz w:val="22"/>
          <w:szCs w:val="22"/>
        </w:rPr>
        <w:t xml:space="preserve"> is an important part of health and social care practice. Clear communication helps patients understand their diagnosis, treatment and medication instructions (NICE, 2023). It also allows professionals to share information and coordinate care effectively. </w:t>
      </w:r>
    </w:p>
    <w:p w14:paraId="7A0FB586" w14:textId="77777777" w:rsidR="00DD146C" w:rsidRPr="005407B8" w:rsidRDefault="00DD146C" w:rsidP="005407B8">
      <w:pPr>
        <w:spacing w:line="360" w:lineRule="auto"/>
        <w:rPr>
          <w:rFonts w:ascii="Arial" w:hAnsi="Arial" w:cs="Arial"/>
          <w:sz w:val="22"/>
          <w:szCs w:val="22"/>
        </w:rPr>
      </w:pPr>
      <w:r w:rsidRPr="005407B8">
        <w:rPr>
          <w:rFonts w:ascii="Arial" w:hAnsi="Arial" w:cs="Arial"/>
          <w:sz w:val="22"/>
          <w:szCs w:val="22"/>
        </w:rPr>
        <w:t>Mr Ahmed’s first language is Bengali, which may make communication with healthcare professionals more difficult. If patients do not fully understand medical advice, this may affect their recovery. Healthcare professionals should therefore use interpreters where necessary and explain information clearly and simply. Written information or visual aids may also help improve understanding.</w:t>
      </w:r>
    </w:p>
    <w:p w14:paraId="5727279C" w14:textId="77777777" w:rsidR="00DD146C" w:rsidRPr="005407B8" w:rsidRDefault="00DD146C" w:rsidP="005407B8">
      <w:pPr>
        <w:spacing w:line="360" w:lineRule="auto"/>
        <w:rPr>
          <w:rFonts w:ascii="Arial" w:hAnsi="Arial" w:cs="Arial"/>
          <w:sz w:val="22"/>
          <w:szCs w:val="22"/>
        </w:rPr>
      </w:pPr>
      <w:r w:rsidRPr="005407B8">
        <w:rPr>
          <w:rFonts w:ascii="Arial" w:hAnsi="Arial" w:cs="Arial"/>
          <w:sz w:val="22"/>
          <w:szCs w:val="22"/>
        </w:rPr>
        <w:t xml:space="preserve"> Communication between professionals is also essential. Accurate record keeping and information sharing ensure that everyone involved in Mr Ahmed’s care understands his progress and any changes in his condition. Good communication helps build trust, improve patient satisfaction and support safer care delivery within health and social care services. </w:t>
      </w:r>
    </w:p>
    <w:p w14:paraId="781E6C1F" w14:textId="77777777" w:rsidR="005407B8" w:rsidRDefault="005407B8" w:rsidP="005407B8">
      <w:pPr>
        <w:spacing w:line="360" w:lineRule="auto"/>
        <w:rPr>
          <w:rFonts w:ascii="Arial" w:hAnsi="Arial" w:cs="Arial"/>
          <w:sz w:val="22"/>
          <w:szCs w:val="22"/>
        </w:rPr>
      </w:pPr>
    </w:p>
    <w:p w14:paraId="23864D05" w14:textId="77777777" w:rsidR="005407B8" w:rsidRDefault="005407B8" w:rsidP="005407B8">
      <w:pPr>
        <w:spacing w:line="360" w:lineRule="auto"/>
        <w:rPr>
          <w:rFonts w:ascii="Arial" w:hAnsi="Arial" w:cs="Arial"/>
          <w:sz w:val="22"/>
          <w:szCs w:val="22"/>
        </w:rPr>
      </w:pPr>
    </w:p>
    <w:p w14:paraId="7154917F" w14:textId="77777777" w:rsidR="005407B8" w:rsidRDefault="005407B8" w:rsidP="005407B8">
      <w:pPr>
        <w:spacing w:line="360" w:lineRule="auto"/>
        <w:rPr>
          <w:rFonts w:ascii="Arial" w:hAnsi="Arial" w:cs="Arial"/>
          <w:sz w:val="22"/>
          <w:szCs w:val="22"/>
        </w:rPr>
      </w:pPr>
    </w:p>
    <w:p w14:paraId="46DE3F38" w14:textId="72458D8F" w:rsidR="00DD146C" w:rsidRPr="005407B8" w:rsidRDefault="00DD146C" w:rsidP="005407B8">
      <w:pPr>
        <w:spacing w:line="360" w:lineRule="auto"/>
        <w:rPr>
          <w:rFonts w:ascii="Arial" w:hAnsi="Arial" w:cs="Arial"/>
          <w:sz w:val="22"/>
          <w:szCs w:val="22"/>
        </w:rPr>
      </w:pPr>
      <w:r w:rsidRPr="005407B8">
        <w:rPr>
          <w:rFonts w:ascii="Arial" w:hAnsi="Arial" w:cs="Arial"/>
          <w:sz w:val="22"/>
          <w:szCs w:val="22"/>
        </w:rPr>
        <w:lastRenderedPageBreak/>
        <w:t>Person</w:t>
      </w:r>
      <w:r w:rsidRPr="005407B8">
        <w:rPr>
          <w:rFonts w:ascii="Arial" w:hAnsi="Arial" w:cs="Arial"/>
          <w:sz w:val="22"/>
          <w:szCs w:val="22"/>
        </w:rPr>
        <w:noBreakHyphen/>
        <w:t xml:space="preserve">Centred Care </w:t>
      </w:r>
    </w:p>
    <w:p w14:paraId="3B64449C" w14:textId="14276870" w:rsidR="00DD146C" w:rsidRPr="005407B8" w:rsidRDefault="00DD146C" w:rsidP="005407B8">
      <w:pPr>
        <w:spacing w:line="360" w:lineRule="auto"/>
        <w:rPr>
          <w:rFonts w:ascii="Arial" w:hAnsi="Arial" w:cs="Arial"/>
          <w:sz w:val="22"/>
          <w:szCs w:val="22"/>
        </w:rPr>
      </w:pPr>
      <w:r w:rsidRPr="005407B8">
        <w:rPr>
          <w:rFonts w:ascii="Arial" w:hAnsi="Arial" w:cs="Arial"/>
          <w:sz w:val="22"/>
          <w:szCs w:val="22"/>
        </w:rPr>
        <w:t>Person</w:t>
      </w:r>
      <w:r w:rsidRPr="005407B8">
        <w:rPr>
          <w:rFonts w:ascii="Arial" w:hAnsi="Arial" w:cs="Arial"/>
          <w:sz w:val="22"/>
          <w:szCs w:val="22"/>
        </w:rPr>
        <w:noBreakHyphen/>
        <w:t>centred care focuses on treating individuals with dignity, respect and compassion while recognising their personal needs and preferences (Health Foundation, 2016). Instead of applying the same approach to everyone, care should be tailored to each person.</w:t>
      </w:r>
    </w:p>
    <w:p w14:paraId="3DFF54A2" w14:textId="4052B223" w:rsidR="00DD146C" w:rsidRPr="005407B8" w:rsidRDefault="005407B8" w:rsidP="005407B8">
      <w:pPr>
        <w:spacing w:line="360" w:lineRule="auto"/>
        <w:rPr>
          <w:rFonts w:ascii="Arial" w:hAnsi="Arial" w:cs="Arial"/>
          <w:sz w:val="22"/>
          <w:szCs w:val="22"/>
        </w:rPr>
      </w:pPr>
      <w:r w:rsidRPr="005407B8">
        <w:rPr>
          <w:rFonts w:ascii="Arial" w:hAnsi="Arial" w:cs="Arial"/>
          <w:sz w:val="22"/>
          <w:szCs w:val="22"/>
        </w:rPr>
        <w:t>For Mr Ahmed, professionals must consider his cultural background, language and personal preferences. Because he speaks Bengali, additional communication support may be required to ensure he fully understands his care. His family may also be involved in supporting his recovery and professionals should consider their role where appropriate.</w:t>
      </w:r>
    </w:p>
    <w:p w14:paraId="775B4080" w14:textId="598E2A40"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Person</w:t>
      </w:r>
      <w:r w:rsidRPr="005407B8">
        <w:rPr>
          <w:rFonts w:ascii="Arial" w:hAnsi="Arial" w:cs="Arial"/>
          <w:sz w:val="22"/>
          <w:szCs w:val="22"/>
        </w:rPr>
        <w:noBreakHyphen/>
        <w:t>centred care encourages individuals to take part in decisions about their treatment. When patients feel respected and involved, they are more likely to engage positively with rehabilitation. This approach improves confidence, independence and overall health outcomes while ensuring the individual feels valued and supported.</w:t>
      </w:r>
    </w:p>
    <w:p w14:paraId="5C477F83"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 xml:space="preserve">Legislation and Policies </w:t>
      </w:r>
    </w:p>
    <w:p w14:paraId="2DCE40E5" w14:textId="411EF91C"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Legislation provides a framework to ensure that health and social care services operate safely and fairly. The Care Act 2014 requires local authorities to promote wellbeing and provide support following a needs assessment (Care Act, 2014). This helps ensure individuals such as Mr Ahmed receive appropriate support to maintain independence.</w:t>
      </w:r>
    </w:p>
    <w:p w14:paraId="46F4C96A" w14:textId="5CD721A2"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 xml:space="preserve">The Equality Act 2010 protects individuals from discrimination based on characteristics such as age, race, disability or religion (Equality Act, 2010). This means Mr Ahmed must receive equal access to </w:t>
      </w:r>
      <w:proofErr w:type="gramStart"/>
      <w:r w:rsidRPr="005407B8">
        <w:rPr>
          <w:rFonts w:ascii="Arial" w:hAnsi="Arial" w:cs="Arial"/>
          <w:sz w:val="22"/>
          <w:szCs w:val="22"/>
        </w:rPr>
        <w:t>services</w:t>
      </w:r>
      <w:proofErr w:type="gramEnd"/>
      <w:r w:rsidRPr="005407B8">
        <w:rPr>
          <w:rFonts w:ascii="Arial" w:hAnsi="Arial" w:cs="Arial"/>
          <w:sz w:val="22"/>
          <w:szCs w:val="22"/>
        </w:rPr>
        <w:t xml:space="preserve"> and his language needs should be respected.</w:t>
      </w:r>
    </w:p>
    <w:p w14:paraId="48EA1C5D" w14:textId="6C272DDB"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The Mental Capacity Act 2005 protects people who may have difficulty making decisions about their care (Mental Capacity Act, 2005). If Mr Ahmed experiences cognitive difficulties after his stroke, professionals must support him in decision</w:t>
      </w:r>
      <w:r w:rsidRPr="005407B8">
        <w:rPr>
          <w:rFonts w:ascii="Arial" w:hAnsi="Arial" w:cs="Arial"/>
          <w:sz w:val="22"/>
          <w:szCs w:val="22"/>
        </w:rPr>
        <w:noBreakHyphen/>
        <w:t>making and act in his best interests.</w:t>
      </w:r>
    </w:p>
    <w:p w14:paraId="7384A2F6"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Conclusion</w:t>
      </w:r>
    </w:p>
    <w:p w14:paraId="5C908570" w14:textId="72564AE8"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 xml:space="preserve"> In conclusion, health and social care services are essential in supporting Mr Ahmed after his stroke. The NHS provides medical treatment and rehabilitation, while social care services help him manage daily life at home. Professionals such as the GP, physiotherapist, occupational therapist, speech and language therapist, social worker and community nurse all contribute to his recovery. Partnership working and effective communication ensure that care is coordinated and responsive to his needs. Person</w:t>
      </w:r>
      <w:r w:rsidRPr="005407B8">
        <w:rPr>
          <w:rFonts w:ascii="Arial" w:hAnsi="Arial" w:cs="Arial"/>
          <w:sz w:val="22"/>
          <w:szCs w:val="22"/>
        </w:rPr>
        <w:noBreakHyphen/>
        <w:t xml:space="preserve">centred practice ensures his cultural background and personal preferences are respected. In addition, legislation such as the Care Act 2014, Equality Act 2010 and Mental Capacity Act 2005 protects his rights. </w:t>
      </w:r>
      <w:r w:rsidRPr="005407B8">
        <w:rPr>
          <w:rFonts w:ascii="Arial" w:hAnsi="Arial" w:cs="Arial"/>
          <w:sz w:val="22"/>
          <w:szCs w:val="22"/>
        </w:rPr>
        <w:lastRenderedPageBreak/>
        <w:t>Overall, integrated health and social care services help improve Mr Ahmed’s recovery, independence and quality of life.</w:t>
      </w:r>
    </w:p>
    <w:p w14:paraId="5B7B5F72" w14:textId="77777777" w:rsidR="005407B8" w:rsidRPr="005407B8" w:rsidRDefault="005407B8" w:rsidP="005407B8">
      <w:pPr>
        <w:spacing w:line="360" w:lineRule="auto"/>
        <w:rPr>
          <w:rFonts w:ascii="Arial" w:hAnsi="Arial" w:cs="Arial"/>
          <w:sz w:val="22"/>
          <w:szCs w:val="22"/>
        </w:rPr>
      </w:pPr>
    </w:p>
    <w:p w14:paraId="32DAFD7B" w14:textId="77777777" w:rsidR="005407B8" w:rsidRPr="005407B8" w:rsidRDefault="005407B8" w:rsidP="005407B8">
      <w:pPr>
        <w:spacing w:line="360" w:lineRule="auto"/>
        <w:rPr>
          <w:rFonts w:ascii="Arial" w:hAnsi="Arial" w:cs="Arial"/>
          <w:sz w:val="22"/>
          <w:szCs w:val="22"/>
        </w:rPr>
      </w:pPr>
    </w:p>
    <w:p w14:paraId="77499A76" w14:textId="77777777" w:rsidR="005407B8" w:rsidRPr="005407B8" w:rsidRDefault="005407B8" w:rsidP="005407B8">
      <w:pPr>
        <w:spacing w:line="360" w:lineRule="auto"/>
        <w:rPr>
          <w:rFonts w:ascii="Arial" w:hAnsi="Arial" w:cs="Arial"/>
          <w:sz w:val="22"/>
          <w:szCs w:val="22"/>
        </w:rPr>
      </w:pPr>
    </w:p>
    <w:p w14:paraId="6812A837" w14:textId="77777777" w:rsidR="005407B8" w:rsidRPr="005407B8" w:rsidRDefault="005407B8" w:rsidP="005407B8">
      <w:pPr>
        <w:spacing w:line="360" w:lineRule="auto"/>
        <w:rPr>
          <w:rFonts w:ascii="Arial" w:hAnsi="Arial" w:cs="Arial"/>
          <w:sz w:val="22"/>
          <w:szCs w:val="22"/>
        </w:rPr>
      </w:pPr>
    </w:p>
    <w:p w14:paraId="682FA9FC" w14:textId="77777777" w:rsidR="005407B8" w:rsidRPr="005407B8" w:rsidRDefault="005407B8" w:rsidP="005407B8">
      <w:pPr>
        <w:spacing w:line="360" w:lineRule="auto"/>
        <w:rPr>
          <w:rFonts w:ascii="Arial" w:hAnsi="Arial" w:cs="Arial"/>
          <w:sz w:val="22"/>
          <w:szCs w:val="22"/>
        </w:rPr>
      </w:pPr>
    </w:p>
    <w:p w14:paraId="16F71F5E" w14:textId="77777777" w:rsidR="005407B8" w:rsidRPr="005407B8" w:rsidRDefault="005407B8" w:rsidP="005407B8">
      <w:pPr>
        <w:spacing w:line="360" w:lineRule="auto"/>
        <w:rPr>
          <w:rFonts w:ascii="Arial" w:hAnsi="Arial" w:cs="Arial"/>
          <w:sz w:val="22"/>
          <w:szCs w:val="22"/>
        </w:rPr>
      </w:pPr>
    </w:p>
    <w:p w14:paraId="0B9FA545" w14:textId="77777777" w:rsidR="005407B8" w:rsidRPr="005407B8" w:rsidRDefault="005407B8" w:rsidP="005407B8">
      <w:pPr>
        <w:spacing w:line="360" w:lineRule="auto"/>
        <w:rPr>
          <w:rFonts w:ascii="Arial" w:hAnsi="Arial" w:cs="Arial"/>
          <w:sz w:val="22"/>
          <w:szCs w:val="22"/>
        </w:rPr>
      </w:pPr>
    </w:p>
    <w:p w14:paraId="77E920DC" w14:textId="77777777" w:rsidR="005407B8" w:rsidRPr="005407B8" w:rsidRDefault="005407B8" w:rsidP="005407B8">
      <w:pPr>
        <w:spacing w:line="360" w:lineRule="auto"/>
        <w:rPr>
          <w:rFonts w:ascii="Arial" w:hAnsi="Arial" w:cs="Arial"/>
          <w:sz w:val="22"/>
          <w:szCs w:val="22"/>
        </w:rPr>
      </w:pPr>
    </w:p>
    <w:p w14:paraId="70F3ED4C" w14:textId="77777777" w:rsidR="005407B8" w:rsidRPr="005407B8" w:rsidRDefault="005407B8" w:rsidP="005407B8">
      <w:pPr>
        <w:spacing w:line="360" w:lineRule="auto"/>
        <w:rPr>
          <w:rFonts w:ascii="Arial" w:hAnsi="Arial" w:cs="Arial"/>
          <w:sz w:val="22"/>
          <w:szCs w:val="22"/>
        </w:rPr>
      </w:pPr>
    </w:p>
    <w:p w14:paraId="27D3C4EF" w14:textId="77777777" w:rsidR="005407B8" w:rsidRPr="005407B8" w:rsidRDefault="005407B8" w:rsidP="005407B8">
      <w:pPr>
        <w:spacing w:line="360" w:lineRule="auto"/>
        <w:rPr>
          <w:rFonts w:ascii="Arial" w:hAnsi="Arial" w:cs="Arial"/>
          <w:sz w:val="22"/>
          <w:szCs w:val="22"/>
        </w:rPr>
      </w:pPr>
    </w:p>
    <w:p w14:paraId="099F4442" w14:textId="77777777" w:rsidR="005407B8" w:rsidRPr="005407B8" w:rsidRDefault="005407B8" w:rsidP="005407B8">
      <w:pPr>
        <w:spacing w:line="360" w:lineRule="auto"/>
        <w:rPr>
          <w:rFonts w:ascii="Arial" w:hAnsi="Arial" w:cs="Arial"/>
          <w:sz w:val="22"/>
          <w:szCs w:val="22"/>
        </w:rPr>
      </w:pPr>
    </w:p>
    <w:p w14:paraId="2D2B5C3A" w14:textId="77777777" w:rsidR="005407B8" w:rsidRPr="005407B8" w:rsidRDefault="005407B8" w:rsidP="005407B8">
      <w:pPr>
        <w:spacing w:line="360" w:lineRule="auto"/>
        <w:rPr>
          <w:rFonts w:ascii="Arial" w:hAnsi="Arial" w:cs="Arial"/>
          <w:sz w:val="22"/>
          <w:szCs w:val="22"/>
        </w:rPr>
      </w:pPr>
    </w:p>
    <w:p w14:paraId="42E35567" w14:textId="77777777" w:rsidR="005407B8" w:rsidRPr="005407B8" w:rsidRDefault="005407B8" w:rsidP="005407B8">
      <w:pPr>
        <w:spacing w:line="360" w:lineRule="auto"/>
        <w:rPr>
          <w:rFonts w:ascii="Arial" w:hAnsi="Arial" w:cs="Arial"/>
          <w:sz w:val="22"/>
          <w:szCs w:val="22"/>
        </w:rPr>
      </w:pPr>
    </w:p>
    <w:p w14:paraId="6BE7FDDB" w14:textId="77777777" w:rsidR="005407B8" w:rsidRPr="005407B8" w:rsidRDefault="005407B8" w:rsidP="005407B8">
      <w:pPr>
        <w:spacing w:line="360" w:lineRule="auto"/>
        <w:rPr>
          <w:rFonts w:ascii="Arial" w:hAnsi="Arial" w:cs="Arial"/>
          <w:sz w:val="22"/>
          <w:szCs w:val="22"/>
        </w:rPr>
      </w:pPr>
    </w:p>
    <w:p w14:paraId="04D8953C" w14:textId="77777777" w:rsidR="005407B8" w:rsidRPr="005407B8" w:rsidRDefault="005407B8" w:rsidP="005407B8">
      <w:pPr>
        <w:spacing w:line="360" w:lineRule="auto"/>
        <w:rPr>
          <w:rFonts w:ascii="Arial" w:hAnsi="Arial" w:cs="Arial"/>
          <w:sz w:val="22"/>
          <w:szCs w:val="22"/>
        </w:rPr>
      </w:pPr>
    </w:p>
    <w:p w14:paraId="0A916A7E" w14:textId="77777777" w:rsidR="005407B8" w:rsidRPr="005407B8" w:rsidRDefault="005407B8" w:rsidP="005407B8">
      <w:pPr>
        <w:spacing w:line="360" w:lineRule="auto"/>
        <w:rPr>
          <w:rFonts w:ascii="Arial" w:hAnsi="Arial" w:cs="Arial"/>
          <w:sz w:val="22"/>
          <w:szCs w:val="22"/>
        </w:rPr>
      </w:pPr>
    </w:p>
    <w:p w14:paraId="623E6DE1" w14:textId="77777777" w:rsidR="005407B8" w:rsidRPr="005407B8" w:rsidRDefault="005407B8" w:rsidP="005407B8">
      <w:pPr>
        <w:spacing w:line="360" w:lineRule="auto"/>
        <w:rPr>
          <w:rFonts w:ascii="Arial" w:hAnsi="Arial" w:cs="Arial"/>
          <w:sz w:val="22"/>
          <w:szCs w:val="22"/>
        </w:rPr>
      </w:pPr>
    </w:p>
    <w:p w14:paraId="728E903C" w14:textId="77777777" w:rsidR="005407B8" w:rsidRPr="005407B8" w:rsidRDefault="005407B8" w:rsidP="005407B8">
      <w:pPr>
        <w:spacing w:line="360" w:lineRule="auto"/>
        <w:rPr>
          <w:rFonts w:ascii="Arial" w:hAnsi="Arial" w:cs="Arial"/>
          <w:sz w:val="22"/>
          <w:szCs w:val="22"/>
        </w:rPr>
      </w:pPr>
    </w:p>
    <w:p w14:paraId="56455B9C" w14:textId="77777777" w:rsidR="005407B8" w:rsidRPr="005407B8" w:rsidRDefault="005407B8" w:rsidP="005407B8">
      <w:pPr>
        <w:spacing w:line="360" w:lineRule="auto"/>
        <w:rPr>
          <w:rFonts w:ascii="Arial" w:hAnsi="Arial" w:cs="Arial"/>
          <w:sz w:val="22"/>
          <w:szCs w:val="22"/>
        </w:rPr>
      </w:pPr>
    </w:p>
    <w:p w14:paraId="2C4FA65C" w14:textId="77777777" w:rsidR="005407B8" w:rsidRPr="005407B8" w:rsidRDefault="005407B8" w:rsidP="005407B8">
      <w:pPr>
        <w:spacing w:line="360" w:lineRule="auto"/>
        <w:rPr>
          <w:rFonts w:ascii="Arial" w:hAnsi="Arial" w:cs="Arial"/>
          <w:sz w:val="22"/>
          <w:szCs w:val="22"/>
        </w:rPr>
      </w:pPr>
    </w:p>
    <w:p w14:paraId="584FDD0E" w14:textId="77777777" w:rsidR="005407B8" w:rsidRDefault="005407B8" w:rsidP="005407B8">
      <w:pPr>
        <w:spacing w:line="360" w:lineRule="auto"/>
        <w:rPr>
          <w:rFonts w:ascii="Arial" w:hAnsi="Arial" w:cs="Arial"/>
          <w:sz w:val="22"/>
          <w:szCs w:val="22"/>
        </w:rPr>
      </w:pPr>
    </w:p>
    <w:p w14:paraId="6828C976" w14:textId="77777777" w:rsidR="005407B8" w:rsidRDefault="005407B8" w:rsidP="005407B8">
      <w:pPr>
        <w:spacing w:line="360" w:lineRule="auto"/>
        <w:rPr>
          <w:rFonts w:ascii="Arial" w:hAnsi="Arial" w:cs="Arial"/>
          <w:sz w:val="22"/>
          <w:szCs w:val="22"/>
        </w:rPr>
      </w:pPr>
    </w:p>
    <w:p w14:paraId="5C582234" w14:textId="77777777" w:rsidR="005407B8" w:rsidRDefault="005407B8" w:rsidP="005407B8">
      <w:pPr>
        <w:spacing w:line="360" w:lineRule="auto"/>
        <w:rPr>
          <w:rFonts w:ascii="Arial" w:hAnsi="Arial" w:cs="Arial"/>
          <w:sz w:val="22"/>
          <w:szCs w:val="22"/>
        </w:rPr>
      </w:pPr>
    </w:p>
    <w:p w14:paraId="5B13BA7B" w14:textId="77777777" w:rsidR="005407B8" w:rsidRPr="005407B8" w:rsidRDefault="005407B8" w:rsidP="005407B8">
      <w:pPr>
        <w:spacing w:line="360" w:lineRule="auto"/>
        <w:rPr>
          <w:rFonts w:ascii="Arial" w:hAnsi="Arial" w:cs="Arial"/>
          <w:sz w:val="22"/>
          <w:szCs w:val="22"/>
        </w:rPr>
      </w:pPr>
    </w:p>
    <w:p w14:paraId="7D6343D5"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lastRenderedPageBreak/>
        <w:t xml:space="preserve">Reference List </w:t>
      </w:r>
    </w:p>
    <w:p w14:paraId="5D10A7A2"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 xml:space="preserve">Care Act 2014. London: HMSO. </w:t>
      </w:r>
    </w:p>
    <w:p w14:paraId="744B8E3B"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Department of Health and Social Care (2022) Health and Social Care Act 2012. London: DHSC.</w:t>
      </w:r>
    </w:p>
    <w:p w14:paraId="3A042DEE"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 xml:space="preserve"> Equality Act 2010. London: HMSO. </w:t>
      </w:r>
    </w:p>
    <w:p w14:paraId="632FD765"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 xml:space="preserve">Glasby, J. and Dickinson, H. (2014) Partnership Working in Health and Social Care. Bristol: Policy Press. </w:t>
      </w:r>
    </w:p>
    <w:p w14:paraId="3A3D48B4"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Health Foundation (2016) Person</w:t>
      </w:r>
      <w:r w:rsidRPr="005407B8">
        <w:rPr>
          <w:rFonts w:ascii="Arial" w:hAnsi="Arial" w:cs="Arial"/>
          <w:sz w:val="22"/>
          <w:szCs w:val="22"/>
        </w:rPr>
        <w:noBreakHyphen/>
        <w:t xml:space="preserve">centred care explained. London: Health Foundation. </w:t>
      </w:r>
    </w:p>
    <w:p w14:paraId="11D17BDC" w14:textId="77777777"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 xml:space="preserve">Mental Capacity Act 2005. London: HMSO. </w:t>
      </w:r>
    </w:p>
    <w:p w14:paraId="2CF625E0" w14:textId="0A5398FD"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 xml:space="preserve">NHS England (2023) The NHS Constitution. Available at: </w:t>
      </w:r>
      <w:hyperlink r:id="rId4" w:history="1">
        <w:r w:rsidRPr="005407B8">
          <w:rPr>
            <w:rStyle w:val="Hyperlink"/>
            <w:rFonts w:ascii="Arial" w:hAnsi="Arial" w:cs="Arial"/>
            <w:sz w:val="22"/>
            <w:szCs w:val="22"/>
          </w:rPr>
          <w:t>https://www.england.nhs.uk</w:t>
        </w:r>
      </w:hyperlink>
      <w:r w:rsidRPr="005407B8">
        <w:rPr>
          <w:rFonts w:ascii="Arial" w:hAnsi="Arial" w:cs="Arial"/>
          <w:sz w:val="22"/>
          <w:szCs w:val="22"/>
        </w:rPr>
        <w:t xml:space="preserve"> </w:t>
      </w:r>
    </w:p>
    <w:p w14:paraId="72310188" w14:textId="2C895E5F" w:rsidR="005407B8" w:rsidRPr="005407B8" w:rsidRDefault="005407B8" w:rsidP="005407B8">
      <w:pPr>
        <w:spacing w:line="360" w:lineRule="auto"/>
        <w:rPr>
          <w:rFonts w:ascii="Arial" w:hAnsi="Arial" w:cs="Arial"/>
          <w:sz w:val="22"/>
          <w:szCs w:val="22"/>
        </w:rPr>
      </w:pPr>
      <w:r w:rsidRPr="005407B8">
        <w:rPr>
          <w:rFonts w:ascii="Arial" w:hAnsi="Arial" w:cs="Arial"/>
          <w:sz w:val="22"/>
          <w:szCs w:val="22"/>
        </w:rPr>
        <w:t>NICE (2023) Stroke rehabilitation guidelines. London: NICE.</w:t>
      </w:r>
    </w:p>
    <w:p w14:paraId="7DAAF1F8" w14:textId="77777777" w:rsidR="005407B8" w:rsidRDefault="005407B8"/>
    <w:sectPr w:rsidR="00540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46C"/>
    <w:rsid w:val="001A0A80"/>
    <w:rsid w:val="005407B8"/>
    <w:rsid w:val="005638CC"/>
    <w:rsid w:val="00C0091E"/>
    <w:rsid w:val="00C61430"/>
    <w:rsid w:val="00DD1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D7D44"/>
  <w15:chartTrackingRefBased/>
  <w15:docId w15:val="{643E737E-043E-4B1B-9EDB-4873BA09D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4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14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14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14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14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4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4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4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4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4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14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14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14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14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14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4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4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46C"/>
    <w:rPr>
      <w:rFonts w:eastAsiaTheme="majorEastAsia" w:cstheme="majorBidi"/>
      <w:color w:val="272727" w:themeColor="text1" w:themeTint="D8"/>
    </w:rPr>
  </w:style>
  <w:style w:type="paragraph" w:styleId="Title">
    <w:name w:val="Title"/>
    <w:basedOn w:val="Normal"/>
    <w:next w:val="Normal"/>
    <w:link w:val="TitleChar"/>
    <w:uiPriority w:val="10"/>
    <w:qFormat/>
    <w:rsid w:val="00DD14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4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4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4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46C"/>
    <w:pPr>
      <w:spacing w:before="160"/>
      <w:jc w:val="center"/>
    </w:pPr>
    <w:rPr>
      <w:i/>
      <w:iCs/>
      <w:color w:val="404040" w:themeColor="text1" w:themeTint="BF"/>
    </w:rPr>
  </w:style>
  <w:style w:type="character" w:customStyle="1" w:styleId="QuoteChar">
    <w:name w:val="Quote Char"/>
    <w:basedOn w:val="DefaultParagraphFont"/>
    <w:link w:val="Quote"/>
    <w:uiPriority w:val="29"/>
    <w:rsid w:val="00DD146C"/>
    <w:rPr>
      <w:i/>
      <w:iCs/>
      <w:color w:val="404040" w:themeColor="text1" w:themeTint="BF"/>
    </w:rPr>
  </w:style>
  <w:style w:type="paragraph" w:styleId="ListParagraph">
    <w:name w:val="List Paragraph"/>
    <w:basedOn w:val="Normal"/>
    <w:uiPriority w:val="34"/>
    <w:qFormat/>
    <w:rsid w:val="00DD146C"/>
    <w:pPr>
      <w:ind w:left="720"/>
      <w:contextualSpacing/>
    </w:pPr>
  </w:style>
  <w:style w:type="character" w:styleId="IntenseEmphasis">
    <w:name w:val="Intense Emphasis"/>
    <w:basedOn w:val="DefaultParagraphFont"/>
    <w:uiPriority w:val="21"/>
    <w:qFormat/>
    <w:rsid w:val="00DD146C"/>
    <w:rPr>
      <w:i/>
      <w:iCs/>
      <w:color w:val="0F4761" w:themeColor="accent1" w:themeShade="BF"/>
    </w:rPr>
  </w:style>
  <w:style w:type="paragraph" w:styleId="IntenseQuote">
    <w:name w:val="Intense Quote"/>
    <w:basedOn w:val="Normal"/>
    <w:next w:val="Normal"/>
    <w:link w:val="IntenseQuoteChar"/>
    <w:uiPriority w:val="30"/>
    <w:qFormat/>
    <w:rsid w:val="00DD14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46C"/>
    <w:rPr>
      <w:i/>
      <w:iCs/>
      <w:color w:val="0F4761" w:themeColor="accent1" w:themeShade="BF"/>
    </w:rPr>
  </w:style>
  <w:style w:type="character" w:styleId="IntenseReference">
    <w:name w:val="Intense Reference"/>
    <w:basedOn w:val="DefaultParagraphFont"/>
    <w:uiPriority w:val="32"/>
    <w:qFormat/>
    <w:rsid w:val="00DD146C"/>
    <w:rPr>
      <w:b/>
      <w:bCs/>
      <w:smallCaps/>
      <w:color w:val="0F4761" w:themeColor="accent1" w:themeShade="BF"/>
      <w:spacing w:val="5"/>
    </w:rPr>
  </w:style>
  <w:style w:type="paragraph" w:customStyle="1" w:styleId="paragraph">
    <w:name w:val="paragraph"/>
    <w:basedOn w:val="Normal"/>
    <w:rsid w:val="00DD14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DD146C"/>
  </w:style>
  <w:style w:type="character" w:customStyle="1" w:styleId="eop">
    <w:name w:val="eop"/>
    <w:basedOn w:val="DefaultParagraphFont"/>
    <w:rsid w:val="00DD146C"/>
  </w:style>
  <w:style w:type="character" w:styleId="Hyperlink">
    <w:name w:val="Hyperlink"/>
    <w:basedOn w:val="DefaultParagraphFont"/>
    <w:uiPriority w:val="99"/>
    <w:unhideWhenUsed/>
    <w:rsid w:val="005407B8"/>
    <w:rPr>
      <w:color w:val="467886" w:themeColor="hyperlink"/>
      <w:u w:val="single"/>
    </w:rPr>
  </w:style>
  <w:style w:type="character" w:styleId="UnresolvedMention">
    <w:name w:val="Unresolved Mention"/>
    <w:basedOn w:val="DefaultParagraphFont"/>
    <w:uiPriority w:val="99"/>
    <w:semiHidden/>
    <w:unhideWhenUsed/>
    <w:rsid w:val="005407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1580</Words>
  <Characters>9008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Shaukat Ali (2511229)</dc:creator>
  <cp:keywords/>
  <dc:description/>
  <cp:lastModifiedBy>Shaukat Ali (2511229)</cp:lastModifiedBy>
  <cp:revision>1</cp:revision>
  <dcterms:created xsi:type="dcterms:W3CDTF">2026-03-21T10:02:00Z</dcterms:created>
  <dcterms:modified xsi:type="dcterms:W3CDTF">2026-03-21T10:23:00Z</dcterms:modified>
</cp:coreProperties>
</file>