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519C78" w14:textId="77777777" w:rsidR="0033303B" w:rsidRDefault="005D7F39" w:rsidP="008759E3">
      <w:pPr>
        <w:rPr>
          <w:rFonts w:ascii="Arial" w:hAnsi="Arial" w:cs="Arial"/>
          <w:b/>
          <w:bCs/>
        </w:rPr>
      </w:pPr>
      <w:r w:rsidRPr="00AC0463">
        <w:rPr>
          <w:rFonts w:ascii="Arial" w:hAnsi="Arial" w:cs="Arial"/>
        </w:rPr>
        <w:t> </w:t>
      </w:r>
      <w:r w:rsidR="008759E3" w:rsidRPr="008759E3">
        <w:rPr>
          <w:rFonts w:ascii="Arial" w:hAnsi="Arial" w:cs="Arial"/>
        </w:rPr>
        <w:br/>
      </w:r>
      <w:r w:rsidR="0033303B">
        <w:rPr>
          <w:rFonts w:ascii="Arial" w:hAnsi="Arial" w:cs="Arial"/>
          <w:b/>
          <w:bCs/>
        </w:rPr>
        <w:t>Part One</w:t>
      </w:r>
    </w:p>
    <w:p w14:paraId="31287D3A" w14:textId="4C454414" w:rsidR="008759E3" w:rsidRPr="008759E3" w:rsidRDefault="008759E3" w:rsidP="008759E3">
      <w:pPr>
        <w:rPr>
          <w:rFonts w:ascii="Arial" w:hAnsi="Arial" w:cs="Arial"/>
        </w:rPr>
      </w:pPr>
      <w:r w:rsidRPr="008759E3">
        <w:rPr>
          <w:rFonts w:ascii="Arial" w:hAnsi="Arial" w:cs="Arial"/>
          <w:b/>
          <w:bCs/>
        </w:rPr>
        <w:t>Basic Acknowledgement format of AI tool use:</w:t>
      </w:r>
    </w:p>
    <w:p w14:paraId="7958F5EE" w14:textId="098FB5EC" w:rsidR="008759E3" w:rsidRPr="008759E3" w:rsidRDefault="008759E3" w:rsidP="008759E3">
      <w:pPr>
        <w:rPr>
          <w:rFonts w:ascii="Arial" w:hAnsi="Arial" w:cs="Arial"/>
        </w:rPr>
      </w:pPr>
      <w:r w:rsidRPr="008759E3">
        <w:rPr>
          <w:rFonts w:ascii="Arial" w:hAnsi="Arial" w:cs="Arial"/>
        </w:rPr>
        <w:br/>
        <w:t xml:space="preserve">I acknowledge the use of </w:t>
      </w:r>
      <w:r w:rsidR="00FE412B">
        <w:rPr>
          <w:rFonts w:ascii="Arial" w:hAnsi="Arial" w:cs="Arial"/>
        </w:rPr>
        <w:t>copilot</w:t>
      </w:r>
      <w:r w:rsidRPr="008759E3">
        <w:rPr>
          <w:rFonts w:ascii="Arial" w:hAnsi="Arial" w:cs="Arial"/>
        </w:rPr>
        <w:t xml:space="preserve"> </w:t>
      </w:r>
      <w:r w:rsidR="000B0405">
        <w:rPr>
          <w:rFonts w:ascii="Arial" w:hAnsi="Arial" w:cs="Arial"/>
        </w:rPr>
        <w:t>which is av</w:t>
      </w:r>
      <w:r w:rsidR="0033303B">
        <w:rPr>
          <w:rFonts w:ascii="Arial" w:hAnsi="Arial" w:cs="Arial"/>
        </w:rPr>
        <w:t xml:space="preserve">ailable at </w:t>
      </w:r>
      <w:r w:rsidR="0033303B" w:rsidRPr="0033303B">
        <w:rPr>
          <w:rFonts w:ascii="Arial" w:hAnsi="Arial" w:cs="Arial"/>
        </w:rPr>
        <w:t>https://copilot.cloud.microsoft/</w:t>
      </w:r>
      <w:r w:rsidRPr="008759E3">
        <w:rPr>
          <w:rFonts w:ascii="Arial" w:hAnsi="Arial" w:cs="Arial"/>
        </w:rPr>
        <w:t xml:space="preserve"> to </w:t>
      </w:r>
      <w:r w:rsidR="0033303B">
        <w:rPr>
          <w:rFonts w:ascii="Arial" w:hAnsi="Arial" w:cs="Arial"/>
        </w:rPr>
        <w:t>proofread my reference list</w:t>
      </w:r>
      <w:r w:rsidRPr="008759E3">
        <w:rPr>
          <w:rFonts w:ascii="Arial" w:hAnsi="Arial" w:cs="Arial"/>
        </w:rPr>
        <w:t>. </w:t>
      </w:r>
    </w:p>
    <w:p w14:paraId="64DF9FD3" w14:textId="77777777" w:rsidR="008759E3" w:rsidRPr="008759E3" w:rsidRDefault="008759E3" w:rsidP="008759E3">
      <w:pPr>
        <w:rPr>
          <w:rFonts w:ascii="Arial" w:hAnsi="Arial" w:cs="Arial"/>
        </w:rPr>
      </w:pPr>
      <w:r w:rsidRPr="008759E3">
        <w:rPr>
          <w:rFonts w:ascii="Arial" w:hAnsi="Arial" w:cs="Arial"/>
        </w:rPr>
        <w:t>I used the prompt(s): </w:t>
      </w:r>
    </w:p>
    <w:p w14:paraId="62C88F40" w14:textId="700FA94A" w:rsidR="00A3197B" w:rsidRPr="008759E3" w:rsidRDefault="008759E3" w:rsidP="008759E3">
      <w:pPr>
        <w:rPr>
          <w:rFonts w:ascii="Arial" w:hAnsi="Arial" w:cs="Arial"/>
        </w:rPr>
      </w:pPr>
      <w:r w:rsidRPr="008759E3">
        <w:rPr>
          <w:rFonts w:ascii="Arial" w:hAnsi="Arial" w:cs="Arial"/>
        </w:rPr>
        <w:br/>
        <w:t> 1. P</w:t>
      </w:r>
      <w:r w:rsidR="00A3197B">
        <w:rPr>
          <w:rFonts w:ascii="Arial" w:hAnsi="Arial" w:cs="Arial"/>
        </w:rPr>
        <w:t>lease check and rewrite this reference list</w:t>
      </w:r>
      <w:r w:rsidR="00FE412B">
        <w:rPr>
          <w:rFonts w:ascii="Arial" w:hAnsi="Arial" w:cs="Arial"/>
        </w:rPr>
        <w:t xml:space="preserve"> if needed</w:t>
      </w:r>
      <w:r w:rsidR="00A3197B">
        <w:rPr>
          <w:rFonts w:ascii="Arial" w:hAnsi="Arial" w:cs="Arial"/>
        </w:rPr>
        <w:t xml:space="preserve"> </w:t>
      </w:r>
      <w:r w:rsidR="00FE412B">
        <w:rPr>
          <w:rFonts w:ascii="Arial" w:hAnsi="Arial" w:cs="Arial"/>
        </w:rPr>
        <w:t>in alphabetical order and in Harvard style</w:t>
      </w:r>
      <w:r w:rsidRPr="008759E3">
        <w:rPr>
          <w:rFonts w:ascii="Arial" w:hAnsi="Arial" w:cs="Arial"/>
        </w:rPr>
        <w:br/>
      </w:r>
    </w:p>
    <w:p w14:paraId="01925C80" w14:textId="77777777" w:rsidR="008759E3" w:rsidRPr="008759E3" w:rsidRDefault="008759E3" w:rsidP="008759E3">
      <w:pPr>
        <w:rPr>
          <w:rFonts w:ascii="Arial" w:hAnsi="Arial" w:cs="Arial"/>
        </w:rPr>
      </w:pPr>
      <w:r w:rsidRPr="008759E3">
        <w:rPr>
          <w:rFonts w:ascii="Arial" w:hAnsi="Arial" w:cs="Arial"/>
        </w:rPr>
        <w:br/>
        <w:t>I confirm that I have not presented any AI generated text as my own work</w:t>
      </w:r>
    </w:p>
    <w:p w14:paraId="66F34FC6" w14:textId="77777777" w:rsidR="008759E3" w:rsidRDefault="008759E3" w:rsidP="008759E3">
      <w:pPr>
        <w:rPr>
          <w:rFonts w:ascii="Arial" w:hAnsi="Arial" w:cs="Arial"/>
        </w:rPr>
      </w:pPr>
      <w:r w:rsidRPr="008759E3">
        <w:rPr>
          <w:rFonts w:ascii="Arial" w:hAnsi="Arial" w:cs="Arial"/>
        </w:rPr>
        <w:br/>
        <w:t>I confirm I have copies of my drafts, notes, and other resources I used before, and after the use of AI tools which I may be asked to provide in evidence</w:t>
      </w:r>
    </w:p>
    <w:p w14:paraId="6507A639" w14:textId="77777777" w:rsidR="00F6151C" w:rsidRDefault="00F6151C" w:rsidP="008759E3">
      <w:pPr>
        <w:rPr>
          <w:rFonts w:ascii="Arial" w:hAnsi="Arial" w:cs="Arial"/>
        </w:rPr>
      </w:pPr>
    </w:p>
    <w:p w14:paraId="730EE25B" w14:textId="30215733" w:rsidR="00F6151C" w:rsidRPr="00F6151C" w:rsidRDefault="00F6151C" w:rsidP="008759E3">
      <w:pPr>
        <w:rPr>
          <w:rFonts w:ascii="Arial" w:hAnsi="Arial" w:cs="Arial"/>
          <w:b/>
          <w:bCs/>
        </w:rPr>
      </w:pPr>
      <w:r w:rsidRPr="00F6151C">
        <w:rPr>
          <w:rFonts w:ascii="Arial" w:hAnsi="Arial" w:cs="Arial"/>
          <w:b/>
          <w:bCs/>
        </w:rPr>
        <w:t>Part Two</w:t>
      </w:r>
    </w:p>
    <w:p w14:paraId="4D9D51D4" w14:textId="373032ED" w:rsidR="00F6151C" w:rsidRPr="008759E3" w:rsidRDefault="00F6151C" w:rsidP="008759E3">
      <w:pPr>
        <w:rPr>
          <w:rFonts w:ascii="Arial" w:hAnsi="Arial" w:cs="Arial"/>
        </w:rPr>
      </w:pPr>
      <w:r>
        <w:rPr>
          <w:rFonts w:ascii="Arial" w:hAnsi="Arial" w:cs="Arial"/>
        </w:rPr>
        <w:t>I did not use AI for this work</w:t>
      </w:r>
    </w:p>
    <w:p w14:paraId="60F8FED1" w14:textId="1F483E64" w:rsidR="005D7F39" w:rsidRDefault="005D7F39" w:rsidP="005D7F39">
      <w:pPr>
        <w:rPr>
          <w:rFonts w:ascii="Arial" w:hAnsi="Arial" w:cs="Arial"/>
        </w:rPr>
      </w:pPr>
    </w:p>
    <w:p w14:paraId="0349B590" w14:textId="77777777" w:rsidR="00A3197B" w:rsidRDefault="00A3197B" w:rsidP="005D7F39">
      <w:pPr>
        <w:rPr>
          <w:rFonts w:ascii="Arial" w:hAnsi="Arial" w:cs="Arial"/>
        </w:rPr>
      </w:pPr>
    </w:p>
    <w:p w14:paraId="1A552048" w14:textId="77777777" w:rsidR="00A3197B" w:rsidRDefault="00A3197B" w:rsidP="005D7F39">
      <w:pPr>
        <w:rPr>
          <w:rFonts w:ascii="Arial" w:hAnsi="Arial" w:cs="Arial"/>
        </w:rPr>
      </w:pPr>
    </w:p>
    <w:p w14:paraId="54D1401A" w14:textId="77777777" w:rsidR="00A3197B" w:rsidRDefault="00A3197B" w:rsidP="005D7F39">
      <w:pPr>
        <w:rPr>
          <w:rFonts w:ascii="Arial" w:hAnsi="Arial" w:cs="Arial"/>
        </w:rPr>
      </w:pPr>
    </w:p>
    <w:p w14:paraId="3FF5D1FF" w14:textId="77777777" w:rsidR="00A3197B" w:rsidRDefault="00A3197B" w:rsidP="005D7F39">
      <w:pPr>
        <w:rPr>
          <w:rFonts w:ascii="Arial" w:hAnsi="Arial" w:cs="Arial"/>
        </w:rPr>
      </w:pPr>
    </w:p>
    <w:p w14:paraId="31321BD3" w14:textId="77777777" w:rsidR="00A3197B" w:rsidRDefault="00A3197B" w:rsidP="005D7F39">
      <w:pPr>
        <w:rPr>
          <w:rFonts w:ascii="Arial" w:hAnsi="Arial" w:cs="Arial"/>
        </w:rPr>
      </w:pPr>
    </w:p>
    <w:p w14:paraId="5524580D" w14:textId="77777777" w:rsidR="00A3197B" w:rsidRDefault="00A3197B" w:rsidP="005D7F39">
      <w:pPr>
        <w:rPr>
          <w:rFonts w:ascii="Arial" w:hAnsi="Arial" w:cs="Arial"/>
        </w:rPr>
      </w:pPr>
    </w:p>
    <w:p w14:paraId="79C708E9" w14:textId="77777777" w:rsidR="00A3197B" w:rsidRDefault="00A3197B" w:rsidP="005D7F39">
      <w:pPr>
        <w:rPr>
          <w:rFonts w:ascii="Arial" w:hAnsi="Arial" w:cs="Arial"/>
        </w:rPr>
      </w:pPr>
    </w:p>
    <w:p w14:paraId="1D6AACFF" w14:textId="77777777" w:rsidR="00A3197B" w:rsidRDefault="00A3197B" w:rsidP="005D7F39">
      <w:pPr>
        <w:rPr>
          <w:rFonts w:ascii="Arial" w:hAnsi="Arial" w:cs="Arial"/>
        </w:rPr>
      </w:pPr>
    </w:p>
    <w:p w14:paraId="3BCF3844" w14:textId="77777777" w:rsidR="00A3197B" w:rsidRDefault="00A3197B" w:rsidP="005D7F39">
      <w:pPr>
        <w:rPr>
          <w:rFonts w:ascii="Arial" w:hAnsi="Arial" w:cs="Arial"/>
        </w:rPr>
      </w:pPr>
    </w:p>
    <w:p w14:paraId="14E54441" w14:textId="77777777" w:rsidR="00A3197B" w:rsidRDefault="00A3197B" w:rsidP="005D7F39">
      <w:pPr>
        <w:rPr>
          <w:rFonts w:ascii="Arial" w:hAnsi="Arial" w:cs="Arial"/>
        </w:rPr>
      </w:pPr>
    </w:p>
    <w:p w14:paraId="2DF757BF" w14:textId="77777777" w:rsidR="00A3197B" w:rsidRDefault="00A3197B" w:rsidP="005D7F39">
      <w:pPr>
        <w:rPr>
          <w:rFonts w:ascii="Arial" w:hAnsi="Arial" w:cs="Arial"/>
        </w:rPr>
      </w:pPr>
    </w:p>
    <w:p w14:paraId="383258CB" w14:textId="77777777" w:rsidR="00A3197B" w:rsidRDefault="00A3197B" w:rsidP="005D7F39">
      <w:pPr>
        <w:rPr>
          <w:rFonts w:ascii="Arial" w:hAnsi="Arial" w:cs="Arial"/>
        </w:rPr>
      </w:pPr>
    </w:p>
    <w:p w14:paraId="5611B243" w14:textId="77777777" w:rsidR="00A3197B" w:rsidRDefault="00A3197B" w:rsidP="005D7F39">
      <w:pPr>
        <w:rPr>
          <w:rFonts w:ascii="Arial" w:hAnsi="Arial" w:cs="Arial"/>
        </w:rPr>
      </w:pPr>
    </w:p>
    <w:p w14:paraId="4B7701C7" w14:textId="77777777" w:rsidR="00A3197B" w:rsidRDefault="00A3197B" w:rsidP="005D7F39">
      <w:pPr>
        <w:rPr>
          <w:rFonts w:ascii="Arial" w:hAnsi="Arial" w:cs="Arial"/>
        </w:rPr>
      </w:pPr>
    </w:p>
    <w:p w14:paraId="2B4FA321" w14:textId="77777777" w:rsidR="00A3197B" w:rsidRDefault="00A3197B" w:rsidP="005D7F39">
      <w:pPr>
        <w:rPr>
          <w:rFonts w:ascii="Arial" w:hAnsi="Arial" w:cs="Arial"/>
        </w:rPr>
      </w:pPr>
    </w:p>
    <w:p w14:paraId="5F2FAC6E" w14:textId="77777777" w:rsidR="00F6151C" w:rsidRDefault="00F6151C" w:rsidP="005D7F39">
      <w:pPr>
        <w:rPr>
          <w:rFonts w:ascii="Arial" w:hAnsi="Arial" w:cs="Arial"/>
        </w:rPr>
      </w:pPr>
    </w:p>
    <w:p w14:paraId="1425DCC4" w14:textId="77777777" w:rsidR="00F6151C" w:rsidRDefault="00F6151C" w:rsidP="005D7F39">
      <w:pPr>
        <w:rPr>
          <w:rFonts w:ascii="Arial" w:hAnsi="Arial" w:cs="Arial"/>
        </w:rPr>
      </w:pPr>
    </w:p>
    <w:p w14:paraId="21AE65F8" w14:textId="77777777" w:rsidR="00F6151C" w:rsidRDefault="00F6151C" w:rsidP="005D7F39">
      <w:pPr>
        <w:rPr>
          <w:rFonts w:ascii="Arial" w:hAnsi="Arial" w:cs="Arial"/>
        </w:rPr>
      </w:pPr>
    </w:p>
    <w:p w14:paraId="75C20CB3" w14:textId="77777777" w:rsidR="00F6151C" w:rsidRDefault="00F6151C" w:rsidP="005D7F39">
      <w:pPr>
        <w:rPr>
          <w:rFonts w:ascii="Arial" w:hAnsi="Arial" w:cs="Arial"/>
        </w:rPr>
      </w:pPr>
    </w:p>
    <w:p w14:paraId="0EEB729D" w14:textId="77777777" w:rsidR="00F6151C" w:rsidRDefault="00F6151C" w:rsidP="005D7F39">
      <w:pPr>
        <w:rPr>
          <w:rFonts w:ascii="Arial" w:hAnsi="Arial" w:cs="Arial"/>
        </w:rPr>
      </w:pPr>
    </w:p>
    <w:p w14:paraId="7130D8A5" w14:textId="77777777" w:rsidR="00F6151C" w:rsidRDefault="00F6151C" w:rsidP="005D7F39">
      <w:pPr>
        <w:rPr>
          <w:rFonts w:ascii="Arial" w:hAnsi="Arial" w:cs="Arial"/>
        </w:rPr>
      </w:pPr>
    </w:p>
    <w:p w14:paraId="275A1105" w14:textId="77777777" w:rsidR="00F6151C" w:rsidRDefault="00F6151C" w:rsidP="005D7F39">
      <w:pPr>
        <w:rPr>
          <w:rFonts w:ascii="Arial" w:hAnsi="Arial" w:cs="Arial"/>
        </w:rPr>
      </w:pPr>
    </w:p>
    <w:p w14:paraId="033F98AE" w14:textId="77777777" w:rsidR="00F6151C" w:rsidRDefault="00F6151C" w:rsidP="005D7F39">
      <w:pPr>
        <w:rPr>
          <w:rFonts w:ascii="Arial" w:hAnsi="Arial" w:cs="Arial"/>
        </w:rPr>
      </w:pPr>
    </w:p>
    <w:p w14:paraId="1EF8D7F2" w14:textId="77777777" w:rsidR="00F6151C" w:rsidRDefault="00F6151C" w:rsidP="005D7F39">
      <w:pPr>
        <w:rPr>
          <w:rFonts w:ascii="Arial" w:hAnsi="Arial" w:cs="Arial"/>
        </w:rPr>
      </w:pPr>
    </w:p>
    <w:p w14:paraId="3437DAA5" w14:textId="77777777" w:rsidR="00F6151C" w:rsidRDefault="00F6151C" w:rsidP="005D7F39">
      <w:pPr>
        <w:rPr>
          <w:rFonts w:ascii="Arial" w:hAnsi="Arial" w:cs="Arial"/>
        </w:rPr>
      </w:pPr>
    </w:p>
    <w:p w14:paraId="6B27D594" w14:textId="77777777" w:rsidR="00F6151C" w:rsidRDefault="00F6151C" w:rsidP="005D7F39">
      <w:pPr>
        <w:rPr>
          <w:rFonts w:ascii="Arial" w:hAnsi="Arial" w:cs="Arial"/>
        </w:rPr>
      </w:pPr>
    </w:p>
    <w:p w14:paraId="2400BF7F" w14:textId="77777777" w:rsidR="00F6151C" w:rsidRDefault="00F6151C" w:rsidP="005D7F39">
      <w:pPr>
        <w:rPr>
          <w:rFonts w:ascii="Arial" w:hAnsi="Arial" w:cs="Arial"/>
        </w:rPr>
      </w:pPr>
    </w:p>
    <w:p w14:paraId="797ECBEA" w14:textId="77777777" w:rsidR="00A3197B" w:rsidRDefault="00A3197B" w:rsidP="005D7F39">
      <w:pPr>
        <w:rPr>
          <w:rFonts w:ascii="Arial" w:hAnsi="Arial" w:cs="Arial"/>
        </w:rPr>
      </w:pPr>
    </w:p>
    <w:p w14:paraId="14916CF4" w14:textId="77777777" w:rsidR="00A3197B" w:rsidRDefault="00A3197B" w:rsidP="005D7F39">
      <w:pPr>
        <w:rPr>
          <w:rFonts w:ascii="Arial" w:hAnsi="Arial" w:cs="Arial"/>
        </w:rPr>
      </w:pPr>
    </w:p>
    <w:p w14:paraId="6226FA02" w14:textId="77777777" w:rsidR="00A3197B" w:rsidRPr="00AC0463" w:rsidRDefault="00A3197B" w:rsidP="005D7F39">
      <w:pPr>
        <w:rPr>
          <w:rFonts w:ascii="Arial" w:hAnsi="Arial" w:cs="Arial"/>
        </w:rPr>
      </w:pPr>
    </w:p>
    <w:p w14:paraId="448EF4BF" w14:textId="77777777" w:rsidR="008F4FEB" w:rsidRPr="006F054A" w:rsidRDefault="008F4FEB" w:rsidP="00C37970">
      <w:pPr>
        <w:rPr>
          <w:rFonts w:ascii="Arial" w:hAnsi="Arial" w:cs="Arial"/>
          <w:i/>
          <w:iCs/>
        </w:rPr>
      </w:pPr>
      <w:r w:rsidRPr="006F054A">
        <w:rPr>
          <w:rFonts w:ascii="Arial" w:hAnsi="Arial" w:cs="Arial"/>
          <w:i/>
          <w:iCs/>
        </w:rPr>
        <w:lastRenderedPageBreak/>
        <w:t xml:space="preserve">Purpose </w:t>
      </w:r>
    </w:p>
    <w:p w14:paraId="5F6C53BD" w14:textId="0D59AEAE" w:rsidR="004E5D1C" w:rsidRPr="00C37970" w:rsidRDefault="00826FF2" w:rsidP="00C37970">
      <w:pPr>
        <w:rPr>
          <w:rFonts w:ascii="Arial" w:hAnsi="Arial" w:cs="Arial"/>
        </w:rPr>
      </w:pPr>
      <w:r w:rsidRPr="00C37970">
        <w:rPr>
          <w:rFonts w:ascii="Arial" w:hAnsi="Arial" w:cs="Arial"/>
        </w:rPr>
        <w:t xml:space="preserve">The purpose of this paper is to </w:t>
      </w:r>
      <w:r w:rsidR="007B61CD" w:rsidRPr="00C37970">
        <w:rPr>
          <w:rFonts w:ascii="Arial" w:hAnsi="Arial" w:cs="Arial"/>
        </w:rPr>
        <w:t xml:space="preserve">analyse historical influences and current policy and how these </w:t>
      </w:r>
      <w:r w:rsidR="004E5D1C" w:rsidRPr="00C37970">
        <w:rPr>
          <w:rFonts w:ascii="Arial" w:hAnsi="Arial" w:cs="Arial"/>
        </w:rPr>
        <w:t xml:space="preserve">are translated into practice by </w:t>
      </w:r>
      <w:r w:rsidR="00F8288B" w:rsidRPr="00C37970">
        <w:rPr>
          <w:rFonts w:ascii="Arial" w:hAnsi="Arial" w:cs="Arial"/>
        </w:rPr>
        <w:t xml:space="preserve">practitioners working with young children. </w:t>
      </w:r>
      <w:r w:rsidR="0044564D" w:rsidRPr="00C37970">
        <w:rPr>
          <w:rFonts w:ascii="Arial" w:hAnsi="Arial" w:cs="Arial"/>
        </w:rPr>
        <w:t xml:space="preserve">It will consider policy changes over time and how </w:t>
      </w:r>
      <w:r w:rsidR="002F6378" w:rsidRPr="00C37970">
        <w:rPr>
          <w:rFonts w:ascii="Arial" w:hAnsi="Arial" w:cs="Arial"/>
        </w:rPr>
        <w:t xml:space="preserve">this has contributed to the way that young children are viewed by society and consequently the practice within early years childcare settings. </w:t>
      </w:r>
    </w:p>
    <w:p w14:paraId="2340621F" w14:textId="77777777" w:rsidR="008F4FEB" w:rsidRPr="00C37970" w:rsidRDefault="008F4FEB" w:rsidP="00C37970">
      <w:pPr>
        <w:rPr>
          <w:rFonts w:ascii="Arial" w:hAnsi="Arial" w:cs="Arial"/>
        </w:rPr>
      </w:pPr>
    </w:p>
    <w:p w14:paraId="759FE51B" w14:textId="3D633DA3" w:rsidR="008F4FEB" w:rsidRPr="006F054A" w:rsidRDefault="008F4FEB" w:rsidP="00C37970">
      <w:pPr>
        <w:rPr>
          <w:rFonts w:ascii="Arial" w:hAnsi="Arial" w:cs="Arial"/>
          <w:i/>
          <w:iCs/>
        </w:rPr>
      </w:pPr>
      <w:r w:rsidRPr="006F054A">
        <w:rPr>
          <w:rFonts w:ascii="Arial" w:hAnsi="Arial" w:cs="Arial"/>
          <w:i/>
          <w:iCs/>
        </w:rPr>
        <w:t>Structure</w:t>
      </w:r>
    </w:p>
    <w:p w14:paraId="7793CB82" w14:textId="19DF1193" w:rsidR="00B76C2B" w:rsidRPr="00C37970" w:rsidRDefault="00B016A3" w:rsidP="00C37970">
      <w:pPr>
        <w:rPr>
          <w:rFonts w:ascii="Arial" w:hAnsi="Arial" w:cs="Arial"/>
        </w:rPr>
      </w:pPr>
      <w:r w:rsidRPr="00C37970">
        <w:rPr>
          <w:rFonts w:ascii="Arial" w:hAnsi="Arial" w:cs="Arial"/>
        </w:rPr>
        <w:t xml:space="preserve">The paper will be split into </w:t>
      </w:r>
      <w:r w:rsidR="005E0820" w:rsidRPr="00C37970">
        <w:rPr>
          <w:rFonts w:ascii="Arial" w:hAnsi="Arial" w:cs="Arial"/>
        </w:rPr>
        <w:t>six</w:t>
      </w:r>
      <w:r w:rsidR="00531983" w:rsidRPr="00C37970">
        <w:rPr>
          <w:rFonts w:ascii="Arial" w:hAnsi="Arial" w:cs="Arial"/>
        </w:rPr>
        <w:t xml:space="preserve"> sections. </w:t>
      </w:r>
      <w:r w:rsidR="00EF204F" w:rsidRPr="00C37970">
        <w:rPr>
          <w:rFonts w:ascii="Arial" w:hAnsi="Arial" w:cs="Arial"/>
        </w:rPr>
        <w:t>The</w:t>
      </w:r>
      <w:r w:rsidR="0088107A">
        <w:rPr>
          <w:rFonts w:ascii="Arial" w:hAnsi="Arial" w:cs="Arial"/>
        </w:rPr>
        <w:t xml:space="preserve"> </w:t>
      </w:r>
      <w:r w:rsidR="00EF204F" w:rsidRPr="00C37970">
        <w:rPr>
          <w:rFonts w:ascii="Arial" w:hAnsi="Arial" w:cs="Arial"/>
        </w:rPr>
        <w:t>introductory section w</w:t>
      </w:r>
      <w:r w:rsidR="0088107A">
        <w:rPr>
          <w:rFonts w:ascii="Arial" w:hAnsi="Arial" w:cs="Arial"/>
        </w:rPr>
        <w:t>ill</w:t>
      </w:r>
      <w:r w:rsidR="00EF204F" w:rsidRPr="00C37970">
        <w:rPr>
          <w:rFonts w:ascii="Arial" w:hAnsi="Arial" w:cs="Arial"/>
        </w:rPr>
        <w:t xml:space="preserve"> </w:t>
      </w:r>
      <w:r w:rsidR="00B76C2B" w:rsidRPr="00C37970">
        <w:rPr>
          <w:rFonts w:ascii="Arial" w:hAnsi="Arial" w:cs="Arial"/>
        </w:rPr>
        <w:t xml:space="preserve">provide a brief overview of legislative introductions and changes which are related to young children and their care. </w:t>
      </w:r>
    </w:p>
    <w:p w14:paraId="6BD97A2A" w14:textId="1CCB6AFF" w:rsidR="004E5D1C" w:rsidRPr="00C37970" w:rsidRDefault="00B51342" w:rsidP="00C37970">
      <w:pPr>
        <w:rPr>
          <w:rFonts w:ascii="Arial" w:hAnsi="Arial" w:cs="Arial"/>
        </w:rPr>
      </w:pPr>
      <w:r w:rsidRPr="00C37970">
        <w:rPr>
          <w:rFonts w:ascii="Arial" w:hAnsi="Arial" w:cs="Arial"/>
        </w:rPr>
        <w:t xml:space="preserve">There will be a section which critically analyses the </w:t>
      </w:r>
      <w:r w:rsidR="00365414" w:rsidRPr="00C37970">
        <w:rPr>
          <w:rFonts w:ascii="Arial" w:hAnsi="Arial" w:cs="Arial"/>
        </w:rPr>
        <w:t xml:space="preserve">view of those in poverty and their ability to support their </w:t>
      </w:r>
      <w:r w:rsidR="00B84811" w:rsidRPr="00C37970">
        <w:rPr>
          <w:rFonts w:ascii="Arial" w:hAnsi="Arial" w:cs="Arial"/>
        </w:rPr>
        <w:t xml:space="preserve">own </w:t>
      </w:r>
      <w:r w:rsidR="00365414" w:rsidRPr="00C37970">
        <w:rPr>
          <w:rFonts w:ascii="Arial" w:hAnsi="Arial" w:cs="Arial"/>
        </w:rPr>
        <w:t>child</w:t>
      </w:r>
      <w:r w:rsidR="006C1B55" w:rsidRPr="00C37970">
        <w:rPr>
          <w:rFonts w:ascii="Arial" w:hAnsi="Arial" w:cs="Arial"/>
        </w:rPr>
        <w:t xml:space="preserve">’s development. </w:t>
      </w:r>
    </w:p>
    <w:p w14:paraId="251FB810" w14:textId="33F92E78" w:rsidR="00EF204F" w:rsidRPr="00C37970" w:rsidRDefault="00B76C2B" w:rsidP="00C37970">
      <w:pPr>
        <w:rPr>
          <w:rFonts w:ascii="Arial" w:hAnsi="Arial" w:cs="Arial"/>
        </w:rPr>
      </w:pPr>
      <w:r w:rsidRPr="00C37970">
        <w:rPr>
          <w:rFonts w:ascii="Arial" w:hAnsi="Arial" w:cs="Arial"/>
        </w:rPr>
        <w:t xml:space="preserve">The next section will look at </w:t>
      </w:r>
      <w:r w:rsidR="00521590" w:rsidRPr="00C37970">
        <w:rPr>
          <w:rFonts w:ascii="Arial" w:hAnsi="Arial" w:cs="Arial"/>
        </w:rPr>
        <w:t>Devolved Wales and there will be an analysis of the current policies which influence the early years childcare sector.</w:t>
      </w:r>
      <w:r w:rsidR="00D37DBE" w:rsidRPr="00C37970">
        <w:rPr>
          <w:rFonts w:ascii="Arial" w:hAnsi="Arial" w:cs="Arial"/>
        </w:rPr>
        <w:t xml:space="preserve"> The following section will then seek to examine the correlations with Italy, particularly the Reggio Emilia region </w:t>
      </w:r>
      <w:r w:rsidR="006F054A" w:rsidRPr="00C37970">
        <w:rPr>
          <w:rFonts w:ascii="Arial" w:hAnsi="Arial" w:cs="Arial"/>
        </w:rPr>
        <w:t>and</w:t>
      </w:r>
      <w:r w:rsidR="00D37DBE" w:rsidRPr="00C37970">
        <w:rPr>
          <w:rFonts w:ascii="Arial" w:hAnsi="Arial" w:cs="Arial"/>
        </w:rPr>
        <w:t xml:space="preserve"> the influence of Froebel in 19</w:t>
      </w:r>
      <w:r w:rsidR="00D37DBE" w:rsidRPr="00C37970">
        <w:rPr>
          <w:rFonts w:ascii="Arial" w:hAnsi="Arial" w:cs="Arial"/>
          <w:vertAlign w:val="superscript"/>
        </w:rPr>
        <w:t>th</w:t>
      </w:r>
      <w:r w:rsidR="00D37DBE" w:rsidRPr="00C37970">
        <w:rPr>
          <w:rFonts w:ascii="Arial" w:hAnsi="Arial" w:cs="Arial"/>
        </w:rPr>
        <w:t xml:space="preserve"> Century Germany particularly the kindergarten in Thuringia.</w:t>
      </w:r>
    </w:p>
    <w:p w14:paraId="64324DDF" w14:textId="5FD70E09" w:rsidR="00FF2504" w:rsidRPr="00C37970" w:rsidRDefault="00115C49" w:rsidP="00C37970">
      <w:pPr>
        <w:rPr>
          <w:rFonts w:ascii="Arial" w:hAnsi="Arial" w:cs="Arial"/>
        </w:rPr>
      </w:pPr>
      <w:r w:rsidRPr="00C37970">
        <w:rPr>
          <w:rFonts w:ascii="Arial" w:hAnsi="Arial" w:cs="Arial"/>
        </w:rPr>
        <w:t xml:space="preserve">With all </w:t>
      </w:r>
      <w:r w:rsidR="001F0F15" w:rsidRPr="00C37970">
        <w:rPr>
          <w:rFonts w:ascii="Arial" w:hAnsi="Arial" w:cs="Arial"/>
        </w:rPr>
        <w:t>two-year-olds</w:t>
      </w:r>
      <w:r w:rsidRPr="00C37970">
        <w:rPr>
          <w:rFonts w:ascii="Arial" w:hAnsi="Arial" w:cs="Arial"/>
        </w:rPr>
        <w:t xml:space="preserve"> eligible for childcare</w:t>
      </w:r>
      <w:r w:rsidR="00485709" w:rsidRPr="00C37970">
        <w:rPr>
          <w:rFonts w:ascii="Arial" w:hAnsi="Arial" w:cs="Arial"/>
        </w:rPr>
        <w:t xml:space="preserve">, there will be a </w:t>
      </w:r>
      <w:r w:rsidR="000A2276" w:rsidRPr="00C37970">
        <w:rPr>
          <w:rFonts w:ascii="Arial" w:hAnsi="Arial" w:cs="Arial"/>
        </w:rPr>
        <w:t xml:space="preserve">short </w:t>
      </w:r>
      <w:r w:rsidR="00485709" w:rsidRPr="00C37970">
        <w:rPr>
          <w:rFonts w:ascii="Arial" w:hAnsi="Arial" w:cs="Arial"/>
        </w:rPr>
        <w:t xml:space="preserve">section which examines the </w:t>
      </w:r>
      <w:r w:rsidR="005E0820" w:rsidRPr="00C37970">
        <w:rPr>
          <w:rFonts w:ascii="Arial" w:hAnsi="Arial" w:cs="Arial"/>
        </w:rPr>
        <w:t>‘big ideas’ for enactment and consider the barriers to these.</w:t>
      </w:r>
      <w:r w:rsidR="000A51FD" w:rsidRPr="00C37970">
        <w:rPr>
          <w:rFonts w:ascii="Arial" w:hAnsi="Arial" w:cs="Arial"/>
        </w:rPr>
        <w:t xml:space="preserve"> </w:t>
      </w:r>
    </w:p>
    <w:p w14:paraId="5DEB7618" w14:textId="30A27A15" w:rsidR="00115C49" w:rsidRPr="00C37970" w:rsidRDefault="005E70F8" w:rsidP="00C37970">
      <w:pPr>
        <w:rPr>
          <w:rFonts w:ascii="Arial" w:hAnsi="Arial" w:cs="Arial"/>
        </w:rPr>
      </w:pPr>
      <w:r w:rsidRPr="00C37970">
        <w:rPr>
          <w:rFonts w:ascii="Arial" w:hAnsi="Arial" w:cs="Arial"/>
        </w:rPr>
        <w:t>The paper</w:t>
      </w:r>
      <w:r w:rsidR="000A2276" w:rsidRPr="00C37970">
        <w:rPr>
          <w:rFonts w:ascii="Arial" w:hAnsi="Arial" w:cs="Arial"/>
        </w:rPr>
        <w:t xml:space="preserve"> will conclude by considering the policies that are central to the work of practitioners within the childcare sector and will evaluate how changing views have made an impact on practice.</w:t>
      </w:r>
    </w:p>
    <w:p w14:paraId="6B39891E" w14:textId="77777777" w:rsidR="00EB1C8F" w:rsidRPr="00C37970" w:rsidRDefault="00EB1C8F" w:rsidP="00C37970">
      <w:pPr>
        <w:rPr>
          <w:rFonts w:ascii="Arial" w:hAnsi="Arial" w:cs="Arial"/>
        </w:rPr>
      </w:pPr>
    </w:p>
    <w:p w14:paraId="7CA10147" w14:textId="62182C38" w:rsidR="00121FF1" w:rsidRPr="006F054A" w:rsidRDefault="00121FF1" w:rsidP="00C37970">
      <w:pPr>
        <w:rPr>
          <w:rFonts w:ascii="Arial" w:hAnsi="Arial" w:cs="Arial"/>
          <w:i/>
          <w:iCs/>
        </w:rPr>
      </w:pPr>
      <w:r w:rsidRPr="006F054A">
        <w:rPr>
          <w:rFonts w:ascii="Arial" w:hAnsi="Arial" w:cs="Arial"/>
          <w:i/>
          <w:iCs/>
        </w:rPr>
        <w:t>Context</w:t>
      </w:r>
      <w:r w:rsidR="00C37970" w:rsidRPr="006F054A">
        <w:rPr>
          <w:rFonts w:ascii="Arial" w:hAnsi="Arial" w:cs="Arial"/>
          <w:i/>
          <w:iCs/>
        </w:rPr>
        <w:t xml:space="preserve"> and </w:t>
      </w:r>
      <w:r w:rsidRPr="006F054A">
        <w:rPr>
          <w:rFonts w:ascii="Arial" w:hAnsi="Arial" w:cs="Arial"/>
          <w:i/>
          <w:iCs/>
        </w:rPr>
        <w:t xml:space="preserve">brief overview of legislative introductions and changes which are related to young children and their care. </w:t>
      </w:r>
    </w:p>
    <w:p w14:paraId="47BAEF03" w14:textId="77777777" w:rsidR="00121FF1" w:rsidRPr="00C37970" w:rsidRDefault="00121FF1" w:rsidP="00C37970">
      <w:pPr>
        <w:ind w:left="360"/>
        <w:rPr>
          <w:rFonts w:ascii="Arial" w:hAnsi="Arial" w:cs="Arial"/>
        </w:rPr>
      </w:pPr>
    </w:p>
    <w:p w14:paraId="6970276B" w14:textId="77777777" w:rsidR="00121FF1" w:rsidRPr="00C37970" w:rsidRDefault="00121FF1" w:rsidP="00C37970">
      <w:pPr>
        <w:rPr>
          <w:rFonts w:ascii="Arial" w:hAnsi="Arial" w:cs="Arial"/>
        </w:rPr>
      </w:pPr>
      <w:r w:rsidRPr="00C37970">
        <w:rPr>
          <w:rFonts w:ascii="Arial" w:hAnsi="Arial" w:cs="Arial"/>
        </w:rPr>
        <w:t xml:space="preserve">One of the most important pieces of legislation to have lasting impact on young children is the Children Act 1989. It placed a duty on local authorities to keep a register of persons providing childminding or daycare services (Children Act, 1989). It also outlined requirements with which those providing child minding or day care services would need to comply alongside providing the duty on local authorities to exercise their power to inspect these services at least annually. Over twenty years later the Children and Families (Wales) Measure 2010 (the measure 2010) made provision about child minding and daycare for children. This outlined that by regulations, Welsh Ministers may make provision (Children and Families (Wales) Measure 2010 Original as enacted) for the inspection of childcare services and for publication of the reports of the inspections. Care Inspectorate Wales (no date) published a framework for inspecting childcare alongside a Code of Practice (Care Inspectorate Wales, 2024) which describes their approach to inspecting services regulated under the Measure 2010. Services who are regulated under the Measure 2010 are subject to The Child Minding and Day Care (Wales) Regulations 2010 and subsequently must adhere to the </w:t>
      </w:r>
      <w:r w:rsidRPr="00C921A0">
        <w:rPr>
          <w:rFonts w:ascii="Arial" w:eastAsiaTheme="majorEastAsia" w:hAnsi="Arial" w:cs="Arial"/>
        </w:rPr>
        <w:t>National Minimum Standards</w:t>
      </w:r>
      <w:r w:rsidRPr="00C37970">
        <w:rPr>
          <w:rFonts w:ascii="Arial" w:eastAsiaTheme="majorEastAsia" w:hAnsi="Arial" w:cs="Arial"/>
        </w:rPr>
        <w:t xml:space="preserve"> </w:t>
      </w:r>
      <w:r w:rsidRPr="00C921A0">
        <w:rPr>
          <w:rFonts w:ascii="Arial" w:eastAsiaTheme="majorEastAsia" w:hAnsi="Arial" w:cs="Arial"/>
        </w:rPr>
        <w:t>for Regulated Childcare for children up to the age of 12 years</w:t>
      </w:r>
      <w:r w:rsidRPr="00C921A0">
        <w:rPr>
          <w:rFonts w:ascii="Arial" w:hAnsi="Arial" w:cs="Arial"/>
        </w:rPr>
        <w:t>.</w:t>
      </w:r>
      <w:r w:rsidRPr="00C37970">
        <w:rPr>
          <w:rFonts w:ascii="Arial" w:hAnsi="Arial" w:cs="Arial"/>
        </w:rPr>
        <w:t xml:space="preserve"> (</w:t>
      </w:r>
      <w:r w:rsidRPr="00C921A0">
        <w:rPr>
          <w:rFonts w:ascii="Arial" w:hAnsi="Arial" w:cs="Arial"/>
        </w:rPr>
        <w:t>Welsh Government</w:t>
      </w:r>
      <w:r w:rsidRPr="00C37970">
        <w:rPr>
          <w:rFonts w:ascii="Arial" w:hAnsi="Arial" w:cs="Arial"/>
        </w:rPr>
        <w:t xml:space="preserve">, </w:t>
      </w:r>
      <w:r w:rsidRPr="00C921A0">
        <w:rPr>
          <w:rFonts w:ascii="Arial" w:hAnsi="Arial" w:cs="Arial"/>
        </w:rPr>
        <w:t>2023).</w:t>
      </w:r>
      <w:r w:rsidRPr="00C37970">
        <w:rPr>
          <w:rFonts w:ascii="Arial" w:hAnsi="Arial" w:cs="Arial"/>
        </w:rPr>
        <w:t xml:space="preserve"> From here on the Welsh Government shall be referred to as WG and </w:t>
      </w:r>
      <w:r w:rsidRPr="00C921A0">
        <w:rPr>
          <w:rFonts w:ascii="Arial" w:eastAsiaTheme="majorEastAsia" w:hAnsi="Arial" w:cs="Arial"/>
        </w:rPr>
        <w:t>National Minimum Standards</w:t>
      </w:r>
      <w:r w:rsidRPr="00C37970">
        <w:rPr>
          <w:rFonts w:ascii="Arial" w:eastAsiaTheme="majorEastAsia" w:hAnsi="Arial" w:cs="Arial"/>
        </w:rPr>
        <w:t xml:space="preserve"> </w:t>
      </w:r>
      <w:r w:rsidRPr="00C921A0">
        <w:rPr>
          <w:rFonts w:ascii="Arial" w:eastAsiaTheme="majorEastAsia" w:hAnsi="Arial" w:cs="Arial"/>
        </w:rPr>
        <w:t>for Regulated Childcare</w:t>
      </w:r>
      <w:r w:rsidRPr="00C37970">
        <w:rPr>
          <w:rFonts w:ascii="Arial" w:eastAsiaTheme="majorEastAsia" w:hAnsi="Arial" w:cs="Arial"/>
        </w:rPr>
        <w:t xml:space="preserve"> shall be referred to as the NMS. The NMS (WG, 2023) states that practitioners working as a child minder or in day care should be suitably qualified as required by the Social Care Wales (2024) qualification framework.</w:t>
      </w:r>
      <w:r w:rsidRPr="00C37970">
        <w:rPr>
          <w:rFonts w:ascii="Arial" w:hAnsi="Arial" w:cs="Arial"/>
        </w:rPr>
        <w:t xml:space="preserve"> A practitioner working in a setting which offers Flying start childcare will require a higher qualification than those practitioners not working in Flying Start. This </w:t>
      </w:r>
      <w:r w:rsidRPr="00C37970">
        <w:rPr>
          <w:rFonts w:ascii="Arial" w:hAnsi="Arial" w:cs="Arial"/>
        </w:rPr>
        <w:lastRenderedPageBreak/>
        <w:t>is outlined in the qualification framework (Social Care Wales, 2024) and the Flying Start Childcare Guidance (WG, 2023).</w:t>
      </w:r>
    </w:p>
    <w:p w14:paraId="0647A9A8" w14:textId="77777777" w:rsidR="00121FF1" w:rsidRDefault="00121FF1" w:rsidP="00C37970">
      <w:pPr>
        <w:rPr>
          <w:rFonts w:ascii="Arial" w:hAnsi="Arial" w:cs="Arial"/>
        </w:rPr>
      </w:pPr>
    </w:p>
    <w:p w14:paraId="036F986F" w14:textId="01BE8325" w:rsidR="0043249C" w:rsidRPr="00C37970" w:rsidRDefault="0043249C" w:rsidP="00C37970">
      <w:pPr>
        <w:rPr>
          <w:rFonts w:ascii="Arial" w:hAnsi="Arial" w:cs="Arial"/>
        </w:rPr>
      </w:pPr>
      <w:r>
        <w:rPr>
          <w:rFonts w:ascii="Arial" w:hAnsi="Arial" w:cs="Arial"/>
        </w:rPr>
        <w:t xml:space="preserve">The following section </w:t>
      </w:r>
      <w:r w:rsidRPr="00C37970">
        <w:rPr>
          <w:rFonts w:ascii="Arial" w:hAnsi="Arial" w:cs="Arial"/>
        </w:rPr>
        <w:t>critically analyses the view of those in poverty and their ability to support their own child’s development.</w:t>
      </w:r>
    </w:p>
    <w:p w14:paraId="064440F1" w14:textId="77777777" w:rsidR="00121FF1" w:rsidRPr="00C37970" w:rsidRDefault="00121FF1" w:rsidP="00C37970">
      <w:pPr>
        <w:rPr>
          <w:rFonts w:ascii="Arial" w:hAnsi="Arial" w:cs="Arial"/>
          <w:b/>
          <w:bCs/>
        </w:rPr>
      </w:pPr>
      <w:r w:rsidRPr="00C37970">
        <w:rPr>
          <w:rFonts w:ascii="Arial" w:hAnsi="Arial" w:cs="Arial"/>
          <w:b/>
          <w:bCs/>
        </w:rPr>
        <w:t xml:space="preserve">‘Children who grow up in poverty are more likely to…’ </w:t>
      </w:r>
    </w:p>
    <w:p w14:paraId="037C05CB" w14:textId="77777777" w:rsidR="00121FF1" w:rsidRPr="00C37970" w:rsidRDefault="00121FF1" w:rsidP="00C37970">
      <w:pPr>
        <w:rPr>
          <w:rFonts w:ascii="Arial" w:hAnsi="Arial" w:cs="Arial"/>
        </w:rPr>
      </w:pPr>
      <w:r w:rsidRPr="00C37970">
        <w:rPr>
          <w:rFonts w:ascii="Arial" w:hAnsi="Arial" w:cs="Arial"/>
        </w:rPr>
        <w:t xml:space="preserve">Have poorer health outcomes (WG,2024); be at risk of child abuse and neglect (Bywaters et al, 2022); have a speech and language need (Stats Wales, 2023); be less successful academically than children from families with more resources (Mayo and Siraj, 2015); be disproportionately disadvantaged by social distancing if they lost access to Early Childhood Play, Learning and Care (ECPLC) during the Covid-19 pandemic (Davies et al, 2021); have their mothers’ demonised and be portrayed as lacking in parenting skills (Cooper, 2020). </w:t>
      </w:r>
    </w:p>
    <w:p w14:paraId="47F6DE9D" w14:textId="77777777" w:rsidR="00121FF1" w:rsidRPr="00C37970" w:rsidRDefault="00121FF1" w:rsidP="00C37970">
      <w:pPr>
        <w:rPr>
          <w:rFonts w:ascii="Arial" w:hAnsi="Arial" w:cs="Arial"/>
        </w:rPr>
      </w:pPr>
    </w:p>
    <w:p w14:paraId="64C70AC5" w14:textId="77777777" w:rsidR="00121FF1" w:rsidRPr="00C37970" w:rsidRDefault="00121FF1" w:rsidP="00C37970">
      <w:pPr>
        <w:rPr>
          <w:rFonts w:ascii="Arial" w:hAnsi="Arial" w:cs="Arial"/>
        </w:rPr>
      </w:pPr>
      <w:r w:rsidRPr="00C37970">
        <w:rPr>
          <w:rFonts w:ascii="Arial" w:hAnsi="Arial" w:cs="Arial"/>
        </w:rPr>
        <w:t xml:space="preserve">This discourse that poor children have parents lacking in parenting skills permeates society, media (Cooper, 2020) and policymaking (WG, 2024). During the Covid-19 coronavirus pandemic guidance (WG, 2020) was issued to local authorities that indicated that along with children of key workers the most vulnerable children should be prioritised to attend childcare. The guidance (WG, 2020) clarified that ‘Vulnerable children include those with safeguarding needs and supported by social care, which include children with care and support or support plans, children on the child protection register and looked after children’. During a period of panic due to a highly transmissible virus which may cause significant health implications the Welsh Government (2020) decided that vulnerable children would be better off in childcare than at home where they may be at risk of abuse or neglect (Bywaters et al, 2022). The reality was that the parents had little to no choice about whether they would send their child to a setting as it was often included in the child protection plan or care and support plan (empirical evidence, one local authority in South Wales) and suggests that the state is becoming entangled in family affairs (Munck and Marschall, 2024). The idea that children are ‘better off’ in childcare is explored next. </w:t>
      </w:r>
    </w:p>
    <w:p w14:paraId="42F50A52" w14:textId="77777777" w:rsidR="00121FF1" w:rsidRPr="00C37970" w:rsidRDefault="00121FF1" w:rsidP="00C37970">
      <w:pPr>
        <w:rPr>
          <w:rFonts w:ascii="Arial" w:hAnsi="Arial" w:cs="Arial"/>
        </w:rPr>
      </w:pPr>
    </w:p>
    <w:p w14:paraId="51E6C1E3" w14:textId="77777777" w:rsidR="00121FF1" w:rsidRPr="00C37970" w:rsidRDefault="00121FF1" w:rsidP="00C37970">
      <w:pPr>
        <w:rPr>
          <w:rFonts w:ascii="Arial" w:hAnsi="Arial" w:cs="Arial"/>
        </w:rPr>
      </w:pPr>
      <w:r w:rsidRPr="00C37970">
        <w:rPr>
          <w:rFonts w:ascii="Arial" w:hAnsi="Arial" w:cs="Arial"/>
        </w:rPr>
        <w:t>Previous studies (McKinney, 2014, Sylva, 2004. Melhuish 2001, Garon-Carrier et al, 2024) have shown that high quality childcare can help to mitigate the effects of poverty on young children which are outlined at the beginning of this section. Sylva (2004) found that good quality pre-school experiences provide significant benefit for disadvantaged children and Draper et al (2024) reported that for children living in disadvantage the strongest predictor for a child being ‘school ready’ was attending childcare at age two. Siraj-Blatchford and Sylva (2002) carried out a study to consider the extent a high-quality childcare experience can be a mitigating protective factor and help children to succeed against the odds of disadvantage caused by growing up in poverty. More recently, Welsh Government have used these findings to commission Estyn (2024) to consider the effectiveness of support and provision in early years and to evaluate how well this improves outcomes for children living in poverty. They have also committed to the roll-out of universal childcare for all two-year-olds in Wales through the Flying Start model (WG, 2022).</w:t>
      </w:r>
    </w:p>
    <w:p w14:paraId="1CA9013A" w14:textId="77777777" w:rsidR="00121FF1" w:rsidRPr="00C37970" w:rsidRDefault="00121FF1" w:rsidP="00C37970">
      <w:pPr>
        <w:rPr>
          <w:rFonts w:ascii="Arial" w:hAnsi="Arial" w:cs="Arial"/>
        </w:rPr>
      </w:pPr>
      <w:r w:rsidRPr="00C37970">
        <w:rPr>
          <w:rFonts w:ascii="Arial" w:hAnsi="Arial" w:cs="Arial"/>
        </w:rPr>
        <w:t xml:space="preserve">However, Mayo and Siraj (2015) argue that childcare is not the only protective factor, and the 2004 longitudinal study carried out by Sylva reports that the home is also an important protective factor. Mayo and Siraj (2015) and Siraj-Blatchford (2010) note that it isn’t ‘who parents are but what they do’ that is important. They discovered that poor mothers with few qualifications can improve their children’s progress and give </w:t>
      </w:r>
      <w:r w:rsidRPr="00C37970">
        <w:rPr>
          <w:rFonts w:ascii="Arial" w:hAnsi="Arial" w:cs="Arial"/>
        </w:rPr>
        <w:lastRenderedPageBreak/>
        <w:t>them a better start at school by engaging in activities at home that engage and stretch the child’s mind.</w:t>
      </w:r>
      <w:r w:rsidRPr="00C37970">
        <w:rPr>
          <w:rStyle w:val="FootnoteReference"/>
          <w:rFonts w:ascii="Arial" w:hAnsi="Arial" w:cs="Arial"/>
        </w:rPr>
        <w:footnoteReference w:id="1"/>
      </w:r>
    </w:p>
    <w:p w14:paraId="1AA0C6CB" w14:textId="77777777" w:rsidR="00121FF1" w:rsidRPr="00C37970" w:rsidRDefault="00121FF1" w:rsidP="00C37970">
      <w:pPr>
        <w:rPr>
          <w:rFonts w:ascii="Arial" w:hAnsi="Arial" w:cs="Arial"/>
        </w:rPr>
      </w:pPr>
    </w:p>
    <w:p w14:paraId="24F7207B" w14:textId="08CBD005" w:rsidR="00121FF1" w:rsidRPr="00C37970" w:rsidRDefault="00121FF1" w:rsidP="00C37970">
      <w:pPr>
        <w:rPr>
          <w:rFonts w:ascii="Arial" w:hAnsi="Arial" w:cs="Arial"/>
        </w:rPr>
      </w:pPr>
      <w:r w:rsidRPr="00C37970">
        <w:rPr>
          <w:rFonts w:ascii="Arial" w:hAnsi="Arial" w:cs="Arial"/>
        </w:rPr>
        <w:t xml:space="preserve">Lareau (2018) challenged the political and media discourse that poorer parents are deficient in their parenting practices and Cooper (2021) builds on these studies. She argues that parents who are poor or in poverty sometimes have more of the desirable parenting strategies </w:t>
      </w:r>
      <w:r w:rsidR="00E74E4B">
        <w:rPr>
          <w:rFonts w:ascii="Arial" w:hAnsi="Arial" w:cs="Arial"/>
        </w:rPr>
        <w:t xml:space="preserve">such as spending time with their children </w:t>
      </w:r>
      <w:r w:rsidRPr="00C37970">
        <w:rPr>
          <w:rFonts w:ascii="Arial" w:hAnsi="Arial" w:cs="Arial"/>
        </w:rPr>
        <w:t>than those who are middle income and that her findings have important implications: low-income parents are not an unusual or deviant group parenting differently to everyone else and wrongly identifies low-income parents as problematic.</w:t>
      </w:r>
    </w:p>
    <w:p w14:paraId="37A5D425" w14:textId="77777777" w:rsidR="00121FF1" w:rsidRPr="00C37970" w:rsidRDefault="00121FF1" w:rsidP="00C37970">
      <w:pPr>
        <w:rPr>
          <w:rFonts w:ascii="Arial" w:hAnsi="Arial" w:cs="Arial"/>
        </w:rPr>
      </w:pPr>
      <w:r w:rsidRPr="00C37970">
        <w:rPr>
          <w:rFonts w:ascii="Arial" w:hAnsi="Arial" w:cs="Arial"/>
        </w:rPr>
        <w:t xml:space="preserve">Despite these findings the discourse that poor parents do not do enough to support their child appears to persist particularly in education settings (Munck and Marschall, 2024). There are two examples of this very recently: one on a local level and the other national. </w:t>
      </w:r>
    </w:p>
    <w:p w14:paraId="6FC85187" w14:textId="77777777" w:rsidR="00121FF1" w:rsidRDefault="00121FF1" w:rsidP="00C37970">
      <w:pPr>
        <w:rPr>
          <w:rFonts w:ascii="Arial" w:hAnsi="Arial" w:cs="Arial"/>
        </w:rPr>
      </w:pPr>
      <w:r w:rsidRPr="00C37970">
        <w:rPr>
          <w:rFonts w:ascii="Arial" w:hAnsi="Arial" w:cs="Arial"/>
        </w:rPr>
        <w:t xml:space="preserve">Local: A local authority in South Wales issued a letter (December 2024) to all parents of children attending school nursery and those due to attend. The letter from the Director of Education stated that ‘If a child attends in a nappy or pull up, the parent will be expected to change the child…the high number of children in nappies has led to staff spending a significant amount of time changing children which is adversely impacting on teaching and learning’. The empirical and anecdotal discussions amongst some teachers is that they received this information gladly as it would ‘make the lazy parents toilet train their kids’ and that this wouldn’t much affect working parents as ‘their kids are trained.’ This example not only indicates that some teachers are involved in the discourse that poorer parents are deficient (Lareau, 2018) but it also contradicts the evidence reported by Sylva et al (2004) that children make better all-round progress where settings view educational (teaching and learning) and social development as complementary and equal in importance. </w:t>
      </w:r>
    </w:p>
    <w:p w14:paraId="71B37B87" w14:textId="77777777" w:rsidR="00DE6829" w:rsidRPr="00C37970" w:rsidRDefault="00DE6829" w:rsidP="00C37970">
      <w:pPr>
        <w:rPr>
          <w:rFonts w:ascii="Arial" w:hAnsi="Arial" w:cs="Arial"/>
        </w:rPr>
      </w:pPr>
    </w:p>
    <w:p w14:paraId="62FB735D" w14:textId="77777777" w:rsidR="00121FF1" w:rsidRPr="00C37970" w:rsidRDefault="00121FF1" w:rsidP="00C37970">
      <w:pPr>
        <w:rPr>
          <w:rFonts w:ascii="Arial" w:hAnsi="Arial" w:cs="Arial"/>
        </w:rPr>
      </w:pPr>
      <w:r w:rsidRPr="00C37970">
        <w:rPr>
          <w:rFonts w:ascii="Arial" w:hAnsi="Arial" w:cs="Arial"/>
        </w:rPr>
        <w:t xml:space="preserve">National: Estyn (2024) carried out a thematic review as commissioned by Welsh Government to consider the Impact of poverty on educational attainment, support, provision and transition for early education. Throughout the report (Estyn, 2024) they note that schools and setting leaders had commented on partnerships with parents but that often parents had difficulties with their own literacy and numeracy skills, and they were unable at times to provide their children with the appropriate skills and quality interactions that would ensure that they give their children the best start to learning. This is in contradiction to the findings of Cooper (2021) where low-income parents often gave more time to their children for quality interactions such as eating and talking together rather than enrolling children in extra-curricular activities. </w:t>
      </w:r>
    </w:p>
    <w:p w14:paraId="6385ADD8" w14:textId="77777777" w:rsidR="00121FF1" w:rsidRPr="00C37970" w:rsidRDefault="00121FF1" w:rsidP="00C37970">
      <w:pPr>
        <w:rPr>
          <w:rFonts w:ascii="Arial" w:hAnsi="Arial" w:cs="Arial"/>
        </w:rPr>
      </w:pPr>
    </w:p>
    <w:p w14:paraId="1A6B295D" w14:textId="6823300F" w:rsidR="00121FF1" w:rsidRPr="00C37970" w:rsidRDefault="00121FF1" w:rsidP="00C37970">
      <w:pPr>
        <w:rPr>
          <w:rFonts w:ascii="Arial" w:hAnsi="Arial" w:cs="Arial"/>
        </w:rPr>
      </w:pPr>
      <w:r w:rsidRPr="00C37970">
        <w:rPr>
          <w:rFonts w:ascii="Arial" w:hAnsi="Arial" w:cs="Arial"/>
        </w:rPr>
        <w:t xml:space="preserve">Overall, there seems to be evidence (Cooper, 2021; Lareau, 2018 Munck and Marschall, 2024) to suggest that families in poverty are viewed less favourably than those who are middle class. The discourse that poor parents have poor parenting persists despite studies (Cooper, 2021) which provide findings to the contrary. The discourse also extends to poor children and the ever-growing list of things that they must overcome to succeed against the odds (WG,2024; Bywaters et al, 2022; Stats Wales, 2023; Mayo and Siraj, 2015); Davies et al, 2021). Powell and Smith (2018) </w:t>
      </w:r>
      <w:r w:rsidRPr="00C37970">
        <w:rPr>
          <w:rFonts w:ascii="Arial" w:hAnsi="Arial" w:cs="Arial"/>
        </w:rPr>
        <w:lastRenderedPageBreak/>
        <w:t xml:space="preserve">also make an important point that poor families and poor children are often studied by middle class researchers, and ‘this makes for a field of study that is often difficult and problematic rather than comfortable and straightforward’. High quality childcare can mitigate the risks (Sylva, 2004), yet there are those who work in settings and schools who find that poverty is worse than pre-pandemic and there was now a greater need to respond to families impacted by poverty, which took up a considerable amount of time during their working day (Estyn, 2024). </w:t>
      </w:r>
    </w:p>
    <w:p w14:paraId="16B3FF7A" w14:textId="1C1E8BDC" w:rsidR="00121FF1" w:rsidRPr="00C37970" w:rsidRDefault="00121FF1" w:rsidP="00C37970">
      <w:pPr>
        <w:rPr>
          <w:rFonts w:ascii="Arial" w:hAnsi="Arial" w:cs="Arial"/>
        </w:rPr>
      </w:pPr>
    </w:p>
    <w:p w14:paraId="6AD3DCEF" w14:textId="77777777" w:rsidR="00121FF1" w:rsidRPr="00C37970" w:rsidRDefault="00121FF1" w:rsidP="00C37970">
      <w:pPr>
        <w:rPr>
          <w:rFonts w:ascii="Arial" w:hAnsi="Arial" w:cs="Arial"/>
          <w:i/>
          <w:iCs/>
        </w:rPr>
      </w:pPr>
      <w:r w:rsidRPr="00C37970">
        <w:rPr>
          <w:rFonts w:ascii="Arial" w:hAnsi="Arial" w:cs="Arial"/>
          <w:i/>
          <w:iCs/>
        </w:rPr>
        <w:t xml:space="preserve">Devolved Wales </w:t>
      </w:r>
    </w:p>
    <w:p w14:paraId="5CCFAE30" w14:textId="4C8A0869" w:rsidR="00121FF1" w:rsidRPr="00C37970" w:rsidRDefault="00121FF1" w:rsidP="00C37970">
      <w:pPr>
        <w:rPr>
          <w:rFonts w:ascii="Arial" w:hAnsi="Arial" w:cs="Arial"/>
        </w:rPr>
      </w:pPr>
      <w:r w:rsidRPr="00C37970">
        <w:rPr>
          <w:rFonts w:ascii="Arial" w:hAnsi="Arial" w:cs="Arial"/>
        </w:rPr>
        <w:t xml:space="preserve">Government of Wales Act 1998 saw Wales devolve as a country with </w:t>
      </w:r>
      <w:r w:rsidR="00455A01" w:rsidRPr="00C37970">
        <w:rPr>
          <w:rFonts w:ascii="Arial" w:hAnsi="Arial" w:cs="Arial"/>
        </w:rPr>
        <w:t>its</w:t>
      </w:r>
      <w:r w:rsidRPr="00C37970">
        <w:rPr>
          <w:rFonts w:ascii="Arial" w:hAnsi="Arial" w:cs="Arial"/>
        </w:rPr>
        <w:t xml:space="preserve"> own government and subsequently own curriculum in schools and settings. In March 2014 Huw Lewis the then Minister for Education and Skills appointed Professor Graham Donaldson to conduct a fundamental review of curriculum and assessment arrangements. The following year (Donaldson, 2025) the report Successful Futures Independent Review of Curriculum and Assessment Arrangements in Wales was published with ‘radical and wide-ranging proposals for curriculum reform’. The report was accepted by WG (2015) and then in 2016 </w:t>
      </w:r>
      <w:r w:rsidR="00DE6829">
        <w:rPr>
          <w:rFonts w:ascii="Arial" w:hAnsi="Arial" w:cs="Arial"/>
        </w:rPr>
        <w:t xml:space="preserve">a </w:t>
      </w:r>
      <w:r w:rsidRPr="00C37970">
        <w:rPr>
          <w:rFonts w:ascii="Arial" w:hAnsi="Arial" w:cs="Arial"/>
        </w:rPr>
        <w:t xml:space="preserve">written statement </w:t>
      </w:r>
      <w:r w:rsidR="00DE6829">
        <w:rPr>
          <w:rFonts w:ascii="Arial" w:hAnsi="Arial" w:cs="Arial"/>
        </w:rPr>
        <w:t xml:space="preserve">provided </w:t>
      </w:r>
      <w:r w:rsidRPr="00C37970">
        <w:rPr>
          <w:rFonts w:ascii="Arial" w:hAnsi="Arial" w:cs="Arial"/>
        </w:rPr>
        <w:t>in way of an update on the pioneer schools who would be leading the change. By the time The Curriculum and Assessment (Wales) Act 2021 was passed Section 13 was included. This section outlined ‘a duty on the Welsh Government to publish a curriculum that they consider suitable for children for whom funded non-maintained nursery education is provided’ so that settings can choose to adopt if they wish. This curriculum was published in 2022 (WG, 2022) and the assessment arrangements followed in 2023 (WG, 2023).</w:t>
      </w:r>
    </w:p>
    <w:p w14:paraId="265A60E6" w14:textId="77777777" w:rsidR="00121FF1" w:rsidRPr="00C37970" w:rsidRDefault="00121FF1" w:rsidP="00C37970">
      <w:pPr>
        <w:rPr>
          <w:rFonts w:ascii="Arial" w:hAnsi="Arial" w:cs="Arial"/>
        </w:rPr>
      </w:pPr>
    </w:p>
    <w:p w14:paraId="74441BE3" w14:textId="4A9D58FC" w:rsidR="00121FF1" w:rsidRPr="00C37970" w:rsidRDefault="00121FF1" w:rsidP="00C37970">
      <w:pPr>
        <w:rPr>
          <w:rFonts w:ascii="Arial" w:hAnsi="Arial" w:cs="Arial"/>
        </w:rPr>
      </w:pPr>
      <w:r w:rsidRPr="00C37970">
        <w:rPr>
          <w:rFonts w:ascii="Arial" w:hAnsi="Arial" w:cs="Arial"/>
        </w:rPr>
        <w:t xml:space="preserve">Except for Flying Start Childcare Guidance (WG, 2023) and National Minimum Standards (WG, 2023) </w:t>
      </w:r>
      <w:r w:rsidR="00351E6B" w:rsidRPr="00C37970">
        <w:rPr>
          <w:rFonts w:ascii="Arial" w:hAnsi="Arial" w:cs="Arial"/>
        </w:rPr>
        <w:t>all</w:t>
      </w:r>
      <w:r w:rsidRPr="00C37970">
        <w:rPr>
          <w:rFonts w:ascii="Arial" w:hAnsi="Arial" w:cs="Arial"/>
        </w:rPr>
        <w:t xml:space="preserve"> the policy and guidance materials (WG, 2022, 2023, 2023 and 2023) which have been recently published by Welsh Government are available on two adjacent tiles on Hwb. These documents have all been co-constructed and include the line ‘has been developed through co-construction by practitioners, for practitioners. It is expressed from the viewpoint of the practitioner, drawing on expertise from across the 0 to 5 early childhood play, learning and care sector</w:t>
      </w:r>
      <w:r w:rsidR="00DE6829">
        <w:rPr>
          <w:rFonts w:ascii="Arial" w:hAnsi="Arial" w:cs="Arial"/>
        </w:rPr>
        <w:t xml:space="preserve"> </w:t>
      </w:r>
      <w:r w:rsidRPr="00C37970">
        <w:rPr>
          <w:rFonts w:ascii="Arial" w:hAnsi="Arial" w:cs="Arial"/>
        </w:rPr>
        <w:t xml:space="preserve">(WG,2023, 2023) </w:t>
      </w:r>
      <w:r w:rsidR="00DE6829">
        <w:rPr>
          <w:rFonts w:ascii="Arial" w:hAnsi="Arial" w:cs="Arial"/>
        </w:rPr>
        <w:t>/</w:t>
      </w:r>
      <w:r w:rsidRPr="00C37970">
        <w:rPr>
          <w:rFonts w:ascii="Arial" w:hAnsi="Arial" w:cs="Arial"/>
        </w:rPr>
        <w:t>non-maintained sector, and on the views of experts in the field of child development and early education’ (WG, 2022, 2023)</w:t>
      </w:r>
    </w:p>
    <w:p w14:paraId="66EACD67" w14:textId="77777777" w:rsidR="00121FF1" w:rsidRPr="00C37970" w:rsidRDefault="00121FF1" w:rsidP="00C37970">
      <w:pPr>
        <w:rPr>
          <w:rFonts w:ascii="Arial" w:hAnsi="Arial" w:cs="Arial"/>
        </w:rPr>
      </w:pPr>
      <w:r w:rsidRPr="00C37970">
        <w:rPr>
          <w:rFonts w:ascii="Arial" w:hAnsi="Arial" w:cs="Arial"/>
        </w:rPr>
        <w:t>Co-construction of policy and curriculum has great potential to transform the ways in which educational practice is planned, enacted and evaluated (Priestly, 2021) particularly in the way that it has been done for these documents where those involved have continued to work in their settings while being involved in macro curriculum policy making and meso curriculum support. OECD (2020) made similar findings in that stakeholders welcomed the relatively new process of policy co-construction in Wales as it facilitates understanding and implementing the policy even though at times co-construction can feel messy and uncomfortable, particularly where existing ideas and practices are challenged and/or rethought. (Morrison-Love, Singh and Makara-Fuller, 2023)</w:t>
      </w:r>
    </w:p>
    <w:p w14:paraId="58D6DF1A" w14:textId="77777777" w:rsidR="00121FF1" w:rsidRPr="00C37970" w:rsidRDefault="00121FF1" w:rsidP="00C37970">
      <w:pPr>
        <w:rPr>
          <w:rFonts w:ascii="Arial" w:hAnsi="Arial" w:cs="Arial"/>
        </w:rPr>
      </w:pPr>
    </w:p>
    <w:p w14:paraId="4639DDDC" w14:textId="77777777" w:rsidR="00121FF1" w:rsidRPr="00C37970" w:rsidRDefault="00121FF1" w:rsidP="00C37970">
      <w:pPr>
        <w:rPr>
          <w:rFonts w:ascii="Arial" w:hAnsi="Arial" w:cs="Arial"/>
        </w:rPr>
      </w:pPr>
      <w:r w:rsidRPr="00C37970">
        <w:rPr>
          <w:rFonts w:ascii="Arial" w:hAnsi="Arial" w:cs="Arial"/>
        </w:rPr>
        <w:t xml:space="preserve">MacDonald (forthcoming) suggests that when we </w:t>
      </w:r>
      <w:r w:rsidR="007A1DC3" w:rsidRPr="007A1DC3">
        <w:rPr>
          <w:rFonts w:ascii="Arial" w:hAnsi="Arial" w:cs="Arial"/>
        </w:rPr>
        <w:t>explor</w:t>
      </w:r>
      <w:r w:rsidRPr="00C37970">
        <w:rPr>
          <w:rFonts w:ascii="Arial" w:hAnsi="Arial" w:cs="Arial"/>
        </w:rPr>
        <w:t>e</w:t>
      </w:r>
      <w:r w:rsidR="007A1DC3" w:rsidRPr="007A1DC3">
        <w:rPr>
          <w:rFonts w:ascii="Arial" w:hAnsi="Arial" w:cs="Arial"/>
        </w:rPr>
        <w:t xml:space="preserve"> policy structure and wording, we can identify the intention and meaning of the policy writer, and the influence on the policy reader</w:t>
      </w:r>
      <w:r w:rsidRPr="00C37970">
        <w:rPr>
          <w:rFonts w:ascii="Arial" w:hAnsi="Arial" w:cs="Arial"/>
        </w:rPr>
        <w:t xml:space="preserve">. Cardno (2018) provides a useful framework for organisational policy analysis and Maingeauneau and Angermuller (2007) suggest a discourse analysis which looks at the text and the meaning behind the text. </w:t>
      </w:r>
    </w:p>
    <w:p w14:paraId="35010C9A" w14:textId="77777777" w:rsidR="00121FF1" w:rsidRPr="00C37970" w:rsidRDefault="00121FF1" w:rsidP="00C37970">
      <w:pPr>
        <w:rPr>
          <w:rFonts w:ascii="Arial" w:hAnsi="Arial" w:cs="Arial"/>
        </w:rPr>
      </w:pPr>
    </w:p>
    <w:p w14:paraId="044D34F5" w14:textId="5DE3A39F" w:rsidR="00121FF1" w:rsidRPr="00C37970" w:rsidRDefault="00351E6B" w:rsidP="00C37970">
      <w:pPr>
        <w:rPr>
          <w:rFonts w:ascii="Arial" w:hAnsi="Arial" w:cs="Arial"/>
        </w:rPr>
      </w:pPr>
      <w:r w:rsidRPr="00C37970">
        <w:rPr>
          <w:rFonts w:ascii="Arial" w:hAnsi="Arial" w:cs="Arial"/>
        </w:rPr>
        <w:t>Both</w:t>
      </w:r>
      <w:r w:rsidR="00121FF1" w:rsidRPr="00C37970">
        <w:rPr>
          <w:rFonts w:ascii="Arial" w:hAnsi="Arial" w:cs="Arial"/>
        </w:rPr>
        <w:t xml:space="preserve"> approaches reveal that the newer policies (WG 2022, 2023, 2023 and 2023) which have been genuinely co-constructed (Sinnema, Nieveen and Priestley, 2020) are accessible for practitioners in terms of being published on Hwb, but also accessible in terms of the layout of the document and language used. The documents are worthwhile and have an aesthetic design (Tinney, 2023) with photographs to illustrate practice and clear expectations for the role of the enabling adult (Estyn, 2021). The language used reveals that children should be respected as capable </w:t>
      </w:r>
      <w:r w:rsidR="00455A01" w:rsidRPr="00C37970">
        <w:rPr>
          <w:rFonts w:ascii="Arial" w:hAnsi="Arial" w:cs="Arial"/>
        </w:rPr>
        <w:t>learners,</w:t>
      </w:r>
      <w:r w:rsidR="00121FF1" w:rsidRPr="00C37970">
        <w:rPr>
          <w:rFonts w:ascii="Arial" w:hAnsi="Arial" w:cs="Arial"/>
        </w:rPr>
        <w:t xml:space="preserve"> </w:t>
      </w:r>
      <w:r w:rsidRPr="00C37970">
        <w:rPr>
          <w:rFonts w:ascii="Arial" w:hAnsi="Arial" w:cs="Arial"/>
        </w:rPr>
        <w:t>and</w:t>
      </w:r>
      <w:r w:rsidR="00121FF1" w:rsidRPr="00C37970">
        <w:rPr>
          <w:rFonts w:ascii="Arial" w:hAnsi="Arial" w:cs="Arial"/>
        </w:rPr>
        <w:t xml:space="preserve"> the work of the adults should be valued with the ‘team ethos’ coming through well (Estyn 2021).</w:t>
      </w:r>
    </w:p>
    <w:p w14:paraId="20F559A5" w14:textId="77777777" w:rsidR="00121FF1" w:rsidRPr="00C37970" w:rsidRDefault="00121FF1" w:rsidP="00C37970">
      <w:pPr>
        <w:rPr>
          <w:rFonts w:ascii="Arial" w:hAnsi="Arial" w:cs="Arial"/>
        </w:rPr>
      </w:pPr>
    </w:p>
    <w:p w14:paraId="7F7CE315" w14:textId="2851299D" w:rsidR="00121FF1" w:rsidRPr="00C37970" w:rsidRDefault="00121FF1" w:rsidP="00C37970">
      <w:pPr>
        <w:rPr>
          <w:rFonts w:ascii="Arial" w:hAnsi="Arial" w:cs="Arial"/>
        </w:rPr>
      </w:pPr>
      <w:r w:rsidRPr="00C37970">
        <w:rPr>
          <w:rFonts w:ascii="Arial" w:hAnsi="Arial" w:cs="Arial"/>
        </w:rPr>
        <w:t xml:space="preserve">In contrast to this, the older policy specific to Flying Start (WG, 2023) which has not been co-constructed and is not available on Hwb uses language which holds more congruence with the notion of a deficit child. This is particularly true where assessment is referred to several times to identify where interventions are needed. This influences the policy reader (MacDonald, forthcoming) to look for gaps in the child’s learning and when a practitioner look for weakness then that is what will be found (Farah, 2023) and the notion of the child as a deficit (Waters-Davies and MacDonald, 2022) is confirmed as all of the qualities and strengths the child brings are overlooked in favour of what the adult has decided is important (Fisher, 2024). There is also language which discusses activities (WG, 2023) which places the focus on the adult being more important and encourages the notion that children cannot be trusted (Mag, 2019) to decide what and how they would like to play (Fisher, </w:t>
      </w:r>
      <w:r w:rsidR="00455A01" w:rsidRPr="00C37970">
        <w:rPr>
          <w:rFonts w:ascii="Arial" w:hAnsi="Arial" w:cs="Arial"/>
        </w:rPr>
        <w:t>2024) which</w:t>
      </w:r>
      <w:r w:rsidRPr="00C37970">
        <w:rPr>
          <w:rFonts w:ascii="Arial" w:hAnsi="Arial" w:cs="Arial"/>
        </w:rPr>
        <w:t xml:space="preserve"> might lead to the adult interfering (Fisher, 2016).</w:t>
      </w:r>
    </w:p>
    <w:p w14:paraId="75209C27" w14:textId="77777777" w:rsidR="00121FF1" w:rsidRPr="00C37970" w:rsidRDefault="00121FF1" w:rsidP="00C37970">
      <w:pPr>
        <w:rPr>
          <w:rFonts w:ascii="Arial" w:hAnsi="Arial" w:cs="Arial"/>
        </w:rPr>
      </w:pPr>
    </w:p>
    <w:p w14:paraId="7F138A5C" w14:textId="77777777" w:rsidR="00121FF1" w:rsidRPr="00C37970" w:rsidRDefault="00121FF1" w:rsidP="00C37970">
      <w:pPr>
        <w:rPr>
          <w:rFonts w:ascii="Arial" w:hAnsi="Arial" w:cs="Arial"/>
        </w:rPr>
      </w:pPr>
      <w:r w:rsidRPr="00C37970">
        <w:rPr>
          <w:rFonts w:ascii="Arial" w:hAnsi="Arial" w:cs="Arial"/>
        </w:rPr>
        <w:t xml:space="preserve">Given that Flying Start Childcare (WG, 2023) is an intervention to support children to overcome against the odds (WG,2024; Bywaters et al, 2022; Stats Wales, 2023; Mayo and Siraj, 2015) a policy which positions the child as incapable and the role of the adult is to help the child become ‘less deficit’ (Waters-Davies and MacDonald, 2022) may not be helpful. </w:t>
      </w:r>
    </w:p>
    <w:p w14:paraId="4700609C" w14:textId="2BAFF7EA" w:rsidR="00121FF1" w:rsidRPr="00C37970" w:rsidRDefault="00121FF1" w:rsidP="00C37970">
      <w:pPr>
        <w:rPr>
          <w:rFonts w:ascii="Arial" w:hAnsi="Arial" w:cs="Arial"/>
        </w:rPr>
      </w:pPr>
    </w:p>
    <w:p w14:paraId="519DB517" w14:textId="6098F45D" w:rsidR="00121FF1" w:rsidRPr="00C37970" w:rsidRDefault="00121FF1" w:rsidP="00C37970">
      <w:pPr>
        <w:rPr>
          <w:rFonts w:ascii="Arial" w:hAnsi="Arial" w:cs="Arial"/>
        </w:rPr>
      </w:pPr>
      <w:r w:rsidRPr="00C37970">
        <w:rPr>
          <w:rFonts w:ascii="Arial" w:hAnsi="Arial" w:cs="Arial"/>
        </w:rPr>
        <w:t xml:space="preserve">The previous section analysed the newer, co-constructed policy which has been published by Welsh Government and found encouraging language that presented the child as capable as a threshold concept (Waters-Davies and MacDonald, 2022, Ashworth, 2016) in a suite of documents that are aesthetically positive and accessible (Tinney, 2023). This section will seek to examine the correlations with Italy, particularly the Reggio Emilia region </w:t>
      </w:r>
      <w:r w:rsidR="00351E6B" w:rsidRPr="00C37970">
        <w:rPr>
          <w:rFonts w:ascii="Arial" w:hAnsi="Arial" w:cs="Arial"/>
        </w:rPr>
        <w:t>and</w:t>
      </w:r>
      <w:r w:rsidRPr="00C37970">
        <w:rPr>
          <w:rFonts w:ascii="Arial" w:hAnsi="Arial" w:cs="Arial"/>
        </w:rPr>
        <w:t xml:space="preserve"> the influence of Froebel in 19</w:t>
      </w:r>
      <w:r w:rsidRPr="00C37970">
        <w:rPr>
          <w:rFonts w:ascii="Arial" w:hAnsi="Arial" w:cs="Arial"/>
          <w:vertAlign w:val="superscript"/>
        </w:rPr>
        <w:t>th</w:t>
      </w:r>
      <w:r w:rsidRPr="00C37970">
        <w:rPr>
          <w:rFonts w:ascii="Arial" w:hAnsi="Arial" w:cs="Arial"/>
        </w:rPr>
        <w:t xml:space="preserve"> Century Germany particularly the kindergarten in Thuringia.</w:t>
      </w:r>
    </w:p>
    <w:p w14:paraId="5952AF3F" w14:textId="77777777" w:rsidR="00121FF1" w:rsidRPr="00C37970" w:rsidRDefault="00121FF1" w:rsidP="00C37970">
      <w:pPr>
        <w:rPr>
          <w:rFonts w:ascii="Arial" w:hAnsi="Arial" w:cs="Arial"/>
        </w:rPr>
      </w:pPr>
      <w:r w:rsidRPr="00C37970">
        <w:rPr>
          <w:rFonts w:ascii="Arial" w:hAnsi="Arial" w:cs="Arial"/>
        </w:rPr>
        <w:t>The Reggio Emilia region of Italy embraces an approach to early childhood education and was developed by Loris Malaguzzi shortly after World War two. There are key aspects for the approach:</w:t>
      </w:r>
    </w:p>
    <w:p w14:paraId="5419E811" w14:textId="77777777" w:rsidR="00121FF1" w:rsidRPr="00B346E2" w:rsidRDefault="00121FF1" w:rsidP="00C37970">
      <w:pPr>
        <w:numPr>
          <w:ilvl w:val="0"/>
          <w:numId w:val="5"/>
        </w:numPr>
        <w:rPr>
          <w:rFonts w:ascii="Arial" w:hAnsi="Arial" w:cs="Arial"/>
          <w:i/>
          <w:iCs/>
        </w:rPr>
      </w:pPr>
      <w:r w:rsidRPr="00B346E2">
        <w:rPr>
          <w:rFonts w:ascii="Arial" w:hAnsi="Arial" w:cs="Arial"/>
          <w:i/>
          <w:iCs/>
        </w:rPr>
        <w:t xml:space="preserve">Children are seen as capable, curious, and full of potential. </w:t>
      </w:r>
    </w:p>
    <w:p w14:paraId="00E8A866" w14:textId="77777777" w:rsidR="00121FF1" w:rsidRPr="00B346E2" w:rsidRDefault="00121FF1" w:rsidP="00C37970">
      <w:pPr>
        <w:numPr>
          <w:ilvl w:val="0"/>
          <w:numId w:val="5"/>
        </w:numPr>
        <w:rPr>
          <w:rFonts w:ascii="Arial" w:hAnsi="Arial" w:cs="Arial"/>
          <w:i/>
          <w:iCs/>
        </w:rPr>
      </w:pPr>
      <w:r w:rsidRPr="00C37970">
        <w:rPr>
          <w:rFonts w:ascii="Arial" w:hAnsi="Arial" w:cs="Arial"/>
          <w:i/>
          <w:iCs/>
        </w:rPr>
        <w:t>Practitioners</w:t>
      </w:r>
      <w:r w:rsidRPr="00B346E2">
        <w:rPr>
          <w:rFonts w:ascii="Arial" w:hAnsi="Arial" w:cs="Arial"/>
          <w:i/>
          <w:iCs/>
        </w:rPr>
        <w:t xml:space="preserve"> act as co-learners and guides rather than traditional instructors. </w:t>
      </w:r>
    </w:p>
    <w:p w14:paraId="78910AD2" w14:textId="77777777" w:rsidR="00121FF1" w:rsidRPr="00B346E2" w:rsidRDefault="00121FF1" w:rsidP="00C37970">
      <w:pPr>
        <w:numPr>
          <w:ilvl w:val="0"/>
          <w:numId w:val="5"/>
        </w:numPr>
        <w:rPr>
          <w:rFonts w:ascii="Arial" w:hAnsi="Arial" w:cs="Arial"/>
          <w:i/>
          <w:iCs/>
        </w:rPr>
      </w:pPr>
      <w:r w:rsidRPr="00B346E2">
        <w:rPr>
          <w:rFonts w:ascii="Arial" w:hAnsi="Arial" w:cs="Arial"/>
          <w:i/>
          <w:iCs/>
        </w:rPr>
        <w:t xml:space="preserve">The learning environment is carefully designed to be engaging and stimulating. </w:t>
      </w:r>
    </w:p>
    <w:p w14:paraId="6F591C37" w14:textId="77777777" w:rsidR="00121FF1" w:rsidRPr="00B346E2" w:rsidRDefault="00121FF1" w:rsidP="00C37970">
      <w:pPr>
        <w:numPr>
          <w:ilvl w:val="0"/>
          <w:numId w:val="5"/>
        </w:numPr>
        <w:rPr>
          <w:rFonts w:ascii="Arial" w:hAnsi="Arial" w:cs="Arial"/>
          <w:i/>
          <w:iCs/>
        </w:rPr>
      </w:pPr>
      <w:r w:rsidRPr="00B346E2">
        <w:rPr>
          <w:rFonts w:ascii="Arial" w:hAnsi="Arial" w:cs="Arial"/>
          <w:i/>
          <w:iCs/>
        </w:rPr>
        <w:t xml:space="preserve">Parents are considered essential partners in the educational process. </w:t>
      </w:r>
    </w:p>
    <w:p w14:paraId="489C4E02" w14:textId="77777777" w:rsidR="00121FF1" w:rsidRPr="00B346E2" w:rsidRDefault="00121FF1" w:rsidP="00C37970">
      <w:pPr>
        <w:numPr>
          <w:ilvl w:val="0"/>
          <w:numId w:val="5"/>
        </w:numPr>
        <w:rPr>
          <w:rFonts w:ascii="Arial" w:hAnsi="Arial" w:cs="Arial"/>
        </w:rPr>
      </w:pPr>
      <w:r w:rsidRPr="00B346E2">
        <w:rPr>
          <w:rFonts w:ascii="Arial" w:hAnsi="Arial" w:cs="Arial"/>
          <w:i/>
          <w:iCs/>
        </w:rPr>
        <w:t xml:space="preserve">Children's work and progress are documented through photographs, videos, and written </w:t>
      </w:r>
      <w:r w:rsidRPr="00C37970">
        <w:rPr>
          <w:rFonts w:ascii="Arial" w:hAnsi="Arial" w:cs="Arial"/>
          <w:i/>
          <w:iCs/>
        </w:rPr>
        <w:t>observations.</w:t>
      </w:r>
      <w:r w:rsidRPr="00C37970">
        <w:rPr>
          <w:rFonts w:ascii="Arial" w:hAnsi="Arial" w:cs="Arial"/>
        </w:rPr>
        <w:t xml:space="preserve"> (Reggio Emilia Approach TM, No date).</w:t>
      </w:r>
    </w:p>
    <w:p w14:paraId="2F698F73" w14:textId="77777777" w:rsidR="00121FF1" w:rsidRPr="00C37970" w:rsidRDefault="00121FF1" w:rsidP="00C37970">
      <w:pPr>
        <w:rPr>
          <w:rFonts w:ascii="Arial" w:hAnsi="Arial" w:cs="Arial"/>
        </w:rPr>
      </w:pPr>
    </w:p>
    <w:p w14:paraId="7FB0F7C1" w14:textId="6043E6E8" w:rsidR="00121FF1" w:rsidRPr="00C37970" w:rsidRDefault="00121FF1" w:rsidP="00C37970">
      <w:pPr>
        <w:rPr>
          <w:rFonts w:ascii="Arial" w:hAnsi="Arial" w:cs="Arial"/>
        </w:rPr>
      </w:pPr>
      <w:r w:rsidRPr="00C37970">
        <w:rPr>
          <w:rFonts w:ascii="Arial" w:hAnsi="Arial" w:cs="Arial"/>
        </w:rPr>
        <w:lastRenderedPageBreak/>
        <w:t xml:space="preserve">The capable and curious child. Waters-Davies and MacDonald (2022) point out that once there is a genuine grasp of the capable child construct then the child cannot be responded to as incapable. In the Reggio Emilia </w:t>
      </w:r>
      <w:r w:rsidR="00455A01" w:rsidRPr="00C37970">
        <w:rPr>
          <w:rFonts w:ascii="Arial" w:hAnsi="Arial" w:cs="Arial"/>
        </w:rPr>
        <w:t>Approach,</w:t>
      </w:r>
      <w:r w:rsidRPr="00C37970">
        <w:rPr>
          <w:rFonts w:ascii="Arial" w:hAnsi="Arial" w:cs="Arial"/>
        </w:rPr>
        <w:t xml:space="preserve"> there is an image of the competent child (</w:t>
      </w:r>
      <w:r w:rsidRPr="00C921A0">
        <w:rPr>
          <w:rFonts w:ascii="Arial" w:hAnsi="Arial" w:cs="Arial"/>
        </w:rPr>
        <w:t>Manera</w:t>
      </w:r>
      <w:r w:rsidRPr="00C37970">
        <w:rPr>
          <w:rFonts w:ascii="Arial" w:hAnsi="Arial" w:cs="Arial"/>
        </w:rPr>
        <w:t xml:space="preserve">, </w:t>
      </w:r>
      <w:r w:rsidRPr="00C921A0">
        <w:rPr>
          <w:rFonts w:ascii="Arial" w:hAnsi="Arial" w:cs="Arial"/>
        </w:rPr>
        <w:t>2022)</w:t>
      </w:r>
      <w:r w:rsidRPr="00C37970">
        <w:rPr>
          <w:rFonts w:ascii="Arial" w:hAnsi="Arial" w:cs="Arial"/>
        </w:rPr>
        <w:t xml:space="preserve"> Children are respected for the knowledge that they bring (Fisher, 2024) and are supported to engage in all-consuming play (Bruce, 1991). The adult carefully plans the environment based on the interests of the child (WG, 2022) allowing time for the child (Clark, 2023) to make decisions and carefully observes (Bruce, Louis and McCall, 2015) while deciding if stepping in would be helpful as an interaction to move thinking forward (Sylva, 2004) or just interfering (Fisher, 2016) Children are valued and their rights are upheld (Rinaldi, 2020, Franklin, 2001). </w:t>
      </w:r>
    </w:p>
    <w:p w14:paraId="632FE59A" w14:textId="77777777" w:rsidR="00121FF1" w:rsidRPr="00C37970" w:rsidRDefault="00121FF1" w:rsidP="00C37970">
      <w:pPr>
        <w:rPr>
          <w:rFonts w:ascii="Arial" w:hAnsi="Arial" w:cs="Arial"/>
        </w:rPr>
      </w:pPr>
    </w:p>
    <w:p w14:paraId="3F8838EF" w14:textId="77777777" w:rsidR="00121FF1" w:rsidRPr="00C37970" w:rsidRDefault="00121FF1" w:rsidP="00C37970">
      <w:pPr>
        <w:rPr>
          <w:rFonts w:ascii="Arial" w:hAnsi="Arial" w:cs="Arial"/>
        </w:rPr>
      </w:pPr>
      <w:r w:rsidRPr="00C37970">
        <w:rPr>
          <w:rFonts w:ascii="Arial" w:hAnsi="Arial" w:cs="Arial"/>
        </w:rPr>
        <w:t>Friedrich Froebel is known as the inventor of the kindergarten (Bruce, 2021) as his approach involved providing ‘a garden for children’. Like The Reggio Emilia Approach the Froebelian Approach is based on a set of principles:</w:t>
      </w:r>
    </w:p>
    <w:p w14:paraId="67FD098E"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Unity and connectedness</w:t>
      </w:r>
    </w:p>
    <w:p w14:paraId="71647987"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Autonomous learners</w:t>
      </w:r>
    </w:p>
    <w:p w14:paraId="3697344B"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The value of childhood in its own right</w:t>
      </w:r>
    </w:p>
    <w:p w14:paraId="61BDEBA6"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Relationships matter</w:t>
      </w:r>
    </w:p>
    <w:p w14:paraId="4E06274E"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Creativity and the power of symbols</w:t>
      </w:r>
    </w:p>
    <w:p w14:paraId="5D1EB9AB"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The central importance of play</w:t>
      </w:r>
    </w:p>
    <w:p w14:paraId="7EC5C942"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Engaging with nature</w:t>
      </w:r>
    </w:p>
    <w:p w14:paraId="04C6D7A6" w14:textId="77777777" w:rsidR="00121FF1" w:rsidRPr="00C37970" w:rsidRDefault="00121FF1" w:rsidP="00C37970">
      <w:pPr>
        <w:pStyle w:val="ListParagraph"/>
        <w:numPr>
          <w:ilvl w:val="0"/>
          <w:numId w:val="6"/>
        </w:numPr>
        <w:rPr>
          <w:rFonts w:ascii="Arial" w:hAnsi="Arial" w:cs="Arial"/>
          <w:i/>
          <w:iCs/>
        </w:rPr>
      </w:pPr>
      <w:r w:rsidRPr="00C37970">
        <w:rPr>
          <w:rFonts w:ascii="Arial" w:hAnsi="Arial" w:cs="Arial"/>
          <w:i/>
          <w:iCs/>
        </w:rPr>
        <w:t>Knowledgeable, nurturing educators. (Tovey, 2017, 2020)</w:t>
      </w:r>
    </w:p>
    <w:p w14:paraId="5B4BB9B8" w14:textId="77777777" w:rsidR="00121FF1" w:rsidRPr="00C37970" w:rsidRDefault="00121FF1" w:rsidP="00C37970">
      <w:pPr>
        <w:rPr>
          <w:rFonts w:ascii="Arial" w:hAnsi="Arial" w:cs="Arial"/>
        </w:rPr>
      </w:pPr>
    </w:p>
    <w:p w14:paraId="0320AD73" w14:textId="77777777" w:rsidR="00121FF1" w:rsidRPr="00C37970" w:rsidRDefault="00121FF1" w:rsidP="00C37970">
      <w:pPr>
        <w:rPr>
          <w:rFonts w:ascii="Arial" w:hAnsi="Arial" w:cs="Arial"/>
        </w:rPr>
      </w:pPr>
      <w:r w:rsidRPr="00C37970">
        <w:rPr>
          <w:rFonts w:ascii="Arial" w:hAnsi="Arial" w:cs="Arial"/>
        </w:rPr>
        <w:t xml:space="preserve">Bruce (2021), Tovey (2017) and Tovey (2020) make strong arguments for embracing the Froebelian principles and embedding them into early years practice in 2025. </w:t>
      </w:r>
      <w:r w:rsidRPr="00C921A0">
        <w:rPr>
          <w:rFonts w:ascii="Arial" w:hAnsi="Arial" w:cs="Arial"/>
        </w:rPr>
        <w:t>Hoskins</w:t>
      </w:r>
      <w:r w:rsidRPr="00C37970">
        <w:rPr>
          <w:rFonts w:ascii="Arial" w:hAnsi="Arial" w:cs="Arial"/>
        </w:rPr>
        <w:t xml:space="preserve"> and</w:t>
      </w:r>
      <w:r w:rsidRPr="00C921A0">
        <w:rPr>
          <w:rFonts w:ascii="Arial" w:hAnsi="Arial" w:cs="Arial"/>
        </w:rPr>
        <w:t xml:space="preserve"> Smedley</w:t>
      </w:r>
      <w:r w:rsidRPr="00C37970">
        <w:rPr>
          <w:rFonts w:ascii="Arial" w:hAnsi="Arial" w:cs="Arial"/>
        </w:rPr>
        <w:t xml:space="preserve"> </w:t>
      </w:r>
      <w:r w:rsidRPr="00C921A0">
        <w:rPr>
          <w:rFonts w:ascii="Arial" w:hAnsi="Arial" w:cs="Arial"/>
        </w:rPr>
        <w:t>(2019)</w:t>
      </w:r>
      <w:r w:rsidRPr="00C37970">
        <w:rPr>
          <w:rFonts w:ascii="Arial" w:hAnsi="Arial" w:cs="Arial"/>
        </w:rPr>
        <w:t xml:space="preserve"> and </w:t>
      </w:r>
      <w:r w:rsidRPr="00C921A0">
        <w:rPr>
          <w:rFonts w:ascii="Arial" w:hAnsi="Arial" w:cs="Arial"/>
        </w:rPr>
        <w:t>Smedley</w:t>
      </w:r>
      <w:r w:rsidRPr="00C37970">
        <w:rPr>
          <w:rFonts w:ascii="Arial" w:hAnsi="Arial" w:cs="Arial"/>
        </w:rPr>
        <w:t xml:space="preserve"> and </w:t>
      </w:r>
      <w:r w:rsidRPr="00C921A0">
        <w:rPr>
          <w:rFonts w:ascii="Arial" w:hAnsi="Arial" w:cs="Arial"/>
        </w:rPr>
        <w:t>Hoskins</w:t>
      </w:r>
      <w:r w:rsidRPr="00C37970">
        <w:rPr>
          <w:rFonts w:ascii="Arial" w:hAnsi="Arial" w:cs="Arial"/>
        </w:rPr>
        <w:t xml:space="preserve"> </w:t>
      </w:r>
      <w:r w:rsidRPr="00C921A0">
        <w:rPr>
          <w:rFonts w:ascii="Arial" w:hAnsi="Arial" w:cs="Arial"/>
        </w:rPr>
        <w:t>(2018)</w:t>
      </w:r>
      <w:r w:rsidRPr="00C37970">
        <w:rPr>
          <w:rFonts w:ascii="Arial" w:hAnsi="Arial" w:cs="Arial"/>
        </w:rPr>
        <w:t xml:space="preserve"> report that by acknowledging the central importance of play and finding a way to protect play the other principles will be seamlessly enacted. A practitioner who values play (Bruce, 1991) and acknowledges a child right to play is a knowledgeable and nurturing educator. They are less likely to be clumsy in the interactions (Fisher, 2016) as they carefully observe (Bruce, Louis and McCall, 2015) and tune into the child (Fisher, 2016). This practitioner will understand that relationships matter (</w:t>
      </w:r>
      <w:r w:rsidRPr="00C921A0">
        <w:rPr>
          <w:rFonts w:ascii="Arial" w:hAnsi="Arial" w:cs="Arial"/>
        </w:rPr>
        <w:t>Hoffman,</w:t>
      </w:r>
      <w:r w:rsidRPr="00C37970">
        <w:rPr>
          <w:rFonts w:ascii="Arial" w:hAnsi="Arial" w:cs="Arial"/>
        </w:rPr>
        <w:t xml:space="preserve"> </w:t>
      </w:r>
      <w:r w:rsidRPr="00C921A0">
        <w:rPr>
          <w:rFonts w:ascii="Arial" w:hAnsi="Arial" w:cs="Arial"/>
        </w:rPr>
        <w:t>Cooper</w:t>
      </w:r>
      <w:r w:rsidRPr="00C37970">
        <w:rPr>
          <w:rFonts w:ascii="Arial" w:hAnsi="Arial" w:cs="Arial"/>
        </w:rPr>
        <w:t xml:space="preserve"> </w:t>
      </w:r>
      <w:r w:rsidRPr="00C921A0">
        <w:rPr>
          <w:rFonts w:ascii="Arial" w:hAnsi="Arial" w:cs="Arial"/>
        </w:rPr>
        <w:t>&amp; Powell</w:t>
      </w:r>
      <w:r w:rsidRPr="00C37970">
        <w:rPr>
          <w:rFonts w:ascii="Arial" w:hAnsi="Arial" w:cs="Arial"/>
        </w:rPr>
        <w:t xml:space="preserve">, </w:t>
      </w:r>
      <w:r w:rsidRPr="00C921A0">
        <w:rPr>
          <w:rFonts w:ascii="Arial" w:hAnsi="Arial" w:cs="Arial"/>
        </w:rPr>
        <w:t>2017</w:t>
      </w:r>
      <w:r w:rsidRPr="00C37970">
        <w:rPr>
          <w:rFonts w:ascii="Arial" w:hAnsi="Arial" w:cs="Arial"/>
        </w:rPr>
        <w:t xml:space="preserve">, </w:t>
      </w:r>
      <w:r w:rsidRPr="00C921A0">
        <w:rPr>
          <w:rFonts w:ascii="Arial" w:hAnsi="Arial" w:cs="Arial"/>
        </w:rPr>
        <w:t xml:space="preserve">Woodhouse, </w:t>
      </w:r>
      <w:r w:rsidRPr="00C37970">
        <w:rPr>
          <w:rFonts w:ascii="Arial" w:hAnsi="Arial" w:cs="Arial"/>
        </w:rPr>
        <w:t xml:space="preserve">et al </w:t>
      </w:r>
      <w:r w:rsidRPr="00C921A0">
        <w:rPr>
          <w:rFonts w:ascii="Arial" w:hAnsi="Arial" w:cs="Arial"/>
        </w:rPr>
        <w:t>2018)</w:t>
      </w:r>
      <w:r w:rsidRPr="00C37970">
        <w:rPr>
          <w:rFonts w:ascii="Arial" w:hAnsi="Arial" w:cs="Arial"/>
        </w:rPr>
        <w:t xml:space="preserve"> in supporting a child to become autonomous as they know their educator is someone they can trust and turn to if needed (Bruce, 2021)</w:t>
      </w:r>
    </w:p>
    <w:p w14:paraId="74C58A2C" w14:textId="77777777" w:rsidR="00121FF1" w:rsidRPr="00C37970" w:rsidRDefault="00121FF1" w:rsidP="00C37970">
      <w:pPr>
        <w:rPr>
          <w:rFonts w:ascii="Arial" w:hAnsi="Arial" w:cs="Arial"/>
        </w:rPr>
      </w:pPr>
    </w:p>
    <w:p w14:paraId="488213D7" w14:textId="77777777" w:rsidR="00121FF1" w:rsidRPr="00C37970" w:rsidRDefault="00121FF1" w:rsidP="0065444A">
      <w:pPr>
        <w:rPr>
          <w:rFonts w:ascii="Arial" w:hAnsi="Arial" w:cs="Arial"/>
        </w:rPr>
      </w:pPr>
      <w:r w:rsidRPr="00C37970">
        <w:rPr>
          <w:rFonts w:ascii="Arial" w:hAnsi="Arial" w:cs="Arial"/>
        </w:rPr>
        <w:t>The Researching Effective Pedagogy in the Early Years (REPEY) project (</w:t>
      </w:r>
      <w:r w:rsidRPr="00C921A0">
        <w:rPr>
          <w:rFonts w:ascii="Arial" w:hAnsi="Arial" w:cs="Arial"/>
        </w:rPr>
        <w:t>Siraj-Blatchford</w:t>
      </w:r>
      <w:r w:rsidRPr="00C37970">
        <w:rPr>
          <w:rFonts w:ascii="Arial" w:hAnsi="Arial" w:cs="Arial"/>
        </w:rPr>
        <w:t xml:space="preserve"> and </w:t>
      </w:r>
      <w:r w:rsidRPr="00C921A0">
        <w:rPr>
          <w:rFonts w:ascii="Arial" w:hAnsi="Arial" w:cs="Arial"/>
        </w:rPr>
        <w:t>Sylva</w:t>
      </w:r>
      <w:r w:rsidRPr="00C37970">
        <w:rPr>
          <w:rFonts w:ascii="Arial" w:hAnsi="Arial" w:cs="Arial"/>
        </w:rPr>
        <w:t xml:space="preserve">, </w:t>
      </w:r>
      <w:r w:rsidRPr="00C921A0">
        <w:rPr>
          <w:rFonts w:ascii="Arial" w:hAnsi="Arial" w:cs="Arial"/>
        </w:rPr>
        <w:t>2002)</w:t>
      </w:r>
      <w:r w:rsidRPr="00C37970">
        <w:rPr>
          <w:rFonts w:ascii="Arial" w:hAnsi="Arial" w:cs="Arial"/>
        </w:rPr>
        <w:t xml:space="preserve"> evaluated the effectiveness of pre-schools and found that those most effective in supporting children had certain features which strongly correlate to the key aspects of the Reggio Emilia Approach and the Froebelian Principles. There are currently (2025) fifty-three case studies which showcase effective practice in the funded non-maintained nursery sector available on the Estyn website and the approaches outlined in the case studies share similarities with the approaches discussed here.</w:t>
      </w:r>
    </w:p>
    <w:p w14:paraId="41400874" w14:textId="77777777" w:rsidR="00121FF1" w:rsidRPr="00C37970" w:rsidRDefault="00121FF1" w:rsidP="0065444A">
      <w:pPr>
        <w:rPr>
          <w:rFonts w:ascii="Arial" w:hAnsi="Arial" w:cs="Arial"/>
        </w:rPr>
      </w:pPr>
      <w:r w:rsidRPr="00C37970">
        <w:rPr>
          <w:rFonts w:ascii="Arial" w:hAnsi="Arial" w:cs="Arial"/>
        </w:rPr>
        <w:t xml:space="preserve">There are strong examples of similarities between the policy aims of Welsh Government for the Early Childhood Play Learning and Care sector and the Reggio Emilia approach in Italy and the Froebelian Approach. The next section will examine how this policy translates into practice.  </w:t>
      </w:r>
    </w:p>
    <w:p w14:paraId="34F1E106" w14:textId="77777777" w:rsidR="00863721" w:rsidRPr="00C37970" w:rsidRDefault="00863721" w:rsidP="00C37970">
      <w:pPr>
        <w:rPr>
          <w:rFonts w:ascii="Arial" w:hAnsi="Arial" w:cs="Arial"/>
        </w:rPr>
      </w:pPr>
    </w:p>
    <w:p w14:paraId="52C4EF4C" w14:textId="77777777" w:rsidR="00121FF1" w:rsidRPr="00C37970" w:rsidRDefault="00121FF1" w:rsidP="00C37970">
      <w:pPr>
        <w:rPr>
          <w:rFonts w:ascii="Arial" w:hAnsi="Arial" w:cs="Arial"/>
        </w:rPr>
      </w:pPr>
      <w:r w:rsidRPr="00C37970">
        <w:rPr>
          <w:rFonts w:ascii="Arial" w:hAnsi="Arial" w:cs="Arial"/>
        </w:rPr>
        <w:lastRenderedPageBreak/>
        <w:t xml:space="preserve">With all two-year-olds soon eligible for childcare (WG, 2022), there will be a short section which examines the key ideas that may be useful to support policy implementation in the way it was intended, and the barriers to this. This section is presented below as ‘big ideas’ and the threats to successful enactment. </w:t>
      </w:r>
    </w:p>
    <w:p w14:paraId="027346B3" w14:textId="77777777" w:rsidR="00121FF1" w:rsidRPr="00C37970" w:rsidRDefault="00121FF1" w:rsidP="00C37970">
      <w:pPr>
        <w:rPr>
          <w:rFonts w:ascii="Arial" w:hAnsi="Arial" w:cs="Arial"/>
        </w:rPr>
      </w:pPr>
    </w:p>
    <w:tbl>
      <w:tblPr>
        <w:tblStyle w:val="TableGrid"/>
        <w:tblW w:w="0" w:type="auto"/>
        <w:tblLook w:val="04A0" w:firstRow="1" w:lastRow="0" w:firstColumn="1" w:lastColumn="0" w:noHBand="0" w:noVBand="1"/>
      </w:tblPr>
      <w:tblGrid>
        <w:gridCol w:w="4213"/>
        <w:gridCol w:w="4577"/>
      </w:tblGrid>
      <w:tr w:rsidR="00C37970" w:rsidRPr="00C37970" w14:paraId="3D8CD3C2" w14:textId="77777777" w:rsidTr="00C37970">
        <w:tc>
          <w:tcPr>
            <w:tcW w:w="4213" w:type="dxa"/>
          </w:tcPr>
          <w:p w14:paraId="76740D59" w14:textId="77777777" w:rsidR="00121FF1" w:rsidRPr="00DE6829" w:rsidRDefault="00121FF1" w:rsidP="00D8682D">
            <w:pPr>
              <w:rPr>
                <w:rFonts w:ascii="Arial" w:hAnsi="Arial" w:cs="Arial"/>
                <w:b/>
                <w:bCs/>
              </w:rPr>
            </w:pPr>
            <w:r w:rsidRPr="00DE6829">
              <w:rPr>
                <w:rFonts w:ascii="Arial" w:hAnsi="Arial" w:cs="Arial"/>
                <w:b/>
                <w:bCs/>
              </w:rPr>
              <w:t>Big Idea for practice</w:t>
            </w:r>
          </w:p>
        </w:tc>
        <w:tc>
          <w:tcPr>
            <w:tcW w:w="4577" w:type="dxa"/>
          </w:tcPr>
          <w:p w14:paraId="5D310B56" w14:textId="77777777" w:rsidR="00121FF1" w:rsidRPr="00DE6829" w:rsidRDefault="00121FF1" w:rsidP="00D8682D">
            <w:pPr>
              <w:rPr>
                <w:rFonts w:ascii="Arial" w:hAnsi="Arial" w:cs="Arial"/>
                <w:b/>
                <w:bCs/>
              </w:rPr>
            </w:pPr>
            <w:r w:rsidRPr="00DE6829">
              <w:rPr>
                <w:rFonts w:ascii="Arial" w:hAnsi="Arial" w:cs="Arial"/>
                <w:b/>
                <w:bCs/>
              </w:rPr>
              <w:t>Barrier to this</w:t>
            </w:r>
          </w:p>
        </w:tc>
      </w:tr>
      <w:tr w:rsidR="00C37970" w:rsidRPr="00C37970" w14:paraId="3C4616E2" w14:textId="77777777" w:rsidTr="00C37970">
        <w:tc>
          <w:tcPr>
            <w:tcW w:w="4213" w:type="dxa"/>
          </w:tcPr>
          <w:p w14:paraId="5EA49A6F" w14:textId="77777777" w:rsidR="00121FF1" w:rsidRPr="00C37970" w:rsidRDefault="00121FF1" w:rsidP="00D8682D">
            <w:pPr>
              <w:rPr>
                <w:rFonts w:ascii="Arial" w:hAnsi="Arial" w:cs="Arial"/>
                <w:b/>
                <w:bCs/>
              </w:rPr>
            </w:pPr>
            <w:r w:rsidRPr="00C37970">
              <w:rPr>
                <w:rFonts w:ascii="Arial" w:hAnsi="Arial" w:cs="Arial"/>
                <w:b/>
                <w:bCs/>
              </w:rPr>
              <w:t>Supporting exploration.</w:t>
            </w:r>
          </w:p>
          <w:p w14:paraId="6BC56FCF" w14:textId="77777777" w:rsidR="00121FF1" w:rsidRPr="00C37970" w:rsidRDefault="00121FF1" w:rsidP="00D8682D">
            <w:pPr>
              <w:rPr>
                <w:rFonts w:ascii="Arial" w:hAnsi="Arial" w:cs="Arial"/>
              </w:rPr>
            </w:pPr>
            <w:r w:rsidRPr="00C37970">
              <w:rPr>
                <w:rFonts w:ascii="Arial" w:hAnsi="Arial" w:cs="Arial"/>
              </w:rPr>
              <w:t>Exploration is important – it is one of the five developmental pathways (WG, 2022 and 2023) and can support a child to play (Bruce, 1991), develop crucial thinking skills (Sylva, 2004) become autonomous in their learning (Tovey, 2017) and know that the adult is ‘watching over them’ and that they can come in on the circle if needed (</w:t>
            </w:r>
            <w:r w:rsidRPr="00C921A0">
              <w:rPr>
                <w:rFonts w:ascii="Arial" w:hAnsi="Arial" w:cs="Arial"/>
              </w:rPr>
              <w:t>Hoffman,</w:t>
            </w:r>
            <w:r w:rsidRPr="00C37970">
              <w:rPr>
                <w:rFonts w:ascii="Arial" w:hAnsi="Arial" w:cs="Arial"/>
              </w:rPr>
              <w:t xml:space="preserve"> </w:t>
            </w:r>
            <w:r w:rsidRPr="00C921A0">
              <w:rPr>
                <w:rFonts w:ascii="Arial" w:hAnsi="Arial" w:cs="Arial"/>
              </w:rPr>
              <w:t>Cooper, Powell</w:t>
            </w:r>
            <w:r w:rsidRPr="00C37970">
              <w:rPr>
                <w:rFonts w:ascii="Arial" w:hAnsi="Arial" w:cs="Arial"/>
              </w:rPr>
              <w:t xml:space="preserve">, </w:t>
            </w:r>
            <w:r w:rsidRPr="00C921A0">
              <w:rPr>
                <w:rFonts w:ascii="Arial" w:hAnsi="Arial" w:cs="Arial"/>
              </w:rPr>
              <w:t>2017)</w:t>
            </w:r>
            <w:r w:rsidRPr="00C37970">
              <w:rPr>
                <w:rFonts w:ascii="Arial" w:hAnsi="Arial" w:cs="Arial"/>
              </w:rPr>
              <w:t>.</w:t>
            </w:r>
          </w:p>
        </w:tc>
        <w:tc>
          <w:tcPr>
            <w:tcW w:w="4577" w:type="dxa"/>
          </w:tcPr>
          <w:p w14:paraId="105F5016" w14:textId="77777777" w:rsidR="00121FF1" w:rsidRPr="00C37970" w:rsidRDefault="00121FF1" w:rsidP="00D8682D">
            <w:pPr>
              <w:rPr>
                <w:rFonts w:ascii="Arial" w:hAnsi="Arial" w:cs="Arial"/>
              </w:rPr>
            </w:pPr>
            <w:r w:rsidRPr="00C37970">
              <w:rPr>
                <w:rFonts w:ascii="Arial" w:hAnsi="Arial" w:cs="Arial"/>
              </w:rPr>
              <w:t>Practitioners may struggle with ‘not being busy’ and may interfere (Fisher, 2016). They have always worked in a cycle of ‘next steps’ and observing in an ‘externally passive, internally active’ way is not yet something they have mastered  (Bruce, Louis and McCall, 2015) If practitioners have not yet become familiar with working in an attachment informed way (</w:t>
            </w:r>
            <w:r w:rsidRPr="00C921A0">
              <w:rPr>
                <w:rFonts w:ascii="Arial" w:hAnsi="Arial" w:cs="Arial"/>
              </w:rPr>
              <w:t>Hoffman,</w:t>
            </w:r>
            <w:r w:rsidRPr="00C37970">
              <w:rPr>
                <w:rFonts w:ascii="Arial" w:hAnsi="Arial" w:cs="Arial"/>
              </w:rPr>
              <w:t xml:space="preserve"> </w:t>
            </w:r>
            <w:r w:rsidRPr="00C921A0">
              <w:rPr>
                <w:rFonts w:ascii="Arial" w:hAnsi="Arial" w:cs="Arial"/>
              </w:rPr>
              <w:t>Cooper, Powell</w:t>
            </w:r>
            <w:r w:rsidRPr="00C37970">
              <w:rPr>
                <w:rFonts w:ascii="Arial" w:hAnsi="Arial" w:cs="Arial"/>
              </w:rPr>
              <w:t xml:space="preserve">, </w:t>
            </w:r>
            <w:r w:rsidRPr="00C921A0">
              <w:rPr>
                <w:rFonts w:ascii="Arial" w:hAnsi="Arial" w:cs="Arial"/>
              </w:rPr>
              <w:t>2017)</w:t>
            </w:r>
            <w:r w:rsidRPr="00C37970">
              <w:rPr>
                <w:rFonts w:ascii="Arial" w:hAnsi="Arial" w:cs="Arial"/>
              </w:rPr>
              <w:t xml:space="preserve"> they may also struggle with the child going out to explore as they often like to feel needed by the child (Schaerer, 2018).</w:t>
            </w:r>
          </w:p>
          <w:p w14:paraId="33902772" w14:textId="77777777" w:rsidR="00121FF1" w:rsidRPr="00C37970" w:rsidRDefault="00121FF1" w:rsidP="00D8682D">
            <w:pPr>
              <w:rPr>
                <w:rFonts w:ascii="Arial" w:hAnsi="Arial" w:cs="Arial"/>
                <w:b/>
                <w:bCs/>
              </w:rPr>
            </w:pPr>
            <w:r w:rsidRPr="00C37970">
              <w:rPr>
                <w:rFonts w:ascii="Arial" w:hAnsi="Arial" w:cs="Arial"/>
              </w:rPr>
              <w:t>A notion that might persist is that children cannot be fully trusted (Mag, 2019)</w:t>
            </w:r>
          </w:p>
        </w:tc>
      </w:tr>
      <w:tr w:rsidR="00C37970" w:rsidRPr="00C37970" w14:paraId="2FA60579" w14:textId="77777777" w:rsidTr="00C37970">
        <w:tc>
          <w:tcPr>
            <w:tcW w:w="4213" w:type="dxa"/>
          </w:tcPr>
          <w:p w14:paraId="67E8A71A" w14:textId="77777777" w:rsidR="00121FF1" w:rsidRPr="00C37970" w:rsidRDefault="00121FF1" w:rsidP="00D8682D">
            <w:pPr>
              <w:rPr>
                <w:rFonts w:ascii="Arial" w:hAnsi="Arial" w:cs="Arial"/>
                <w:b/>
                <w:bCs/>
              </w:rPr>
            </w:pPr>
            <w:r w:rsidRPr="00C37970">
              <w:rPr>
                <w:rFonts w:ascii="Arial" w:hAnsi="Arial" w:cs="Arial"/>
                <w:b/>
                <w:bCs/>
              </w:rPr>
              <w:t>Risky play and being outdoors</w:t>
            </w:r>
          </w:p>
          <w:p w14:paraId="635F89D4" w14:textId="77777777" w:rsidR="00121FF1" w:rsidRPr="00C37970" w:rsidRDefault="00121FF1" w:rsidP="00D8682D">
            <w:pPr>
              <w:rPr>
                <w:rFonts w:ascii="Arial" w:hAnsi="Arial" w:cs="Arial"/>
              </w:rPr>
            </w:pPr>
            <w:r w:rsidRPr="00C37970">
              <w:rPr>
                <w:rFonts w:ascii="Arial" w:hAnsi="Arial" w:cs="Arial"/>
              </w:rPr>
              <w:t>Welsh Government (2022) includes the outdoors as a specific pedagogy for early years. 24 of the 35 pictures used to illustrate the curriculum involve the outdoors, with over two-thirds of the images highlighting children or learning resources in an outdoor space (Tinney, 2023)</w:t>
            </w:r>
          </w:p>
          <w:p w14:paraId="63376DBE" w14:textId="77777777" w:rsidR="00121FF1" w:rsidRPr="00C37970" w:rsidRDefault="00121FF1" w:rsidP="00D8682D">
            <w:pPr>
              <w:rPr>
                <w:rFonts w:ascii="Arial" w:hAnsi="Arial" w:cs="Arial"/>
              </w:rPr>
            </w:pPr>
            <w:r w:rsidRPr="00C37970">
              <w:rPr>
                <w:rFonts w:ascii="Arial" w:hAnsi="Arial" w:cs="Arial"/>
              </w:rPr>
              <w:t xml:space="preserve">The outdoors provides opportunities for children to engage with nature (Tovey, 2017) and risky play which supports emotional development, social skills and physical health (Hansen Sandester, Kleppe and Ottesen Kennair, 2022) and develop curiosity (van Aswegen and Pendergast 2023, </w:t>
            </w:r>
            <w:r w:rsidRPr="00C921A0">
              <w:rPr>
                <w:rFonts w:ascii="Arial" w:hAnsi="Arial" w:cs="Arial"/>
              </w:rPr>
              <w:t>Bjerknes, Wilhelmsen, &amp; Foyn-Bruun</w:t>
            </w:r>
            <w:r w:rsidRPr="00C37970">
              <w:rPr>
                <w:rFonts w:ascii="Arial" w:hAnsi="Arial" w:cs="Arial"/>
              </w:rPr>
              <w:t xml:space="preserve"> </w:t>
            </w:r>
            <w:r w:rsidRPr="00C921A0">
              <w:rPr>
                <w:rFonts w:ascii="Arial" w:hAnsi="Arial" w:cs="Arial"/>
              </w:rPr>
              <w:t>2023</w:t>
            </w:r>
            <w:r w:rsidRPr="00C37970">
              <w:rPr>
                <w:rFonts w:ascii="Arial" w:hAnsi="Arial" w:cs="Arial"/>
              </w:rPr>
              <w:t>)</w:t>
            </w:r>
          </w:p>
          <w:p w14:paraId="607A0928" w14:textId="77777777" w:rsidR="00121FF1" w:rsidRPr="00C37970" w:rsidRDefault="00121FF1" w:rsidP="00D8682D">
            <w:pPr>
              <w:rPr>
                <w:rFonts w:ascii="Arial" w:hAnsi="Arial" w:cs="Arial"/>
              </w:rPr>
            </w:pPr>
            <w:r w:rsidRPr="00C37970">
              <w:rPr>
                <w:rFonts w:ascii="Arial" w:hAnsi="Arial" w:cs="Arial"/>
              </w:rPr>
              <w:t>Outdoor learning can make a real difference to young children’s outcomes and more so for those in “vulnerable” groups (</w:t>
            </w:r>
            <w:r w:rsidRPr="00C921A0">
              <w:rPr>
                <w:rFonts w:ascii="Arial" w:hAnsi="Arial" w:cs="Arial"/>
              </w:rPr>
              <w:t>Bilton</w:t>
            </w:r>
            <w:r w:rsidRPr="00C37970">
              <w:rPr>
                <w:rFonts w:ascii="Arial" w:hAnsi="Arial" w:cs="Arial"/>
              </w:rPr>
              <w:t xml:space="preserve"> and </w:t>
            </w:r>
            <w:r w:rsidRPr="00C921A0">
              <w:rPr>
                <w:rFonts w:ascii="Arial" w:hAnsi="Arial" w:cs="Arial"/>
              </w:rPr>
              <w:t>Waters, 2017).</w:t>
            </w:r>
          </w:p>
          <w:p w14:paraId="44BE3C64" w14:textId="77777777" w:rsidR="00121FF1" w:rsidRPr="00C37970" w:rsidRDefault="00121FF1" w:rsidP="00D8682D">
            <w:pPr>
              <w:rPr>
                <w:rFonts w:ascii="Arial" w:hAnsi="Arial" w:cs="Arial"/>
              </w:rPr>
            </w:pPr>
          </w:p>
          <w:p w14:paraId="511FA1A4" w14:textId="77777777" w:rsidR="00121FF1" w:rsidRPr="00C37970" w:rsidRDefault="00121FF1" w:rsidP="00D8682D">
            <w:pPr>
              <w:spacing w:after="160" w:line="259" w:lineRule="auto"/>
              <w:rPr>
                <w:rFonts w:ascii="Arial" w:hAnsi="Arial" w:cs="Arial"/>
              </w:rPr>
            </w:pPr>
          </w:p>
        </w:tc>
        <w:tc>
          <w:tcPr>
            <w:tcW w:w="4577" w:type="dxa"/>
          </w:tcPr>
          <w:p w14:paraId="4588FE33" w14:textId="77777777" w:rsidR="00121FF1" w:rsidRPr="00C37970" w:rsidRDefault="00121FF1" w:rsidP="00D8682D">
            <w:pPr>
              <w:rPr>
                <w:rFonts w:ascii="Arial" w:hAnsi="Arial" w:cs="Arial"/>
              </w:rPr>
            </w:pPr>
            <w:r w:rsidRPr="00C37970">
              <w:rPr>
                <w:rFonts w:ascii="Arial" w:hAnsi="Arial" w:cs="Arial"/>
              </w:rPr>
              <w:t>Often the practitioners who work in childcare and early years didn’t have access to nature as children and may not fully understand how to engage with nature (Tinney, 2023)</w:t>
            </w:r>
          </w:p>
          <w:p w14:paraId="338CBA67" w14:textId="77777777" w:rsidR="00121FF1" w:rsidRPr="00C37970" w:rsidRDefault="00121FF1" w:rsidP="00D8682D">
            <w:pPr>
              <w:rPr>
                <w:rFonts w:ascii="Arial" w:hAnsi="Arial" w:cs="Arial"/>
              </w:rPr>
            </w:pPr>
            <w:r w:rsidRPr="00C37970">
              <w:rPr>
                <w:rFonts w:ascii="Arial" w:hAnsi="Arial" w:cs="Arial"/>
              </w:rPr>
              <w:t>Inspectorates are key to supporting enactment. They should trust practitioners and not put obstacles in their way (Kay, 2022, Fisher, 2024)</w:t>
            </w:r>
          </w:p>
          <w:p w14:paraId="38D7CD05" w14:textId="77777777" w:rsidR="00121FF1" w:rsidRPr="00C37970" w:rsidRDefault="00121FF1" w:rsidP="00D8682D">
            <w:pPr>
              <w:rPr>
                <w:rFonts w:ascii="Arial" w:hAnsi="Arial" w:cs="Arial"/>
              </w:rPr>
            </w:pPr>
          </w:p>
          <w:p w14:paraId="49E11D38" w14:textId="77777777" w:rsidR="00121FF1" w:rsidRPr="00C37970" w:rsidRDefault="00121FF1" w:rsidP="00D8682D">
            <w:pPr>
              <w:rPr>
                <w:rFonts w:ascii="Arial" w:hAnsi="Arial" w:cs="Arial"/>
              </w:rPr>
            </w:pPr>
            <w:r w:rsidRPr="00C921A0">
              <w:rPr>
                <w:rFonts w:ascii="Arial" w:hAnsi="Arial" w:cs="Arial"/>
              </w:rPr>
              <w:t>Ernst</w:t>
            </w:r>
            <w:r w:rsidRPr="00C37970">
              <w:rPr>
                <w:rFonts w:ascii="Arial" w:hAnsi="Arial" w:cs="Arial"/>
              </w:rPr>
              <w:t xml:space="preserve"> </w:t>
            </w:r>
            <w:r w:rsidRPr="00C921A0">
              <w:rPr>
                <w:rFonts w:ascii="Arial" w:hAnsi="Arial" w:cs="Arial"/>
              </w:rPr>
              <w:t>(2013)</w:t>
            </w:r>
            <w:r w:rsidRPr="00C37970">
              <w:rPr>
                <w:rFonts w:ascii="Arial" w:hAnsi="Arial" w:cs="Arial"/>
              </w:rPr>
              <w:t xml:space="preserve"> found that there were two significant barriers to using natural outdoor spaces: belief regarding difficulty in using natural outdoor settings and belief regarding their relationship to nature.</w:t>
            </w:r>
          </w:p>
          <w:p w14:paraId="5C2AD677" w14:textId="77777777" w:rsidR="00121FF1" w:rsidRPr="00C37970" w:rsidRDefault="00121FF1" w:rsidP="00D8682D">
            <w:pPr>
              <w:rPr>
                <w:rFonts w:ascii="Arial" w:hAnsi="Arial" w:cs="Arial"/>
              </w:rPr>
            </w:pPr>
            <w:r w:rsidRPr="00C921A0">
              <w:rPr>
                <w:rFonts w:ascii="Arial" w:hAnsi="Arial" w:cs="Arial"/>
              </w:rPr>
              <w:t>Davies</w:t>
            </w:r>
            <w:r w:rsidRPr="00C37970">
              <w:rPr>
                <w:rFonts w:ascii="Arial" w:hAnsi="Arial" w:cs="Arial"/>
              </w:rPr>
              <w:t xml:space="preserve"> and </w:t>
            </w:r>
            <w:r w:rsidRPr="00C921A0">
              <w:rPr>
                <w:rFonts w:ascii="Arial" w:hAnsi="Arial" w:cs="Arial"/>
              </w:rPr>
              <w:t>Hamilton</w:t>
            </w:r>
            <w:r w:rsidRPr="00C37970">
              <w:rPr>
                <w:rFonts w:ascii="Arial" w:hAnsi="Arial" w:cs="Arial"/>
              </w:rPr>
              <w:t xml:space="preserve"> </w:t>
            </w:r>
            <w:r w:rsidRPr="00C921A0">
              <w:rPr>
                <w:rFonts w:ascii="Arial" w:hAnsi="Arial" w:cs="Arial"/>
              </w:rPr>
              <w:t>(2016)</w:t>
            </w:r>
            <w:r w:rsidRPr="00C37970">
              <w:rPr>
                <w:rFonts w:ascii="Arial" w:hAnsi="Arial" w:cs="Arial"/>
              </w:rPr>
              <w:t xml:space="preserve"> found that early year’s practitioners have narrow pre-conceived ideas about who the outdoors benefits: boys; children in socio-economically deprived areas; and children with additional learning needs rather than considering the importance of curiosity (</w:t>
            </w:r>
            <w:r w:rsidRPr="00C921A0">
              <w:rPr>
                <w:rFonts w:ascii="Arial" w:hAnsi="Arial" w:cs="Arial"/>
              </w:rPr>
              <w:t>Suardi,</w:t>
            </w:r>
            <w:r w:rsidRPr="00C37970">
              <w:rPr>
                <w:rFonts w:ascii="Arial" w:hAnsi="Arial" w:cs="Arial"/>
              </w:rPr>
              <w:t xml:space="preserve"> </w:t>
            </w:r>
            <w:r w:rsidRPr="00C921A0">
              <w:rPr>
                <w:rFonts w:ascii="Arial" w:hAnsi="Arial" w:cs="Arial"/>
              </w:rPr>
              <w:t>Kurniawati</w:t>
            </w:r>
            <w:r w:rsidRPr="00C37970">
              <w:rPr>
                <w:rFonts w:ascii="Arial" w:hAnsi="Arial" w:cs="Arial"/>
              </w:rPr>
              <w:t xml:space="preserve"> and </w:t>
            </w:r>
            <w:r w:rsidRPr="00C921A0">
              <w:rPr>
                <w:rFonts w:ascii="Arial" w:hAnsi="Arial" w:cs="Arial"/>
              </w:rPr>
              <w:t>Rachmawati,</w:t>
            </w:r>
            <w:r w:rsidRPr="00C37970">
              <w:rPr>
                <w:rFonts w:ascii="Arial" w:hAnsi="Arial" w:cs="Arial"/>
              </w:rPr>
              <w:t xml:space="preserve"> </w:t>
            </w:r>
            <w:r w:rsidRPr="00C921A0">
              <w:rPr>
                <w:rFonts w:ascii="Arial" w:hAnsi="Arial" w:cs="Arial"/>
              </w:rPr>
              <w:t>2021).</w:t>
            </w:r>
          </w:p>
          <w:p w14:paraId="72728D5C" w14:textId="77777777" w:rsidR="00121FF1" w:rsidRPr="00C37970" w:rsidRDefault="00121FF1" w:rsidP="00D8682D">
            <w:pPr>
              <w:rPr>
                <w:rFonts w:ascii="Arial" w:hAnsi="Arial" w:cs="Arial"/>
              </w:rPr>
            </w:pPr>
          </w:p>
        </w:tc>
      </w:tr>
      <w:tr w:rsidR="00C37970" w:rsidRPr="00635DD6" w14:paraId="203E4272" w14:textId="77777777" w:rsidTr="00C37970">
        <w:tc>
          <w:tcPr>
            <w:tcW w:w="4213" w:type="dxa"/>
          </w:tcPr>
          <w:p w14:paraId="0F2CC0F6" w14:textId="77777777" w:rsidR="00121FF1" w:rsidRPr="00635DD6" w:rsidRDefault="00121FF1" w:rsidP="00D8682D">
            <w:pPr>
              <w:rPr>
                <w:rFonts w:ascii="Arial" w:hAnsi="Arial" w:cs="Arial"/>
                <w:b/>
                <w:bCs/>
              </w:rPr>
            </w:pPr>
            <w:r w:rsidRPr="00635DD6">
              <w:rPr>
                <w:rFonts w:ascii="Arial" w:hAnsi="Arial" w:cs="Arial"/>
                <w:b/>
                <w:bCs/>
              </w:rPr>
              <w:lastRenderedPageBreak/>
              <w:t>Threshold concept of the child as a capable learner</w:t>
            </w:r>
          </w:p>
          <w:p w14:paraId="42F35437" w14:textId="77777777" w:rsidR="00121FF1" w:rsidRPr="00635DD6" w:rsidRDefault="00121FF1" w:rsidP="00D8682D">
            <w:pPr>
              <w:rPr>
                <w:rFonts w:ascii="Arial" w:hAnsi="Arial" w:cs="Arial"/>
              </w:rPr>
            </w:pPr>
            <w:r w:rsidRPr="00635DD6">
              <w:rPr>
                <w:rFonts w:ascii="Arial" w:hAnsi="Arial" w:cs="Arial"/>
              </w:rPr>
              <w:t>‘Capable’ is mentioned 7 times in the 0-3 DPs (WG, 2023) and is a principle of both the Reggio Emilia (Manera, 2022) and Froebelian Approaches (Bruce, 2021)</w:t>
            </w:r>
          </w:p>
          <w:p w14:paraId="0BF29A53" w14:textId="77777777" w:rsidR="00121FF1" w:rsidRPr="00635DD6" w:rsidRDefault="00121FF1" w:rsidP="00D8682D">
            <w:pPr>
              <w:rPr>
                <w:rFonts w:ascii="Arial" w:hAnsi="Arial" w:cs="Arial"/>
              </w:rPr>
            </w:pPr>
          </w:p>
          <w:p w14:paraId="75171B8B" w14:textId="77777777" w:rsidR="00121FF1" w:rsidRPr="00635DD6" w:rsidRDefault="00121FF1" w:rsidP="00D8682D">
            <w:pPr>
              <w:rPr>
                <w:rFonts w:ascii="Arial" w:hAnsi="Arial" w:cs="Arial"/>
              </w:rPr>
            </w:pPr>
            <w:r w:rsidRPr="00635DD6">
              <w:rPr>
                <w:rFonts w:ascii="Arial" w:hAnsi="Arial" w:cs="Arial"/>
              </w:rPr>
              <w:t>The true view of the child as capable means that they cannot be viewed as incapable (Waters-Davies and MacDonald, 2022). This means that practitioners start with what the child can do and leverage from there (Farah, 2023). Practitioners meet the child where they are and build on strengths and what the child brings with them (Fisher, 2024).</w:t>
            </w:r>
          </w:p>
        </w:tc>
        <w:tc>
          <w:tcPr>
            <w:tcW w:w="4577" w:type="dxa"/>
          </w:tcPr>
          <w:p w14:paraId="1288A8F2" w14:textId="77777777" w:rsidR="00121FF1" w:rsidRPr="00635DD6" w:rsidRDefault="00121FF1" w:rsidP="00D8682D">
            <w:pPr>
              <w:rPr>
                <w:rFonts w:ascii="Arial" w:hAnsi="Arial" w:cs="Arial"/>
              </w:rPr>
            </w:pPr>
            <w:r w:rsidRPr="00635DD6">
              <w:rPr>
                <w:rFonts w:ascii="Arial" w:hAnsi="Arial" w:cs="Arial"/>
              </w:rPr>
              <w:t xml:space="preserve">‘Capable’ is not mentioned at all in Flying Start Childcare Guidance (WG, 2023) </w:t>
            </w:r>
          </w:p>
          <w:p w14:paraId="1FC612B9" w14:textId="77777777" w:rsidR="00121FF1" w:rsidRPr="00635DD6" w:rsidRDefault="00121FF1" w:rsidP="00D8682D">
            <w:pPr>
              <w:rPr>
                <w:rFonts w:ascii="Arial" w:hAnsi="Arial" w:cs="Arial"/>
              </w:rPr>
            </w:pPr>
            <w:r w:rsidRPr="00635DD6">
              <w:rPr>
                <w:rFonts w:ascii="Arial" w:hAnsi="Arial" w:cs="Arial"/>
              </w:rPr>
              <w:t xml:space="preserve">Young children are presented as limited and ego centric in the model proposed by Piaget (Wadsworth, 1996) </w:t>
            </w:r>
          </w:p>
          <w:p w14:paraId="0CC90FA3" w14:textId="77777777" w:rsidR="00121FF1" w:rsidRPr="00635DD6" w:rsidRDefault="00121FF1" w:rsidP="00D8682D">
            <w:pPr>
              <w:rPr>
                <w:rFonts w:ascii="Arial" w:hAnsi="Arial" w:cs="Arial"/>
              </w:rPr>
            </w:pPr>
          </w:p>
          <w:p w14:paraId="18699E2F" w14:textId="42DF4C06" w:rsidR="00121FF1" w:rsidRPr="00635DD6" w:rsidRDefault="00121FF1" w:rsidP="00D8682D">
            <w:pPr>
              <w:rPr>
                <w:rFonts w:ascii="Arial" w:hAnsi="Arial" w:cs="Arial"/>
              </w:rPr>
            </w:pPr>
            <w:r w:rsidRPr="00635DD6">
              <w:rPr>
                <w:rFonts w:ascii="Arial" w:hAnsi="Arial" w:cs="Arial"/>
              </w:rPr>
              <w:t xml:space="preserve">Practitioners can only reconstruct their thinking for themselves. They </w:t>
            </w:r>
            <w:r w:rsidR="00351E6B" w:rsidRPr="00635DD6">
              <w:rPr>
                <w:rFonts w:ascii="Arial" w:hAnsi="Arial" w:cs="Arial"/>
              </w:rPr>
              <w:t>must</w:t>
            </w:r>
            <w:r w:rsidRPr="00635DD6">
              <w:rPr>
                <w:rFonts w:ascii="Arial" w:hAnsi="Arial" w:cs="Arial"/>
              </w:rPr>
              <w:t xml:space="preserve"> discard all notions that they hold that a child is incapable and that the adult role is to support them to become less deficit. </w:t>
            </w:r>
          </w:p>
          <w:p w14:paraId="26E62CDE" w14:textId="77777777" w:rsidR="00121FF1" w:rsidRPr="00635DD6" w:rsidRDefault="00121FF1" w:rsidP="00D8682D">
            <w:pPr>
              <w:rPr>
                <w:rFonts w:ascii="Arial" w:hAnsi="Arial" w:cs="Arial"/>
              </w:rPr>
            </w:pPr>
            <w:r w:rsidRPr="00635DD6">
              <w:rPr>
                <w:rFonts w:ascii="Arial" w:hAnsi="Arial" w:cs="Arial"/>
              </w:rPr>
              <w:t>(</w:t>
            </w:r>
            <w:r w:rsidRPr="00C921A0">
              <w:rPr>
                <w:rFonts w:ascii="Arial" w:hAnsi="Arial" w:cs="Arial"/>
              </w:rPr>
              <w:t>Neaum, 2016</w:t>
            </w:r>
            <w:r w:rsidRPr="00635DD6">
              <w:rPr>
                <w:rFonts w:ascii="Arial" w:hAnsi="Arial" w:cs="Arial"/>
              </w:rPr>
              <w:t xml:space="preserve">, </w:t>
            </w:r>
            <w:r w:rsidRPr="00C921A0">
              <w:rPr>
                <w:rFonts w:ascii="Arial" w:hAnsi="Arial" w:cs="Arial"/>
              </w:rPr>
              <w:t>Meyer</w:t>
            </w:r>
            <w:r w:rsidRPr="00635DD6">
              <w:rPr>
                <w:rFonts w:ascii="Arial" w:hAnsi="Arial" w:cs="Arial"/>
              </w:rPr>
              <w:t xml:space="preserve"> </w:t>
            </w:r>
            <w:r w:rsidRPr="00C921A0">
              <w:rPr>
                <w:rFonts w:ascii="Arial" w:hAnsi="Arial" w:cs="Arial"/>
              </w:rPr>
              <w:t>&amp; Land,</w:t>
            </w:r>
            <w:r w:rsidRPr="00635DD6">
              <w:rPr>
                <w:rFonts w:ascii="Arial" w:hAnsi="Arial" w:cs="Arial"/>
              </w:rPr>
              <w:t xml:space="preserve"> </w:t>
            </w:r>
            <w:r w:rsidRPr="00C921A0">
              <w:rPr>
                <w:rFonts w:ascii="Arial" w:hAnsi="Arial" w:cs="Arial"/>
              </w:rPr>
              <w:t>2003</w:t>
            </w:r>
            <w:r w:rsidRPr="00635DD6">
              <w:rPr>
                <w:rFonts w:ascii="Arial" w:hAnsi="Arial" w:cs="Arial"/>
              </w:rPr>
              <w:t xml:space="preserve">, </w:t>
            </w:r>
            <w:r w:rsidRPr="00C921A0">
              <w:rPr>
                <w:rFonts w:ascii="Arial" w:hAnsi="Arial" w:cs="Arial"/>
              </w:rPr>
              <w:t>Kurt,</w:t>
            </w:r>
            <w:r w:rsidRPr="00635DD6">
              <w:rPr>
                <w:rFonts w:ascii="Arial" w:hAnsi="Arial" w:cs="Arial"/>
              </w:rPr>
              <w:t xml:space="preserve"> </w:t>
            </w:r>
            <w:r w:rsidRPr="00C921A0">
              <w:rPr>
                <w:rFonts w:ascii="Arial" w:hAnsi="Arial" w:cs="Arial"/>
              </w:rPr>
              <w:t>2022).</w:t>
            </w:r>
          </w:p>
          <w:p w14:paraId="6754188A" w14:textId="77777777" w:rsidR="00121FF1" w:rsidRPr="00635DD6" w:rsidRDefault="00121FF1" w:rsidP="00D8682D">
            <w:pPr>
              <w:rPr>
                <w:rFonts w:ascii="Arial" w:hAnsi="Arial" w:cs="Arial"/>
              </w:rPr>
            </w:pPr>
            <w:r w:rsidRPr="00635DD6">
              <w:rPr>
                <w:rFonts w:ascii="Arial" w:hAnsi="Arial" w:cs="Arial"/>
              </w:rPr>
              <w:t>Murphy, Greenway and Conn (2024) found that often practitioners struggle to embrace new ways of working and thinking and transpose new ideas onto old ways of working. If they do not manage to develop the threshold concept that children are capable then the deficit model will persist, and this may mean that some children particularly those who are disadvantaged may be inadvertently restricted from play that supports curiosity (Waters-Davies and MacDonald, 2022).</w:t>
            </w:r>
          </w:p>
        </w:tc>
      </w:tr>
    </w:tbl>
    <w:p w14:paraId="180E44DA" w14:textId="77777777" w:rsidR="00121FF1" w:rsidRPr="00635DD6" w:rsidRDefault="00121FF1" w:rsidP="00C37970">
      <w:pPr>
        <w:rPr>
          <w:rFonts w:ascii="Arial" w:hAnsi="Arial" w:cs="Arial"/>
        </w:rPr>
      </w:pPr>
    </w:p>
    <w:p w14:paraId="78D65F3A" w14:textId="04313440" w:rsidR="00121FF1" w:rsidRPr="00635DD6" w:rsidRDefault="00121FF1" w:rsidP="00C37970">
      <w:pPr>
        <w:rPr>
          <w:rFonts w:ascii="Arial" w:hAnsi="Arial" w:cs="Arial"/>
        </w:rPr>
      </w:pPr>
      <w:r w:rsidRPr="00635DD6">
        <w:rPr>
          <w:rFonts w:ascii="Arial" w:hAnsi="Arial" w:cs="Arial"/>
        </w:rPr>
        <w:t xml:space="preserve">The paper will conclude by considering the next policy to be published by Welsh Government </w:t>
      </w:r>
      <w:r w:rsidR="0065444A" w:rsidRPr="00635DD6">
        <w:rPr>
          <w:rFonts w:ascii="Arial" w:hAnsi="Arial" w:cs="Arial"/>
        </w:rPr>
        <w:t>considering</w:t>
      </w:r>
      <w:r w:rsidRPr="00635DD6">
        <w:rPr>
          <w:rFonts w:ascii="Arial" w:hAnsi="Arial" w:cs="Arial"/>
        </w:rPr>
        <w:t xml:space="preserve"> the analysis of the views of parents living in poverty and how policy is translated into enactment. </w:t>
      </w:r>
    </w:p>
    <w:p w14:paraId="531025E3" w14:textId="77777777" w:rsidR="00121FF1" w:rsidRPr="00635DD6" w:rsidRDefault="00121FF1" w:rsidP="00C37970">
      <w:pPr>
        <w:rPr>
          <w:rFonts w:ascii="Arial" w:hAnsi="Arial" w:cs="Arial"/>
        </w:rPr>
      </w:pPr>
      <w:r w:rsidRPr="00635DD6">
        <w:rPr>
          <w:rFonts w:ascii="Arial" w:hAnsi="Arial" w:cs="Arial"/>
        </w:rPr>
        <w:t xml:space="preserve">Welsh Government (2022) have made it clear that the roll out of childcare to all two-year-olds will be through the Flying Start model and that integrity to this model is key (WG, 2022). The </w:t>
      </w:r>
      <w:r w:rsidRPr="00C921A0">
        <w:rPr>
          <w:rFonts w:ascii="Arial" w:eastAsiaTheme="majorEastAsia" w:hAnsi="Arial" w:cs="Arial"/>
        </w:rPr>
        <w:t>Early Childhood Play Learning and Care in Wales</w:t>
      </w:r>
      <w:r w:rsidRPr="00635DD6">
        <w:rPr>
          <w:rFonts w:ascii="Arial" w:eastAsiaTheme="majorEastAsia" w:hAnsi="Arial" w:cs="Arial"/>
        </w:rPr>
        <w:t xml:space="preserve"> team are currently co-constructing a document (forthcoming) to outline assessment arrangements for 0-3 (working title) to accompany the suite of documents already published (WG, 2023, 2023). This document will need to be </w:t>
      </w:r>
      <w:r w:rsidRPr="00635DD6">
        <w:rPr>
          <w:rFonts w:ascii="Arial" w:hAnsi="Arial" w:cs="Arial"/>
        </w:rPr>
        <w:t>genuinely co-constructed (Sinnema, Nieveen and Priestley, 2020) and be accessible for practitioners in terms of being published on Hwb, but also accessible in terms of the layout of the document and language used. For the document to be worthwhile it will need to have an aesthetic design (Tinney, 2023) with photographs to illustrate practice and clear expectations for the role of the enabling adult in carrying out assessment of the youngest children (Estyn, 2021). The language used will need to position the child as capable as a threshold concept (Waters-Davies and MacDonald, 2022) so that they are valued for what they bring and not what the adult has deemed important (Fisher, 2024). The framing of the parents as fundamental partners in the assessment journey will be crucial and recognise that even though they may live in poverty they should be valued and not demonised (Lareau, 2018, Cooper, 2021 and Siraj-Blatchford, 2010).</w:t>
      </w:r>
    </w:p>
    <w:p w14:paraId="2BFE8A4C" w14:textId="77777777" w:rsidR="00E431BC" w:rsidRPr="00635DD6" w:rsidRDefault="00E431BC" w:rsidP="00C37970">
      <w:pPr>
        <w:rPr>
          <w:rFonts w:ascii="Arial" w:hAnsi="Arial" w:cs="Arial"/>
        </w:rPr>
      </w:pPr>
    </w:p>
    <w:p w14:paraId="740DA61E" w14:textId="248B2059" w:rsidR="00E431BC" w:rsidRPr="00635DD6" w:rsidRDefault="00E431BC" w:rsidP="00C37970">
      <w:pPr>
        <w:rPr>
          <w:rFonts w:ascii="Arial" w:hAnsi="Arial" w:cs="Arial"/>
        </w:rPr>
      </w:pPr>
      <w:r w:rsidRPr="00635DD6">
        <w:rPr>
          <w:rFonts w:ascii="Arial" w:hAnsi="Arial" w:cs="Arial"/>
        </w:rPr>
        <w:t>Word: 4203 before references</w:t>
      </w:r>
    </w:p>
    <w:p w14:paraId="1BCFD979" w14:textId="77777777" w:rsidR="00E431BC" w:rsidRDefault="00E431BC" w:rsidP="00C37970">
      <w:pPr>
        <w:rPr>
          <w:rFonts w:ascii="Arial" w:hAnsi="Arial" w:cs="Arial"/>
        </w:rPr>
      </w:pPr>
    </w:p>
    <w:p w14:paraId="41A278EC" w14:textId="20CDEED6" w:rsidR="00635DD6" w:rsidRDefault="00635DD6" w:rsidP="00C37970">
      <w:pPr>
        <w:rPr>
          <w:rFonts w:ascii="Arial" w:hAnsi="Arial" w:cs="Arial"/>
        </w:rPr>
      </w:pPr>
      <w:r>
        <w:rPr>
          <w:rFonts w:ascii="Arial" w:hAnsi="Arial" w:cs="Arial"/>
        </w:rPr>
        <w:t>References</w:t>
      </w:r>
    </w:p>
    <w:p w14:paraId="010D0AB2" w14:textId="77777777" w:rsidR="00635DD6" w:rsidRDefault="00635DD6" w:rsidP="00C37970">
      <w:pPr>
        <w:rPr>
          <w:rFonts w:ascii="Arial" w:hAnsi="Arial" w:cs="Arial"/>
        </w:rPr>
      </w:pPr>
    </w:p>
    <w:p w14:paraId="379B6F25" w14:textId="77777777" w:rsidR="00635DD6" w:rsidRPr="00635DD6" w:rsidRDefault="00635DD6" w:rsidP="00C37970">
      <w:pPr>
        <w:rPr>
          <w:rFonts w:ascii="Arial" w:hAnsi="Arial" w:cs="Arial"/>
        </w:rPr>
      </w:pPr>
    </w:p>
    <w:p w14:paraId="675501D8" w14:textId="77777777" w:rsidR="00E431BC" w:rsidRDefault="00E431BC" w:rsidP="00E431BC">
      <w:pPr>
        <w:rPr>
          <w:rFonts w:ascii="Arial" w:hAnsi="Arial" w:cs="Arial"/>
        </w:rPr>
      </w:pPr>
      <w:r w:rsidRPr="00C921A0">
        <w:rPr>
          <w:rFonts w:ascii="Arial" w:hAnsi="Arial" w:cs="Arial"/>
        </w:rPr>
        <w:t xml:space="preserve">Ashworth, H. (2016). Students’ acquisition of a threshold concept in childhood and youth studies. </w:t>
      </w:r>
      <w:r w:rsidRPr="00C921A0">
        <w:rPr>
          <w:rFonts w:ascii="Arial" w:eastAsiaTheme="majorEastAsia" w:hAnsi="Arial" w:cs="Arial"/>
          <w:i/>
          <w:iCs/>
        </w:rPr>
        <w:t>Innovations in Education and Teaching International</w:t>
      </w:r>
      <w:r w:rsidRPr="00C921A0">
        <w:rPr>
          <w:rFonts w:ascii="Arial" w:hAnsi="Arial" w:cs="Arial"/>
        </w:rPr>
        <w:t xml:space="preserve">, 53(1), 94–103. </w:t>
      </w:r>
      <w:hyperlink r:id="rId8" w:history="1">
        <w:r w:rsidRPr="00C921A0">
          <w:rPr>
            <w:rStyle w:val="Hyperlink"/>
            <w:rFonts w:ascii="Arial" w:hAnsi="Arial" w:cs="Arial"/>
          </w:rPr>
          <w:t>https://doi.org/10.1080/14703297.2014.1003953</w:t>
        </w:r>
      </w:hyperlink>
    </w:p>
    <w:p w14:paraId="6415529B" w14:textId="77777777" w:rsidR="00635DD6" w:rsidRPr="00635DD6" w:rsidRDefault="00635DD6" w:rsidP="00E431BC">
      <w:pPr>
        <w:rPr>
          <w:rFonts w:ascii="Arial" w:hAnsi="Arial" w:cs="Arial"/>
        </w:rPr>
      </w:pPr>
    </w:p>
    <w:p w14:paraId="4334B2C1" w14:textId="77777777" w:rsidR="00E431BC" w:rsidRPr="00C921A0" w:rsidRDefault="00E431BC" w:rsidP="00E431BC">
      <w:pPr>
        <w:spacing w:after="160" w:line="259" w:lineRule="auto"/>
        <w:rPr>
          <w:rFonts w:ascii="Arial" w:hAnsi="Arial" w:cs="Arial"/>
        </w:rPr>
      </w:pPr>
      <w:proofErr w:type="spellStart"/>
      <w:r w:rsidRPr="00C921A0">
        <w:rPr>
          <w:rFonts w:ascii="Arial" w:hAnsi="Arial" w:cs="Arial"/>
        </w:rPr>
        <w:t>Bilton</w:t>
      </w:r>
      <w:proofErr w:type="spellEnd"/>
      <w:r w:rsidRPr="00C921A0">
        <w:rPr>
          <w:rFonts w:ascii="Arial" w:hAnsi="Arial" w:cs="Arial"/>
        </w:rPr>
        <w:t xml:space="preserve">, H., &amp; Waters, J. (2017). Why Take Young Children Outside? A Critical Consideration of the Professed Aims for Outdoor Learning in the Early Years by Teachers from England and Wales. </w:t>
      </w:r>
      <w:r w:rsidRPr="00C921A0">
        <w:rPr>
          <w:rFonts w:ascii="Arial" w:eastAsiaTheme="majorEastAsia" w:hAnsi="Arial" w:cs="Arial"/>
          <w:i/>
          <w:iCs/>
        </w:rPr>
        <w:t>Social Sciences</w:t>
      </w:r>
      <w:r w:rsidRPr="00C921A0">
        <w:rPr>
          <w:rFonts w:ascii="Arial" w:hAnsi="Arial" w:cs="Arial"/>
        </w:rPr>
        <w:t>, 6(1), 1. https://doi.org/10.3390/socsci6010001</w:t>
      </w:r>
    </w:p>
    <w:p w14:paraId="57BA768B"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Bjerknes, A.-L., Wilhelmsen, T., &amp; </w:t>
      </w:r>
      <w:proofErr w:type="spellStart"/>
      <w:r w:rsidRPr="00C921A0">
        <w:rPr>
          <w:rFonts w:ascii="Arial" w:hAnsi="Arial" w:cs="Arial"/>
        </w:rPr>
        <w:t>Foyn</w:t>
      </w:r>
      <w:proofErr w:type="spellEnd"/>
      <w:r w:rsidRPr="00C921A0">
        <w:rPr>
          <w:rFonts w:ascii="Arial" w:hAnsi="Arial" w:cs="Arial"/>
        </w:rPr>
        <w:t xml:space="preserve">-Bruun, E. (2023). A Systematic Review of Curiosity and Wonder in Natural Science and Early Childhood Education Research. </w:t>
      </w:r>
      <w:r w:rsidRPr="00C921A0">
        <w:rPr>
          <w:rFonts w:ascii="Arial" w:eastAsiaTheme="majorEastAsia" w:hAnsi="Arial" w:cs="Arial"/>
          <w:i/>
          <w:iCs/>
        </w:rPr>
        <w:t>Journal of Research in Childhood Education</w:t>
      </w:r>
      <w:r w:rsidRPr="00C921A0">
        <w:rPr>
          <w:rFonts w:ascii="Arial" w:hAnsi="Arial" w:cs="Arial"/>
        </w:rPr>
        <w:t>, 38(1), 50–65. https://doi.org/10.1080/02568543.2023.2192249</w:t>
      </w:r>
    </w:p>
    <w:p w14:paraId="2762A9EF"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Bruce, T. (1991). </w:t>
      </w:r>
      <w:r w:rsidRPr="00C921A0">
        <w:rPr>
          <w:rFonts w:ascii="Arial" w:eastAsiaTheme="majorEastAsia" w:hAnsi="Arial" w:cs="Arial"/>
          <w:i/>
          <w:iCs/>
        </w:rPr>
        <w:t>Time to Play in Early Childhood Education</w:t>
      </w:r>
      <w:r w:rsidRPr="00C921A0">
        <w:rPr>
          <w:rFonts w:ascii="Arial" w:hAnsi="Arial" w:cs="Arial"/>
        </w:rPr>
        <w:t>. London: Hodder and Stoughton.</w:t>
      </w:r>
    </w:p>
    <w:p w14:paraId="0F1DFDD5" w14:textId="77777777" w:rsidR="00E431BC" w:rsidRDefault="00E431BC" w:rsidP="00E431BC">
      <w:pPr>
        <w:rPr>
          <w:rFonts w:ascii="Arial" w:hAnsi="Arial" w:cs="Arial"/>
        </w:rPr>
      </w:pPr>
      <w:r w:rsidRPr="00C921A0">
        <w:rPr>
          <w:rFonts w:ascii="Arial" w:hAnsi="Arial" w:cs="Arial"/>
        </w:rPr>
        <w:t xml:space="preserve">Bruce, T., Louis, S., &amp; McCall, G. (2015). </w:t>
      </w:r>
      <w:r w:rsidRPr="00C921A0">
        <w:rPr>
          <w:rFonts w:ascii="Arial" w:eastAsiaTheme="majorEastAsia" w:hAnsi="Arial" w:cs="Arial"/>
          <w:i/>
          <w:iCs/>
        </w:rPr>
        <w:t>Observing Young Children</w:t>
      </w:r>
      <w:r w:rsidRPr="00C921A0">
        <w:rPr>
          <w:rFonts w:ascii="Arial" w:hAnsi="Arial" w:cs="Arial"/>
        </w:rPr>
        <w:t>. London: Sage Publications Ltd.</w:t>
      </w:r>
    </w:p>
    <w:p w14:paraId="559D84BF" w14:textId="77777777" w:rsidR="00635DD6" w:rsidRPr="00635DD6" w:rsidRDefault="00635DD6" w:rsidP="00E431BC">
      <w:pPr>
        <w:rPr>
          <w:rFonts w:ascii="Arial" w:hAnsi="Arial" w:cs="Arial"/>
        </w:rPr>
      </w:pPr>
    </w:p>
    <w:p w14:paraId="0C9F9D36" w14:textId="77777777" w:rsidR="00E431BC" w:rsidRDefault="00E431BC" w:rsidP="00E431BC">
      <w:pPr>
        <w:rPr>
          <w:rFonts w:ascii="Arial" w:eastAsiaTheme="majorEastAsia" w:hAnsi="Arial" w:cs="Arial"/>
        </w:rPr>
      </w:pPr>
      <w:r w:rsidRPr="00635DD6">
        <w:rPr>
          <w:rFonts w:ascii="Arial" w:eastAsiaTheme="majorEastAsia" w:hAnsi="Arial" w:cs="Arial"/>
        </w:rPr>
        <w:t xml:space="preserve">Bruce, T. (2021). </w:t>
      </w:r>
      <w:r w:rsidRPr="00635DD6">
        <w:rPr>
          <w:rFonts w:ascii="Arial" w:eastAsiaTheme="majorEastAsia" w:hAnsi="Arial" w:cs="Arial"/>
          <w:i/>
          <w:iCs/>
        </w:rPr>
        <w:t>Friedrich Froebel A Critical Introduction to Key Themes and Debates.</w:t>
      </w:r>
      <w:r w:rsidRPr="00635DD6">
        <w:rPr>
          <w:rFonts w:ascii="Arial" w:eastAsiaTheme="majorEastAsia" w:hAnsi="Arial" w:cs="Arial"/>
        </w:rPr>
        <w:t xml:space="preserve"> London: Bloomsbury Publishing. </w:t>
      </w:r>
    </w:p>
    <w:p w14:paraId="23003BEE" w14:textId="77777777" w:rsidR="00635DD6" w:rsidRPr="00635DD6" w:rsidRDefault="00635DD6" w:rsidP="00E431BC">
      <w:pPr>
        <w:rPr>
          <w:rFonts w:ascii="Arial" w:hAnsi="Arial" w:cs="Arial"/>
        </w:rPr>
      </w:pPr>
    </w:p>
    <w:p w14:paraId="625EE95F"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Bywaters, P., Skinner, G., With Cooper, A., Kennedy, E., Malik, A. (2022). The Relationship Between Poverty and Child Abuse and Neglect: New Evidence. Nuffield Foundation. Available at: </w:t>
      </w:r>
      <w:hyperlink r:id="rId9" w:history="1">
        <w:r w:rsidRPr="00635DD6">
          <w:rPr>
            <w:rStyle w:val="Hyperlink"/>
            <w:rFonts w:ascii="Arial" w:eastAsiaTheme="majorEastAsia" w:hAnsi="Arial" w:cs="Arial"/>
          </w:rPr>
          <w:t>RelationshipBetweenPovertyChildAbuseandNeglect_Report.pdf</w:t>
        </w:r>
      </w:hyperlink>
    </w:p>
    <w:p w14:paraId="6E2BC9A9" w14:textId="77777777" w:rsidR="00E431BC" w:rsidRDefault="00E431BC" w:rsidP="00E431BC">
      <w:pPr>
        <w:rPr>
          <w:rFonts w:ascii="Arial" w:hAnsi="Arial" w:cs="Arial"/>
        </w:rPr>
      </w:pPr>
      <w:proofErr w:type="spellStart"/>
      <w:r w:rsidRPr="00C921A0">
        <w:rPr>
          <w:rFonts w:ascii="Arial" w:hAnsi="Arial" w:cs="Arial"/>
        </w:rPr>
        <w:t>Cardno</w:t>
      </w:r>
      <w:proofErr w:type="spellEnd"/>
      <w:r w:rsidRPr="00C921A0">
        <w:rPr>
          <w:rFonts w:ascii="Arial" w:hAnsi="Arial" w:cs="Arial"/>
        </w:rPr>
        <w:t xml:space="preserve">, C. (2018). Policy Document Analysis: A Practical Educational Leadership Tool and a Qualitative Research Method. </w:t>
      </w:r>
      <w:r w:rsidRPr="00C921A0">
        <w:rPr>
          <w:rFonts w:ascii="Arial" w:eastAsiaTheme="majorEastAsia" w:hAnsi="Arial" w:cs="Arial"/>
          <w:i/>
          <w:iCs/>
        </w:rPr>
        <w:t>Educational Administration: Theory &amp; Practice</w:t>
      </w:r>
      <w:r w:rsidRPr="00C921A0">
        <w:rPr>
          <w:rFonts w:ascii="Arial" w:hAnsi="Arial" w:cs="Arial"/>
        </w:rPr>
        <w:t xml:space="preserve">, 24, 623-640. </w:t>
      </w:r>
    </w:p>
    <w:p w14:paraId="5889BF9D" w14:textId="77777777" w:rsidR="00635DD6" w:rsidRPr="00635DD6" w:rsidRDefault="00635DD6" w:rsidP="00E431BC">
      <w:pPr>
        <w:rPr>
          <w:rFonts w:ascii="Arial" w:hAnsi="Arial" w:cs="Arial"/>
        </w:rPr>
      </w:pPr>
    </w:p>
    <w:p w14:paraId="20E444AB"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Care Inspectorate Wales (no date) Inspection framework for childcare. Available at: </w:t>
      </w:r>
      <w:hyperlink r:id="rId10" w:history="1">
        <w:r w:rsidRPr="00635DD6">
          <w:rPr>
            <w:rStyle w:val="Hyperlink"/>
            <w:rFonts w:ascii="Arial" w:eastAsiaTheme="majorEastAsia" w:hAnsi="Arial" w:cs="Arial"/>
          </w:rPr>
          <w:t>Inspection framework for childcare</w:t>
        </w:r>
      </w:hyperlink>
    </w:p>
    <w:p w14:paraId="702B19BA"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Care Inspectorate Wales (2024) </w:t>
      </w:r>
      <w:r w:rsidRPr="00C921A0">
        <w:rPr>
          <w:rFonts w:ascii="Arial" w:hAnsi="Arial" w:cs="Arial"/>
        </w:rPr>
        <w:t xml:space="preserve">Code of Practice for Inspection of Child Minding, Day Care and Open Access Play Services (HTML document). </w:t>
      </w:r>
      <w:r w:rsidRPr="00635DD6">
        <w:rPr>
          <w:rFonts w:ascii="Arial" w:hAnsi="Arial" w:cs="Arial"/>
        </w:rPr>
        <w:t xml:space="preserve">Available at: </w:t>
      </w:r>
      <w:hyperlink r:id="rId11" w:history="1">
        <w:r w:rsidRPr="00635DD6">
          <w:rPr>
            <w:rStyle w:val="Hyperlink"/>
            <w:rFonts w:ascii="Arial" w:eastAsiaTheme="majorEastAsia" w:hAnsi="Arial" w:cs="Arial"/>
          </w:rPr>
          <w:t>Code of Practice for Inspection of Child Minding, Day Care and Open Access Play Services (HTML document) | Care Inspectorate Wales</w:t>
        </w:r>
      </w:hyperlink>
      <w:r w:rsidRPr="00635DD6">
        <w:rPr>
          <w:rFonts w:ascii="Arial" w:hAnsi="Arial" w:cs="Arial"/>
        </w:rPr>
        <w:t xml:space="preserve"> </w:t>
      </w:r>
    </w:p>
    <w:p w14:paraId="4086EAF5" w14:textId="77777777" w:rsidR="00E431BC" w:rsidRPr="00C921A0" w:rsidRDefault="00E431BC" w:rsidP="00E431BC">
      <w:pPr>
        <w:spacing w:after="160" w:line="259" w:lineRule="auto"/>
        <w:rPr>
          <w:rFonts w:ascii="Arial" w:hAnsi="Arial" w:cs="Arial"/>
        </w:rPr>
      </w:pPr>
      <w:r w:rsidRPr="00C921A0">
        <w:rPr>
          <w:rFonts w:ascii="Arial" w:hAnsi="Arial" w:cs="Arial"/>
        </w:rPr>
        <w:t>Children Act 1989, Part iii, section 17. Available at: Children Act 1989</w:t>
      </w:r>
    </w:p>
    <w:p w14:paraId="12F0928C" w14:textId="77777777" w:rsidR="00E431BC" w:rsidRPr="00C921A0" w:rsidRDefault="00E431BC" w:rsidP="00E431BC">
      <w:pPr>
        <w:spacing w:after="160" w:line="259" w:lineRule="auto"/>
        <w:rPr>
          <w:rFonts w:ascii="Arial" w:hAnsi="Arial" w:cs="Arial"/>
        </w:rPr>
      </w:pPr>
      <w:r w:rsidRPr="00C921A0">
        <w:rPr>
          <w:rFonts w:ascii="Arial" w:hAnsi="Arial" w:cs="Arial"/>
        </w:rPr>
        <w:t>Children and Families (Wales) Measure 2010. Available at: Children and Families (Wales) Measure 2010 | Law Wales</w:t>
      </w:r>
    </w:p>
    <w:p w14:paraId="3232BAA9" w14:textId="77777777" w:rsidR="00E431BC" w:rsidRPr="00C921A0" w:rsidRDefault="00E431BC" w:rsidP="00E431BC">
      <w:pPr>
        <w:spacing w:after="160" w:line="259" w:lineRule="auto"/>
        <w:rPr>
          <w:rFonts w:ascii="Arial" w:hAnsi="Arial" w:cs="Arial"/>
        </w:rPr>
      </w:pPr>
      <w:r w:rsidRPr="00C921A0">
        <w:rPr>
          <w:rFonts w:ascii="Arial" w:hAnsi="Arial" w:cs="Arial"/>
        </w:rPr>
        <w:lastRenderedPageBreak/>
        <w:t xml:space="preserve">Clark, A. (2023). </w:t>
      </w:r>
      <w:r w:rsidRPr="00C921A0">
        <w:rPr>
          <w:rFonts w:ascii="Arial" w:eastAsiaTheme="majorEastAsia" w:hAnsi="Arial" w:cs="Arial"/>
          <w:i/>
          <w:iCs/>
        </w:rPr>
        <w:t>Slow knowledge and the unhurried child: time for slow pedagogies in early childhood education</w:t>
      </w:r>
      <w:r w:rsidRPr="00C921A0">
        <w:rPr>
          <w:rFonts w:ascii="Arial" w:hAnsi="Arial" w:cs="Arial"/>
        </w:rPr>
        <w:t>. Abingdon: Routledge.</w:t>
      </w:r>
    </w:p>
    <w:p w14:paraId="5F2FA8E7" w14:textId="77777777" w:rsidR="00E431BC" w:rsidRDefault="00E431BC" w:rsidP="00E431BC">
      <w:pPr>
        <w:rPr>
          <w:rFonts w:ascii="Arial" w:hAnsi="Arial" w:cs="Arial"/>
        </w:rPr>
      </w:pPr>
      <w:r w:rsidRPr="00C921A0">
        <w:rPr>
          <w:rFonts w:ascii="Arial" w:hAnsi="Arial" w:cs="Arial"/>
        </w:rPr>
        <w:t xml:space="preserve">Cooper, K. (2021). Are Poor Parents Poor Parents? The Relationship between Poverty and Parenting among Mothers in the UK. </w:t>
      </w:r>
      <w:r w:rsidRPr="00C921A0">
        <w:rPr>
          <w:rFonts w:ascii="Arial" w:eastAsiaTheme="majorEastAsia" w:hAnsi="Arial" w:cs="Arial"/>
          <w:i/>
          <w:iCs/>
        </w:rPr>
        <w:t>Sociology</w:t>
      </w:r>
      <w:r w:rsidRPr="00C921A0">
        <w:rPr>
          <w:rFonts w:ascii="Arial" w:hAnsi="Arial" w:cs="Arial"/>
        </w:rPr>
        <w:t xml:space="preserve">, 55(2), 349-383. </w:t>
      </w:r>
      <w:hyperlink r:id="rId12" w:history="1">
        <w:r w:rsidRPr="00C921A0">
          <w:rPr>
            <w:rStyle w:val="Hyperlink"/>
            <w:rFonts w:ascii="Arial" w:hAnsi="Arial" w:cs="Arial"/>
          </w:rPr>
          <w:t>https://doi.org/10.1177/0038038520939397</w:t>
        </w:r>
      </w:hyperlink>
    </w:p>
    <w:p w14:paraId="1519F6B0" w14:textId="77777777" w:rsidR="00635DD6" w:rsidRPr="00635DD6" w:rsidRDefault="00635DD6" w:rsidP="00E431BC">
      <w:pPr>
        <w:rPr>
          <w:rFonts w:ascii="Arial" w:hAnsi="Arial" w:cs="Arial"/>
        </w:rPr>
      </w:pPr>
    </w:p>
    <w:p w14:paraId="426F9902" w14:textId="77777777" w:rsidR="00E431BC" w:rsidRPr="00C921A0" w:rsidRDefault="00E431BC" w:rsidP="00E431BC">
      <w:pPr>
        <w:spacing w:after="160" w:line="259" w:lineRule="auto"/>
        <w:rPr>
          <w:rFonts w:ascii="Arial" w:hAnsi="Arial" w:cs="Arial"/>
        </w:rPr>
      </w:pPr>
      <w:r w:rsidRPr="00936038">
        <w:rPr>
          <w:rFonts w:ascii="Arial" w:hAnsi="Arial" w:cs="Arial"/>
        </w:rPr>
        <w:t>Curriculum and Assessment (Wales) Act 2021</w:t>
      </w:r>
      <w:r w:rsidRPr="00635DD6">
        <w:rPr>
          <w:rFonts w:ascii="Arial" w:hAnsi="Arial" w:cs="Arial"/>
        </w:rPr>
        <w:t xml:space="preserve">. Available at: </w:t>
      </w:r>
      <w:hyperlink r:id="rId13" w:history="1">
        <w:r w:rsidRPr="00635DD6">
          <w:rPr>
            <w:rStyle w:val="Hyperlink"/>
            <w:rFonts w:ascii="Arial" w:eastAsiaTheme="majorEastAsia" w:hAnsi="Arial" w:cs="Arial"/>
          </w:rPr>
          <w:t>Curriculum and Assessment (Wales) Act 2021</w:t>
        </w:r>
      </w:hyperlink>
    </w:p>
    <w:p w14:paraId="4E4DBB91" w14:textId="77777777" w:rsidR="00E431BC" w:rsidRDefault="00E431BC" w:rsidP="00E431BC">
      <w:pPr>
        <w:rPr>
          <w:rFonts w:ascii="Arial" w:hAnsi="Arial" w:cs="Arial"/>
        </w:rPr>
      </w:pPr>
      <w:r w:rsidRPr="00C921A0">
        <w:rPr>
          <w:rFonts w:ascii="Arial" w:hAnsi="Arial" w:cs="Arial"/>
        </w:rPr>
        <w:t xml:space="preserve">Davies, R., &amp; Hamilton, P. (2016). Assessing learning in the early years’ outdoor classroom: examining challenges in practice. </w:t>
      </w:r>
      <w:r w:rsidRPr="00C921A0">
        <w:rPr>
          <w:rFonts w:ascii="Arial" w:eastAsiaTheme="majorEastAsia" w:hAnsi="Arial" w:cs="Arial"/>
          <w:i/>
          <w:iCs/>
        </w:rPr>
        <w:t>Education 3-13</w:t>
      </w:r>
      <w:r w:rsidRPr="00C921A0">
        <w:rPr>
          <w:rFonts w:ascii="Arial" w:hAnsi="Arial" w:cs="Arial"/>
        </w:rPr>
        <w:t xml:space="preserve">, 46(1), 117–129. </w:t>
      </w:r>
      <w:hyperlink r:id="rId14" w:history="1">
        <w:r w:rsidRPr="00C921A0">
          <w:rPr>
            <w:rStyle w:val="Hyperlink"/>
            <w:rFonts w:ascii="Arial" w:hAnsi="Arial" w:cs="Arial"/>
          </w:rPr>
          <w:t>https://doi.org/10.1080/03004279.2016.1194448</w:t>
        </w:r>
      </w:hyperlink>
    </w:p>
    <w:p w14:paraId="0C403440" w14:textId="77777777" w:rsidR="00635DD6" w:rsidRPr="00635DD6" w:rsidRDefault="00635DD6" w:rsidP="00E431BC">
      <w:pPr>
        <w:rPr>
          <w:rFonts w:ascii="Arial" w:hAnsi="Arial" w:cs="Arial"/>
        </w:rPr>
      </w:pPr>
    </w:p>
    <w:p w14:paraId="17217B5A" w14:textId="77777777" w:rsidR="00E431BC" w:rsidRDefault="00E431BC" w:rsidP="00E431BC">
      <w:pPr>
        <w:rPr>
          <w:rFonts w:ascii="Arial" w:hAnsi="Arial" w:cs="Arial"/>
        </w:rPr>
      </w:pPr>
      <w:r w:rsidRPr="00635DD6">
        <w:rPr>
          <w:rFonts w:ascii="Arial" w:hAnsi="Arial" w:cs="Arial"/>
        </w:rPr>
        <w:t xml:space="preserve">Donaldson, G. (2015) </w:t>
      </w:r>
      <w:r w:rsidRPr="00635DD6">
        <w:rPr>
          <w:rFonts w:ascii="Arial" w:hAnsi="Arial" w:cs="Arial"/>
          <w:i/>
          <w:iCs/>
        </w:rPr>
        <w:t xml:space="preserve">Successful Futures Independent Review of Curriculum and Assessment Arrangements in Wales. </w:t>
      </w:r>
      <w:r w:rsidRPr="00635DD6">
        <w:rPr>
          <w:rFonts w:ascii="Arial" w:hAnsi="Arial" w:cs="Arial"/>
        </w:rPr>
        <w:t xml:space="preserve">Crown Copyright. Retrieved from: </w:t>
      </w:r>
      <w:hyperlink r:id="rId15" w:history="1">
        <w:r w:rsidRPr="00635DD6">
          <w:rPr>
            <w:rStyle w:val="Hyperlink"/>
            <w:rFonts w:ascii="Arial" w:eastAsiaTheme="majorEastAsia" w:hAnsi="Arial" w:cs="Arial"/>
          </w:rPr>
          <w:t>successful-futures.pdf</w:t>
        </w:r>
      </w:hyperlink>
    </w:p>
    <w:p w14:paraId="137496F3" w14:textId="77777777" w:rsidR="00635DD6" w:rsidRPr="00635DD6" w:rsidRDefault="00635DD6" w:rsidP="00E431BC">
      <w:pPr>
        <w:rPr>
          <w:rFonts w:ascii="Arial" w:hAnsi="Arial" w:cs="Arial"/>
        </w:rPr>
      </w:pPr>
    </w:p>
    <w:p w14:paraId="7A85DEB8" w14:textId="77777777" w:rsidR="00E431BC" w:rsidRPr="00C921A0" w:rsidRDefault="00E431BC" w:rsidP="00E431BC">
      <w:pPr>
        <w:spacing w:after="160" w:line="259" w:lineRule="auto"/>
        <w:rPr>
          <w:rFonts w:ascii="Arial" w:hAnsi="Arial" w:cs="Arial"/>
        </w:rPr>
      </w:pPr>
      <w:r w:rsidRPr="00635DD6">
        <w:rPr>
          <w:rFonts w:ascii="Arial" w:hAnsi="Arial" w:cs="Arial"/>
        </w:rPr>
        <w:t>Draper, C. E. </w:t>
      </w:r>
      <w:r w:rsidRPr="00635DD6">
        <w:rPr>
          <w:rFonts w:ascii="Arial" w:hAnsi="Arial" w:cs="Arial"/>
          <w:i/>
          <w:iCs/>
        </w:rPr>
        <w:t>et al.</w:t>
      </w:r>
      <w:r w:rsidRPr="00635DD6">
        <w:rPr>
          <w:rFonts w:ascii="Arial" w:hAnsi="Arial" w:cs="Arial"/>
        </w:rPr>
        <w:t> (2024) ‘Social Ecological Factors Influencing Children’s School Readiness in Low-Income South African Communities’, </w:t>
      </w:r>
      <w:r w:rsidRPr="00635DD6">
        <w:rPr>
          <w:rFonts w:ascii="Arial" w:hAnsi="Arial" w:cs="Arial"/>
          <w:i/>
          <w:iCs/>
        </w:rPr>
        <w:t>Early Education and Development</w:t>
      </w:r>
      <w:r w:rsidRPr="00635DD6">
        <w:rPr>
          <w:rFonts w:ascii="Arial" w:hAnsi="Arial" w:cs="Arial"/>
        </w:rPr>
        <w:t xml:space="preserve">, pp. 1–17. </w:t>
      </w:r>
      <w:proofErr w:type="spellStart"/>
      <w:r w:rsidRPr="00635DD6">
        <w:rPr>
          <w:rFonts w:ascii="Arial" w:hAnsi="Arial" w:cs="Arial"/>
        </w:rPr>
        <w:t>doi</w:t>
      </w:r>
      <w:proofErr w:type="spellEnd"/>
      <w:r w:rsidRPr="00635DD6">
        <w:rPr>
          <w:rFonts w:ascii="Arial" w:hAnsi="Arial" w:cs="Arial"/>
        </w:rPr>
        <w:t>: 10.1080/10409289.2024.2432232.</w:t>
      </w:r>
    </w:p>
    <w:p w14:paraId="7CBE2D6E"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Ernst, J. (2013). Early childhood educators’ use of natural outdoor settings as learning environments: an exploratory study of beliefs, practices, and barriers. </w:t>
      </w:r>
      <w:r w:rsidRPr="00C921A0">
        <w:rPr>
          <w:rFonts w:ascii="Arial" w:eastAsiaTheme="majorEastAsia" w:hAnsi="Arial" w:cs="Arial"/>
          <w:i/>
          <w:iCs/>
        </w:rPr>
        <w:t>Environmental Education Research</w:t>
      </w:r>
      <w:r w:rsidRPr="00C921A0">
        <w:rPr>
          <w:rFonts w:ascii="Arial" w:hAnsi="Arial" w:cs="Arial"/>
        </w:rPr>
        <w:t>, 20(6), 735–752. https://doi.org/10.1080/13504622.2013.833596</w:t>
      </w:r>
    </w:p>
    <w:p w14:paraId="26E1C714" w14:textId="77777777" w:rsidR="00E431BC" w:rsidRDefault="00E431BC" w:rsidP="00E431BC">
      <w:pPr>
        <w:rPr>
          <w:rFonts w:ascii="Arial" w:hAnsi="Arial" w:cs="Arial"/>
        </w:rPr>
      </w:pPr>
      <w:r w:rsidRPr="00635DD6">
        <w:rPr>
          <w:rFonts w:ascii="Arial" w:hAnsi="Arial" w:cs="Arial"/>
        </w:rPr>
        <w:t xml:space="preserve">Estyn. (2021). Consultation response for Curriculum for funded non-maintained nursery settings Retrieved from: </w:t>
      </w:r>
      <w:hyperlink r:id="rId16" w:history="1">
        <w:r w:rsidRPr="00635DD6">
          <w:rPr>
            <w:rStyle w:val="Hyperlink"/>
            <w:rFonts w:ascii="Arial" w:eastAsiaTheme="majorEastAsia" w:hAnsi="Arial" w:cs="Arial"/>
          </w:rPr>
          <w:t>Curriculum for funded non-maintained nursery settings</w:t>
        </w:r>
      </w:hyperlink>
    </w:p>
    <w:p w14:paraId="0C31EEC9" w14:textId="77777777" w:rsidR="00635DD6" w:rsidRPr="00635DD6" w:rsidRDefault="00635DD6" w:rsidP="00E431BC">
      <w:pPr>
        <w:rPr>
          <w:rFonts w:ascii="Arial" w:hAnsi="Arial" w:cs="Arial"/>
        </w:rPr>
      </w:pPr>
    </w:p>
    <w:p w14:paraId="3E9F1651" w14:textId="77777777" w:rsidR="00E431BC" w:rsidRPr="00635DD6" w:rsidRDefault="00E431BC" w:rsidP="00E431BC">
      <w:pPr>
        <w:rPr>
          <w:rFonts w:ascii="Arial" w:hAnsi="Arial" w:cs="Arial"/>
        </w:rPr>
      </w:pPr>
      <w:r w:rsidRPr="00C921A0">
        <w:rPr>
          <w:rFonts w:ascii="Arial" w:hAnsi="Arial" w:cs="Arial"/>
        </w:rPr>
        <w:t xml:space="preserve">Estyn. (2024). </w:t>
      </w:r>
      <w:r w:rsidRPr="00C921A0">
        <w:rPr>
          <w:rFonts w:ascii="Arial" w:eastAsiaTheme="majorEastAsia" w:hAnsi="Arial" w:cs="Arial"/>
          <w:i/>
          <w:iCs/>
        </w:rPr>
        <w:t>Impact of poverty on educational attainment, support, provision and transition for early education</w:t>
      </w:r>
      <w:r w:rsidRPr="00C921A0">
        <w:rPr>
          <w:rFonts w:ascii="Arial" w:hAnsi="Arial" w:cs="Arial"/>
        </w:rPr>
        <w:t>. Retrieved from Thematic Report: Impact of poverty on educational attainment, support, provision and transition for early education - Estyn.</w:t>
      </w:r>
    </w:p>
    <w:p w14:paraId="572B7D27" w14:textId="77777777" w:rsidR="00635DD6" w:rsidRDefault="00635DD6" w:rsidP="00E431BC">
      <w:pPr>
        <w:spacing w:after="160" w:line="259" w:lineRule="auto"/>
        <w:rPr>
          <w:rFonts w:ascii="Arial" w:hAnsi="Arial" w:cs="Arial"/>
        </w:rPr>
      </w:pPr>
    </w:p>
    <w:p w14:paraId="78280946" w14:textId="72A24B31" w:rsidR="00E431BC" w:rsidRPr="00C921A0" w:rsidRDefault="00E431BC" w:rsidP="00E431BC">
      <w:pPr>
        <w:spacing w:after="160" w:line="259" w:lineRule="auto"/>
        <w:rPr>
          <w:rFonts w:ascii="Arial" w:hAnsi="Arial" w:cs="Arial"/>
        </w:rPr>
      </w:pPr>
      <w:r w:rsidRPr="00635DD6">
        <w:rPr>
          <w:rFonts w:ascii="Arial" w:hAnsi="Arial" w:cs="Arial"/>
        </w:rPr>
        <w:t xml:space="preserve">Farah, </w:t>
      </w:r>
      <w:proofErr w:type="gramStart"/>
      <w:r w:rsidRPr="00635DD6">
        <w:rPr>
          <w:rFonts w:ascii="Arial" w:hAnsi="Arial" w:cs="Arial"/>
        </w:rPr>
        <w:t>W,.</w:t>
      </w:r>
      <w:proofErr w:type="gramEnd"/>
      <w:r w:rsidRPr="00635DD6">
        <w:rPr>
          <w:rFonts w:ascii="Arial" w:hAnsi="Arial" w:cs="Arial"/>
        </w:rPr>
        <w:t xml:space="preserve"> (2023) </w:t>
      </w:r>
      <w:hyperlink r:id="rId17" w:tgtFrame="_blank" w:history="1">
        <w:r w:rsidRPr="00635DD6">
          <w:rPr>
            <w:rStyle w:val="Hyperlink"/>
            <w:rFonts w:ascii="Arial" w:eastAsiaTheme="majorEastAsia" w:hAnsi="Arial" w:cs="Arial"/>
          </w:rPr>
          <w:t>In conversation with Warda Farah, speech and language therapist — Siren Films</w:t>
        </w:r>
      </w:hyperlink>
      <w:r w:rsidRPr="00635DD6">
        <w:rPr>
          <w:rFonts w:ascii="Arial" w:hAnsi="Arial" w:cs="Arial"/>
        </w:rPr>
        <w:t> </w:t>
      </w:r>
    </w:p>
    <w:p w14:paraId="32F8B931"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Fisher, J. (2016). </w:t>
      </w:r>
      <w:r w:rsidRPr="00C921A0">
        <w:rPr>
          <w:rFonts w:ascii="Arial" w:eastAsiaTheme="majorEastAsia" w:hAnsi="Arial" w:cs="Arial"/>
          <w:i/>
          <w:iCs/>
        </w:rPr>
        <w:t>Interacting or Interfering? Improving interactions in the early years</w:t>
      </w:r>
      <w:r w:rsidRPr="00C921A0">
        <w:rPr>
          <w:rFonts w:ascii="Arial" w:hAnsi="Arial" w:cs="Arial"/>
        </w:rPr>
        <w:t>. Berkshire: Open University Press.</w:t>
      </w:r>
    </w:p>
    <w:p w14:paraId="0AE562E6"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Fisher, J. (2024). Julie Fisher: Starting from the child. </w:t>
      </w:r>
      <w:r w:rsidRPr="00C921A0">
        <w:rPr>
          <w:rFonts w:ascii="Arial" w:eastAsiaTheme="majorEastAsia" w:hAnsi="Arial" w:cs="Arial"/>
          <w:i/>
          <w:iCs/>
        </w:rPr>
        <w:t>Nursery World</w:t>
      </w:r>
      <w:r w:rsidRPr="00C921A0">
        <w:rPr>
          <w:rFonts w:ascii="Arial" w:hAnsi="Arial" w:cs="Arial"/>
        </w:rPr>
        <w:t>. Retrieved from Nursery World - Julie Fisher: Starting from the child.</w:t>
      </w:r>
    </w:p>
    <w:p w14:paraId="1D0FB9B8" w14:textId="77777777" w:rsidR="00E431BC" w:rsidRDefault="00E431BC" w:rsidP="00E431BC">
      <w:pPr>
        <w:rPr>
          <w:rFonts w:ascii="Arial" w:hAnsi="Arial" w:cs="Arial"/>
        </w:rPr>
      </w:pPr>
      <w:r w:rsidRPr="00C921A0">
        <w:rPr>
          <w:rFonts w:ascii="Arial" w:hAnsi="Arial" w:cs="Arial"/>
        </w:rPr>
        <w:t xml:space="preserve">Fisher, J. (2024). </w:t>
      </w:r>
      <w:r w:rsidRPr="00C921A0">
        <w:rPr>
          <w:rFonts w:ascii="Arial" w:eastAsiaTheme="majorEastAsia" w:hAnsi="Arial" w:cs="Arial"/>
          <w:i/>
          <w:iCs/>
        </w:rPr>
        <w:t>Starting from the Child?</w:t>
      </w:r>
      <w:r w:rsidRPr="00C921A0">
        <w:rPr>
          <w:rFonts w:ascii="Arial" w:hAnsi="Arial" w:cs="Arial"/>
        </w:rPr>
        <w:t xml:space="preserve"> (5th ed.). Maidenhead: Open University Press.</w:t>
      </w:r>
    </w:p>
    <w:p w14:paraId="0769E520" w14:textId="77777777" w:rsidR="00635DD6" w:rsidRPr="00635DD6" w:rsidRDefault="00635DD6" w:rsidP="00E431BC">
      <w:pPr>
        <w:rPr>
          <w:rFonts w:ascii="Arial" w:hAnsi="Arial" w:cs="Arial"/>
        </w:rPr>
      </w:pPr>
    </w:p>
    <w:p w14:paraId="7F54891A" w14:textId="77777777" w:rsidR="00E431BC" w:rsidRPr="00C921A0" w:rsidRDefault="00E431BC" w:rsidP="00E431BC">
      <w:pPr>
        <w:spacing w:after="160" w:line="259" w:lineRule="auto"/>
        <w:rPr>
          <w:rFonts w:ascii="Arial" w:hAnsi="Arial" w:cs="Arial"/>
        </w:rPr>
      </w:pPr>
      <w:r w:rsidRPr="00635DD6">
        <w:rPr>
          <w:rFonts w:ascii="Arial" w:hAnsi="Arial" w:cs="Arial"/>
        </w:rPr>
        <w:t>Franklin, B. (Ed.). (2001).</w:t>
      </w:r>
      <w:r w:rsidRPr="00635DD6">
        <w:rPr>
          <w:rFonts w:ascii="Arial" w:hAnsi="Arial" w:cs="Arial"/>
          <w:i/>
          <w:iCs/>
        </w:rPr>
        <w:t xml:space="preserve"> The New Handbook of Children's Rights: Comparative Policy and Practice (1st ed.).</w:t>
      </w:r>
      <w:r w:rsidRPr="00635DD6">
        <w:rPr>
          <w:rFonts w:ascii="Arial" w:hAnsi="Arial" w:cs="Arial"/>
        </w:rPr>
        <w:t xml:space="preserve"> Routledge. https://doi.org/10.4324/9780203405963</w:t>
      </w:r>
    </w:p>
    <w:p w14:paraId="691CB2AA" w14:textId="77777777" w:rsidR="00E431BC" w:rsidRPr="00C921A0" w:rsidRDefault="00E431BC" w:rsidP="00E431BC">
      <w:pPr>
        <w:spacing w:after="160" w:line="259" w:lineRule="auto"/>
        <w:rPr>
          <w:rFonts w:ascii="Arial" w:hAnsi="Arial" w:cs="Arial"/>
        </w:rPr>
      </w:pPr>
      <w:r w:rsidRPr="00C921A0">
        <w:rPr>
          <w:rFonts w:ascii="Arial" w:hAnsi="Arial" w:cs="Arial"/>
        </w:rPr>
        <w:lastRenderedPageBreak/>
        <w:t>Garon-Carrier, G., Mavungu-Blouin, C., Letarte, M.J., et al. (2024). School readiness among vulnerable children: a systematic review of studies using a person-</w:t>
      </w:r>
      <w:proofErr w:type="spellStart"/>
      <w:r w:rsidRPr="00C921A0">
        <w:rPr>
          <w:rFonts w:ascii="Arial" w:hAnsi="Arial" w:cs="Arial"/>
        </w:rPr>
        <w:t>centered</w:t>
      </w:r>
      <w:proofErr w:type="spellEnd"/>
      <w:r w:rsidRPr="00C921A0">
        <w:rPr>
          <w:rFonts w:ascii="Arial" w:hAnsi="Arial" w:cs="Arial"/>
        </w:rPr>
        <w:t xml:space="preserve"> approach. </w:t>
      </w:r>
      <w:proofErr w:type="spellStart"/>
      <w:r w:rsidRPr="00C921A0">
        <w:rPr>
          <w:rFonts w:ascii="Arial" w:eastAsiaTheme="majorEastAsia" w:hAnsi="Arial" w:cs="Arial"/>
          <w:i/>
          <w:iCs/>
        </w:rPr>
        <w:t>Psicologia</w:t>
      </w:r>
      <w:proofErr w:type="spellEnd"/>
      <w:r w:rsidRPr="00C921A0">
        <w:rPr>
          <w:rFonts w:ascii="Arial" w:eastAsiaTheme="majorEastAsia" w:hAnsi="Arial" w:cs="Arial"/>
          <w:i/>
          <w:iCs/>
        </w:rPr>
        <w:t xml:space="preserve">: </w:t>
      </w:r>
      <w:proofErr w:type="spellStart"/>
      <w:r w:rsidRPr="00C921A0">
        <w:rPr>
          <w:rFonts w:ascii="Arial" w:eastAsiaTheme="majorEastAsia" w:hAnsi="Arial" w:cs="Arial"/>
          <w:i/>
          <w:iCs/>
        </w:rPr>
        <w:t>Reflexão</w:t>
      </w:r>
      <w:proofErr w:type="spellEnd"/>
      <w:r w:rsidRPr="00C921A0">
        <w:rPr>
          <w:rFonts w:ascii="Arial" w:eastAsiaTheme="majorEastAsia" w:hAnsi="Arial" w:cs="Arial"/>
          <w:i/>
          <w:iCs/>
        </w:rPr>
        <w:t xml:space="preserve"> e </w:t>
      </w:r>
      <w:proofErr w:type="spellStart"/>
      <w:r w:rsidRPr="00C921A0">
        <w:rPr>
          <w:rFonts w:ascii="Arial" w:eastAsiaTheme="majorEastAsia" w:hAnsi="Arial" w:cs="Arial"/>
          <w:i/>
          <w:iCs/>
        </w:rPr>
        <w:t>Crítica</w:t>
      </w:r>
      <w:proofErr w:type="spellEnd"/>
      <w:r w:rsidRPr="00C921A0">
        <w:rPr>
          <w:rFonts w:ascii="Arial" w:hAnsi="Arial" w:cs="Arial"/>
        </w:rPr>
        <w:t>, 37, 16. https://doi.org/10.1186/s41155-024-00298-y</w:t>
      </w:r>
    </w:p>
    <w:p w14:paraId="0CFF064B"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Government of Wales Act 1998. Available at: </w:t>
      </w:r>
      <w:hyperlink r:id="rId18" w:history="1">
        <w:r w:rsidRPr="00635DD6">
          <w:rPr>
            <w:rStyle w:val="Hyperlink"/>
            <w:rFonts w:ascii="Arial" w:eastAsiaTheme="majorEastAsia" w:hAnsi="Arial" w:cs="Arial"/>
          </w:rPr>
          <w:t>Government of Wales Act 1998</w:t>
        </w:r>
      </w:hyperlink>
    </w:p>
    <w:p w14:paraId="2EA11941"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Hansen </w:t>
      </w:r>
      <w:proofErr w:type="spellStart"/>
      <w:r w:rsidRPr="00635DD6">
        <w:rPr>
          <w:rFonts w:ascii="Arial" w:hAnsi="Arial" w:cs="Arial"/>
        </w:rPr>
        <w:t>Sandseter</w:t>
      </w:r>
      <w:proofErr w:type="spellEnd"/>
      <w:r w:rsidRPr="00635DD6">
        <w:rPr>
          <w:rFonts w:ascii="Arial" w:hAnsi="Arial" w:cs="Arial"/>
        </w:rPr>
        <w:t xml:space="preserve">, E. B., Kleppe, R. and Ottesen </w:t>
      </w:r>
      <w:proofErr w:type="spellStart"/>
      <w:r w:rsidRPr="00635DD6">
        <w:rPr>
          <w:rFonts w:ascii="Arial" w:hAnsi="Arial" w:cs="Arial"/>
        </w:rPr>
        <w:t>Kennair</w:t>
      </w:r>
      <w:proofErr w:type="spellEnd"/>
      <w:r w:rsidRPr="00635DD6">
        <w:rPr>
          <w:rFonts w:ascii="Arial" w:hAnsi="Arial" w:cs="Arial"/>
        </w:rPr>
        <w:t>, L. E. (2022) ‘Risky play in children’s emotion regulation, social functioning, and physical health: an evolutionary approach’, </w:t>
      </w:r>
      <w:r w:rsidRPr="00635DD6">
        <w:rPr>
          <w:rFonts w:ascii="Arial" w:hAnsi="Arial" w:cs="Arial"/>
          <w:i/>
          <w:iCs/>
        </w:rPr>
        <w:t>International Journal of Play</w:t>
      </w:r>
      <w:r w:rsidRPr="00635DD6">
        <w:rPr>
          <w:rFonts w:ascii="Arial" w:hAnsi="Arial" w:cs="Arial"/>
        </w:rPr>
        <w:t xml:space="preserve">, 12(1), pp. 127–139. </w:t>
      </w:r>
      <w:proofErr w:type="spellStart"/>
      <w:r w:rsidRPr="00635DD6">
        <w:rPr>
          <w:rFonts w:ascii="Arial" w:hAnsi="Arial" w:cs="Arial"/>
        </w:rPr>
        <w:t>doi</w:t>
      </w:r>
      <w:proofErr w:type="spellEnd"/>
      <w:r w:rsidRPr="00635DD6">
        <w:rPr>
          <w:rFonts w:ascii="Arial" w:hAnsi="Arial" w:cs="Arial"/>
        </w:rPr>
        <w:t>: 10.1080/21594937.2022.2152531.</w:t>
      </w:r>
    </w:p>
    <w:p w14:paraId="75529A51"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Hoffman, K., Cooper, G., &amp; Powell, B. (2017). </w:t>
      </w:r>
      <w:r w:rsidRPr="00C921A0">
        <w:rPr>
          <w:rFonts w:ascii="Arial" w:eastAsiaTheme="majorEastAsia" w:hAnsi="Arial" w:cs="Arial"/>
          <w:i/>
          <w:iCs/>
        </w:rPr>
        <w:t>Raising a Secure Child</w:t>
      </w:r>
      <w:r w:rsidRPr="00C921A0">
        <w:rPr>
          <w:rFonts w:ascii="Arial" w:hAnsi="Arial" w:cs="Arial"/>
        </w:rPr>
        <w:t>. New York: The Guilford Press.</w:t>
      </w:r>
    </w:p>
    <w:p w14:paraId="7CF70F1B"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Hoskins, K., &amp; Smedley, S. (2019). Protecting and extending Froebelian principles in practice: Exploring the importance of learning through play. </w:t>
      </w:r>
      <w:r w:rsidRPr="00C921A0">
        <w:rPr>
          <w:rFonts w:ascii="Arial" w:eastAsiaTheme="majorEastAsia" w:hAnsi="Arial" w:cs="Arial"/>
          <w:i/>
          <w:iCs/>
        </w:rPr>
        <w:t>Journal of Early Childhood Research</w:t>
      </w:r>
      <w:r w:rsidRPr="00C921A0">
        <w:rPr>
          <w:rFonts w:ascii="Arial" w:hAnsi="Arial" w:cs="Arial"/>
        </w:rPr>
        <w:t>, 17(2), 73-87. https://doi.org/10.1177/1476718X18809114</w:t>
      </w:r>
    </w:p>
    <w:p w14:paraId="2D0B7E6A"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Kay, L. (2022). ‘What works’ and for whom? Bold Beginnings and the construction of the school ready child. </w:t>
      </w:r>
      <w:r w:rsidRPr="00C921A0">
        <w:rPr>
          <w:rFonts w:ascii="Arial" w:eastAsiaTheme="majorEastAsia" w:hAnsi="Arial" w:cs="Arial"/>
          <w:i/>
          <w:iCs/>
        </w:rPr>
        <w:t>Journal of Early Childhood Research</w:t>
      </w:r>
      <w:r w:rsidRPr="00C921A0">
        <w:rPr>
          <w:rFonts w:ascii="Arial" w:hAnsi="Arial" w:cs="Arial"/>
        </w:rPr>
        <w:t>, 20(2), 172-184. https://doi.org/10.1177/1476718X211052791</w:t>
      </w:r>
    </w:p>
    <w:p w14:paraId="2CFD68DF" w14:textId="77777777" w:rsidR="00E431BC" w:rsidRDefault="00E431BC" w:rsidP="00E431BC">
      <w:pPr>
        <w:rPr>
          <w:rFonts w:ascii="Arial" w:hAnsi="Arial" w:cs="Arial"/>
        </w:rPr>
      </w:pPr>
      <w:r w:rsidRPr="00C921A0">
        <w:rPr>
          <w:rFonts w:ascii="Arial" w:hAnsi="Arial" w:cs="Arial"/>
        </w:rPr>
        <w:t xml:space="preserve">Kurt, Ş.H. (2022). Perceptions of Children and Childhood in the Context of New Childhood Sociology. </w:t>
      </w:r>
      <w:r w:rsidRPr="00C921A0">
        <w:rPr>
          <w:rFonts w:ascii="Arial" w:eastAsiaTheme="majorEastAsia" w:hAnsi="Arial" w:cs="Arial"/>
          <w:i/>
          <w:iCs/>
        </w:rPr>
        <w:t>Child Ind Res</w:t>
      </w:r>
      <w:r w:rsidRPr="00C921A0">
        <w:rPr>
          <w:rFonts w:ascii="Arial" w:hAnsi="Arial" w:cs="Arial"/>
        </w:rPr>
        <w:t xml:space="preserve">, 15, 731–746. </w:t>
      </w:r>
      <w:hyperlink r:id="rId19" w:history="1">
        <w:r w:rsidRPr="00C921A0">
          <w:rPr>
            <w:rStyle w:val="Hyperlink"/>
            <w:rFonts w:ascii="Arial" w:hAnsi="Arial" w:cs="Arial"/>
          </w:rPr>
          <w:t>https://doi.org/10.1007/s12187-021-09881-6</w:t>
        </w:r>
      </w:hyperlink>
    </w:p>
    <w:p w14:paraId="65225F9D" w14:textId="77777777" w:rsidR="00635DD6" w:rsidRPr="00635DD6" w:rsidRDefault="00635DD6" w:rsidP="00E431BC">
      <w:pPr>
        <w:rPr>
          <w:rFonts w:ascii="Arial" w:hAnsi="Arial" w:cs="Arial"/>
        </w:rPr>
      </w:pPr>
    </w:p>
    <w:p w14:paraId="10AD0DFA" w14:textId="77777777" w:rsidR="00E431BC" w:rsidRPr="00C921A0" w:rsidRDefault="00E431BC" w:rsidP="00E431BC">
      <w:pPr>
        <w:spacing w:after="160" w:line="259" w:lineRule="auto"/>
        <w:rPr>
          <w:rFonts w:ascii="Arial" w:hAnsi="Arial" w:cs="Arial"/>
        </w:rPr>
      </w:pPr>
      <w:r w:rsidRPr="00635DD6">
        <w:rPr>
          <w:rFonts w:ascii="Arial" w:hAnsi="Arial" w:cs="Arial"/>
        </w:rPr>
        <w:t>Lareau, A., 2018. Unequal childhoods: Class, race, and family life. In </w:t>
      </w:r>
      <w:r w:rsidRPr="00635DD6">
        <w:rPr>
          <w:rFonts w:ascii="Arial" w:hAnsi="Arial" w:cs="Arial"/>
          <w:i/>
          <w:iCs/>
        </w:rPr>
        <w:t>Inequality in the 21st Century</w:t>
      </w:r>
      <w:r w:rsidRPr="00635DD6">
        <w:rPr>
          <w:rFonts w:ascii="Arial" w:hAnsi="Arial" w:cs="Arial"/>
        </w:rPr>
        <w:t> (pp. 444-451). Routledge.</w:t>
      </w:r>
    </w:p>
    <w:p w14:paraId="59FDF6ED" w14:textId="77777777" w:rsidR="00E431BC" w:rsidRDefault="00054007" w:rsidP="00E431BC">
      <w:pPr>
        <w:rPr>
          <w:rFonts w:ascii="Arial" w:eastAsia="DengXian" w:hAnsi="Arial" w:cs="Arial"/>
        </w:rPr>
      </w:pPr>
      <w:r w:rsidRPr="00B6324C">
        <w:rPr>
          <w:rFonts w:ascii="Arial" w:eastAsia="DengXian" w:hAnsi="Arial" w:cs="Arial"/>
        </w:rPr>
        <w:t xml:space="preserve">MacDonald, N. (Forthcoming) </w:t>
      </w:r>
      <w:r w:rsidRPr="00B6324C">
        <w:rPr>
          <w:rFonts w:ascii="Arial" w:eastAsia="DengXian" w:hAnsi="Arial" w:cs="Arial"/>
          <w:i/>
          <w:iCs/>
        </w:rPr>
        <w:t>Exploring the visibility of Foucault’s ‘governmentality’ within early years policy and practice:</w:t>
      </w:r>
      <w:r w:rsidRPr="00B6324C">
        <w:rPr>
          <w:rFonts w:ascii="Arial" w:eastAsia="Arial" w:hAnsi="Arial" w:cs="Arial"/>
          <w:i/>
          <w:iCs/>
        </w:rPr>
        <w:t xml:space="preserve"> the separation between care and education in Wales</w:t>
      </w:r>
      <w:r w:rsidRPr="00B6324C">
        <w:rPr>
          <w:rFonts w:ascii="Arial" w:eastAsia="DengXian" w:hAnsi="Arial" w:cs="Arial"/>
        </w:rPr>
        <w:t>. Doctoral thesis. UWTSD.</w:t>
      </w:r>
    </w:p>
    <w:p w14:paraId="0B2027DF" w14:textId="77777777" w:rsidR="00635DD6" w:rsidRPr="00635DD6" w:rsidRDefault="00635DD6" w:rsidP="00E431BC">
      <w:pPr>
        <w:rPr>
          <w:rFonts w:ascii="Arial" w:hAnsi="Arial" w:cs="Arial"/>
        </w:rPr>
      </w:pPr>
    </w:p>
    <w:p w14:paraId="7EF6CA65" w14:textId="77777777" w:rsidR="00E431BC" w:rsidRPr="00C921A0" w:rsidRDefault="00054007" w:rsidP="00E431BC">
      <w:pPr>
        <w:spacing w:after="160" w:line="259" w:lineRule="auto"/>
        <w:rPr>
          <w:rFonts w:ascii="Arial" w:hAnsi="Arial" w:cs="Arial"/>
        </w:rPr>
      </w:pPr>
      <w:proofErr w:type="spellStart"/>
      <w:r w:rsidRPr="00A379AB">
        <w:rPr>
          <w:rFonts w:ascii="Arial" w:eastAsiaTheme="minorEastAsia" w:hAnsi="Arial" w:cs="Arial"/>
          <w:highlight w:val="white"/>
        </w:rPr>
        <w:t>Maingueneau</w:t>
      </w:r>
      <w:proofErr w:type="spellEnd"/>
      <w:r w:rsidRPr="00A379AB">
        <w:rPr>
          <w:rFonts w:ascii="Arial" w:eastAsiaTheme="minorEastAsia" w:hAnsi="Arial" w:cs="Arial"/>
          <w:highlight w:val="white"/>
        </w:rPr>
        <w:t xml:space="preserve">, D. and </w:t>
      </w:r>
      <w:proofErr w:type="spellStart"/>
      <w:r w:rsidRPr="00A379AB">
        <w:rPr>
          <w:rFonts w:ascii="Arial" w:eastAsiaTheme="minorEastAsia" w:hAnsi="Arial" w:cs="Arial"/>
          <w:highlight w:val="white"/>
        </w:rPr>
        <w:t>Angermüller</w:t>
      </w:r>
      <w:proofErr w:type="spellEnd"/>
      <w:r w:rsidRPr="00A379AB">
        <w:rPr>
          <w:rFonts w:ascii="Arial" w:eastAsiaTheme="minorEastAsia" w:hAnsi="Arial" w:cs="Arial"/>
          <w:highlight w:val="white"/>
        </w:rPr>
        <w:t xml:space="preserve">, J., (2007). Discourse Analysis in France. A Conversation. </w:t>
      </w:r>
      <w:r w:rsidRPr="00A379AB">
        <w:rPr>
          <w:rFonts w:ascii="Arial" w:eastAsiaTheme="minorEastAsia" w:hAnsi="Arial" w:cs="Arial"/>
          <w:i/>
          <w:iCs/>
          <w:highlight w:val="white"/>
        </w:rPr>
        <w:t xml:space="preserve">Forum: Qualitative Social Research, </w:t>
      </w:r>
      <w:r w:rsidRPr="00A379AB">
        <w:rPr>
          <w:rFonts w:ascii="Arial" w:eastAsiaTheme="minorEastAsia" w:hAnsi="Arial" w:cs="Arial"/>
          <w:highlight w:val="white"/>
        </w:rPr>
        <w:t>8(2). </w:t>
      </w:r>
    </w:p>
    <w:p w14:paraId="5CBF7EE6"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Mag, A. G. (2019). Can Children Be Trusted? Children And Adult Power: A Focus </w:t>
      </w:r>
      <w:proofErr w:type="gramStart"/>
      <w:r w:rsidRPr="00C921A0">
        <w:rPr>
          <w:rFonts w:ascii="Arial" w:hAnsi="Arial" w:cs="Arial"/>
        </w:rPr>
        <w:t>On</w:t>
      </w:r>
      <w:proofErr w:type="gramEnd"/>
      <w:r w:rsidRPr="00C921A0">
        <w:rPr>
          <w:rFonts w:ascii="Arial" w:hAnsi="Arial" w:cs="Arial"/>
        </w:rPr>
        <w:t xml:space="preserve"> Ethics. In E. Soare, &amp; C. Langa (Eds.), </w:t>
      </w:r>
      <w:r w:rsidRPr="00C921A0">
        <w:rPr>
          <w:rFonts w:ascii="Arial" w:eastAsiaTheme="majorEastAsia" w:hAnsi="Arial" w:cs="Arial"/>
          <w:i/>
          <w:iCs/>
        </w:rPr>
        <w:t>Education Facing Contemporary World Issues</w:t>
      </w:r>
      <w:r w:rsidRPr="00C921A0">
        <w:rPr>
          <w:rFonts w:ascii="Arial" w:hAnsi="Arial" w:cs="Arial"/>
        </w:rPr>
        <w:t>, vol 67. European Proceedings of Social and Behavioural Sciences (pp. 464-471). Future Academy. https://doi.org/10.15405/epsbs.2019.08.03.55</w:t>
      </w:r>
    </w:p>
    <w:p w14:paraId="39742149" w14:textId="77777777" w:rsidR="00E431BC" w:rsidRPr="00C921A0" w:rsidRDefault="00E431BC" w:rsidP="00E431BC">
      <w:pPr>
        <w:spacing w:after="160" w:line="259" w:lineRule="auto"/>
        <w:rPr>
          <w:rFonts w:ascii="Arial" w:hAnsi="Arial" w:cs="Arial"/>
        </w:rPr>
      </w:pPr>
      <w:r w:rsidRPr="00C921A0">
        <w:rPr>
          <w:rFonts w:ascii="Arial" w:hAnsi="Arial" w:cs="Arial"/>
        </w:rPr>
        <w:t>Manera, L. (2022). The Reggio Emilia Approach to Early Childhood Education. An Analysis to Its Inclusive Perspectives and Their Relationships to Aesthetic Aspects. https://doi.org/10.1007/978-3-031-07492-9_7</w:t>
      </w:r>
    </w:p>
    <w:p w14:paraId="372DBE4B"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Mayo, A., &amp; Siraj, I. (2015). Parenting practices and children’s academic success in low-SES families. </w:t>
      </w:r>
      <w:r w:rsidRPr="00C921A0">
        <w:rPr>
          <w:rFonts w:ascii="Arial" w:eastAsiaTheme="majorEastAsia" w:hAnsi="Arial" w:cs="Arial"/>
          <w:i/>
          <w:iCs/>
        </w:rPr>
        <w:t>Oxford Review of Education</w:t>
      </w:r>
      <w:r w:rsidRPr="00C921A0">
        <w:rPr>
          <w:rFonts w:ascii="Arial" w:hAnsi="Arial" w:cs="Arial"/>
        </w:rPr>
        <w:t>. https://doi.org/10.1080/03054985.2014.995160</w:t>
      </w:r>
    </w:p>
    <w:p w14:paraId="70EA15BD" w14:textId="77777777" w:rsidR="00E431BC" w:rsidRDefault="00E431BC" w:rsidP="00E431BC">
      <w:pPr>
        <w:rPr>
          <w:rFonts w:ascii="Arial" w:hAnsi="Arial" w:cs="Arial"/>
        </w:rPr>
      </w:pPr>
      <w:r w:rsidRPr="00C921A0">
        <w:rPr>
          <w:rFonts w:ascii="Arial" w:hAnsi="Arial" w:cs="Arial"/>
        </w:rPr>
        <w:t xml:space="preserve">McKinney, S. (2014). The relationship of child poverty to school education. </w:t>
      </w:r>
      <w:r w:rsidRPr="00C921A0">
        <w:rPr>
          <w:rFonts w:ascii="Arial" w:eastAsiaTheme="majorEastAsia" w:hAnsi="Arial" w:cs="Arial"/>
          <w:i/>
          <w:iCs/>
        </w:rPr>
        <w:t>Improving Schools</w:t>
      </w:r>
      <w:r w:rsidRPr="00C921A0">
        <w:rPr>
          <w:rFonts w:ascii="Arial" w:hAnsi="Arial" w:cs="Arial"/>
        </w:rPr>
        <w:t xml:space="preserve">, 17(3), 203-216. </w:t>
      </w:r>
      <w:hyperlink r:id="rId20" w:history="1">
        <w:r w:rsidRPr="00C921A0">
          <w:rPr>
            <w:rStyle w:val="Hyperlink"/>
            <w:rFonts w:ascii="Arial" w:hAnsi="Arial" w:cs="Arial"/>
          </w:rPr>
          <w:t>https://doi.org/10.1177/1365480214553742</w:t>
        </w:r>
      </w:hyperlink>
    </w:p>
    <w:p w14:paraId="6729FD63" w14:textId="77777777" w:rsidR="00635DD6" w:rsidRPr="00635DD6" w:rsidRDefault="00635DD6" w:rsidP="00E431BC">
      <w:pPr>
        <w:rPr>
          <w:rFonts w:ascii="Arial" w:hAnsi="Arial" w:cs="Arial"/>
        </w:rPr>
      </w:pPr>
    </w:p>
    <w:p w14:paraId="5F50F356" w14:textId="77777777" w:rsidR="00E431BC" w:rsidRPr="00C921A0" w:rsidRDefault="00E431BC" w:rsidP="00E431BC">
      <w:pPr>
        <w:spacing w:after="160" w:line="259" w:lineRule="auto"/>
        <w:rPr>
          <w:rFonts w:ascii="Arial" w:hAnsi="Arial" w:cs="Arial"/>
        </w:rPr>
      </w:pPr>
      <w:r w:rsidRPr="00635DD6">
        <w:rPr>
          <w:rFonts w:ascii="Arial" w:hAnsi="Arial" w:cs="Arial"/>
        </w:rPr>
        <w:t>Melhuish, E.C., Sylva, K., Sammons, P., Siraj, I., and Taggart, B. (2001). The Effective Provision of Pre-School Education (EPPE) Project: Technical paper 7 - </w:t>
      </w:r>
      <w:r w:rsidRPr="00635DD6">
        <w:rPr>
          <w:rFonts w:ascii="Arial" w:eastAsiaTheme="majorEastAsia" w:hAnsi="Arial" w:cs="Arial"/>
        </w:rPr>
        <w:t>Social/behavioural and Cognitive Development at 3-4 years in relation to family background</w:t>
      </w:r>
      <w:r w:rsidRPr="00635DD6">
        <w:rPr>
          <w:rFonts w:ascii="Arial" w:hAnsi="Arial" w:cs="Arial"/>
        </w:rPr>
        <w:t xml:space="preserve">. London: </w:t>
      </w:r>
      <w:proofErr w:type="spellStart"/>
      <w:r w:rsidRPr="00635DD6">
        <w:rPr>
          <w:rFonts w:ascii="Arial" w:hAnsi="Arial" w:cs="Arial"/>
        </w:rPr>
        <w:t>DfEE</w:t>
      </w:r>
      <w:proofErr w:type="spellEnd"/>
      <w:r w:rsidRPr="00635DD6">
        <w:rPr>
          <w:rFonts w:ascii="Arial" w:hAnsi="Arial" w:cs="Arial"/>
        </w:rPr>
        <w:t xml:space="preserve"> / Institute of Education, University of London.</w:t>
      </w:r>
    </w:p>
    <w:p w14:paraId="3F9417DD" w14:textId="77777777" w:rsidR="00E431BC" w:rsidRDefault="00E431BC" w:rsidP="00E431BC">
      <w:pPr>
        <w:rPr>
          <w:rFonts w:ascii="Arial" w:hAnsi="Arial" w:cs="Arial"/>
        </w:rPr>
      </w:pPr>
      <w:r w:rsidRPr="00C921A0">
        <w:rPr>
          <w:rFonts w:ascii="Arial" w:hAnsi="Arial" w:cs="Arial"/>
        </w:rPr>
        <w:t xml:space="preserve">Meyer, J. H. F., &amp; Land, R. (2003). Threshold concepts and troublesome knowledge. 1. Linkages to ways of thinking and practising. In: Rust, C. (Ed.) </w:t>
      </w:r>
      <w:r w:rsidRPr="00C921A0">
        <w:rPr>
          <w:rFonts w:ascii="Arial" w:eastAsiaTheme="majorEastAsia" w:hAnsi="Arial" w:cs="Arial"/>
          <w:i/>
          <w:iCs/>
        </w:rPr>
        <w:t>Improving Student Learning – Ten Years On</w:t>
      </w:r>
      <w:r w:rsidRPr="00C921A0">
        <w:rPr>
          <w:rFonts w:ascii="Arial" w:hAnsi="Arial" w:cs="Arial"/>
        </w:rPr>
        <w:t>. Oxford Brookes University: Oxford Centre for Staff and Learning Development.</w:t>
      </w:r>
    </w:p>
    <w:p w14:paraId="57953339" w14:textId="77777777" w:rsidR="00635DD6" w:rsidRPr="00635DD6" w:rsidRDefault="00635DD6" w:rsidP="00E431BC">
      <w:pPr>
        <w:rPr>
          <w:rFonts w:ascii="Arial" w:hAnsi="Arial" w:cs="Arial"/>
        </w:rPr>
      </w:pPr>
    </w:p>
    <w:p w14:paraId="2F644929" w14:textId="77777777" w:rsidR="00E431BC" w:rsidRDefault="00E431BC" w:rsidP="00E431BC">
      <w:pPr>
        <w:rPr>
          <w:rFonts w:ascii="Arial" w:hAnsi="Arial" w:cs="Arial"/>
        </w:rPr>
      </w:pPr>
      <w:r w:rsidRPr="00635DD6">
        <w:rPr>
          <w:rFonts w:ascii="Arial" w:hAnsi="Arial" w:cs="Arial"/>
        </w:rPr>
        <w:t xml:space="preserve">Morrison-Love, D., Singh, S., Makara-Fuller, K. (2023) </w:t>
      </w:r>
      <w:proofErr w:type="spellStart"/>
      <w:r w:rsidRPr="00635DD6">
        <w:rPr>
          <w:rFonts w:ascii="Arial" w:hAnsi="Arial" w:cs="Arial"/>
        </w:rPr>
        <w:t>Camau</w:t>
      </w:r>
      <w:proofErr w:type="spellEnd"/>
      <w:r w:rsidRPr="00635DD6">
        <w:rPr>
          <w:rFonts w:ascii="Arial" w:hAnsi="Arial" w:cs="Arial"/>
        </w:rPr>
        <w:t xml:space="preserve"> </w:t>
      </w:r>
      <w:proofErr w:type="spellStart"/>
      <w:r w:rsidRPr="00635DD6">
        <w:rPr>
          <w:rFonts w:ascii="Arial" w:hAnsi="Arial" w:cs="Arial"/>
        </w:rPr>
        <w:t>i’r</w:t>
      </w:r>
      <w:proofErr w:type="spellEnd"/>
      <w:r w:rsidRPr="00635DD6">
        <w:rPr>
          <w:rFonts w:ascii="Arial" w:hAnsi="Arial" w:cs="Arial"/>
        </w:rPr>
        <w:t xml:space="preserve"> </w:t>
      </w:r>
      <w:proofErr w:type="spellStart"/>
      <w:r w:rsidRPr="00635DD6">
        <w:rPr>
          <w:rFonts w:ascii="Arial" w:hAnsi="Arial" w:cs="Arial"/>
        </w:rPr>
        <w:t>Dyfodol</w:t>
      </w:r>
      <w:proofErr w:type="spellEnd"/>
      <w:r w:rsidRPr="00635DD6">
        <w:rPr>
          <w:rFonts w:ascii="Arial" w:hAnsi="Arial" w:cs="Arial"/>
        </w:rPr>
        <w:t xml:space="preserve"> Curriculum for Wales: Evolving understandings of progression in learning Phase 1 report. Retrieved from: </w:t>
      </w:r>
      <w:hyperlink r:id="rId21" w:history="1">
        <w:r w:rsidRPr="00635DD6">
          <w:rPr>
            <w:rStyle w:val="Hyperlink"/>
            <w:rFonts w:ascii="Arial" w:eastAsiaTheme="majorEastAsia" w:hAnsi="Arial" w:cs="Arial"/>
          </w:rPr>
          <w:t>Curriculum for Wales: Evolving understandings of progression in learning</w:t>
        </w:r>
      </w:hyperlink>
    </w:p>
    <w:p w14:paraId="1ABE3B2A" w14:textId="77777777" w:rsidR="00635DD6" w:rsidRPr="00635DD6" w:rsidRDefault="00635DD6" w:rsidP="00E431BC">
      <w:pPr>
        <w:rPr>
          <w:rFonts w:ascii="Arial" w:hAnsi="Arial" w:cs="Arial"/>
        </w:rPr>
      </w:pPr>
    </w:p>
    <w:p w14:paraId="35577580" w14:textId="77777777" w:rsidR="00E431BC" w:rsidRPr="00C921A0" w:rsidRDefault="00E431BC" w:rsidP="00E431BC">
      <w:pPr>
        <w:spacing w:after="160" w:line="259" w:lineRule="auto"/>
        <w:rPr>
          <w:rFonts w:ascii="Arial" w:hAnsi="Arial" w:cs="Arial"/>
        </w:rPr>
      </w:pPr>
      <w:r w:rsidRPr="00635DD6">
        <w:rPr>
          <w:rFonts w:ascii="Arial" w:hAnsi="Arial" w:cs="Arial"/>
        </w:rPr>
        <w:t>Munck, C. and Marschall, A. (2024) ‘Pedagogical boundary work: when the welfare state becomes entangled with family affairs’, </w:t>
      </w:r>
      <w:r w:rsidRPr="00635DD6">
        <w:rPr>
          <w:rFonts w:ascii="Arial" w:hAnsi="Arial" w:cs="Arial"/>
          <w:i/>
          <w:iCs/>
        </w:rPr>
        <w:t>Early Years</w:t>
      </w:r>
      <w:r w:rsidRPr="00635DD6">
        <w:rPr>
          <w:rFonts w:ascii="Arial" w:hAnsi="Arial" w:cs="Arial"/>
        </w:rPr>
        <w:t xml:space="preserve">, pp. 1–15. </w:t>
      </w:r>
      <w:proofErr w:type="spellStart"/>
      <w:r w:rsidRPr="00635DD6">
        <w:rPr>
          <w:rFonts w:ascii="Arial" w:hAnsi="Arial" w:cs="Arial"/>
        </w:rPr>
        <w:t>doi</w:t>
      </w:r>
      <w:proofErr w:type="spellEnd"/>
      <w:r w:rsidRPr="00635DD6">
        <w:rPr>
          <w:rFonts w:ascii="Arial" w:hAnsi="Arial" w:cs="Arial"/>
        </w:rPr>
        <w:t>: 10.1080/09575146.2024.2404516.</w:t>
      </w:r>
    </w:p>
    <w:p w14:paraId="77436D8A"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Murphy, A., Greenway, C., &amp; Conn, C. (2024). Negotiating additional learning needs reform in Wales: The voice of the ALNCo. </w:t>
      </w:r>
      <w:r w:rsidRPr="00C921A0">
        <w:rPr>
          <w:rFonts w:ascii="Arial" w:eastAsiaTheme="majorEastAsia" w:hAnsi="Arial" w:cs="Arial"/>
          <w:i/>
          <w:iCs/>
        </w:rPr>
        <w:t>British Journal of Special Education</w:t>
      </w:r>
      <w:r w:rsidRPr="00C921A0">
        <w:rPr>
          <w:rFonts w:ascii="Arial" w:hAnsi="Arial" w:cs="Arial"/>
        </w:rPr>
        <w:t>, 00, 1–9. https://doi.org/10.1111/1467-8578.12568</w:t>
      </w:r>
    </w:p>
    <w:p w14:paraId="70CE3041" w14:textId="77777777" w:rsidR="00E431BC" w:rsidRDefault="00E431BC" w:rsidP="00E431BC">
      <w:pPr>
        <w:rPr>
          <w:rFonts w:ascii="Arial" w:hAnsi="Arial" w:cs="Arial"/>
        </w:rPr>
      </w:pPr>
      <w:proofErr w:type="spellStart"/>
      <w:r w:rsidRPr="00C921A0">
        <w:rPr>
          <w:rFonts w:ascii="Arial" w:hAnsi="Arial" w:cs="Arial"/>
        </w:rPr>
        <w:t>Neaum</w:t>
      </w:r>
      <w:proofErr w:type="spellEnd"/>
      <w:r w:rsidRPr="00C921A0">
        <w:rPr>
          <w:rFonts w:ascii="Arial" w:hAnsi="Arial" w:cs="Arial"/>
        </w:rPr>
        <w:t xml:space="preserve">, S. (2016). School readiness and pedagogies of Competence and Performance: theorising the troubled relationship between early years and early years policy. </w:t>
      </w:r>
      <w:r w:rsidRPr="00C921A0">
        <w:rPr>
          <w:rFonts w:ascii="Arial" w:eastAsiaTheme="majorEastAsia" w:hAnsi="Arial" w:cs="Arial"/>
          <w:i/>
          <w:iCs/>
        </w:rPr>
        <w:t>International Journal of Early Years Education</w:t>
      </w:r>
      <w:r w:rsidRPr="00C921A0">
        <w:rPr>
          <w:rFonts w:ascii="Arial" w:hAnsi="Arial" w:cs="Arial"/>
        </w:rPr>
        <w:t xml:space="preserve">, 24(3), 239–253. </w:t>
      </w:r>
      <w:hyperlink r:id="rId22" w:history="1">
        <w:r w:rsidRPr="00C921A0">
          <w:rPr>
            <w:rStyle w:val="Hyperlink"/>
            <w:rFonts w:ascii="Arial" w:hAnsi="Arial" w:cs="Arial"/>
          </w:rPr>
          <w:t>https://doi.org/10.1080/09669760.2016.1205970</w:t>
        </w:r>
      </w:hyperlink>
    </w:p>
    <w:p w14:paraId="3D5A612B" w14:textId="77777777" w:rsidR="00635DD6" w:rsidRPr="00635DD6" w:rsidRDefault="00635DD6" w:rsidP="00E431BC">
      <w:pPr>
        <w:rPr>
          <w:rFonts w:ascii="Arial" w:hAnsi="Arial" w:cs="Arial"/>
        </w:rPr>
      </w:pPr>
    </w:p>
    <w:p w14:paraId="311E27D3" w14:textId="77777777" w:rsidR="00E431BC" w:rsidRPr="00C921A0" w:rsidRDefault="00E431BC" w:rsidP="00E431BC">
      <w:pPr>
        <w:spacing w:after="160" w:line="259" w:lineRule="auto"/>
        <w:rPr>
          <w:rFonts w:ascii="Arial" w:hAnsi="Arial" w:cs="Arial"/>
        </w:rPr>
      </w:pPr>
      <w:r w:rsidRPr="00635DD6">
        <w:rPr>
          <w:rFonts w:ascii="Arial" w:hAnsi="Arial" w:cs="Arial"/>
        </w:rPr>
        <w:t>OECD (2020), </w:t>
      </w:r>
      <w:r w:rsidRPr="00635DD6">
        <w:rPr>
          <w:rFonts w:ascii="Arial" w:hAnsi="Arial" w:cs="Arial"/>
          <w:i/>
          <w:iCs/>
        </w:rPr>
        <w:t>Achieving the New Curriculum for Wales</w:t>
      </w:r>
      <w:r w:rsidRPr="00635DD6">
        <w:rPr>
          <w:rFonts w:ascii="Arial" w:hAnsi="Arial" w:cs="Arial"/>
        </w:rPr>
        <w:t>, Implementing Education Policies, OECD Publishing, Paris, </w:t>
      </w:r>
      <w:hyperlink r:id="rId23" w:history="1">
        <w:r w:rsidRPr="00635DD6">
          <w:rPr>
            <w:rStyle w:val="Hyperlink"/>
            <w:rFonts w:ascii="Arial" w:eastAsiaTheme="majorEastAsia" w:hAnsi="Arial" w:cs="Arial"/>
          </w:rPr>
          <w:t>https://doi.org/10.1787/4b483953-en</w:t>
        </w:r>
      </w:hyperlink>
      <w:r w:rsidRPr="00635DD6">
        <w:rPr>
          <w:rFonts w:ascii="Arial" w:hAnsi="Arial" w:cs="Arial"/>
        </w:rPr>
        <w:t>.</w:t>
      </w:r>
    </w:p>
    <w:p w14:paraId="6CEA8704" w14:textId="77777777" w:rsidR="00E431BC" w:rsidRDefault="00E431BC" w:rsidP="00E431BC">
      <w:pPr>
        <w:rPr>
          <w:rFonts w:ascii="Arial" w:hAnsi="Arial" w:cs="Arial"/>
        </w:rPr>
      </w:pPr>
      <w:r w:rsidRPr="00C921A0">
        <w:rPr>
          <w:rFonts w:ascii="Arial" w:hAnsi="Arial" w:cs="Arial"/>
        </w:rPr>
        <w:t xml:space="preserve">Powell, S., &amp; Smith, K. (2018). </w:t>
      </w:r>
      <w:r w:rsidRPr="00C921A0">
        <w:rPr>
          <w:rFonts w:ascii="Arial" w:eastAsiaTheme="majorEastAsia" w:hAnsi="Arial" w:cs="Arial"/>
          <w:i/>
          <w:iCs/>
        </w:rPr>
        <w:t>An Introduction to Early Childhood Studies</w:t>
      </w:r>
      <w:r w:rsidRPr="00C921A0">
        <w:rPr>
          <w:rFonts w:ascii="Arial" w:hAnsi="Arial" w:cs="Arial"/>
        </w:rPr>
        <w:t xml:space="preserve"> (4th ed.). London: Sage Publications Ltd.</w:t>
      </w:r>
    </w:p>
    <w:p w14:paraId="149094A0" w14:textId="77777777" w:rsidR="00635DD6" w:rsidRPr="00635DD6" w:rsidRDefault="00635DD6" w:rsidP="00E431BC">
      <w:pPr>
        <w:rPr>
          <w:rFonts w:ascii="Arial" w:hAnsi="Arial" w:cs="Arial"/>
        </w:rPr>
      </w:pPr>
    </w:p>
    <w:p w14:paraId="7C4A9B96" w14:textId="77777777" w:rsidR="00E431BC" w:rsidRDefault="00E431BC" w:rsidP="00E431BC">
      <w:pPr>
        <w:rPr>
          <w:rFonts w:ascii="Arial" w:hAnsi="Arial" w:cs="Arial"/>
        </w:rPr>
      </w:pPr>
      <w:r w:rsidRPr="00635DD6">
        <w:rPr>
          <w:rFonts w:ascii="Arial" w:hAnsi="Arial" w:cs="Arial"/>
        </w:rPr>
        <w:t>Priestley, M. (2021) [Blog] Remaking curriculum making: how should we support curriculum development? Available at: </w:t>
      </w:r>
      <w:hyperlink r:id="rId24" w:history="1">
        <w:r w:rsidRPr="00635DD6">
          <w:rPr>
            <w:rStyle w:val="Hyperlink"/>
            <w:rFonts w:ascii="Arial" w:eastAsiaTheme="majorEastAsia" w:hAnsi="Arial" w:cs="Arial"/>
          </w:rPr>
          <w:t>https://mrpriestley.wordpress.com/2021/02/28/remaking-curriculum-making-how-should-we-support-curriculum-development</w:t>
        </w:r>
      </w:hyperlink>
    </w:p>
    <w:p w14:paraId="3A7C5522" w14:textId="77777777" w:rsidR="00635DD6" w:rsidRPr="00635DD6" w:rsidRDefault="00635DD6" w:rsidP="00E431BC">
      <w:pPr>
        <w:rPr>
          <w:rFonts w:ascii="Arial" w:hAnsi="Arial" w:cs="Arial"/>
        </w:rPr>
      </w:pPr>
    </w:p>
    <w:p w14:paraId="553FC280"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Reggio Emilia Approach TM. (no date). Retrieved from: </w:t>
      </w:r>
      <w:hyperlink r:id="rId25" w:history="1">
        <w:r w:rsidRPr="00635DD6">
          <w:rPr>
            <w:rStyle w:val="Hyperlink"/>
            <w:rFonts w:ascii="Arial" w:eastAsiaTheme="majorEastAsia" w:hAnsi="Arial" w:cs="Arial"/>
          </w:rPr>
          <w:t>Reggio Children - Reggio Emilia Approach</w:t>
        </w:r>
      </w:hyperlink>
    </w:p>
    <w:p w14:paraId="0A158FD4"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Rinaldi, C. (2020). The child as citizen: holder of rights and competent. The Reggio Emilia educational experience. </w:t>
      </w:r>
      <w:r w:rsidRPr="00C921A0">
        <w:rPr>
          <w:rFonts w:ascii="Arial" w:eastAsiaTheme="majorEastAsia" w:hAnsi="Arial" w:cs="Arial"/>
          <w:i/>
          <w:iCs/>
        </w:rPr>
        <w:t xml:space="preserve">Miscellanea </w:t>
      </w:r>
      <w:proofErr w:type="spellStart"/>
      <w:r w:rsidRPr="00C921A0">
        <w:rPr>
          <w:rFonts w:ascii="Arial" w:eastAsiaTheme="majorEastAsia" w:hAnsi="Arial" w:cs="Arial"/>
          <w:i/>
          <w:iCs/>
        </w:rPr>
        <w:t>Historico-Iuridica</w:t>
      </w:r>
      <w:proofErr w:type="spellEnd"/>
      <w:r w:rsidRPr="00C921A0">
        <w:rPr>
          <w:rFonts w:ascii="Arial" w:hAnsi="Arial" w:cs="Arial"/>
        </w:rPr>
        <w:t>, 19, 11-22. https://doi.org/10.15290/mhi.2020.19.01.01</w:t>
      </w:r>
    </w:p>
    <w:p w14:paraId="783B7DFF"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Sakr, M., &amp; Kaur, V. (2024). Re-imagining the Froebelian influence on early childhood education as a dynamic and ever-changing web of encounter. </w:t>
      </w:r>
      <w:r w:rsidRPr="00C921A0">
        <w:rPr>
          <w:rFonts w:ascii="Arial" w:eastAsiaTheme="majorEastAsia" w:hAnsi="Arial" w:cs="Arial"/>
          <w:i/>
          <w:iCs/>
        </w:rPr>
        <w:t>Pedagogy, Culture &amp; Society</w:t>
      </w:r>
      <w:r w:rsidRPr="00C921A0">
        <w:rPr>
          <w:rFonts w:ascii="Arial" w:hAnsi="Arial" w:cs="Arial"/>
        </w:rPr>
        <w:t>, 32(4), 923–940. https://doi.org/10.1080/14681366.2024.2355092</w:t>
      </w:r>
    </w:p>
    <w:p w14:paraId="1D5D9281" w14:textId="77777777" w:rsidR="00E431BC" w:rsidRDefault="00E431BC" w:rsidP="00E431BC">
      <w:pPr>
        <w:rPr>
          <w:rFonts w:ascii="Arial" w:hAnsi="Arial" w:cs="Arial"/>
        </w:rPr>
      </w:pPr>
      <w:r w:rsidRPr="00F8003D">
        <w:rPr>
          <w:rFonts w:ascii="Arial" w:hAnsi="Arial" w:cs="Arial"/>
        </w:rPr>
        <w:lastRenderedPageBreak/>
        <w:t xml:space="preserve">Schaerer, M. T. (2018). Advice Giving: A Subtle Pathway to Power. </w:t>
      </w:r>
      <w:r w:rsidRPr="00F8003D">
        <w:rPr>
          <w:rFonts w:ascii="Arial" w:hAnsi="Arial" w:cs="Arial"/>
          <w:i/>
          <w:iCs/>
        </w:rPr>
        <w:t>Sage Journals</w:t>
      </w:r>
      <w:r w:rsidRPr="00F8003D">
        <w:rPr>
          <w:rFonts w:ascii="Arial" w:hAnsi="Arial" w:cs="Arial"/>
        </w:rPr>
        <w:t xml:space="preserve">. Retrieved from </w:t>
      </w:r>
      <w:hyperlink r:id="rId26" w:history="1">
        <w:r w:rsidRPr="00F8003D">
          <w:rPr>
            <w:rStyle w:val="Hyperlink"/>
            <w:rFonts w:ascii="Arial" w:hAnsi="Arial" w:cs="Arial"/>
          </w:rPr>
          <w:t>https://journals.sagepub.com/doi/abs/10.1177/0146167217746341?journalCode=pspc</w:t>
        </w:r>
      </w:hyperlink>
    </w:p>
    <w:p w14:paraId="38FF31D7" w14:textId="77777777" w:rsidR="00635DD6" w:rsidRPr="00635DD6" w:rsidRDefault="00635DD6" w:rsidP="00E431BC">
      <w:pPr>
        <w:rPr>
          <w:rFonts w:ascii="Arial" w:hAnsi="Arial" w:cs="Arial"/>
        </w:rPr>
      </w:pPr>
    </w:p>
    <w:p w14:paraId="29CA23E0"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Sinnema, C., </w:t>
      </w:r>
      <w:proofErr w:type="spellStart"/>
      <w:r w:rsidRPr="00635DD6">
        <w:rPr>
          <w:rFonts w:ascii="Arial" w:hAnsi="Arial" w:cs="Arial"/>
        </w:rPr>
        <w:t>Nieveen</w:t>
      </w:r>
      <w:proofErr w:type="spellEnd"/>
      <w:r w:rsidRPr="00635DD6">
        <w:rPr>
          <w:rFonts w:ascii="Arial" w:hAnsi="Arial" w:cs="Arial"/>
        </w:rPr>
        <w:t xml:space="preserve">, N., Priestley, M. (2020). ‘Successful futures, successful curriculum: What can Wales learn from international curriculum reforms?’, </w:t>
      </w:r>
      <w:r w:rsidRPr="00635DD6">
        <w:rPr>
          <w:rFonts w:ascii="Arial" w:hAnsi="Arial" w:cs="Arial"/>
          <w:i/>
          <w:iCs/>
        </w:rPr>
        <w:t>The Curriculum Journal</w:t>
      </w:r>
      <w:r w:rsidRPr="00635DD6">
        <w:rPr>
          <w:rFonts w:ascii="Arial" w:hAnsi="Arial" w:cs="Arial"/>
        </w:rPr>
        <w:t xml:space="preserve">, 31, 2020, pp181-201, </w:t>
      </w:r>
      <w:proofErr w:type="gramStart"/>
      <w:r w:rsidRPr="00635DD6">
        <w:rPr>
          <w:rFonts w:ascii="Arial" w:hAnsi="Arial" w:cs="Arial"/>
        </w:rPr>
        <w:t>https://doi.org/10.1002/curj.17;</w:t>
      </w:r>
      <w:proofErr w:type="gramEnd"/>
      <w:r w:rsidRPr="00635DD6">
        <w:rPr>
          <w:rFonts w:ascii="Arial" w:hAnsi="Arial" w:cs="Arial"/>
        </w:rPr>
        <w:t xml:space="preserve">  </w:t>
      </w:r>
    </w:p>
    <w:p w14:paraId="4ACF0704" w14:textId="77777777" w:rsidR="00E431BC" w:rsidRDefault="00E431BC" w:rsidP="00E431BC">
      <w:pPr>
        <w:rPr>
          <w:rFonts w:ascii="Arial" w:hAnsi="Arial" w:cs="Arial"/>
        </w:rPr>
      </w:pPr>
      <w:r w:rsidRPr="00C921A0">
        <w:rPr>
          <w:rFonts w:ascii="Arial" w:hAnsi="Arial" w:cs="Arial"/>
        </w:rPr>
        <w:t xml:space="preserve">Siraj-Blatchford, I., &amp; Sylva, K. (2002, June). Researching Effective Pedagogy in the Early Years (REPEY). Retrieved from dera.ioe.ac.uk: </w:t>
      </w:r>
      <w:hyperlink r:id="rId27" w:history="1">
        <w:r w:rsidRPr="00C921A0">
          <w:rPr>
            <w:rStyle w:val="Hyperlink"/>
            <w:rFonts w:ascii="Arial" w:hAnsi="Arial" w:cs="Arial"/>
          </w:rPr>
          <w:t>https://dera.ioe.ac.uk/id/eprint/4650/1/RR356.pdf</w:t>
        </w:r>
      </w:hyperlink>
    </w:p>
    <w:p w14:paraId="5FEBCF3E" w14:textId="77777777" w:rsidR="00635DD6" w:rsidRPr="00635DD6" w:rsidRDefault="00635DD6" w:rsidP="00E431BC">
      <w:pPr>
        <w:rPr>
          <w:rFonts w:ascii="Arial" w:hAnsi="Arial" w:cs="Arial"/>
        </w:rPr>
      </w:pPr>
    </w:p>
    <w:p w14:paraId="034CF89A"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Siraj-Blatchford, I. (2010). </w:t>
      </w:r>
      <w:r w:rsidRPr="00635DD6">
        <w:rPr>
          <w:rFonts w:ascii="Arial" w:hAnsi="Arial" w:cs="Arial"/>
          <w:i/>
          <w:iCs/>
        </w:rPr>
        <w:t xml:space="preserve">Learning in the home and at school: how working class children ‘succeed against the odds’ </w:t>
      </w:r>
      <w:r w:rsidRPr="00635DD6">
        <w:rPr>
          <w:rFonts w:ascii="Arial" w:eastAsiaTheme="majorEastAsia" w:hAnsi="Arial" w:cs="Arial"/>
        </w:rPr>
        <w:t>British Educational Research Journal Vol. 36, No. 3, June 2010, pp. 463–482</w:t>
      </w:r>
      <w:r w:rsidRPr="00635DD6">
        <w:rPr>
          <w:rFonts w:ascii="Arial" w:hAnsi="Arial" w:cs="Arial"/>
        </w:rPr>
        <w:t xml:space="preserve"> </w:t>
      </w:r>
      <w:hyperlink r:id="rId28" w:history="1">
        <w:r w:rsidRPr="00635DD6">
          <w:rPr>
            <w:rStyle w:val="Hyperlink"/>
            <w:rFonts w:ascii="Arial" w:eastAsiaTheme="majorEastAsia" w:hAnsi="Arial" w:cs="Arial"/>
          </w:rPr>
          <w:t>(99+) Learning in the home and at school: how working class children ‘succeed against the odds’</w:t>
        </w:r>
      </w:hyperlink>
    </w:p>
    <w:p w14:paraId="3AE9DEBF" w14:textId="77777777" w:rsidR="00E431BC" w:rsidRDefault="00E431BC" w:rsidP="00E431BC">
      <w:pPr>
        <w:rPr>
          <w:rFonts w:ascii="Arial" w:hAnsi="Arial" w:cs="Arial"/>
        </w:rPr>
      </w:pPr>
      <w:r w:rsidRPr="00C921A0">
        <w:rPr>
          <w:rFonts w:ascii="Arial" w:hAnsi="Arial" w:cs="Arial"/>
        </w:rPr>
        <w:t xml:space="preserve">Smedley, S., &amp; Hoskins, K. (2018). Finding a place for Froebel’s theories: early years practitioners’ understanding and enactment of learning through play. </w:t>
      </w:r>
      <w:r w:rsidRPr="00C921A0">
        <w:rPr>
          <w:rFonts w:ascii="Arial" w:eastAsiaTheme="majorEastAsia" w:hAnsi="Arial" w:cs="Arial"/>
          <w:i/>
          <w:iCs/>
        </w:rPr>
        <w:t>Early Child Development and Care</w:t>
      </w:r>
      <w:r w:rsidRPr="00C921A0">
        <w:rPr>
          <w:rFonts w:ascii="Arial" w:hAnsi="Arial" w:cs="Arial"/>
        </w:rPr>
        <w:t xml:space="preserve">, 190(8), 1202–1214. </w:t>
      </w:r>
      <w:hyperlink r:id="rId29" w:history="1">
        <w:r w:rsidRPr="00C921A0">
          <w:rPr>
            <w:rStyle w:val="Hyperlink"/>
            <w:rFonts w:ascii="Arial" w:hAnsi="Arial" w:cs="Arial"/>
          </w:rPr>
          <w:t>https://doi.org/10.1080/03004430.2018.1525706</w:t>
        </w:r>
      </w:hyperlink>
    </w:p>
    <w:p w14:paraId="16480782" w14:textId="77777777" w:rsidR="00635DD6" w:rsidRPr="00635DD6" w:rsidRDefault="00635DD6" w:rsidP="00E431BC">
      <w:pPr>
        <w:rPr>
          <w:rFonts w:ascii="Arial" w:hAnsi="Arial" w:cs="Arial"/>
        </w:rPr>
      </w:pPr>
    </w:p>
    <w:p w14:paraId="39132513" w14:textId="77777777" w:rsidR="00E431BC" w:rsidRDefault="00E431BC" w:rsidP="00E431BC">
      <w:pPr>
        <w:rPr>
          <w:rFonts w:ascii="Arial" w:hAnsi="Arial" w:cs="Arial"/>
        </w:rPr>
      </w:pPr>
      <w:r w:rsidRPr="00635DD6">
        <w:rPr>
          <w:rFonts w:ascii="Arial" w:hAnsi="Arial" w:cs="Arial"/>
        </w:rPr>
        <w:t xml:space="preserve">Social Care Wales. (2024) </w:t>
      </w:r>
      <w:r w:rsidRPr="00635DD6">
        <w:rPr>
          <w:rFonts w:ascii="Arial" w:hAnsi="Arial" w:cs="Arial"/>
          <w:i/>
          <w:iCs/>
        </w:rPr>
        <w:t>Find a Qualification</w:t>
      </w:r>
      <w:r w:rsidRPr="00635DD6">
        <w:rPr>
          <w:rFonts w:ascii="Arial" w:hAnsi="Arial" w:cs="Arial"/>
        </w:rPr>
        <w:t xml:space="preserve">. Available at: </w:t>
      </w:r>
      <w:hyperlink r:id="rId30" w:history="1">
        <w:r w:rsidRPr="00635DD6">
          <w:rPr>
            <w:rStyle w:val="Hyperlink"/>
            <w:rFonts w:ascii="Arial" w:eastAsiaTheme="majorEastAsia" w:hAnsi="Arial" w:cs="Arial"/>
          </w:rPr>
          <w:t>Qualification framework for social care, early… | Social Care Wales</w:t>
        </w:r>
      </w:hyperlink>
    </w:p>
    <w:p w14:paraId="24C35944" w14:textId="77777777" w:rsidR="00635DD6" w:rsidRPr="00635DD6" w:rsidRDefault="00635DD6" w:rsidP="00E431BC">
      <w:pPr>
        <w:rPr>
          <w:rFonts w:ascii="Arial" w:hAnsi="Arial" w:cs="Arial"/>
        </w:rPr>
      </w:pPr>
    </w:p>
    <w:p w14:paraId="2E8212A9" w14:textId="77777777" w:rsidR="00E431BC" w:rsidRPr="00C921A0" w:rsidRDefault="00E431BC" w:rsidP="00E431BC">
      <w:pPr>
        <w:spacing w:after="160" w:line="259" w:lineRule="auto"/>
        <w:rPr>
          <w:rFonts w:ascii="Arial" w:hAnsi="Arial" w:cs="Arial"/>
          <w:b/>
          <w:bCs/>
        </w:rPr>
      </w:pPr>
      <w:r w:rsidRPr="00635DD6">
        <w:rPr>
          <w:rFonts w:ascii="Arial" w:hAnsi="Arial" w:cs="Arial"/>
          <w:bCs/>
        </w:rPr>
        <w:t>Stats Wales</w:t>
      </w:r>
      <w:r w:rsidRPr="00AD46C4">
        <w:rPr>
          <w:rFonts w:ascii="Arial" w:hAnsi="Arial" w:cs="Arial"/>
          <w:bCs/>
        </w:rPr>
        <w:t xml:space="preserve">, (2023). </w:t>
      </w:r>
      <w:r w:rsidRPr="00AD46C4">
        <w:rPr>
          <w:rFonts w:ascii="Arial" w:hAnsi="Arial" w:cs="Arial"/>
          <w:i/>
          <w:iCs/>
        </w:rPr>
        <w:t>Pupil Level Annual School Census (PLASC)</w:t>
      </w:r>
      <w:r w:rsidRPr="00AD46C4">
        <w:rPr>
          <w:rFonts w:ascii="Arial" w:hAnsi="Arial" w:cs="Arial"/>
        </w:rPr>
        <w:t xml:space="preserve"> Available at</w:t>
      </w:r>
      <w:r w:rsidRPr="00AD46C4">
        <w:rPr>
          <w:rFonts w:ascii="Arial" w:hAnsi="Arial" w:cs="Arial"/>
          <w:b/>
          <w:bCs/>
        </w:rPr>
        <w:t xml:space="preserve">: </w:t>
      </w:r>
      <w:hyperlink r:id="rId31" w:history="1">
        <w:r w:rsidRPr="00AD46C4">
          <w:rPr>
            <w:rStyle w:val="Hyperlink"/>
            <w:rFonts w:ascii="Arial" w:eastAsiaTheme="majorEastAsia" w:hAnsi="Arial" w:cs="Arial"/>
          </w:rPr>
          <w:t>Pupil Level Annual School Census (PLASC) (</w:t>
        </w:r>
        <w:proofErr w:type="spellStart"/>
        <w:r w:rsidRPr="00AD46C4">
          <w:rPr>
            <w:rStyle w:val="Hyperlink"/>
            <w:rFonts w:ascii="Arial" w:eastAsiaTheme="majorEastAsia" w:hAnsi="Arial" w:cs="Arial"/>
          </w:rPr>
          <w:t>gov.wales</w:t>
        </w:r>
        <w:proofErr w:type="spellEnd"/>
        <w:r w:rsidRPr="00AD46C4">
          <w:rPr>
            <w:rStyle w:val="Hyperlink"/>
            <w:rFonts w:ascii="Arial" w:eastAsiaTheme="majorEastAsia" w:hAnsi="Arial" w:cs="Arial"/>
          </w:rPr>
          <w:t>)</w:t>
        </w:r>
      </w:hyperlink>
    </w:p>
    <w:p w14:paraId="4F129F2E" w14:textId="77777777" w:rsidR="00E431BC" w:rsidRDefault="00E431BC" w:rsidP="00E431BC">
      <w:pPr>
        <w:rPr>
          <w:rFonts w:ascii="Arial" w:hAnsi="Arial" w:cs="Arial"/>
        </w:rPr>
      </w:pPr>
      <w:proofErr w:type="spellStart"/>
      <w:r w:rsidRPr="00C921A0">
        <w:rPr>
          <w:rFonts w:ascii="Arial" w:hAnsi="Arial" w:cs="Arial"/>
        </w:rPr>
        <w:t>Suardi</w:t>
      </w:r>
      <w:proofErr w:type="spellEnd"/>
      <w:r w:rsidRPr="00C921A0">
        <w:rPr>
          <w:rFonts w:ascii="Arial" w:hAnsi="Arial" w:cs="Arial"/>
        </w:rPr>
        <w:t xml:space="preserve">, M., </w:t>
      </w:r>
      <w:proofErr w:type="spellStart"/>
      <w:r w:rsidRPr="00C921A0">
        <w:rPr>
          <w:rFonts w:ascii="Arial" w:hAnsi="Arial" w:cs="Arial"/>
        </w:rPr>
        <w:t>Kurniawati</w:t>
      </w:r>
      <w:proofErr w:type="spellEnd"/>
      <w:r w:rsidRPr="00C921A0">
        <w:rPr>
          <w:rFonts w:ascii="Arial" w:hAnsi="Arial" w:cs="Arial"/>
        </w:rPr>
        <w:t xml:space="preserve">, L., &amp; </w:t>
      </w:r>
      <w:proofErr w:type="spellStart"/>
      <w:r w:rsidRPr="00C921A0">
        <w:rPr>
          <w:rFonts w:ascii="Arial" w:hAnsi="Arial" w:cs="Arial"/>
        </w:rPr>
        <w:t>Rachmawati</w:t>
      </w:r>
      <w:proofErr w:type="spellEnd"/>
      <w:r w:rsidRPr="00C921A0">
        <w:rPr>
          <w:rFonts w:ascii="Arial" w:hAnsi="Arial" w:cs="Arial"/>
        </w:rPr>
        <w:t xml:space="preserve">, Y. (2021). Curiosity in Young Children. </w:t>
      </w:r>
      <w:hyperlink r:id="rId32" w:history="1">
        <w:r w:rsidRPr="00C921A0">
          <w:rPr>
            <w:rStyle w:val="Hyperlink"/>
            <w:rFonts w:ascii="Arial" w:hAnsi="Arial" w:cs="Arial"/>
          </w:rPr>
          <w:t>https://doi.org/10.2991/assehr.k.210322.048</w:t>
        </w:r>
      </w:hyperlink>
    </w:p>
    <w:p w14:paraId="59B378F2" w14:textId="77777777" w:rsidR="00635DD6" w:rsidRPr="00635DD6" w:rsidRDefault="00635DD6" w:rsidP="00E431BC">
      <w:pPr>
        <w:rPr>
          <w:rFonts w:ascii="Arial" w:hAnsi="Arial" w:cs="Arial"/>
        </w:rPr>
      </w:pPr>
    </w:p>
    <w:p w14:paraId="187193FC" w14:textId="77777777" w:rsidR="00E431BC" w:rsidRPr="00C921A0" w:rsidRDefault="00E431BC" w:rsidP="00E431BC">
      <w:pPr>
        <w:spacing w:after="160" w:line="259" w:lineRule="auto"/>
        <w:rPr>
          <w:rFonts w:ascii="Arial" w:hAnsi="Arial" w:cs="Arial"/>
        </w:rPr>
      </w:pPr>
      <w:r w:rsidRPr="003A68A8">
        <w:rPr>
          <w:rFonts w:ascii="Arial" w:hAnsi="Arial" w:cs="Arial"/>
        </w:rPr>
        <w:t xml:space="preserve">Sylva, K., Melhuish, E., Sammons, P., Siraj-Blatchford, I. &amp; Taggart, </w:t>
      </w:r>
      <w:proofErr w:type="gramStart"/>
      <w:r w:rsidRPr="003A68A8">
        <w:rPr>
          <w:rFonts w:ascii="Arial" w:hAnsi="Arial" w:cs="Arial"/>
        </w:rPr>
        <w:t>B..</w:t>
      </w:r>
      <w:proofErr w:type="gramEnd"/>
      <w:r w:rsidRPr="003A68A8">
        <w:rPr>
          <w:rFonts w:ascii="Arial" w:hAnsi="Arial" w:cs="Arial"/>
        </w:rPr>
        <w:t xml:space="preserve"> (2004). </w:t>
      </w:r>
      <w:r w:rsidRPr="003A68A8">
        <w:rPr>
          <w:rFonts w:ascii="Arial" w:hAnsi="Arial" w:cs="Arial"/>
          <w:i/>
          <w:iCs/>
        </w:rPr>
        <w:t>The Effective Provision of Pre-School Education (EPPE) Project.</w:t>
      </w:r>
      <w:r w:rsidRPr="003A68A8">
        <w:rPr>
          <w:rFonts w:ascii="Arial" w:hAnsi="Arial" w:cs="Arial"/>
        </w:rPr>
        <w:t xml:space="preserve"> Retrieved from dera.ioe.ac.uk: https://dera.ioe.ac.uk/id/eprint/18189/2/SSU-SF-2004-01.pdf</w:t>
      </w:r>
    </w:p>
    <w:p w14:paraId="5846F014" w14:textId="77777777" w:rsidR="00E431BC" w:rsidRDefault="00E431BC" w:rsidP="00E431BC">
      <w:pPr>
        <w:rPr>
          <w:rFonts w:ascii="Arial" w:hAnsi="Arial" w:cs="Arial"/>
        </w:rPr>
      </w:pPr>
      <w:r w:rsidRPr="00C921A0">
        <w:rPr>
          <w:rFonts w:ascii="Arial" w:hAnsi="Arial" w:cs="Arial"/>
        </w:rPr>
        <w:t>The Child Minding and Day Care (Wales) Regulations 2010. Available at: The Child Minding and Day Care (Wales) Regulations 2010</w:t>
      </w:r>
    </w:p>
    <w:p w14:paraId="3C5A7894" w14:textId="77777777" w:rsidR="00635DD6" w:rsidRPr="00635DD6" w:rsidRDefault="00635DD6" w:rsidP="00E431BC">
      <w:pPr>
        <w:rPr>
          <w:rFonts w:ascii="Arial" w:hAnsi="Arial" w:cs="Arial"/>
        </w:rPr>
      </w:pPr>
    </w:p>
    <w:p w14:paraId="34751EAF"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Tinney, G. (2023) </w:t>
      </w:r>
      <w:r w:rsidRPr="00635DD6">
        <w:rPr>
          <w:rFonts w:ascii="Arial" w:hAnsi="Arial" w:cs="Arial"/>
          <w:i/>
          <w:iCs/>
        </w:rPr>
        <w:t>Big changes! The Great Outdoors and the Curriculum for Wales</w:t>
      </w:r>
      <w:r w:rsidRPr="00635DD6">
        <w:rPr>
          <w:rFonts w:ascii="Arial" w:hAnsi="Arial" w:cs="Arial"/>
        </w:rPr>
        <w:t>. FORUM for promoting 3 - 19 comprehensive education, 65 (1). pp. 63-75. ISSN 0963-8253</w:t>
      </w:r>
    </w:p>
    <w:p w14:paraId="0C26FD3D"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Tovey, H. (2017). </w:t>
      </w:r>
      <w:r w:rsidRPr="00C921A0">
        <w:rPr>
          <w:rFonts w:ascii="Arial" w:eastAsiaTheme="majorEastAsia" w:hAnsi="Arial" w:cs="Arial"/>
          <w:i/>
          <w:iCs/>
        </w:rPr>
        <w:t>Bringing the Froebel Approach to your Early Years Practice</w:t>
      </w:r>
      <w:r w:rsidRPr="00C921A0">
        <w:rPr>
          <w:rFonts w:ascii="Arial" w:hAnsi="Arial" w:cs="Arial"/>
        </w:rPr>
        <w:t xml:space="preserve"> (2nd ed.). Oxon: Routledge.</w:t>
      </w:r>
    </w:p>
    <w:p w14:paraId="4ECDC295" w14:textId="17F73E51" w:rsidR="00E431BC" w:rsidRDefault="00E431BC" w:rsidP="00E431BC">
      <w:pPr>
        <w:rPr>
          <w:rFonts w:ascii="Arial" w:hAnsi="Arial" w:cs="Arial"/>
        </w:rPr>
      </w:pPr>
      <w:r w:rsidRPr="00C921A0">
        <w:rPr>
          <w:rFonts w:ascii="Arial" w:hAnsi="Arial" w:cs="Arial"/>
        </w:rPr>
        <w:t xml:space="preserve">Tovey, H. (2020, March). Froebel's principles and practice today. Retrieved from www.froebel.org.uk: </w:t>
      </w:r>
      <w:hyperlink r:id="rId33" w:history="1">
        <w:r w:rsidR="00635DD6" w:rsidRPr="00C921A0">
          <w:rPr>
            <w:rStyle w:val="Hyperlink"/>
            <w:rFonts w:ascii="Arial" w:hAnsi="Arial" w:cs="Arial"/>
          </w:rPr>
          <w:t>https://www.froebel.org.uk/uploads/documents/FT-Froebels-principles-and-practice-today.pdf</w:t>
        </w:r>
      </w:hyperlink>
    </w:p>
    <w:p w14:paraId="5E909A1A" w14:textId="77777777" w:rsidR="00635DD6" w:rsidRPr="00635DD6" w:rsidRDefault="00635DD6" w:rsidP="00E431BC">
      <w:pPr>
        <w:rPr>
          <w:rFonts w:ascii="Arial" w:hAnsi="Arial" w:cs="Arial"/>
        </w:rPr>
      </w:pPr>
    </w:p>
    <w:p w14:paraId="46AEBB86" w14:textId="77777777" w:rsidR="00E431BC" w:rsidRPr="00C921A0" w:rsidRDefault="00E431BC" w:rsidP="00E431BC">
      <w:pPr>
        <w:spacing w:after="160" w:line="259" w:lineRule="auto"/>
        <w:rPr>
          <w:rFonts w:ascii="Arial" w:hAnsi="Arial" w:cs="Arial"/>
        </w:rPr>
      </w:pPr>
      <w:r w:rsidRPr="00635DD6">
        <w:rPr>
          <w:rFonts w:ascii="Arial" w:hAnsi="Arial" w:cs="Arial"/>
        </w:rPr>
        <w:lastRenderedPageBreak/>
        <w:t>van Aswegen, E. C. and Pendergast, D. (2023) ‘The impact of interest: an emergent model of interest development in the early years’, </w:t>
      </w:r>
      <w:r w:rsidRPr="00635DD6">
        <w:rPr>
          <w:rFonts w:ascii="Arial" w:hAnsi="Arial" w:cs="Arial"/>
          <w:i/>
          <w:iCs/>
        </w:rPr>
        <w:t>Early Child Development and Care</w:t>
      </w:r>
      <w:r w:rsidRPr="00635DD6">
        <w:rPr>
          <w:rFonts w:ascii="Arial" w:hAnsi="Arial" w:cs="Arial"/>
        </w:rPr>
        <w:t xml:space="preserve">, 193(13–14), pp. 1335–1349. </w:t>
      </w:r>
      <w:proofErr w:type="spellStart"/>
      <w:r w:rsidRPr="00635DD6">
        <w:rPr>
          <w:rFonts w:ascii="Arial" w:hAnsi="Arial" w:cs="Arial"/>
        </w:rPr>
        <w:t>doi</w:t>
      </w:r>
      <w:proofErr w:type="spellEnd"/>
      <w:r w:rsidRPr="00635DD6">
        <w:rPr>
          <w:rFonts w:ascii="Arial" w:hAnsi="Arial" w:cs="Arial"/>
        </w:rPr>
        <w:t>: 10.1080/03004430.2023.2245575.</w:t>
      </w:r>
    </w:p>
    <w:p w14:paraId="385CE503"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Wadsworth, B. (1996). </w:t>
      </w:r>
      <w:r w:rsidRPr="00C921A0">
        <w:rPr>
          <w:rFonts w:ascii="Arial" w:eastAsiaTheme="majorEastAsia" w:hAnsi="Arial" w:cs="Arial"/>
          <w:i/>
          <w:iCs/>
        </w:rPr>
        <w:t>Piaget's Theory of Cognitive and Affective Development</w:t>
      </w:r>
      <w:r w:rsidRPr="00C921A0">
        <w:rPr>
          <w:rFonts w:ascii="Arial" w:hAnsi="Arial" w:cs="Arial"/>
        </w:rPr>
        <w:t xml:space="preserve"> (5th ed.).</w:t>
      </w:r>
    </w:p>
    <w:p w14:paraId="5ECA7C0E"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Waters-Davies, J., &amp; MacDonald, N. (2022). The capable child as a threshold concept for inclusive early childhood education and care. In Conn, C., &amp; Murphy, A. (Eds.), </w:t>
      </w:r>
      <w:r w:rsidRPr="00C921A0">
        <w:rPr>
          <w:rFonts w:ascii="Arial" w:eastAsiaTheme="majorEastAsia" w:hAnsi="Arial" w:cs="Arial"/>
          <w:i/>
          <w:iCs/>
        </w:rPr>
        <w:t>Inclusive Pedagogies for Early Childhood Education: Respecting and Responding to Differences in Learning</w:t>
      </w:r>
      <w:r w:rsidRPr="00C921A0">
        <w:rPr>
          <w:rFonts w:ascii="Arial" w:hAnsi="Arial" w:cs="Arial"/>
        </w:rPr>
        <w:t>. London: Taylor and Francis.</w:t>
      </w:r>
    </w:p>
    <w:p w14:paraId="1906085E" w14:textId="77777777" w:rsidR="00E431BC" w:rsidRDefault="00E431BC" w:rsidP="00E431BC">
      <w:pPr>
        <w:rPr>
          <w:rFonts w:ascii="Arial" w:hAnsi="Arial" w:cs="Arial"/>
        </w:rPr>
      </w:pPr>
      <w:r w:rsidRPr="00C921A0">
        <w:rPr>
          <w:rFonts w:ascii="Arial" w:hAnsi="Arial" w:cs="Arial"/>
        </w:rPr>
        <w:t xml:space="preserve">Waters-Davies, J., &amp; MacDonald, N. (2022). The capable child as a threshold concept for inclusive early childhood education and care. [Online] Available at: </w:t>
      </w:r>
      <w:hyperlink r:id="rId34" w:anchor=":~:text=The%20conceptual%20construction%20of%20the%20capable%20child%20is,otherwise%20%E2%80%93%20nature%20of%20early%20childhood" w:history="1">
        <w:r w:rsidRPr="00C921A0">
          <w:rPr>
            <w:rStyle w:val="Hyperlink"/>
            <w:rFonts w:ascii="Arial" w:hAnsi="Arial" w:cs="Arial"/>
          </w:rPr>
          <w:t>https://www.childreninwales.org.uk/application/files/8416/9020/8945/Jane</w:t>
        </w:r>
        <w:r w:rsidRPr="00C921A0">
          <w:rPr>
            <w:rStyle w:val="Hyperlink"/>
            <w:rFonts w:ascii="Arial" w:eastAsiaTheme="majorEastAsia" w:hAnsi="Arial" w:cs="Arial"/>
            <w:i/>
            <w:iCs/>
          </w:rPr>
          <w:t>Waters-Davies</w:t>
        </w:r>
        <w:r w:rsidRPr="00C921A0">
          <w:rPr>
            <w:rStyle w:val="Hyperlink"/>
            <w:rFonts w:ascii="Arial" w:hAnsi="Arial" w:cs="Arial"/>
          </w:rPr>
          <w:t>and</w:t>
        </w:r>
        <w:r w:rsidRPr="00C921A0">
          <w:rPr>
            <w:rStyle w:val="Hyperlink"/>
            <w:rFonts w:ascii="Arial" w:eastAsiaTheme="majorEastAsia" w:hAnsi="Arial" w:cs="Arial"/>
            <w:i/>
            <w:iCs/>
          </w:rPr>
          <w:t>Natalie</w:t>
        </w:r>
        <w:r w:rsidRPr="00C921A0">
          <w:rPr>
            <w:rStyle w:val="Hyperlink"/>
            <w:rFonts w:ascii="Arial" w:hAnsi="Arial" w:cs="Arial"/>
          </w:rPr>
          <w:t>MacDonald_presentation.pdf#:~:text=The%20conceptual%20construction%20of%20the%20capable%20child%20is,otherwise%20%E2%80%93%20nature%20of%20early%20childhood</w:t>
        </w:r>
      </w:hyperlink>
    </w:p>
    <w:p w14:paraId="07916427" w14:textId="77777777" w:rsidR="004F325E" w:rsidRPr="00635DD6" w:rsidRDefault="004F325E" w:rsidP="00E431BC">
      <w:pPr>
        <w:rPr>
          <w:rFonts w:ascii="Arial" w:hAnsi="Arial" w:cs="Arial"/>
        </w:rPr>
      </w:pPr>
    </w:p>
    <w:p w14:paraId="177BCB7A" w14:textId="77777777" w:rsidR="00E431BC" w:rsidRDefault="00E431BC" w:rsidP="00E431BC">
      <w:pPr>
        <w:rPr>
          <w:rFonts w:ascii="Arial" w:hAnsi="Arial" w:cs="Arial"/>
        </w:rPr>
      </w:pPr>
      <w:r w:rsidRPr="00635DD6">
        <w:rPr>
          <w:rFonts w:ascii="Arial" w:hAnsi="Arial" w:cs="Arial"/>
        </w:rPr>
        <w:t xml:space="preserve">Welsh Government. (2015). Cabinet statement. Written Statement - A curriculum </w:t>
      </w:r>
      <w:proofErr w:type="gramStart"/>
      <w:r w:rsidRPr="00635DD6">
        <w:rPr>
          <w:rFonts w:ascii="Arial" w:hAnsi="Arial" w:cs="Arial"/>
        </w:rPr>
        <w:t>for  Wales</w:t>
      </w:r>
      <w:proofErr w:type="gramEnd"/>
      <w:r w:rsidRPr="00635DD6">
        <w:rPr>
          <w:rFonts w:ascii="Arial" w:hAnsi="Arial" w:cs="Arial"/>
        </w:rPr>
        <w:t xml:space="preserve">, a curriculum for life. Available at: </w:t>
      </w:r>
      <w:hyperlink r:id="rId35" w:history="1">
        <w:r w:rsidRPr="00635DD6">
          <w:rPr>
            <w:rStyle w:val="Hyperlink"/>
            <w:rFonts w:ascii="Arial" w:eastAsiaTheme="majorEastAsia" w:hAnsi="Arial" w:cs="Arial"/>
          </w:rPr>
          <w:t>Written Statement - A curriculum for  Wales, a curriculum for life (22 October 2015) | GOV.WALES</w:t>
        </w:r>
      </w:hyperlink>
    </w:p>
    <w:p w14:paraId="18738C9A" w14:textId="77777777" w:rsidR="004F325E" w:rsidRPr="00635DD6" w:rsidRDefault="004F325E" w:rsidP="00E431BC">
      <w:pPr>
        <w:rPr>
          <w:rFonts w:ascii="Arial" w:hAnsi="Arial" w:cs="Arial"/>
        </w:rPr>
      </w:pPr>
    </w:p>
    <w:p w14:paraId="0339CC2F" w14:textId="77777777" w:rsidR="00E431BC" w:rsidRDefault="00E431BC" w:rsidP="00E431BC">
      <w:pPr>
        <w:rPr>
          <w:rFonts w:ascii="Arial" w:hAnsi="Arial" w:cs="Arial"/>
        </w:rPr>
      </w:pPr>
      <w:r w:rsidRPr="00635DD6">
        <w:rPr>
          <w:rFonts w:ascii="Arial" w:hAnsi="Arial" w:cs="Arial"/>
        </w:rPr>
        <w:t xml:space="preserve">Welsh Government. (2016). Cabinet statement Written Statement - Successful Futures Programme. Available at: </w:t>
      </w:r>
      <w:hyperlink r:id="rId36" w:anchor=":~:text=My%20acceptance%20last%20July%20of%20all%20the%20recommendations,radical%20changes%20to%20teaching%20and%20learning%20in%20Wales." w:history="1">
        <w:r w:rsidRPr="00635DD6">
          <w:rPr>
            <w:rStyle w:val="Hyperlink"/>
            <w:rFonts w:ascii="Arial" w:eastAsiaTheme="majorEastAsia" w:hAnsi="Arial" w:cs="Arial"/>
          </w:rPr>
          <w:t>Written Statement - Successful Futures Programme (15 March 2016) | GOV.WALES</w:t>
        </w:r>
      </w:hyperlink>
    </w:p>
    <w:p w14:paraId="3FF9C705" w14:textId="77777777" w:rsidR="004F325E" w:rsidRPr="00635DD6" w:rsidRDefault="004F325E" w:rsidP="00E431BC">
      <w:pPr>
        <w:rPr>
          <w:rFonts w:ascii="Arial" w:hAnsi="Arial" w:cs="Arial"/>
        </w:rPr>
      </w:pPr>
    </w:p>
    <w:p w14:paraId="5B5AD7C7" w14:textId="77777777" w:rsidR="00E431BC" w:rsidRPr="00C921A0" w:rsidRDefault="00E431BC" w:rsidP="00E431BC">
      <w:pPr>
        <w:spacing w:after="160" w:line="259" w:lineRule="auto"/>
        <w:rPr>
          <w:rFonts w:ascii="Arial" w:hAnsi="Arial" w:cs="Arial"/>
        </w:rPr>
      </w:pPr>
      <w:r w:rsidRPr="00635DD6">
        <w:rPr>
          <w:rFonts w:ascii="Arial" w:hAnsi="Arial" w:cs="Arial"/>
        </w:rPr>
        <w:t xml:space="preserve">Welsh Government. (April 2020 – June 2020) </w:t>
      </w:r>
      <w:r w:rsidRPr="00635DD6">
        <w:rPr>
          <w:rFonts w:ascii="Arial" w:hAnsi="Arial" w:cs="Arial"/>
          <w:i/>
          <w:iCs/>
        </w:rPr>
        <w:t xml:space="preserve">Coronavirus - Childcare Assistance Scheme (CCAS) for Critical Workers and Vulnerable Children Guidance for Local Authorities in Wales </w:t>
      </w:r>
      <w:r w:rsidRPr="00635DD6">
        <w:rPr>
          <w:rFonts w:ascii="Arial" w:hAnsi="Arial" w:cs="Arial"/>
        </w:rPr>
        <w:t>Link no longer available</w:t>
      </w:r>
    </w:p>
    <w:p w14:paraId="4714C9AF"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Welsh Government. (2022, January 10). </w:t>
      </w:r>
      <w:r w:rsidRPr="00C921A0">
        <w:rPr>
          <w:rFonts w:ascii="Arial" w:eastAsiaTheme="majorEastAsia" w:hAnsi="Arial" w:cs="Arial"/>
          <w:i/>
          <w:iCs/>
        </w:rPr>
        <w:t>A curriculum for funded non-maintained nursery settings</w:t>
      </w:r>
      <w:r w:rsidRPr="00C921A0">
        <w:rPr>
          <w:rFonts w:ascii="Arial" w:hAnsi="Arial" w:cs="Arial"/>
        </w:rPr>
        <w:t>. Retrieved from www.hwb.gov.wales: https://hwb.gov.wales/api/storage/b1801d78-38c3-4320-9818-d9996c21aef8/220914-a-curriculum-for-funded-non-maintained-nursery-settings.pdf</w:t>
      </w:r>
    </w:p>
    <w:p w14:paraId="038A07A2"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Welsh Government. (2023, April 17). </w:t>
      </w:r>
      <w:r w:rsidRPr="00C921A0">
        <w:rPr>
          <w:rFonts w:ascii="Arial" w:eastAsiaTheme="majorEastAsia" w:hAnsi="Arial" w:cs="Arial"/>
          <w:i/>
          <w:iCs/>
        </w:rPr>
        <w:t>Flying Start childcare: guidance</w:t>
      </w:r>
      <w:r w:rsidRPr="00C921A0">
        <w:rPr>
          <w:rFonts w:ascii="Arial" w:hAnsi="Arial" w:cs="Arial"/>
        </w:rPr>
        <w:t>. Retrieved from www.gov.wales: https://www.gov.wales/sites/default/files/pdf-versions/2023/6/4/1686230038/flying-start-childcare-guidance.pdf</w:t>
      </w:r>
    </w:p>
    <w:p w14:paraId="61538926"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Welsh Government. (2022, March). </w:t>
      </w:r>
      <w:r w:rsidRPr="00C921A0">
        <w:rPr>
          <w:rFonts w:ascii="Arial" w:eastAsiaTheme="majorEastAsia" w:hAnsi="Arial" w:cs="Arial"/>
          <w:i/>
          <w:iCs/>
        </w:rPr>
        <w:t>Phased expansion of Early Years Provision</w:t>
      </w:r>
      <w:r w:rsidRPr="00C921A0">
        <w:rPr>
          <w:rFonts w:ascii="Arial" w:hAnsi="Arial" w:cs="Arial"/>
        </w:rPr>
        <w:t>. Retrieved from www.gov.wales: https://www.gov.wales/phased-expansion-early-years-provision</w:t>
      </w:r>
    </w:p>
    <w:p w14:paraId="5CC15297"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Welsh Government. (2023, July 05). </w:t>
      </w:r>
      <w:r w:rsidRPr="00C921A0">
        <w:rPr>
          <w:rFonts w:ascii="Arial" w:eastAsiaTheme="majorEastAsia" w:hAnsi="Arial" w:cs="Arial"/>
          <w:i/>
          <w:iCs/>
        </w:rPr>
        <w:t>Assessment arrangements for funded non-maintained nursery settings</w:t>
      </w:r>
      <w:r w:rsidRPr="00C921A0">
        <w:rPr>
          <w:rFonts w:ascii="Arial" w:hAnsi="Arial" w:cs="Arial"/>
        </w:rPr>
        <w:t>. Retrieved from www.hwb.gov.wales: https://hwb.gov.wales/api/storage/c05430f0-b9d3-4d5e-92a3-8ec30a60ddf1/assessment-arrangements-for-funded-non-maintained-nursery-settings.pdf</w:t>
      </w:r>
    </w:p>
    <w:p w14:paraId="7F8A583F" w14:textId="77777777" w:rsidR="00E431BC" w:rsidRPr="00C921A0" w:rsidRDefault="00E431BC" w:rsidP="00E431BC">
      <w:pPr>
        <w:spacing w:after="160" w:line="259" w:lineRule="auto"/>
        <w:rPr>
          <w:rFonts w:ascii="Arial" w:hAnsi="Arial" w:cs="Arial"/>
        </w:rPr>
      </w:pPr>
      <w:r w:rsidRPr="00C921A0">
        <w:rPr>
          <w:rFonts w:ascii="Arial" w:hAnsi="Arial" w:cs="Arial"/>
        </w:rPr>
        <w:lastRenderedPageBreak/>
        <w:t xml:space="preserve">Welsh Government. (2023, June 30). </w:t>
      </w:r>
      <w:r w:rsidRPr="00C921A0">
        <w:rPr>
          <w:rFonts w:ascii="Arial" w:eastAsiaTheme="majorEastAsia" w:hAnsi="Arial" w:cs="Arial"/>
          <w:i/>
          <w:iCs/>
        </w:rPr>
        <w:t>Early Childhood Play Learning and Care in Wales</w:t>
      </w:r>
      <w:r w:rsidRPr="00C921A0">
        <w:rPr>
          <w:rFonts w:ascii="Arial" w:hAnsi="Arial" w:cs="Arial"/>
        </w:rPr>
        <w:t>. Retrieved from www.hwb.gov.wales: https://hwb.gov.wales/curriculum-for-wales/early-childhood-play-learning-and-care-in-wales/</w:t>
      </w:r>
    </w:p>
    <w:p w14:paraId="79687094" w14:textId="77777777" w:rsidR="00E431BC" w:rsidRPr="00C921A0" w:rsidRDefault="00E431BC" w:rsidP="00E431BC">
      <w:pPr>
        <w:spacing w:after="160" w:line="259" w:lineRule="auto"/>
        <w:rPr>
          <w:rFonts w:ascii="Arial" w:hAnsi="Arial" w:cs="Arial"/>
        </w:rPr>
      </w:pPr>
      <w:r w:rsidRPr="00C921A0">
        <w:rPr>
          <w:rFonts w:ascii="Arial" w:hAnsi="Arial" w:cs="Arial"/>
        </w:rPr>
        <w:t xml:space="preserve">Welsh Government. (2023, June 30). </w:t>
      </w:r>
      <w:r w:rsidRPr="00C921A0">
        <w:rPr>
          <w:rFonts w:ascii="Arial" w:eastAsiaTheme="majorEastAsia" w:hAnsi="Arial" w:cs="Arial"/>
          <w:i/>
          <w:iCs/>
        </w:rPr>
        <w:t>Early childhood play, learning and care: Developmental pathways 0 to 3</w:t>
      </w:r>
      <w:r w:rsidRPr="00C921A0">
        <w:rPr>
          <w:rFonts w:ascii="Arial" w:hAnsi="Arial" w:cs="Arial"/>
        </w:rPr>
        <w:t>. Retrieved from www.hwb.gov.wales: https://hwb.gov.wales/api/storage/56774946-48aa-4fab-adda-f27508d8dc8f/early-childhood-play-learning-and-care-developmental-pathways-0-to-3.pdf</w:t>
      </w:r>
    </w:p>
    <w:p w14:paraId="36B3DC2C" w14:textId="77777777" w:rsidR="00E431BC" w:rsidRDefault="00E431BC" w:rsidP="00E431BC">
      <w:pPr>
        <w:rPr>
          <w:rFonts w:ascii="Arial" w:hAnsi="Arial" w:cs="Arial"/>
        </w:rPr>
      </w:pPr>
      <w:r w:rsidRPr="00C921A0">
        <w:rPr>
          <w:rFonts w:ascii="Arial" w:hAnsi="Arial" w:cs="Arial"/>
        </w:rPr>
        <w:t xml:space="preserve">Welsh Government. (2023, November 7). </w:t>
      </w:r>
      <w:r w:rsidRPr="00C921A0">
        <w:rPr>
          <w:rFonts w:ascii="Arial" w:eastAsiaTheme="majorEastAsia" w:hAnsi="Arial" w:cs="Arial"/>
          <w:i/>
          <w:iCs/>
        </w:rPr>
        <w:t>National Minimum Standards for Regulated Childcare for children up to the age of 12 years</w:t>
      </w:r>
      <w:r w:rsidRPr="00C921A0">
        <w:rPr>
          <w:rFonts w:ascii="Arial" w:hAnsi="Arial" w:cs="Arial"/>
        </w:rPr>
        <w:t xml:space="preserve">. Retrieved from www.gov.wales: </w:t>
      </w:r>
      <w:hyperlink r:id="rId37" w:history="1">
        <w:r w:rsidRPr="00C921A0">
          <w:rPr>
            <w:rStyle w:val="Hyperlink"/>
            <w:rFonts w:ascii="Arial" w:hAnsi="Arial" w:cs="Arial"/>
          </w:rPr>
          <w:t>https://www.gov.wales/sites/default/files/publications/2023-11/national-minimum-standards-for-regulated-childcare_0.pdf</w:t>
        </w:r>
      </w:hyperlink>
    </w:p>
    <w:p w14:paraId="1208395C" w14:textId="77777777" w:rsidR="004F325E" w:rsidRPr="00635DD6" w:rsidRDefault="004F325E" w:rsidP="00E431BC">
      <w:pPr>
        <w:rPr>
          <w:rFonts w:ascii="Arial" w:hAnsi="Arial" w:cs="Arial"/>
        </w:rPr>
      </w:pPr>
    </w:p>
    <w:p w14:paraId="2D1247F2" w14:textId="77777777" w:rsidR="00E431BC" w:rsidRPr="00C921A0" w:rsidRDefault="00E431BC" w:rsidP="00E431BC">
      <w:pPr>
        <w:spacing w:after="160" w:line="259" w:lineRule="auto"/>
        <w:rPr>
          <w:rFonts w:ascii="Arial" w:hAnsi="Arial" w:cs="Arial"/>
          <w:b/>
          <w:bCs/>
        </w:rPr>
      </w:pPr>
      <w:r w:rsidRPr="00635DD6">
        <w:rPr>
          <w:rFonts w:ascii="Arial" w:hAnsi="Arial" w:cs="Arial"/>
        </w:rPr>
        <w:t xml:space="preserve">Welsh Government. (2024) </w:t>
      </w:r>
      <w:r w:rsidRPr="00635DD6">
        <w:rPr>
          <w:rFonts w:ascii="Arial" w:eastAsiaTheme="minorHAnsi" w:hAnsi="Arial" w:cs="Arial"/>
          <w:i/>
          <w:iCs/>
        </w:rPr>
        <w:t>Child Poverty Strategy for Wales 2024</w:t>
      </w:r>
      <w:r w:rsidRPr="00635DD6">
        <w:rPr>
          <w:rFonts w:ascii="Arial" w:hAnsi="Arial" w:cs="Arial"/>
          <w:i/>
          <w:iCs/>
        </w:rPr>
        <w:t xml:space="preserve">. </w:t>
      </w:r>
      <w:r w:rsidRPr="00635DD6">
        <w:rPr>
          <w:rFonts w:ascii="Arial" w:hAnsi="Arial" w:cs="Arial"/>
        </w:rPr>
        <w:t xml:space="preserve">Retrieved from </w:t>
      </w:r>
      <w:hyperlink r:id="rId38" w:history="1">
        <w:r w:rsidRPr="00635DD6">
          <w:rPr>
            <w:rStyle w:val="Hyperlink"/>
            <w:rFonts w:ascii="Arial" w:eastAsiaTheme="majorEastAsia" w:hAnsi="Arial" w:cs="Arial"/>
          </w:rPr>
          <w:t>Child Poverty Strategy for Wales 2024 [HTML] | GOV.WALES</w:t>
        </w:r>
      </w:hyperlink>
    </w:p>
    <w:p w14:paraId="315EDF17" w14:textId="77777777" w:rsidR="00E431BC" w:rsidRPr="00635DD6" w:rsidRDefault="00E431BC" w:rsidP="00E431BC">
      <w:pPr>
        <w:rPr>
          <w:rFonts w:ascii="Arial" w:hAnsi="Arial" w:cs="Arial"/>
        </w:rPr>
      </w:pPr>
      <w:r w:rsidRPr="00C921A0">
        <w:rPr>
          <w:rFonts w:ascii="Arial" w:hAnsi="Arial" w:cs="Arial"/>
        </w:rPr>
        <w:t xml:space="preserve">Woodhouse, S. S., Powell, B., Cooper, G., Hoffman, K., &amp; Cassidy, J. (2018). The circle of security intervention: Design, research, and implementation. In H. Steele &amp; M. Steele (Eds.), </w:t>
      </w:r>
      <w:r w:rsidRPr="00C921A0">
        <w:rPr>
          <w:rFonts w:ascii="Arial" w:eastAsiaTheme="majorEastAsia" w:hAnsi="Arial" w:cs="Arial"/>
          <w:i/>
          <w:iCs/>
        </w:rPr>
        <w:t>Handbook of attachment-based interventions</w:t>
      </w:r>
      <w:r w:rsidRPr="00C921A0">
        <w:rPr>
          <w:rFonts w:ascii="Arial" w:hAnsi="Arial" w:cs="Arial"/>
        </w:rPr>
        <w:t xml:space="preserve"> (pp. 50–78). The Guilford Press.</w:t>
      </w:r>
    </w:p>
    <w:p w14:paraId="3BB69A94" w14:textId="77777777" w:rsidR="00E431BC" w:rsidRPr="00C37970" w:rsidRDefault="00E431BC" w:rsidP="00C37970">
      <w:pPr>
        <w:rPr>
          <w:rFonts w:ascii="Arial" w:hAnsi="Arial" w:cs="Arial"/>
        </w:rPr>
      </w:pPr>
    </w:p>
    <w:p w14:paraId="2D8A4C02" w14:textId="77777777" w:rsidR="00121FF1" w:rsidRPr="00C37970" w:rsidRDefault="00121FF1" w:rsidP="00C37970">
      <w:pPr>
        <w:ind w:left="360"/>
        <w:rPr>
          <w:rFonts w:ascii="Arial" w:hAnsi="Arial" w:cs="Arial"/>
        </w:rPr>
      </w:pPr>
      <w:r w:rsidRPr="00C37970">
        <w:rPr>
          <w:rFonts w:ascii="Arial" w:eastAsiaTheme="majorEastAsia" w:hAnsi="Arial" w:cs="Arial"/>
          <w:i/>
          <w:iCs/>
        </w:rPr>
        <w:t xml:space="preserve"> </w:t>
      </w:r>
      <w:r w:rsidRPr="00C37970">
        <w:rPr>
          <w:rFonts w:ascii="Arial" w:hAnsi="Arial" w:cs="Arial"/>
        </w:rPr>
        <w:t xml:space="preserve"> </w:t>
      </w:r>
    </w:p>
    <w:p w14:paraId="59368B68" w14:textId="77777777" w:rsidR="00645B36" w:rsidRPr="00C37970" w:rsidRDefault="00645B36" w:rsidP="00C37970">
      <w:pPr>
        <w:rPr>
          <w:rFonts w:ascii="Arial" w:hAnsi="Arial" w:cs="Arial"/>
        </w:rPr>
      </w:pPr>
    </w:p>
    <w:p w14:paraId="36788C7D" w14:textId="77777777" w:rsidR="00645B36" w:rsidRPr="00C37970" w:rsidRDefault="00645B36" w:rsidP="00C37970">
      <w:pPr>
        <w:rPr>
          <w:rFonts w:ascii="Arial" w:hAnsi="Arial" w:cs="Arial"/>
        </w:rPr>
      </w:pPr>
    </w:p>
    <w:p w14:paraId="55F59A4F" w14:textId="77777777" w:rsidR="00B1156A" w:rsidRPr="00C37970" w:rsidRDefault="00B1156A" w:rsidP="00C37970">
      <w:pPr>
        <w:rPr>
          <w:rFonts w:ascii="Arial" w:hAnsi="Arial" w:cs="Arial"/>
        </w:rPr>
      </w:pPr>
    </w:p>
    <w:p w14:paraId="578CEE17" w14:textId="77777777" w:rsidR="00B1156A" w:rsidRPr="00C37970" w:rsidRDefault="00B1156A" w:rsidP="00C37970">
      <w:pPr>
        <w:rPr>
          <w:rFonts w:ascii="Arial" w:hAnsi="Arial" w:cs="Arial"/>
        </w:rPr>
      </w:pPr>
    </w:p>
    <w:p w14:paraId="4C6A3E15" w14:textId="77777777" w:rsidR="001F4E44" w:rsidRPr="00C37970" w:rsidRDefault="001F4E44" w:rsidP="00C37970">
      <w:pPr>
        <w:rPr>
          <w:rFonts w:ascii="Arial" w:hAnsi="Arial" w:cs="Arial"/>
        </w:rPr>
      </w:pPr>
    </w:p>
    <w:p w14:paraId="044ED7DC" w14:textId="77777777" w:rsidR="001F4E44" w:rsidRPr="00C37970" w:rsidRDefault="001F4E44" w:rsidP="00C37970">
      <w:pPr>
        <w:rPr>
          <w:rFonts w:ascii="Arial" w:hAnsi="Arial" w:cs="Arial"/>
        </w:rPr>
      </w:pPr>
    </w:p>
    <w:p w14:paraId="6D1B12F2" w14:textId="77777777" w:rsidR="00044759" w:rsidRPr="00C37970" w:rsidRDefault="00044759" w:rsidP="00C37970">
      <w:pPr>
        <w:rPr>
          <w:rFonts w:ascii="Arial" w:hAnsi="Arial" w:cs="Arial"/>
        </w:rPr>
      </w:pPr>
    </w:p>
    <w:p w14:paraId="5714ED56" w14:textId="77777777" w:rsidR="002E0CC2" w:rsidRPr="00C37970" w:rsidRDefault="002E0CC2" w:rsidP="00C37970">
      <w:pPr>
        <w:rPr>
          <w:rFonts w:ascii="Arial" w:hAnsi="Arial" w:cs="Arial"/>
        </w:rPr>
      </w:pPr>
    </w:p>
    <w:sectPr w:rsidR="002E0CC2" w:rsidRPr="00C37970">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A3A3C2" w14:textId="77777777" w:rsidR="00046FBE" w:rsidRDefault="00046FBE" w:rsidP="003C03B6">
      <w:r>
        <w:separator/>
      </w:r>
    </w:p>
  </w:endnote>
  <w:endnote w:type="continuationSeparator" w:id="0">
    <w:p w14:paraId="725E075E" w14:textId="77777777" w:rsidR="00046FBE" w:rsidRDefault="00046FBE" w:rsidP="003C03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73B3C" w14:textId="77777777" w:rsidR="00054007" w:rsidRDefault="000540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8A0967" w14:textId="77777777" w:rsidR="00054007" w:rsidRDefault="000540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B6CB7" w14:textId="77777777" w:rsidR="00054007" w:rsidRDefault="000540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390BF" w14:textId="77777777" w:rsidR="00046FBE" w:rsidRDefault="00046FBE" w:rsidP="003C03B6">
      <w:r>
        <w:separator/>
      </w:r>
    </w:p>
  </w:footnote>
  <w:footnote w:type="continuationSeparator" w:id="0">
    <w:p w14:paraId="48A5BE93" w14:textId="77777777" w:rsidR="00046FBE" w:rsidRDefault="00046FBE" w:rsidP="003C03B6">
      <w:r>
        <w:continuationSeparator/>
      </w:r>
    </w:p>
  </w:footnote>
  <w:footnote w:id="1">
    <w:p w14:paraId="77703F23" w14:textId="77777777" w:rsidR="00121FF1" w:rsidRDefault="00121FF1" w:rsidP="00121FF1">
      <w:pPr>
        <w:pStyle w:val="FootnoteText"/>
      </w:pPr>
      <w:r>
        <w:rPr>
          <w:rStyle w:val="FootnoteReference"/>
        </w:rPr>
        <w:footnoteRef/>
      </w:r>
      <w:r>
        <w:t xml:space="preserve"> </w:t>
      </w:r>
      <w:r w:rsidRPr="00B8771B">
        <w:rPr>
          <w:rFonts w:ascii="Arial" w:hAnsi="Arial" w:cs="Arial"/>
        </w:rPr>
        <w:t>For example, reading with the child, teaching songs and nursery rhymes, painting and drawing, playing with letters and numbers, visiting the library, teaching the alphabet and numbers, taking children on visits and creating regular opportunities for them to play with their friends at home, were all associated with higher intellectual and social/behavioural scores (Mayo and Siraj, 2015)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1E0A1" w14:textId="77777777" w:rsidR="00054007" w:rsidRDefault="000540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A8A0F2" w14:textId="5F2E1426" w:rsidR="003C03B6" w:rsidRDefault="00FF1F9A">
    <w:pPr>
      <w:pStyle w:val="Header"/>
    </w:pPr>
    <w:r w:rsidRPr="00FF1F9A">
      <w:t xml:space="preserve">Critical perspectives in policy, planning and delivery (ECCP7002/C) </w:t>
    </w:r>
    <w:r w:rsidR="00556FD6">
      <w:t>Vikki Curtis 1650885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73A29D" w14:textId="77777777" w:rsidR="00054007" w:rsidRDefault="000540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C6736"/>
    <w:multiLevelType w:val="multilevel"/>
    <w:tmpl w:val="A022C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9458A0"/>
    <w:multiLevelType w:val="hybridMultilevel"/>
    <w:tmpl w:val="36524A0A"/>
    <w:lvl w:ilvl="0" w:tplc="FFFFFFFF">
      <w:start w:val="1"/>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2" w15:restartNumberingAfterBreak="0">
    <w:nsid w:val="1B135C69"/>
    <w:multiLevelType w:val="hybridMultilevel"/>
    <w:tmpl w:val="C27A7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1E6306"/>
    <w:multiLevelType w:val="hybridMultilevel"/>
    <w:tmpl w:val="8940C09A"/>
    <w:lvl w:ilvl="0" w:tplc="F91EBF68">
      <w:start w:val="1"/>
      <w:numFmt w:val="decimal"/>
      <w:lvlText w:val="%1."/>
      <w:lvlJc w:val="left"/>
      <w:pPr>
        <w:tabs>
          <w:tab w:val="num" w:pos="720"/>
        </w:tabs>
        <w:ind w:left="720" w:hanging="360"/>
      </w:pPr>
    </w:lvl>
    <w:lvl w:ilvl="1" w:tplc="79506B9A" w:tentative="1">
      <w:start w:val="1"/>
      <w:numFmt w:val="decimal"/>
      <w:lvlText w:val="%2."/>
      <w:lvlJc w:val="left"/>
      <w:pPr>
        <w:tabs>
          <w:tab w:val="num" w:pos="1440"/>
        </w:tabs>
        <w:ind w:left="1440" w:hanging="360"/>
      </w:pPr>
    </w:lvl>
    <w:lvl w:ilvl="2" w:tplc="525AA476" w:tentative="1">
      <w:start w:val="1"/>
      <w:numFmt w:val="decimal"/>
      <w:lvlText w:val="%3."/>
      <w:lvlJc w:val="left"/>
      <w:pPr>
        <w:tabs>
          <w:tab w:val="num" w:pos="2160"/>
        </w:tabs>
        <w:ind w:left="2160" w:hanging="360"/>
      </w:pPr>
    </w:lvl>
    <w:lvl w:ilvl="3" w:tplc="CFE885E6" w:tentative="1">
      <w:start w:val="1"/>
      <w:numFmt w:val="decimal"/>
      <w:lvlText w:val="%4."/>
      <w:lvlJc w:val="left"/>
      <w:pPr>
        <w:tabs>
          <w:tab w:val="num" w:pos="2880"/>
        </w:tabs>
        <w:ind w:left="2880" w:hanging="360"/>
      </w:pPr>
    </w:lvl>
    <w:lvl w:ilvl="4" w:tplc="5E3811DA" w:tentative="1">
      <w:start w:val="1"/>
      <w:numFmt w:val="decimal"/>
      <w:lvlText w:val="%5."/>
      <w:lvlJc w:val="left"/>
      <w:pPr>
        <w:tabs>
          <w:tab w:val="num" w:pos="3600"/>
        </w:tabs>
        <w:ind w:left="3600" w:hanging="360"/>
      </w:pPr>
    </w:lvl>
    <w:lvl w:ilvl="5" w:tplc="40B0FB18" w:tentative="1">
      <w:start w:val="1"/>
      <w:numFmt w:val="decimal"/>
      <w:lvlText w:val="%6."/>
      <w:lvlJc w:val="left"/>
      <w:pPr>
        <w:tabs>
          <w:tab w:val="num" w:pos="4320"/>
        </w:tabs>
        <w:ind w:left="4320" w:hanging="360"/>
      </w:pPr>
    </w:lvl>
    <w:lvl w:ilvl="6" w:tplc="52EEF1B4" w:tentative="1">
      <w:start w:val="1"/>
      <w:numFmt w:val="decimal"/>
      <w:lvlText w:val="%7."/>
      <w:lvlJc w:val="left"/>
      <w:pPr>
        <w:tabs>
          <w:tab w:val="num" w:pos="5040"/>
        </w:tabs>
        <w:ind w:left="5040" w:hanging="360"/>
      </w:pPr>
    </w:lvl>
    <w:lvl w:ilvl="7" w:tplc="444212C4" w:tentative="1">
      <w:start w:val="1"/>
      <w:numFmt w:val="decimal"/>
      <w:lvlText w:val="%8."/>
      <w:lvlJc w:val="left"/>
      <w:pPr>
        <w:tabs>
          <w:tab w:val="num" w:pos="5760"/>
        </w:tabs>
        <w:ind w:left="5760" w:hanging="360"/>
      </w:pPr>
    </w:lvl>
    <w:lvl w:ilvl="8" w:tplc="4D089298" w:tentative="1">
      <w:start w:val="1"/>
      <w:numFmt w:val="decimal"/>
      <w:lvlText w:val="%9."/>
      <w:lvlJc w:val="left"/>
      <w:pPr>
        <w:tabs>
          <w:tab w:val="num" w:pos="6480"/>
        </w:tabs>
        <w:ind w:left="6480" w:hanging="360"/>
      </w:pPr>
    </w:lvl>
  </w:abstractNum>
  <w:abstractNum w:abstractNumId="4" w15:restartNumberingAfterBreak="0">
    <w:nsid w:val="2E0B12DF"/>
    <w:multiLevelType w:val="hybridMultilevel"/>
    <w:tmpl w:val="59C0A18A"/>
    <w:lvl w:ilvl="0" w:tplc="D2DCFC84">
      <w:start w:val="1"/>
      <w:numFmt w:val="bullet"/>
      <w:lvlText w:val="•"/>
      <w:lvlJc w:val="left"/>
      <w:pPr>
        <w:tabs>
          <w:tab w:val="num" w:pos="720"/>
        </w:tabs>
        <w:ind w:left="720" w:hanging="360"/>
      </w:pPr>
      <w:rPr>
        <w:rFonts w:ascii="Arial" w:hAnsi="Arial" w:hint="default"/>
      </w:rPr>
    </w:lvl>
    <w:lvl w:ilvl="1" w:tplc="E0DA8E72" w:tentative="1">
      <w:start w:val="1"/>
      <w:numFmt w:val="bullet"/>
      <w:lvlText w:val="•"/>
      <w:lvlJc w:val="left"/>
      <w:pPr>
        <w:tabs>
          <w:tab w:val="num" w:pos="1440"/>
        </w:tabs>
        <w:ind w:left="1440" w:hanging="360"/>
      </w:pPr>
      <w:rPr>
        <w:rFonts w:ascii="Arial" w:hAnsi="Arial" w:hint="default"/>
      </w:rPr>
    </w:lvl>
    <w:lvl w:ilvl="2" w:tplc="3D30AB2C" w:tentative="1">
      <w:start w:val="1"/>
      <w:numFmt w:val="bullet"/>
      <w:lvlText w:val="•"/>
      <w:lvlJc w:val="left"/>
      <w:pPr>
        <w:tabs>
          <w:tab w:val="num" w:pos="2160"/>
        </w:tabs>
        <w:ind w:left="2160" w:hanging="360"/>
      </w:pPr>
      <w:rPr>
        <w:rFonts w:ascii="Arial" w:hAnsi="Arial" w:hint="default"/>
      </w:rPr>
    </w:lvl>
    <w:lvl w:ilvl="3" w:tplc="219CC4BC" w:tentative="1">
      <w:start w:val="1"/>
      <w:numFmt w:val="bullet"/>
      <w:lvlText w:val="•"/>
      <w:lvlJc w:val="left"/>
      <w:pPr>
        <w:tabs>
          <w:tab w:val="num" w:pos="2880"/>
        </w:tabs>
        <w:ind w:left="2880" w:hanging="360"/>
      </w:pPr>
      <w:rPr>
        <w:rFonts w:ascii="Arial" w:hAnsi="Arial" w:hint="default"/>
      </w:rPr>
    </w:lvl>
    <w:lvl w:ilvl="4" w:tplc="DB0CE836" w:tentative="1">
      <w:start w:val="1"/>
      <w:numFmt w:val="bullet"/>
      <w:lvlText w:val="•"/>
      <w:lvlJc w:val="left"/>
      <w:pPr>
        <w:tabs>
          <w:tab w:val="num" w:pos="3600"/>
        </w:tabs>
        <w:ind w:left="3600" w:hanging="360"/>
      </w:pPr>
      <w:rPr>
        <w:rFonts w:ascii="Arial" w:hAnsi="Arial" w:hint="default"/>
      </w:rPr>
    </w:lvl>
    <w:lvl w:ilvl="5" w:tplc="FC8C2DFA" w:tentative="1">
      <w:start w:val="1"/>
      <w:numFmt w:val="bullet"/>
      <w:lvlText w:val="•"/>
      <w:lvlJc w:val="left"/>
      <w:pPr>
        <w:tabs>
          <w:tab w:val="num" w:pos="4320"/>
        </w:tabs>
        <w:ind w:left="4320" w:hanging="360"/>
      </w:pPr>
      <w:rPr>
        <w:rFonts w:ascii="Arial" w:hAnsi="Arial" w:hint="default"/>
      </w:rPr>
    </w:lvl>
    <w:lvl w:ilvl="6" w:tplc="5434B350" w:tentative="1">
      <w:start w:val="1"/>
      <w:numFmt w:val="bullet"/>
      <w:lvlText w:val="•"/>
      <w:lvlJc w:val="left"/>
      <w:pPr>
        <w:tabs>
          <w:tab w:val="num" w:pos="5040"/>
        </w:tabs>
        <w:ind w:left="5040" w:hanging="360"/>
      </w:pPr>
      <w:rPr>
        <w:rFonts w:ascii="Arial" w:hAnsi="Arial" w:hint="default"/>
      </w:rPr>
    </w:lvl>
    <w:lvl w:ilvl="7" w:tplc="B4BAF0EA" w:tentative="1">
      <w:start w:val="1"/>
      <w:numFmt w:val="bullet"/>
      <w:lvlText w:val="•"/>
      <w:lvlJc w:val="left"/>
      <w:pPr>
        <w:tabs>
          <w:tab w:val="num" w:pos="5760"/>
        </w:tabs>
        <w:ind w:left="5760" w:hanging="360"/>
      </w:pPr>
      <w:rPr>
        <w:rFonts w:ascii="Arial" w:hAnsi="Arial" w:hint="default"/>
      </w:rPr>
    </w:lvl>
    <w:lvl w:ilvl="8" w:tplc="FE92D5E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3751049"/>
    <w:multiLevelType w:val="multilevel"/>
    <w:tmpl w:val="FD949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6881460">
    <w:abstractNumId w:val="3"/>
  </w:num>
  <w:num w:numId="2" w16cid:durableId="1196236556">
    <w:abstractNumId w:val="5"/>
  </w:num>
  <w:num w:numId="3" w16cid:durableId="930704718">
    <w:abstractNumId w:val="1"/>
  </w:num>
  <w:num w:numId="4" w16cid:durableId="35354969">
    <w:abstractNumId w:val="4"/>
  </w:num>
  <w:num w:numId="5" w16cid:durableId="1671062878">
    <w:abstractNumId w:val="0"/>
  </w:num>
  <w:num w:numId="6" w16cid:durableId="14860515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F39"/>
    <w:rsid w:val="0000314E"/>
    <w:rsid w:val="00006DC0"/>
    <w:rsid w:val="00014B9E"/>
    <w:rsid w:val="00014DAE"/>
    <w:rsid w:val="00020F33"/>
    <w:rsid w:val="000244D1"/>
    <w:rsid w:val="00026EF7"/>
    <w:rsid w:val="000307F5"/>
    <w:rsid w:val="000308EA"/>
    <w:rsid w:val="000311D5"/>
    <w:rsid w:val="000332A5"/>
    <w:rsid w:val="000400FA"/>
    <w:rsid w:val="00041B60"/>
    <w:rsid w:val="00044759"/>
    <w:rsid w:val="00045FDD"/>
    <w:rsid w:val="00046FBE"/>
    <w:rsid w:val="0004728B"/>
    <w:rsid w:val="000474B9"/>
    <w:rsid w:val="0005037F"/>
    <w:rsid w:val="00051DB9"/>
    <w:rsid w:val="00054007"/>
    <w:rsid w:val="000555E8"/>
    <w:rsid w:val="00061D82"/>
    <w:rsid w:val="00065CF8"/>
    <w:rsid w:val="00067B31"/>
    <w:rsid w:val="00067D82"/>
    <w:rsid w:val="000702F7"/>
    <w:rsid w:val="00071BC4"/>
    <w:rsid w:val="00072CFB"/>
    <w:rsid w:val="00075031"/>
    <w:rsid w:val="000857FE"/>
    <w:rsid w:val="00087DC9"/>
    <w:rsid w:val="0009344C"/>
    <w:rsid w:val="000942A1"/>
    <w:rsid w:val="000955D3"/>
    <w:rsid w:val="000A0292"/>
    <w:rsid w:val="000A2276"/>
    <w:rsid w:val="000A3637"/>
    <w:rsid w:val="000A51FD"/>
    <w:rsid w:val="000A73B2"/>
    <w:rsid w:val="000B0405"/>
    <w:rsid w:val="000B2A03"/>
    <w:rsid w:val="000B368E"/>
    <w:rsid w:val="000B6231"/>
    <w:rsid w:val="000B6FEE"/>
    <w:rsid w:val="000C06E1"/>
    <w:rsid w:val="000D0B6D"/>
    <w:rsid w:val="000D3122"/>
    <w:rsid w:val="000D4A99"/>
    <w:rsid w:val="000D6C17"/>
    <w:rsid w:val="000D73F0"/>
    <w:rsid w:val="000E25A5"/>
    <w:rsid w:val="000E293A"/>
    <w:rsid w:val="000E4C33"/>
    <w:rsid w:val="000E6528"/>
    <w:rsid w:val="000F4506"/>
    <w:rsid w:val="00102FFD"/>
    <w:rsid w:val="00105E79"/>
    <w:rsid w:val="0010758F"/>
    <w:rsid w:val="001107E9"/>
    <w:rsid w:val="00110845"/>
    <w:rsid w:val="00111F61"/>
    <w:rsid w:val="00115C49"/>
    <w:rsid w:val="00121FF1"/>
    <w:rsid w:val="00124B47"/>
    <w:rsid w:val="001305BF"/>
    <w:rsid w:val="001368AC"/>
    <w:rsid w:val="00137FFC"/>
    <w:rsid w:val="00140773"/>
    <w:rsid w:val="00143D68"/>
    <w:rsid w:val="00145EDC"/>
    <w:rsid w:val="001749CC"/>
    <w:rsid w:val="00175199"/>
    <w:rsid w:val="0017619F"/>
    <w:rsid w:val="00181FA2"/>
    <w:rsid w:val="00185D13"/>
    <w:rsid w:val="00186696"/>
    <w:rsid w:val="001932E0"/>
    <w:rsid w:val="0019569F"/>
    <w:rsid w:val="00196855"/>
    <w:rsid w:val="001968A7"/>
    <w:rsid w:val="001A0FE2"/>
    <w:rsid w:val="001B03DB"/>
    <w:rsid w:val="001B79BC"/>
    <w:rsid w:val="001C182C"/>
    <w:rsid w:val="001D0CA3"/>
    <w:rsid w:val="001D0CCD"/>
    <w:rsid w:val="001D1C0A"/>
    <w:rsid w:val="001D2BF6"/>
    <w:rsid w:val="001D342B"/>
    <w:rsid w:val="001E4158"/>
    <w:rsid w:val="001E7DC5"/>
    <w:rsid w:val="001F0F15"/>
    <w:rsid w:val="001F49A9"/>
    <w:rsid w:val="001F4E44"/>
    <w:rsid w:val="001F7135"/>
    <w:rsid w:val="00200381"/>
    <w:rsid w:val="0020212B"/>
    <w:rsid w:val="00202468"/>
    <w:rsid w:val="0020433A"/>
    <w:rsid w:val="0021008C"/>
    <w:rsid w:val="00211B41"/>
    <w:rsid w:val="00215EDB"/>
    <w:rsid w:val="002232F6"/>
    <w:rsid w:val="0022532A"/>
    <w:rsid w:val="00227F66"/>
    <w:rsid w:val="00233DB8"/>
    <w:rsid w:val="0023462E"/>
    <w:rsid w:val="00240BA3"/>
    <w:rsid w:val="00241AEE"/>
    <w:rsid w:val="00241D28"/>
    <w:rsid w:val="00242AD6"/>
    <w:rsid w:val="00244B3A"/>
    <w:rsid w:val="00246478"/>
    <w:rsid w:val="00246C35"/>
    <w:rsid w:val="00250260"/>
    <w:rsid w:val="002531C8"/>
    <w:rsid w:val="00255D3A"/>
    <w:rsid w:val="0026200C"/>
    <w:rsid w:val="002633E1"/>
    <w:rsid w:val="002635BA"/>
    <w:rsid w:val="00264BA2"/>
    <w:rsid w:val="00270C86"/>
    <w:rsid w:val="00273282"/>
    <w:rsid w:val="00273C1C"/>
    <w:rsid w:val="00273DA1"/>
    <w:rsid w:val="002821A6"/>
    <w:rsid w:val="00282837"/>
    <w:rsid w:val="002856F7"/>
    <w:rsid w:val="00291092"/>
    <w:rsid w:val="002918BA"/>
    <w:rsid w:val="0029197C"/>
    <w:rsid w:val="00292366"/>
    <w:rsid w:val="00294B20"/>
    <w:rsid w:val="002A45BA"/>
    <w:rsid w:val="002A5D01"/>
    <w:rsid w:val="002A7FBE"/>
    <w:rsid w:val="002B4258"/>
    <w:rsid w:val="002B5C45"/>
    <w:rsid w:val="002B67C2"/>
    <w:rsid w:val="002B7A88"/>
    <w:rsid w:val="002C1F32"/>
    <w:rsid w:val="002C2F98"/>
    <w:rsid w:val="002C4729"/>
    <w:rsid w:val="002C4C05"/>
    <w:rsid w:val="002C79DE"/>
    <w:rsid w:val="002D4011"/>
    <w:rsid w:val="002D4550"/>
    <w:rsid w:val="002E0CC2"/>
    <w:rsid w:val="002E6CB8"/>
    <w:rsid w:val="002E7D92"/>
    <w:rsid w:val="002F2EEC"/>
    <w:rsid w:val="002F3C25"/>
    <w:rsid w:val="002F6378"/>
    <w:rsid w:val="002F658A"/>
    <w:rsid w:val="00300BA0"/>
    <w:rsid w:val="00303197"/>
    <w:rsid w:val="00303883"/>
    <w:rsid w:val="00306FE0"/>
    <w:rsid w:val="00314CBF"/>
    <w:rsid w:val="00315AAF"/>
    <w:rsid w:val="00323E92"/>
    <w:rsid w:val="00324CB2"/>
    <w:rsid w:val="00324CCB"/>
    <w:rsid w:val="003318EA"/>
    <w:rsid w:val="0033303B"/>
    <w:rsid w:val="003450AB"/>
    <w:rsid w:val="00351E6B"/>
    <w:rsid w:val="00361E63"/>
    <w:rsid w:val="003622A1"/>
    <w:rsid w:val="00363E8A"/>
    <w:rsid w:val="00365414"/>
    <w:rsid w:val="00365ADB"/>
    <w:rsid w:val="00372542"/>
    <w:rsid w:val="003726CB"/>
    <w:rsid w:val="00373553"/>
    <w:rsid w:val="0037518D"/>
    <w:rsid w:val="00383EFD"/>
    <w:rsid w:val="00386658"/>
    <w:rsid w:val="00387C7D"/>
    <w:rsid w:val="00391294"/>
    <w:rsid w:val="00391777"/>
    <w:rsid w:val="00391909"/>
    <w:rsid w:val="00391F0F"/>
    <w:rsid w:val="00393A15"/>
    <w:rsid w:val="00396F59"/>
    <w:rsid w:val="003A2DB5"/>
    <w:rsid w:val="003A6A6C"/>
    <w:rsid w:val="003A7F9D"/>
    <w:rsid w:val="003B2DDE"/>
    <w:rsid w:val="003C03B6"/>
    <w:rsid w:val="003C1F21"/>
    <w:rsid w:val="003C557F"/>
    <w:rsid w:val="003C5EC4"/>
    <w:rsid w:val="003C77A1"/>
    <w:rsid w:val="003D04F9"/>
    <w:rsid w:val="003D1DEC"/>
    <w:rsid w:val="003D30F1"/>
    <w:rsid w:val="003D53BA"/>
    <w:rsid w:val="003E6DDB"/>
    <w:rsid w:val="003E6F59"/>
    <w:rsid w:val="003F06D8"/>
    <w:rsid w:val="003F073A"/>
    <w:rsid w:val="003F19A9"/>
    <w:rsid w:val="003F30E3"/>
    <w:rsid w:val="00400B7D"/>
    <w:rsid w:val="0040243E"/>
    <w:rsid w:val="00403469"/>
    <w:rsid w:val="004036E1"/>
    <w:rsid w:val="004037D6"/>
    <w:rsid w:val="00403AC8"/>
    <w:rsid w:val="004042BC"/>
    <w:rsid w:val="00404AEF"/>
    <w:rsid w:val="00404C4B"/>
    <w:rsid w:val="00405AD8"/>
    <w:rsid w:val="00407E90"/>
    <w:rsid w:val="00411F78"/>
    <w:rsid w:val="004130CF"/>
    <w:rsid w:val="00415301"/>
    <w:rsid w:val="004218A2"/>
    <w:rsid w:val="00424581"/>
    <w:rsid w:val="004250DB"/>
    <w:rsid w:val="00426122"/>
    <w:rsid w:val="004274C9"/>
    <w:rsid w:val="00430669"/>
    <w:rsid w:val="0043249C"/>
    <w:rsid w:val="004331A0"/>
    <w:rsid w:val="00434A80"/>
    <w:rsid w:val="00435703"/>
    <w:rsid w:val="004360B9"/>
    <w:rsid w:val="004376C6"/>
    <w:rsid w:val="00442472"/>
    <w:rsid w:val="0044564D"/>
    <w:rsid w:val="00445A37"/>
    <w:rsid w:val="0044702E"/>
    <w:rsid w:val="004478A2"/>
    <w:rsid w:val="00455A01"/>
    <w:rsid w:val="00460A59"/>
    <w:rsid w:val="00463BD6"/>
    <w:rsid w:val="00465F8B"/>
    <w:rsid w:val="00476504"/>
    <w:rsid w:val="00481B8F"/>
    <w:rsid w:val="00484B11"/>
    <w:rsid w:val="00485709"/>
    <w:rsid w:val="004867EF"/>
    <w:rsid w:val="004900CB"/>
    <w:rsid w:val="00490542"/>
    <w:rsid w:val="00492174"/>
    <w:rsid w:val="00494B6B"/>
    <w:rsid w:val="00494B91"/>
    <w:rsid w:val="004962A0"/>
    <w:rsid w:val="00496C34"/>
    <w:rsid w:val="00497CF9"/>
    <w:rsid w:val="00497F60"/>
    <w:rsid w:val="00497FF6"/>
    <w:rsid w:val="004A10EF"/>
    <w:rsid w:val="004A3AA9"/>
    <w:rsid w:val="004A4872"/>
    <w:rsid w:val="004B21F9"/>
    <w:rsid w:val="004B2BE9"/>
    <w:rsid w:val="004C2165"/>
    <w:rsid w:val="004C3884"/>
    <w:rsid w:val="004C3D90"/>
    <w:rsid w:val="004C5B73"/>
    <w:rsid w:val="004C7C4A"/>
    <w:rsid w:val="004C7F7D"/>
    <w:rsid w:val="004E5297"/>
    <w:rsid w:val="004E575B"/>
    <w:rsid w:val="004E5D1C"/>
    <w:rsid w:val="004E6B36"/>
    <w:rsid w:val="004F0619"/>
    <w:rsid w:val="004F2D0D"/>
    <w:rsid w:val="004F325E"/>
    <w:rsid w:val="004F48B0"/>
    <w:rsid w:val="004F72C2"/>
    <w:rsid w:val="004F7E31"/>
    <w:rsid w:val="00505D9A"/>
    <w:rsid w:val="00506EA0"/>
    <w:rsid w:val="00515701"/>
    <w:rsid w:val="00515A3D"/>
    <w:rsid w:val="00516DDD"/>
    <w:rsid w:val="00521590"/>
    <w:rsid w:val="0052228C"/>
    <w:rsid w:val="00522968"/>
    <w:rsid w:val="00525FD2"/>
    <w:rsid w:val="005300C0"/>
    <w:rsid w:val="00531983"/>
    <w:rsid w:val="00531F16"/>
    <w:rsid w:val="00533D29"/>
    <w:rsid w:val="005351D2"/>
    <w:rsid w:val="00535241"/>
    <w:rsid w:val="00536E61"/>
    <w:rsid w:val="00540F2C"/>
    <w:rsid w:val="005439CC"/>
    <w:rsid w:val="00552F38"/>
    <w:rsid w:val="005565B1"/>
    <w:rsid w:val="00556FD6"/>
    <w:rsid w:val="0056037F"/>
    <w:rsid w:val="005624A1"/>
    <w:rsid w:val="00563BA8"/>
    <w:rsid w:val="00565330"/>
    <w:rsid w:val="00566332"/>
    <w:rsid w:val="00571A60"/>
    <w:rsid w:val="005776A6"/>
    <w:rsid w:val="00577837"/>
    <w:rsid w:val="00582041"/>
    <w:rsid w:val="00585E1B"/>
    <w:rsid w:val="0059698F"/>
    <w:rsid w:val="005A192C"/>
    <w:rsid w:val="005A6099"/>
    <w:rsid w:val="005A7E99"/>
    <w:rsid w:val="005C12D2"/>
    <w:rsid w:val="005C1868"/>
    <w:rsid w:val="005C566F"/>
    <w:rsid w:val="005C602F"/>
    <w:rsid w:val="005D3964"/>
    <w:rsid w:val="005D680A"/>
    <w:rsid w:val="005D7F39"/>
    <w:rsid w:val="005E07CA"/>
    <w:rsid w:val="005E0820"/>
    <w:rsid w:val="005E10A2"/>
    <w:rsid w:val="005E1577"/>
    <w:rsid w:val="005E15B9"/>
    <w:rsid w:val="005E3E1F"/>
    <w:rsid w:val="005E4CC7"/>
    <w:rsid w:val="005E561F"/>
    <w:rsid w:val="005E6AC9"/>
    <w:rsid w:val="005E70F8"/>
    <w:rsid w:val="005F27FB"/>
    <w:rsid w:val="005F2EFA"/>
    <w:rsid w:val="005F6177"/>
    <w:rsid w:val="00602969"/>
    <w:rsid w:val="00610AF2"/>
    <w:rsid w:val="006154D0"/>
    <w:rsid w:val="006162D4"/>
    <w:rsid w:val="00620831"/>
    <w:rsid w:val="00622AEA"/>
    <w:rsid w:val="006305ED"/>
    <w:rsid w:val="00632621"/>
    <w:rsid w:val="0063293C"/>
    <w:rsid w:val="00635DD6"/>
    <w:rsid w:val="006408F0"/>
    <w:rsid w:val="0064139D"/>
    <w:rsid w:val="00641A71"/>
    <w:rsid w:val="00641E3F"/>
    <w:rsid w:val="006446E4"/>
    <w:rsid w:val="00645B36"/>
    <w:rsid w:val="00647D3E"/>
    <w:rsid w:val="00651639"/>
    <w:rsid w:val="00651B71"/>
    <w:rsid w:val="006540EA"/>
    <w:rsid w:val="0065444A"/>
    <w:rsid w:val="00654B74"/>
    <w:rsid w:val="00656EAE"/>
    <w:rsid w:val="0065769E"/>
    <w:rsid w:val="00663B0E"/>
    <w:rsid w:val="00666D03"/>
    <w:rsid w:val="006809E1"/>
    <w:rsid w:val="00686D92"/>
    <w:rsid w:val="006879BD"/>
    <w:rsid w:val="00690619"/>
    <w:rsid w:val="00690789"/>
    <w:rsid w:val="006945E5"/>
    <w:rsid w:val="00694A37"/>
    <w:rsid w:val="006957FF"/>
    <w:rsid w:val="006961E3"/>
    <w:rsid w:val="00696EE0"/>
    <w:rsid w:val="006976E5"/>
    <w:rsid w:val="006A0809"/>
    <w:rsid w:val="006A0A7B"/>
    <w:rsid w:val="006A691B"/>
    <w:rsid w:val="006B1582"/>
    <w:rsid w:val="006B447E"/>
    <w:rsid w:val="006C147E"/>
    <w:rsid w:val="006C1B55"/>
    <w:rsid w:val="006C1CC7"/>
    <w:rsid w:val="006C366D"/>
    <w:rsid w:val="006C51E7"/>
    <w:rsid w:val="006C72BE"/>
    <w:rsid w:val="006D4CA7"/>
    <w:rsid w:val="006D4E72"/>
    <w:rsid w:val="006D508C"/>
    <w:rsid w:val="006D57A1"/>
    <w:rsid w:val="006E0D36"/>
    <w:rsid w:val="006E17BD"/>
    <w:rsid w:val="006E445B"/>
    <w:rsid w:val="006E70B5"/>
    <w:rsid w:val="006E7580"/>
    <w:rsid w:val="006F054A"/>
    <w:rsid w:val="006F529E"/>
    <w:rsid w:val="00701B7C"/>
    <w:rsid w:val="00706DDF"/>
    <w:rsid w:val="00712E4E"/>
    <w:rsid w:val="0071701C"/>
    <w:rsid w:val="007225C0"/>
    <w:rsid w:val="007232A0"/>
    <w:rsid w:val="00724625"/>
    <w:rsid w:val="00730195"/>
    <w:rsid w:val="00731FD7"/>
    <w:rsid w:val="007332E2"/>
    <w:rsid w:val="00736CBA"/>
    <w:rsid w:val="0073730E"/>
    <w:rsid w:val="007412EC"/>
    <w:rsid w:val="00741ED4"/>
    <w:rsid w:val="00746326"/>
    <w:rsid w:val="007467DD"/>
    <w:rsid w:val="0075158D"/>
    <w:rsid w:val="0075519F"/>
    <w:rsid w:val="00755721"/>
    <w:rsid w:val="00755734"/>
    <w:rsid w:val="00764051"/>
    <w:rsid w:val="0076674E"/>
    <w:rsid w:val="00773D9A"/>
    <w:rsid w:val="007765CD"/>
    <w:rsid w:val="007815FA"/>
    <w:rsid w:val="007821F2"/>
    <w:rsid w:val="007843E7"/>
    <w:rsid w:val="0078524A"/>
    <w:rsid w:val="007866E1"/>
    <w:rsid w:val="00787F54"/>
    <w:rsid w:val="00790E01"/>
    <w:rsid w:val="00792003"/>
    <w:rsid w:val="00797C9E"/>
    <w:rsid w:val="007A09FA"/>
    <w:rsid w:val="007A1DC3"/>
    <w:rsid w:val="007A5A0B"/>
    <w:rsid w:val="007A6ED1"/>
    <w:rsid w:val="007A715B"/>
    <w:rsid w:val="007B1A9F"/>
    <w:rsid w:val="007B24E7"/>
    <w:rsid w:val="007B2F59"/>
    <w:rsid w:val="007B60F8"/>
    <w:rsid w:val="007B61CD"/>
    <w:rsid w:val="007B654F"/>
    <w:rsid w:val="007B66C5"/>
    <w:rsid w:val="007C0D27"/>
    <w:rsid w:val="007C2266"/>
    <w:rsid w:val="007C43F2"/>
    <w:rsid w:val="007C572A"/>
    <w:rsid w:val="007D31D2"/>
    <w:rsid w:val="007D5212"/>
    <w:rsid w:val="007D57D1"/>
    <w:rsid w:val="007D59A4"/>
    <w:rsid w:val="007E021F"/>
    <w:rsid w:val="007E5A36"/>
    <w:rsid w:val="007E6673"/>
    <w:rsid w:val="007E7E6D"/>
    <w:rsid w:val="007F0373"/>
    <w:rsid w:val="007F1563"/>
    <w:rsid w:val="007F1A53"/>
    <w:rsid w:val="007F2397"/>
    <w:rsid w:val="007F7893"/>
    <w:rsid w:val="00802FBF"/>
    <w:rsid w:val="00803986"/>
    <w:rsid w:val="00803F6B"/>
    <w:rsid w:val="00806052"/>
    <w:rsid w:val="00811927"/>
    <w:rsid w:val="00812610"/>
    <w:rsid w:val="00812B79"/>
    <w:rsid w:val="00814344"/>
    <w:rsid w:val="008154CA"/>
    <w:rsid w:val="00816E33"/>
    <w:rsid w:val="0081749C"/>
    <w:rsid w:val="00820626"/>
    <w:rsid w:val="00822308"/>
    <w:rsid w:val="00824A04"/>
    <w:rsid w:val="0082584B"/>
    <w:rsid w:val="00826FF2"/>
    <w:rsid w:val="008411D4"/>
    <w:rsid w:val="00845733"/>
    <w:rsid w:val="00845A0F"/>
    <w:rsid w:val="00846165"/>
    <w:rsid w:val="00852C9C"/>
    <w:rsid w:val="00855875"/>
    <w:rsid w:val="00855CD3"/>
    <w:rsid w:val="00861E19"/>
    <w:rsid w:val="00863721"/>
    <w:rsid w:val="00865773"/>
    <w:rsid w:val="0087117C"/>
    <w:rsid w:val="008759E3"/>
    <w:rsid w:val="0088107A"/>
    <w:rsid w:val="0088117D"/>
    <w:rsid w:val="0088137C"/>
    <w:rsid w:val="008832EC"/>
    <w:rsid w:val="008849FE"/>
    <w:rsid w:val="00886D67"/>
    <w:rsid w:val="00887B81"/>
    <w:rsid w:val="00891E6E"/>
    <w:rsid w:val="00892615"/>
    <w:rsid w:val="00895EE1"/>
    <w:rsid w:val="008978DC"/>
    <w:rsid w:val="008A276A"/>
    <w:rsid w:val="008A3B8D"/>
    <w:rsid w:val="008A41B5"/>
    <w:rsid w:val="008A4A37"/>
    <w:rsid w:val="008A6BC6"/>
    <w:rsid w:val="008B0A5C"/>
    <w:rsid w:val="008B1685"/>
    <w:rsid w:val="008B7DB0"/>
    <w:rsid w:val="008C6348"/>
    <w:rsid w:val="008E1467"/>
    <w:rsid w:val="008E4EF6"/>
    <w:rsid w:val="008E5157"/>
    <w:rsid w:val="008E5983"/>
    <w:rsid w:val="008E706D"/>
    <w:rsid w:val="008F06D8"/>
    <w:rsid w:val="008F4FEB"/>
    <w:rsid w:val="008F6390"/>
    <w:rsid w:val="008F74CE"/>
    <w:rsid w:val="00907956"/>
    <w:rsid w:val="00910C56"/>
    <w:rsid w:val="00914187"/>
    <w:rsid w:val="00916BD5"/>
    <w:rsid w:val="00920408"/>
    <w:rsid w:val="00920A76"/>
    <w:rsid w:val="0092287E"/>
    <w:rsid w:val="00922C00"/>
    <w:rsid w:val="00924DAB"/>
    <w:rsid w:val="00933714"/>
    <w:rsid w:val="00934E2D"/>
    <w:rsid w:val="00936D96"/>
    <w:rsid w:val="00942243"/>
    <w:rsid w:val="00943C32"/>
    <w:rsid w:val="00951964"/>
    <w:rsid w:val="00951F29"/>
    <w:rsid w:val="00952789"/>
    <w:rsid w:val="009552AE"/>
    <w:rsid w:val="00955F73"/>
    <w:rsid w:val="009613B5"/>
    <w:rsid w:val="00961AEF"/>
    <w:rsid w:val="009743EB"/>
    <w:rsid w:val="0098150D"/>
    <w:rsid w:val="009857AC"/>
    <w:rsid w:val="009929C8"/>
    <w:rsid w:val="0099581D"/>
    <w:rsid w:val="009A2478"/>
    <w:rsid w:val="009A2752"/>
    <w:rsid w:val="009A4A9F"/>
    <w:rsid w:val="009A7F92"/>
    <w:rsid w:val="009B020A"/>
    <w:rsid w:val="009B0378"/>
    <w:rsid w:val="009B1576"/>
    <w:rsid w:val="009B2889"/>
    <w:rsid w:val="009B2906"/>
    <w:rsid w:val="009B2A77"/>
    <w:rsid w:val="009B46BE"/>
    <w:rsid w:val="009B5D66"/>
    <w:rsid w:val="009B6ECC"/>
    <w:rsid w:val="009C1141"/>
    <w:rsid w:val="009C1547"/>
    <w:rsid w:val="009C4618"/>
    <w:rsid w:val="009D07BE"/>
    <w:rsid w:val="009D2777"/>
    <w:rsid w:val="009D3DA0"/>
    <w:rsid w:val="009D46AE"/>
    <w:rsid w:val="009E71DF"/>
    <w:rsid w:val="009E7480"/>
    <w:rsid w:val="009E7DE9"/>
    <w:rsid w:val="009F12F7"/>
    <w:rsid w:val="009F234F"/>
    <w:rsid w:val="009F4DBB"/>
    <w:rsid w:val="00A0018E"/>
    <w:rsid w:val="00A00B7B"/>
    <w:rsid w:val="00A016D0"/>
    <w:rsid w:val="00A017E7"/>
    <w:rsid w:val="00A04404"/>
    <w:rsid w:val="00A123B1"/>
    <w:rsid w:val="00A13A0A"/>
    <w:rsid w:val="00A17E8D"/>
    <w:rsid w:val="00A21F44"/>
    <w:rsid w:val="00A222DD"/>
    <w:rsid w:val="00A260BE"/>
    <w:rsid w:val="00A3197B"/>
    <w:rsid w:val="00A320F9"/>
    <w:rsid w:val="00A32997"/>
    <w:rsid w:val="00A367BC"/>
    <w:rsid w:val="00A430A5"/>
    <w:rsid w:val="00A47F7D"/>
    <w:rsid w:val="00A52069"/>
    <w:rsid w:val="00A549C4"/>
    <w:rsid w:val="00A67C9C"/>
    <w:rsid w:val="00A73FA8"/>
    <w:rsid w:val="00A774B8"/>
    <w:rsid w:val="00A8287B"/>
    <w:rsid w:val="00A96C82"/>
    <w:rsid w:val="00AA6E9E"/>
    <w:rsid w:val="00AB0CF3"/>
    <w:rsid w:val="00AB3CF9"/>
    <w:rsid w:val="00AB5D03"/>
    <w:rsid w:val="00AB6285"/>
    <w:rsid w:val="00AB723E"/>
    <w:rsid w:val="00AC0463"/>
    <w:rsid w:val="00AC1122"/>
    <w:rsid w:val="00AC21E0"/>
    <w:rsid w:val="00AC47CE"/>
    <w:rsid w:val="00AC6534"/>
    <w:rsid w:val="00AD0496"/>
    <w:rsid w:val="00AD09E7"/>
    <w:rsid w:val="00AD2E1B"/>
    <w:rsid w:val="00AD3BED"/>
    <w:rsid w:val="00AE05E5"/>
    <w:rsid w:val="00AE0659"/>
    <w:rsid w:val="00AE1B22"/>
    <w:rsid w:val="00AE469B"/>
    <w:rsid w:val="00AE4B93"/>
    <w:rsid w:val="00AE4E74"/>
    <w:rsid w:val="00AE70EC"/>
    <w:rsid w:val="00AF08BB"/>
    <w:rsid w:val="00AF2B42"/>
    <w:rsid w:val="00AF44BF"/>
    <w:rsid w:val="00AF510D"/>
    <w:rsid w:val="00AF6423"/>
    <w:rsid w:val="00B00B30"/>
    <w:rsid w:val="00B016A3"/>
    <w:rsid w:val="00B01D2B"/>
    <w:rsid w:val="00B06065"/>
    <w:rsid w:val="00B06140"/>
    <w:rsid w:val="00B067E3"/>
    <w:rsid w:val="00B1156A"/>
    <w:rsid w:val="00B1197A"/>
    <w:rsid w:val="00B11D91"/>
    <w:rsid w:val="00B20FA6"/>
    <w:rsid w:val="00B2263A"/>
    <w:rsid w:val="00B2294E"/>
    <w:rsid w:val="00B26309"/>
    <w:rsid w:val="00B33555"/>
    <w:rsid w:val="00B346E2"/>
    <w:rsid w:val="00B358D6"/>
    <w:rsid w:val="00B36EC1"/>
    <w:rsid w:val="00B4545F"/>
    <w:rsid w:val="00B50177"/>
    <w:rsid w:val="00B50304"/>
    <w:rsid w:val="00B51342"/>
    <w:rsid w:val="00B5282B"/>
    <w:rsid w:val="00B5430B"/>
    <w:rsid w:val="00B61E02"/>
    <w:rsid w:val="00B63F20"/>
    <w:rsid w:val="00B63F46"/>
    <w:rsid w:val="00B748ED"/>
    <w:rsid w:val="00B75973"/>
    <w:rsid w:val="00B75BE3"/>
    <w:rsid w:val="00B76C2B"/>
    <w:rsid w:val="00B80A6F"/>
    <w:rsid w:val="00B84811"/>
    <w:rsid w:val="00B86D4E"/>
    <w:rsid w:val="00B8771B"/>
    <w:rsid w:val="00B87794"/>
    <w:rsid w:val="00B90A0B"/>
    <w:rsid w:val="00B932B9"/>
    <w:rsid w:val="00B95A28"/>
    <w:rsid w:val="00B9608B"/>
    <w:rsid w:val="00BA0F1F"/>
    <w:rsid w:val="00BA0F39"/>
    <w:rsid w:val="00BA190F"/>
    <w:rsid w:val="00BA69DB"/>
    <w:rsid w:val="00BA7C92"/>
    <w:rsid w:val="00BB3310"/>
    <w:rsid w:val="00BB3BB1"/>
    <w:rsid w:val="00BB5577"/>
    <w:rsid w:val="00BC1996"/>
    <w:rsid w:val="00BC39C7"/>
    <w:rsid w:val="00BC77BE"/>
    <w:rsid w:val="00BD25C4"/>
    <w:rsid w:val="00BD7887"/>
    <w:rsid w:val="00BD7989"/>
    <w:rsid w:val="00BE0040"/>
    <w:rsid w:val="00BE0A95"/>
    <w:rsid w:val="00BE3F01"/>
    <w:rsid w:val="00BF44B2"/>
    <w:rsid w:val="00BF54D9"/>
    <w:rsid w:val="00BF6EE7"/>
    <w:rsid w:val="00C00740"/>
    <w:rsid w:val="00C00CA0"/>
    <w:rsid w:val="00C024FA"/>
    <w:rsid w:val="00C07813"/>
    <w:rsid w:val="00C12E5B"/>
    <w:rsid w:val="00C15A14"/>
    <w:rsid w:val="00C15ADC"/>
    <w:rsid w:val="00C15F00"/>
    <w:rsid w:val="00C1651C"/>
    <w:rsid w:val="00C16980"/>
    <w:rsid w:val="00C21844"/>
    <w:rsid w:val="00C22BAB"/>
    <w:rsid w:val="00C23716"/>
    <w:rsid w:val="00C25279"/>
    <w:rsid w:val="00C27216"/>
    <w:rsid w:val="00C31032"/>
    <w:rsid w:val="00C37970"/>
    <w:rsid w:val="00C41F11"/>
    <w:rsid w:val="00C51E0F"/>
    <w:rsid w:val="00C52384"/>
    <w:rsid w:val="00C53689"/>
    <w:rsid w:val="00C553A1"/>
    <w:rsid w:val="00C6654F"/>
    <w:rsid w:val="00C705EE"/>
    <w:rsid w:val="00C72C35"/>
    <w:rsid w:val="00C73227"/>
    <w:rsid w:val="00C80BD0"/>
    <w:rsid w:val="00C80EBC"/>
    <w:rsid w:val="00C8308A"/>
    <w:rsid w:val="00C833E1"/>
    <w:rsid w:val="00C86348"/>
    <w:rsid w:val="00C93E03"/>
    <w:rsid w:val="00C95ED3"/>
    <w:rsid w:val="00C9620E"/>
    <w:rsid w:val="00CA40F7"/>
    <w:rsid w:val="00CA4756"/>
    <w:rsid w:val="00CA5358"/>
    <w:rsid w:val="00CA5D6E"/>
    <w:rsid w:val="00CA60E3"/>
    <w:rsid w:val="00CB1E56"/>
    <w:rsid w:val="00CB2A28"/>
    <w:rsid w:val="00CC526C"/>
    <w:rsid w:val="00CD087C"/>
    <w:rsid w:val="00CD3894"/>
    <w:rsid w:val="00CD5BF2"/>
    <w:rsid w:val="00CD7D63"/>
    <w:rsid w:val="00CE22DC"/>
    <w:rsid w:val="00CE41D9"/>
    <w:rsid w:val="00CE4669"/>
    <w:rsid w:val="00CF30A2"/>
    <w:rsid w:val="00CF327A"/>
    <w:rsid w:val="00CF3CAD"/>
    <w:rsid w:val="00D00472"/>
    <w:rsid w:val="00D00EF4"/>
    <w:rsid w:val="00D04C75"/>
    <w:rsid w:val="00D1060C"/>
    <w:rsid w:val="00D10909"/>
    <w:rsid w:val="00D10D10"/>
    <w:rsid w:val="00D10FAC"/>
    <w:rsid w:val="00D11E7F"/>
    <w:rsid w:val="00D15BA8"/>
    <w:rsid w:val="00D27284"/>
    <w:rsid w:val="00D30FA0"/>
    <w:rsid w:val="00D330CF"/>
    <w:rsid w:val="00D34DF8"/>
    <w:rsid w:val="00D37DBE"/>
    <w:rsid w:val="00D44D2B"/>
    <w:rsid w:val="00D53C29"/>
    <w:rsid w:val="00D53F13"/>
    <w:rsid w:val="00D55CF7"/>
    <w:rsid w:val="00D56E94"/>
    <w:rsid w:val="00D61D1F"/>
    <w:rsid w:val="00D64600"/>
    <w:rsid w:val="00D67FEA"/>
    <w:rsid w:val="00D7376D"/>
    <w:rsid w:val="00D80E59"/>
    <w:rsid w:val="00D8198F"/>
    <w:rsid w:val="00D84A11"/>
    <w:rsid w:val="00D84E16"/>
    <w:rsid w:val="00D862C3"/>
    <w:rsid w:val="00D86736"/>
    <w:rsid w:val="00D92412"/>
    <w:rsid w:val="00DA0631"/>
    <w:rsid w:val="00DA3EB0"/>
    <w:rsid w:val="00DA4CB1"/>
    <w:rsid w:val="00DA4F72"/>
    <w:rsid w:val="00DB0F46"/>
    <w:rsid w:val="00DB1FA5"/>
    <w:rsid w:val="00DB2391"/>
    <w:rsid w:val="00DB2F42"/>
    <w:rsid w:val="00DB73CA"/>
    <w:rsid w:val="00DC4C2B"/>
    <w:rsid w:val="00DD211E"/>
    <w:rsid w:val="00DD5115"/>
    <w:rsid w:val="00DE014D"/>
    <w:rsid w:val="00DE0408"/>
    <w:rsid w:val="00DE6829"/>
    <w:rsid w:val="00DE6B01"/>
    <w:rsid w:val="00DE6E9F"/>
    <w:rsid w:val="00DF0B99"/>
    <w:rsid w:val="00DF17BC"/>
    <w:rsid w:val="00DF4C70"/>
    <w:rsid w:val="00DF7D72"/>
    <w:rsid w:val="00E02898"/>
    <w:rsid w:val="00E03FE0"/>
    <w:rsid w:val="00E04948"/>
    <w:rsid w:val="00E12461"/>
    <w:rsid w:val="00E17CEE"/>
    <w:rsid w:val="00E20C7B"/>
    <w:rsid w:val="00E2242E"/>
    <w:rsid w:val="00E255B4"/>
    <w:rsid w:val="00E315A3"/>
    <w:rsid w:val="00E33736"/>
    <w:rsid w:val="00E379FA"/>
    <w:rsid w:val="00E431BC"/>
    <w:rsid w:val="00E43F37"/>
    <w:rsid w:val="00E52AC4"/>
    <w:rsid w:val="00E61AB9"/>
    <w:rsid w:val="00E65A05"/>
    <w:rsid w:val="00E66854"/>
    <w:rsid w:val="00E669CA"/>
    <w:rsid w:val="00E70CA0"/>
    <w:rsid w:val="00E73008"/>
    <w:rsid w:val="00E746CE"/>
    <w:rsid w:val="00E74E4B"/>
    <w:rsid w:val="00E80A2B"/>
    <w:rsid w:val="00E8117B"/>
    <w:rsid w:val="00E901C8"/>
    <w:rsid w:val="00E92F1B"/>
    <w:rsid w:val="00E95535"/>
    <w:rsid w:val="00E95A54"/>
    <w:rsid w:val="00EA5431"/>
    <w:rsid w:val="00EA74FC"/>
    <w:rsid w:val="00EB1C8F"/>
    <w:rsid w:val="00EB2E49"/>
    <w:rsid w:val="00EB505B"/>
    <w:rsid w:val="00EB5740"/>
    <w:rsid w:val="00EC0E82"/>
    <w:rsid w:val="00EC410D"/>
    <w:rsid w:val="00EC615C"/>
    <w:rsid w:val="00EC7643"/>
    <w:rsid w:val="00ED2F3E"/>
    <w:rsid w:val="00ED32A0"/>
    <w:rsid w:val="00ED53F2"/>
    <w:rsid w:val="00ED6849"/>
    <w:rsid w:val="00EE6050"/>
    <w:rsid w:val="00EE7737"/>
    <w:rsid w:val="00EF005A"/>
    <w:rsid w:val="00EF18A2"/>
    <w:rsid w:val="00EF204F"/>
    <w:rsid w:val="00EF261A"/>
    <w:rsid w:val="00EF7381"/>
    <w:rsid w:val="00F01D15"/>
    <w:rsid w:val="00F02888"/>
    <w:rsid w:val="00F04C42"/>
    <w:rsid w:val="00F061B6"/>
    <w:rsid w:val="00F125C2"/>
    <w:rsid w:val="00F13FBF"/>
    <w:rsid w:val="00F1793B"/>
    <w:rsid w:val="00F24777"/>
    <w:rsid w:val="00F24ED7"/>
    <w:rsid w:val="00F25145"/>
    <w:rsid w:val="00F25809"/>
    <w:rsid w:val="00F327BD"/>
    <w:rsid w:val="00F377A9"/>
    <w:rsid w:val="00F4103B"/>
    <w:rsid w:val="00F415E8"/>
    <w:rsid w:val="00F52404"/>
    <w:rsid w:val="00F6151C"/>
    <w:rsid w:val="00F622E4"/>
    <w:rsid w:val="00F6541D"/>
    <w:rsid w:val="00F73040"/>
    <w:rsid w:val="00F80BE8"/>
    <w:rsid w:val="00F8114F"/>
    <w:rsid w:val="00F8288B"/>
    <w:rsid w:val="00F8370E"/>
    <w:rsid w:val="00F848C0"/>
    <w:rsid w:val="00F85C64"/>
    <w:rsid w:val="00F9126C"/>
    <w:rsid w:val="00F95005"/>
    <w:rsid w:val="00F961C1"/>
    <w:rsid w:val="00F97190"/>
    <w:rsid w:val="00FA4991"/>
    <w:rsid w:val="00FA7E20"/>
    <w:rsid w:val="00FB1755"/>
    <w:rsid w:val="00FB25F0"/>
    <w:rsid w:val="00FC08C0"/>
    <w:rsid w:val="00FC35AB"/>
    <w:rsid w:val="00FC3D11"/>
    <w:rsid w:val="00FC4FE3"/>
    <w:rsid w:val="00FC5432"/>
    <w:rsid w:val="00FC6489"/>
    <w:rsid w:val="00FD1DE6"/>
    <w:rsid w:val="00FD4A3E"/>
    <w:rsid w:val="00FD5DF0"/>
    <w:rsid w:val="00FD6A55"/>
    <w:rsid w:val="00FD7D19"/>
    <w:rsid w:val="00FE07AE"/>
    <w:rsid w:val="00FE412B"/>
    <w:rsid w:val="00FE677A"/>
    <w:rsid w:val="00FF1F9A"/>
    <w:rsid w:val="00FF2504"/>
    <w:rsid w:val="00FF2E79"/>
    <w:rsid w:val="00FF4670"/>
    <w:rsid w:val="00FF5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444E8E"/>
  <w15:chartTrackingRefBased/>
  <w15:docId w15:val="{FCCCE45D-FA92-40D5-8F8C-30E1876EF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F39"/>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5D7F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7F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7F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7F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F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F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F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F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F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7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F39"/>
    <w:rPr>
      <w:rFonts w:eastAsiaTheme="majorEastAsia" w:cstheme="majorBidi"/>
      <w:color w:val="272727" w:themeColor="text1" w:themeTint="D8"/>
    </w:rPr>
  </w:style>
  <w:style w:type="paragraph" w:styleId="Title">
    <w:name w:val="Title"/>
    <w:basedOn w:val="Normal"/>
    <w:next w:val="Normal"/>
    <w:link w:val="TitleChar"/>
    <w:uiPriority w:val="10"/>
    <w:qFormat/>
    <w:rsid w:val="005D7F3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F39"/>
    <w:pPr>
      <w:spacing w:before="160"/>
      <w:jc w:val="center"/>
    </w:pPr>
    <w:rPr>
      <w:i/>
      <w:iCs/>
      <w:color w:val="404040" w:themeColor="text1" w:themeTint="BF"/>
    </w:rPr>
  </w:style>
  <w:style w:type="character" w:customStyle="1" w:styleId="QuoteChar">
    <w:name w:val="Quote Char"/>
    <w:basedOn w:val="DefaultParagraphFont"/>
    <w:link w:val="Quote"/>
    <w:uiPriority w:val="29"/>
    <w:rsid w:val="005D7F39"/>
    <w:rPr>
      <w:i/>
      <w:iCs/>
      <w:color w:val="404040" w:themeColor="text1" w:themeTint="BF"/>
    </w:rPr>
  </w:style>
  <w:style w:type="paragraph" w:styleId="ListParagraph">
    <w:name w:val="List Paragraph"/>
    <w:basedOn w:val="Normal"/>
    <w:uiPriority w:val="34"/>
    <w:qFormat/>
    <w:rsid w:val="005D7F39"/>
    <w:pPr>
      <w:ind w:left="720"/>
      <w:contextualSpacing/>
    </w:pPr>
  </w:style>
  <w:style w:type="character" w:styleId="IntenseEmphasis">
    <w:name w:val="Intense Emphasis"/>
    <w:basedOn w:val="DefaultParagraphFont"/>
    <w:uiPriority w:val="21"/>
    <w:qFormat/>
    <w:rsid w:val="005D7F39"/>
    <w:rPr>
      <w:i/>
      <w:iCs/>
      <w:color w:val="0F4761" w:themeColor="accent1" w:themeShade="BF"/>
    </w:rPr>
  </w:style>
  <w:style w:type="paragraph" w:styleId="IntenseQuote">
    <w:name w:val="Intense Quote"/>
    <w:basedOn w:val="Normal"/>
    <w:next w:val="Normal"/>
    <w:link w:val="IntenseQuoteChar"/>
    <w:uiPriority w:val="30"/>
    <w:qFormat/>
    <w:rsid w:val="005D7F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F39"/>
    <w:rPr>
      <w:i/>
      <w:iCs/>
      <w:color w:val="0F4761" w:themeColor="accent1" w:themeShade="BF"/>
    </w:rPr>
  </w:style>
  <w:style w:type="character" w:styleId="IntenseReference">
    <w:name w:val="Intense Reference"/>
    <w:basedOn w:val="DefaultParagraphFont"/>
    <w:uiPriority w:val="32"/>
    <w:qFormat/>
    <w:rsid w:val="005D7F39"/>
    <w:rPr>
      <w:b/>
      <w:bCs/>
      <w:smallCaps/>
      <w:color w:val="0F4761" w:themeColor="accent1" w:themeShade="BF"/>
      <w:spacing w:val="5"/>
    </w:rPr>
  </w:style>
  <w:style w:type="character" w:styleId="Hyperlink">
    <w:name w:val="Hyperlink"/>
    <w:basedOn w:val="DefaultParagraphFont"/>
    <w:uiPriority w:val="99"/>
    <w:unhideWhenUsed/>
    <w:rsid w:val="008C6348"/>
    <w:rPr>
      <w:color w:val="467886" w:themeColor="hyperlink"/>
      <w:u w:val="single"/>
    </w:rPr>
  </w:style>
  <w:style w:type="character" w:styleId="UnresolvedMention">
    <w:name w:val="Unresolved Mention"/>
    <w:basedOn w:val="DefaultParagraphFont"/>
    <w:uiPriority w:val="99"/>
    <w:semiHidden/>
    <w:unhideWhenUsed/>
    <w:rsid w:val="00FB1755"/>
    <w:rPr>
      <w:color w:val="605E5C"/>
      <w:shd w:val="clear" w:color="auto" w:fill="E1DFDD"/>
    </w:rPr>
  </w:style>
  <w:style w:type="table" w:styleId="TableGrid">
    <w:name w:val="Table Grid"/>
    <w:basedOn w:val="TableNormal"/>
    <w:uiPriority w:val="39"/>
    <w:rsid w:val="008849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E70B5"/>
    <w:rPr>
      <w:color w:val="96607D" w:themeColor="followedHyperlink"/>
      <w:u w:val="single"/>
    </w:rPr>
  </w:style>
  <w:style w:type="paragraph" w:styleId="Header">
    <w:name w:val="header"/>
    <w:basedOn w:val="Normal"/>
    <w:link w:val="HeaderChar"/>
    <w:uiPriority w:val="99"/>
    <w:unhideWhenUsed/>
    <w:rsid w:val="003C03B6"/>
    <w:pPr>
      <w:tabs>
        <w:tab w:val="center" w:pos="4513"/>
        <w:tab w:val="right" w:pos="9026"/>
      </w:tabs>
    </w:pPr>
  </w:style>
  <w:style w:type="character" w:customStyle="1" w:styleId="HeaderChar">
    <w:name w:val="Header Char"/>
    <w:basedOn w:val="DefaultParagraphFont"/>
    <w:link w:val="Header"/>
    <w:uiPriority w:val="99"/>
    <w:rsid w:val="003C03B6"/>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3C03B6"/>
    <w:pPr>
      <w:tabs>
        <w:tab w:val="center" w:pos="4513"/>
        <w:tab w:val="right" w:pos="9026"/>
      </w:tabs>
    </w:pPr>
  </w:style>
  <w:style w:type="character" w:customStyle="1" w:styleId="FooterChar">
    <w:name w:val="Footer Char"/>
    <w:basedOn w:val="DefaultParagraphFont"/>
    <w:link w:val="Footer"/>
    <w:uiPriority w:val="99"/>
    <w:rsid w:val="003C03B6"/>
    <w:rPr>
      <w:rFonts w:ascii="Times New Roman" w:eastAsia="Times New Roman" w:hAnsi="Times New Roman" w:cs="Times New Roman"/>
      <w:kern w:val="0"/>
      <w:sz w:val="24"/>
      <w:szCs w:val="24"/>
      <w:lang w:eastAsia="en-GB"/>
      <w14:ligatures w14:val="none"/>
    </w:rPr>
  </w:style>
  <w:style w:type="paragraph" w:styleId="FootnoteText">
    <w:name w:val="footnote text"/>
    <w:basedOn w:val="Normal"/>
    <w:link w:val="FootnoteTextChar"/>
    <w:uiPriority w:val="99"/>
    <w:semiHidden/>
    <w:unhideWhenUsed/>
    <w:rsid w:val="000D3122"/>
    <w:rPr>
      <w:sz w:val="20"/>
      <w:szCs w:val="20"/>
    </w:rPr>
  </w:style>
  <w:style w:type="character" w:customStyle="1" w:styleId="FootnoteTextChar">
    <w:name w:val="Footnote Text Char"/>
    <w:basedOn w:val="DefaultParagraphFont"/>
    <w:link w:val="FootnoteText"/>
    <w:uiPriority w:val="99"/>
    <w:semiHidden/>
    <w:rsid w:val="000D3122"/>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0D3122"/>
    <w:rPr>
      <w:vertAlign w:val="superscript"/>
    </w:rPr>
  </w:style>
  <w:style w:type="paragraph" w:styleId="NormalWeb">
    <w:name w:val="Normal (Web)"/>
    <w:basedOn w:val="Normal"/>
    <w:uiPriority w:val="99"/>
    <w:semiHidden/>
    <w:unhideWhenUsed/>
    <w:rsid w:val="008759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897279">
      <w:bodyDiv w:val="1"/>
      <w:marLeft w:val="0"/>
      <w:marRight w:val="0"/>
      <w:marTop w:val="0"/>
      <w:marBottom w:val="0"/>
      <w:divBdr>
        <w:top w:val="none" w:sz="0" w:space="0" w:color="auto"/>
        <w:left w:val="none" w:sz="0" w:space="0" w:color="auto"/>
        <w:bottom w:val="none" w:sz="0" w:space="0" w:color="auto"/>
        <w:right w:val="none" w:sz="0" w:space="0" w:color="auto"/>
      </w:divBdr>
    </w:div>
    <w:div w:id="391466472">
      <w:bodyDiv w:val="1"/>
      <w:marLeft w:val="0"/>
      <w:marRight w:val="0"/>
      <w:marTop w:val="0"/>
      <w:marBottom w:val="0"/>
      <w:divBdr>
        <w:top w:val="none" w:sz="0" w:space="0" w:color="auto"/>
        <w:left w:val="none" w:sz="0" w:space="0" w:color="auto"/>
        <w:bottom w:val="none" w:sz="0" w:space="0" w:color="auto"/>
        <w:right w:val="none" w:sz="0" w:space="0" w:color="auto"/>
      </w:divBdr>
      <w:divsChild>
        <w:div w:id="1845440905">
          <w:marLeft w:val="0"/>
          <w:marRight w:val="0"/>
          <w:marTop w:val="0"/>
          <w:marBottom w:val="0"/>
          <w:divBdr>
            <w:top w:val="none" w:sz="0" w:space="0" w:color="auto"/>
            <w:left w:val="none" w:sz="0" w:space="0" w:color="auto"/>
            <w:bottom w:val="none" w:sz="0" w:space="0" w:color="auto"/>
            <w:right w:val="none" w:sz="0" w:space="0" w:color="auto"/>
          </w:divBdr>
        </w:div>
        <w:div w:id="2089036304">
          <w:marLeft w:val="0"/>
          <w:marRight w:val="0"/>
          <w:marTop w:val="0"/>
          <w:marBottom w:val="0"/>
          <w:divBdr>
            <w:top w:val="none" w:sz="0" w:space="0" w:color="auto"/>
            <w:left w:val="none" w:sz="0" w:space="0" w:color="auto"/>
            <w:bottom w:val="none" w:sz="0" w:space="0" w:color="auto"/>
            <w:right w:val="none" w:sz="0" w:space="0" w:color="auto"/>
          </w:divBdr>
        </w:div>
        <w:div w:id="781341148">
          <w:marLeft w:val="0"/>
          <w:marRight w:val="0"/>
          <w:marTop w:val="0"/>
          <w:marBottom w:val="0"/>
          <w:divBdr>
            <w:top w:val="none" w:sz="0" w:space="0" w:color="auto"/>
            <w:left w:val="none" w:sz="0" w:space="0" w:color="auto"/>
            <w:bottom w:val="none" w:sz="0" w:space="0" w:color="auto"/>
            <w:right w:val="none" w:sz="0" w:space="0" w:color="auto"/>
          </w:divBdr>
        </w:div>
        <w:div w:id="147020657">
          <w:marLeft w:val="0"/>
          <w:marRight w:val="0"/>
          <w:marTop w:val="0"/>
          <w:marBottom w:val="0"/>
          <w:divBdr>
            <w:top w:val="none" w:sz="0" w:space="0" w:color="auto"/>
            <w:left w:val="none" w:sz="0" w:space="0" w:color="auto"/>
            <w:bottom w:val="none" w:sz="0" w:space="0" w:color="auto"/>
            <w:right w:val="none" w:sz="0" w:space="0" w:color="auto"/>
          </w:divBdr>
        </w:div>
      </w:divsChild>
    </w:div>
    <w:div w:id="467552491">
      <w:bodyDiv w:val="1"/>
      <w:marLeft w:val="0"/>
      <w:marRight w:val="0"/>
      <w:marTop w:val="0"/>
      <w:marBottom w:val="0"/>
      <w:divBdr>
        <w:top w:val="none" w:sz="0" w:space="0" w:color="auto"/>
        <w:left w:val="none" w:sz="0" w:space="0" w:color="auto"/>
        <w:bottom w:val="none" w:sz="0" w:space="0" w:color="auto"/>
        <w:right w:val="none" w:sz="0" w:space="0" w:color="auto"/>
      </w:divBdr>
    </w:div>
    <w:div w:id="582956818">
      <w:bodyDiv w:val="1"/>
      <w:marLeft w:val="0"/>
      <w:marRight w:val="0"/>
      <w:marTop w:val="0"/>
      <w:marBottom w:val="0"/>
      <w:divBdr>
        <w:top w:val="none" w:sz="0" w:space="0" w:color="auto"/>
        <w:left w:val="none" w:sz="0" w:space="0" w:color="auto"/>
        <w:bottom w:val="none" w:sz="0" w:space="0" w:color="auto"/>
        <w:right w:val="none" w:sz="0" w:space="0" w:color="auto"/>
      </w:divBdr>
    </w:div>
    <w:div w:id="647443859">
      <w:bodyDiv w:val="1"/>
      <w:marLeft w:val="0"/>
      <w:marRight w:val="0"/>
      <w:marTop w:val="0"/>
      <w:marBottom w:val="0"/>
      <w:divBdr>
        <w:top w:val="none" w:sz="0" w:space="0" w:color="auto"/>
        <w:left w:val="none" w:sz="0" w:space="0" w:color="auto"/>
        <w:bottom w:val="none" w:sz="0" w:space="0" w:color="auto"/>
        <w:right w:val="none" w:sz="0" w:space="0" w:color="auto"/>
      </w:divBdr>
    </w:div>
    <w:div w:id="796410330">
      <w:bodyDiv w:val="1"/>
      <w:marLeft w:val="0"/>
      <w:marRight w:val="0"/>
      <w:marTop w:val="0"/>
      <w:marBottom w:val="0"/>
      <w:divBdr>
        <w:top w:val="none" w:sz="0" w:space="0" w:color="auto"/>
        <w:left w:val="none" w:sz="0" w:space="0" w:color="auto"/>
        <w:bottom w:val="none" w:sz="0" w:space="0" w:color="auto"/>
        <w:right w:val="none" w:sz="0" w:space="0" w:color="auto"/>
      </w:divBdr>
      <w:divsChild>
        <w:div w:id="271861763">
          <w:marLeft w:val="0"/>
          <w:marRight w:val="0"/>
          <w:marTop w:val="0"/>
          <w:marBottom w:val="0"/>
          <w:divBdr>
            <w:top w:val="none" w:sz="0" w:space="0" w:color="auto"/>
            <w:left w:val="none" w:sz="0" w:space="0" w:color="auto"/>
            <w:bottom w:val="none" w:sz="0" w:space="0" w:color="auto"/>
            <w:right w:val="none" w:sz="0" w:space="0" w:color="auto"/>
          </w:divBdr>
        </w:div>
        <w:div w:id="990645648">
          <w:marLeft w:val="0"/>
          <w:marRight w:val="0"/>
          <w:marTop w:val="0"/>
          <w:marBottom w:val="0"/>
          <w:divBdr>
            <w:top w:val="none" w:sz="0" w:space="0" w:color="auto"/>
            <w:left w:val="none" w:sz="0" w:space="0" w:color="auto"/>
            <w:bottom w:val="none" w:sz="0" w:space="0" w:color="auto"/>
            <w:right w:val="none" w:sz="0" w:space="0" w:color="auto"/>
          </w:divBdr>
        </w:div>
        <w:div w:id="1368876218">
          <w:marLeft w:val="0"/>
          <w:marRight w:val="0"/>
          <w:marTop w:val="0"/>
          <w:marBottom w:val="0"/>
          <w:divBdr>
            <w:top w:val="none" w:sz="0" w:space="0" w:color="auto"/>
            <w:left w:val="none" w:sz="0" w:space="0" w:color="auto"/>
            <w:bottom w:val="none" w:sz="0" w:space="0" w:color="auto"/>
            <w:right w:val="none" w:sz="0" w:space="0" w:color="auto"/>
          </w:divBdr>
        </w:div>
        <w:div w:id="1543709960">
          <w:marLeft w:val="0"/>
          <w:marRight w:val="0"/>
          <w:marTop w:val="0"/>
          <w:marBottom w:val="0"/>
          <w:divBdr>
            <w:top w:val="none" w:sz="0" w:space="0" w:color="auto"/>
            <w:left w:val="none" w:sz="0" w:space="0" w:color="auto"/>
            <w:bottom w:val="none" w:sz="0" w:space="0" w:color="auto"/>
            <w:right w:val="none" w:sz="0" w:space="0" w:color="auto"/>
          </w:divBdr>
        </w:div>
      </w:divsChild>
    </w:div>
    <w:div w:id="862520328">
      <w:bodyDiv w:val="1"/>
      <w:marLeft w:val="0"/>
      <w:marRight w:val="0"/>
      <w:marTop w:val="0"/>
      <w:marBottom w:val="0"/>
      <w:divBdr>
        <w:top w:val="none" w:sz="0" w:space="0" w:color="auto"/>
        <w:left w:val="none" w:sz="0" w:space="0" w:color="auto"/>
        <w:bottom w:val="none" w:sz="0" w:space="0" w:color="auto"/>
        <w:right w:val="none" w:sz="0" w:space="0" w:color="auto"/>
      </w:divBdr>
      <w:divsChild>
        <w:div w:id="1140074346">
          <w:marLeft w:val="547"/>
          <w:marRight w:val="0"/>
          <w:marTop w:val="200"/>
          <w:marBottom w:val="0"/>
          <w:divBdr>
            <w:top w:val="none" w:sz="0" w:space="0" w:color="auto"/>
            <w:left w:val="none" w:sz="0" w:space="0" w:color="auto"/>
            <w:bottom w:val="none" w:sz="0" w:space="0" w:color="auto"/>
            <w:right w:val="none" w:sz="0" w:space="0" w:color="auto"/>
          </w:divBdr>
        </w:div>
        <w:div w:id="530800610">
          <w:marLeft w:val="547"/>
          <w:marRight w:val="0"/>
          <w:marTop w:val="200"/>
          <w:marBottom w:val="0"/>
          <w:divBdr>
            <w:top w:val="none" w:sz="0" w:space="0" w:color="auto"/>
            <w:left w:val="none" w:sz="0" w:space="0" w:color="auto"/>
            <w:bottom w:val="none" w:sz="0" w:space="0" w:color="auto"/>
            <w:right w:val="none" w:sz="0" w:space="0" w:color="auto"/>
          </w:divBdr>
        </w:div>
        <w:div w:id="515191345">
          <w:marLeft w:val="547"/>
          <w:marRight w:val="0"/>
          <w:marTop w:val="200"/>
          <w:marBottom w:val="0"/>
          <w:divBdr>
            <w:top w:val="none" w:sz="0" w:space="0" w:color="auto"/>
            <w:left w:val="none" w:sz="0" w:space="0" w:color="auto"/>
            <w:bottom w:val="none" w:sz="0" w:space="0" w:color="auto"/>
            <w:right w:val="none" w:sz="0" w:space="0" w:color="auto"/>
          </w:divBdr>
        </w:div>
        <w:div w:id="512762216">
          <w:marLeft w:val="547"/>
          <w:marRight w:val="0"/>
          <w:marTop w:val="200"/>
          <w:marBottom w:val="0"/>
          <w:divBdr>
            <w:top w:val="none" w:sz="0" w:space="0" w:color="auto"/>
            <w:left w:val="none" w:sz="0" w:space="0" w:color="auto"/>
            <w:bottom w:val="none" w:sz="0" w:space="0" w:color="auto"/>
            <w:right w:val="none" w:sz="0" w:space="0" w:color="auto"/>
          </w:divBdr>
        </w:div>
        <w:div w:id="2078630383">
          <w:marLeft w:val="547"/>
          <w:marRight w:val="0"/>
          <w:marTop w:val="200"/>
          <w:marBottom w:val="0"/>
          <w:divBdr>
            <w:top w:val="none" w:sz="0" w:space="0" w:color="auto"/>
            <w:left w:val="none" w:sz="0" w:space="0" w:color="auto"/>
            <w:bottom w:val="none" w:sz="0" w:space="0" w:color="auto"/>
            <w:right w:val="none" w:sz="0" w:space="0" w:color="auto"/>
          </w:divBdr>
        </w:div>
        <w:div w:id="2030987056">
          <w:marLeft w:val="547"/>
          <w:marRight w:val="0"/>
          <w:marTop w:val="200"/>
          <w:marBottom w:val="160"/>
          <w:divBdr>
            <w:top w:val="none" w:sz="0" w:space="0" w:color="auto"/>
            <w:left w:val="none" w:sz="0" w:space="0" w:color="auto"/>
            <w:bottom w:val="none" w:sz="0" w:space="0" w:color="auto"/>
            <w:right w:val="none" w:sz="0" w:space="0" w:color="auto"/>
          </w:divBdr>
        </w:div>
      </w:divsChild>
    </w:div>
    <w:div w:id="863904738">
      <w:bodyDiv w:val="1"/>
      <w:marLeft w:val="0"/>
      <w:marRight w:val="0"/>
      <w:marTop w:val="0"/>
      <w:marBottom w:val="0"/>
      <w:divBdr>
        <w:top w:val="none" w:sz="0" w:space="0" w:color="auto"/>
        <w:left w:val="none" w:sz="0" w:space="0" w:color="auto"/>
        <w:bottom w:val="none" w:sz="0" w:space="0" w:color="auto"/>
        <w:right w:val="none" w:sz="0" w:space="0" w:color="auto"/>
      </w:divBdr>
    </w:div>
    <w:div w:id="899708983">
      <w:bodyDiv w:val="1"/>
      <w:marLeft w:val="0"/>
      <w:marRight w:val="0"/>
      <w:marTop w:val="0"/>
      <w:marBottom w:val="0"/>
      <w:divBdr>
        <w:top w:val="none" w:sz="0" w:space="0" w:color="auto"/>
        <w:left w:val="none" w:sz="0" w:space="0" w:color="auto"/>
        <w:bottom w:val="none" w:sz="0" w:space="0" w:color="auto"/>
        <w:right w:val="none" w:sz="0" w:space="0" w:color="auto"/>
      </w:divBdr>
    </w:div>
    <w:div w:id="1022124258">
      <w:bodyDiv w:val="1"/>
      <w:marLeft w:val="0"/>
      <w:marRight w:val="0"/>
      <w:marTop w:val="0"/>
      <w:marBottom w:val="0"/>
      <w:divBdr>
        <w:top w:val="none" w:sz="0" w:space="0" w:color="auto"/>
        <w:left w:val="none" w:sz="0" w:space="0" w:color="auto"/>
        <w:bottom w:val="none" w:sz="0" w:space="0" w:color="auto"/>
        <w:right w:val="none" w:sz="0" w:space="0" w:color="auto"/>
      </w:divBdr>
    </w:div>
    <w:div w:id="1107044701">
      <w:bodyDiv w:val="1"/>
      <w:marLeft w:val="0"/>
      <w:marRight w:val="0"/>
      <w:marTop w:val="0"/>
      <w:marBottom w:val="0"/>
      <w:divBdr>
        <w:top w:val="none" w:sz="0" w:space="0" w:color="auto"/>
        <w:left w:val="none" w:sz="0" w:space="0" w:color="auto"/>
        <w:bottom w:val="none" w:sz="0" w:space="0" w:color="auto"/>
        <w:right w:val="none" w:sz="0" w:space="0" w:color="auto"/>
      </w:divBdr>
      <w:divsChild>
        <w:div w:id="1608803747">
          <w:marLeft w:val="0"/>
          <w:marRight w:val="0"/>
          <w:marTop w:val="0"/>
          <w:marBottom w:val="0"/>
          <w:divBdr>
            <w:top w:val="none" w:sz="0" w:space="0" w:color="auto"/>
            <w:left w:val="none" w:sz="0" w:space="0" w:color="auto"/>
            <w:bottom w:val="none" w:sz="0" w:space="0" w:color="auto"/>
            <w:right w:val="none" w:sz="0" w:space="0" w:color="auto"/>
          </w:divBdr>
          <w:divsChild>
            <w:div w:id="1538817205">
              <w:marLeft w:val="0"/>
              <w:marRight w:val="0"/>
              <w:marTop w:val="0"/>
              <w:marBottom w:val="0"/>
              <w:divBdr>
                <w:top w:val="none" w:sz="0" w:space="0" w:color="auto"/>
                <w:left w:val="none" w:sz="0" w:space="0" w:color="auto"/>
                <w:bottom w:val="none" w:sz="0" w:space="0" w:color="auto"/>
                <w:right w:val="none" w:sz="0" w:space="0" w:color="auto"/>
              </w:divBdr>
              <w:divsChild>
                <w:div w:id="150917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498323">
      <w:bodyDiv w:val="1"/>
      <w:marLeft w:val="0"/>
      <w:marRight w:val="0"/>
      <w:marTop w:val="0"/>
      <w:marBottom w:val="0"/>
      <w:divBdr>
        <w:top w:val="none" w:sz="0" w:space="0" w:color="auto"/>
        <w:left w:val="none" w:sz="0" w:space="0" w:color="auto"/>
        <w:bottom w:val="none" w:sz="0" w:space="0" w:color="auto"/>
        <w:right w:val="none" w:sz="0" w:space="0" w:color="auto"/>
      </w:divBdr>
      <w:divsChild>
        <w:div w:id="1272281332">
          <w:marLeft w:val="0"/>
          <w:marRight w:val="0"/>
          <w:marTop w:val="0"/>
          <w:marBottom w:val="0"/>
          <w:divBdr>
            <w:top w:val="none" w:sz="0" w:space="0" w:color="auto"/>
            <w:left w:val="none" w:sz="0" w:space="0" w:color="auto"/>
            <w:bottom w:val="none" w:sz="0" w:space="0" w:color="auto"/>
            <w:right w:val="none" w:sz="0" w:space="0" w:color="auto"/>
          </w:divBdr>
          <w:divsChild>
            <w:div w:id="1299340847">
              <w:marLeft w:val="0"/>
              <w:marRight w:val="0"/>
              <w:marTop w:val="0"/>
              <w:marBottom w:val="0"/>
              <w:divBdr>
                <w:top w:val="none" w:sz="0" w:space="0" w:color="auto"/>
                <w:left w:val="none" w:sz="0" w:space="0" w:color="auto"/>
                <w:bottom w:val="none" w:sz="0" w:space="0" w:color="auto"/>
                <w:right w:val="none" w:sz="0" w:space="0" w:color="auto"/>
              </w:divBdr>
              <w:divsChild>
                <w:div w:id="146473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32489">
      <w:bodyDiv w:val="1"/>
      <w:marLeft w:val="0"/>
      <w:marRight w:val="0"/>
      <w:marTop w:val="0"/>
      <w:marBottom w:val="0"/>
      <w:divBdr>
        <w:top w:val="none" w:sz="0" w:space="0" w:color="auto"/>
        <w:left w:val="none" w:sz="0" w:space="0" w:color="auto"/>
        <w:bottom w:val="none" w:sz="0" w:space="0" w:color="auto"/>
        <w:right w:val="none" w:sz="0" w:space="0" w:color="auto"/>
      </w:divBdr>
    </w:div>
    <w:div w:id="1251887526">
      <w:bodyDiv w:val="1"/>
      <w:marLeft w:val="0"/>
      <w:marRight w:val="0"/>
      <w:marTop w:val="0"/>
      <w:marBottom w:val="0"/>
      <w:divBdr>
        <w:top w:val="none" w:sz="0" w:space="0" w:color="auto"/>
        <w:left w:val="none" w:sz="0" w:space="0" w:color="auto"/>
        <w:bottom w:val="none" w:sz="0" w:space="0" w:color="auto"/>
        <w:right w:val="none" w:sz="0" w:space="0" w:color="auto"/>
      </w:divBdr>
      <w:divsChild>
        <w:div w:id="1524515550">
          <w:marLeft w:val="360"/>
          <w:marRight w:val="0"/>
          <w:marTop w:val="200"/>
          <w:marBottom w:val="0"/>
          <w:divBdr>
            <w:top w:val="none" w:sz="0" w:space="0" w:color="auto"/>
            <w:left w:val="none" w:sz="0" w:space="0" w:color="auto"/>
            <w:bottom w:val="none" w:sz="0" w:space="0" w:color="auto"/>
            <w:right w:val="none" w:sz="0" w:space="0" w:color="auto"/>
          </w:divBdr>
        </w:div>
      </w:divsChild>
    </w:div>
    <w:div w:id="1374695558">
      <w:bodyDiv w:val="1"/>
      <w:marLeft w:val="0"/>
      <w:marRight w:val="0"/>
      <w:marTop w:val="0"/>
      <w:marBottom w:val="0"/>
      <w:divBdr>
        <w:top w:val="none" w:sz="0" w:space="0" w:color="auto"/>
        <w:left w:val="none" w:sz="0" w:space="0" w:color="auto"/>
        <w:bottom w:val="none" w:sz="0" w:space="0" w:color="auto"/>
        <w:right w:val="none" w:sz="0" w:space="0" w:color="auto"/>
      </w:divBdr>
    </w:div>
    <w:div w:id="1484392472">
      <w:bodyDiv w:val="1"/>
      <w:marLeft w:val="0"/>
      <w:marRight w:val="0"/>
      <w:marTop w:val="0"/>
      <w:marBottom w:val="0"/>
      <w:divBdr>
        <w:top w:val="none" w:sz="0" w:space="0" w:color="auto"/>
        <w:left w:val="none" w:sz="0" w:space="0" w:color="auto"/>
        <w:bottom w:val="none" w:sz="0" w:space="0" w:color="auto"/>
        <w:right w:val="none" w:sz="0" w:space="0" w:color="auto"/>
      </w:divBdr>
    </w:div>
    <w:div w:id="1873834561">
      <w:bodyDiv w:val="1"/>
      <w:marLeft w:val="0"/>
      <w:marRight w:val="0"/>
      <w:marTop w:val="0"/>
      <w:marBottom w:val="0"/>
      <w:divBdr>
        <w:top w:val="none" w:sz="0" w:space="0" w:color="auto"/>
        <w:left w:val="none" w:sz="0" w:space="0" w:color="auto"/>
        <w:bottom w:val="none" w:sz="0" w:space="0" w:color="auto"/>
        <w:right w:val="none" w:sz="0" w:space="0" w:color="auto"/>
      </w:divBdr>
    </w:div>
    <w:div w:id="2123646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asc/2021/4/section/13" TargetMode="External"/><Relationship Id="rId18" Type="http://schemas.openxmlformats.org/officeDocument/2006/relationships/hyperlink" Target="https://www.legislation.gov.uk/ukpga/1998/38/contents/enacted?lang=en" TargetMode="External"/><Relationship Id="rId26" Type="http://schemas.openxmlformats.org/officeDocument/2006/relationships/hyperlink" Target="https://journals.sagepub.com/doi/abs/10.1177/0146167217746341?journalCode=pspc" TargetMode="External"/><Relationship Id="rId39" Type="http://schemas.openxmlformats.org/officeDocument/2006/relationships/header" Target="header1.xml"/><Relationship Id="rId21" Type="http://schemas.openxmlformats.org/officeDocument/2006/relationships/hyperlink" Target="https://eprints.gla.ac.uk/298263/1/298263Eng.pdf" TargetMode="External"/><Relationship Id="rId34" Type="http://schemas.openxmlformats.org/officeDocument/2006/relationships/hyperlink" Target="https://www.childreninwales.org.uk/application/files/8416/9020/8945/JaneWaters-DaviesandNatalieMacDonald_presentation.pdf"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styn.gov.wales/system/files/2021-11/16.07.21%20-%20response%20re%20Curriculum%20for%20funded%20non-maintained%20nursery%20settings.pdf" TargetMode="External"/><Relationship Id="rId29" Type="http://schemas.openxmlformats.org/officeDocument/2006/relationships/hyperlink" Target="https://doi.org/10.1080/03004430.2018.15257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einspectorate.wales/code-practice-inspection-child-minding-day-care-and-open-access-play-services-html" TargetMode="External"/><Relationship Id="rId24" Type="http://schemas.openxmlformats.org/officeDocument/2006/relationships/hyperlink" Target="https://mrpriestley.wordpress.com/2021/02/28/remaking-curriculum-making-how-should-we-support-curriculum-development/" TargetMode="External"/><Relationship Id="rId32" Type="http://schemas.openxmlformats.org/officeDocument/2006/relationships/hyperlink" Target="https://doi.org/10.2991/assehr.k.210322.048" TargetMode="External"/><Relationship Id="rId37" Type="http://schemas.openxmlformats.org/officeDocument/2006/relationships/hyperlink" Target="https://www.gov.wales/sites/default/files/publications/2023-11/national-minimum-standards-for-regulated-childcare_0.pdf"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wales/sites/default/files/publications/2018-03/successful-futures.pdf" TargetMode="External"/><Relationship Id="rId23" Type="http://schemas.openxmlformats.org/officeDocument/2006/relationships/hyperlink" Target="https://doi.org/10.1787/4b483953-en" TargetMode="External"/><Relationship Id="rId28" Type="http://schemas.openxmlformats.org/officeDocument/2006/relationships/hyperlink" Target="https://www.academia.edu/48655238/Learning_in_the_home_and_at_school_how_working_class_children_succeed_against_the_odds_?email_work_card=title" TargetMode="External"/><Relationship Id="rId36" Type="http://schemas.openxmlformats.org/officeDocument/2006/relationships/hyperlink" Target="https://www.gov.wales/written-statement-successful-futures-programme" TargetMode="External"/><Relationship Id="rId10" Type="http://schemas.openxmlformats.org/officeDocument/2006/relationships/hyperlink" Target="https://www.careinspectorate.wales/sites/default/files/2018-02/160613childcareframworken.pdf" TargetMode="External"/><Relationship Id="rId19" Type="http://schemas.openxmlformats.org/officeDocument/2006/relationships/hyperlink" Target="https://doi.org/10.1007/s12187-021-09881-6" TargetMode="External"/><Relationship Id="rId31" Type="http://schemas.openxmlformats.org/officeDocument/2006/relationships/hyperlink" Target="https://statswales.gov.wales/Catalogue/Education-and-Skills/Schools-and-Teachers/Schools-Census/Pupil-Level-Annual-School-Census"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research.hud.ac.uk/media/assets/document/hhs/RelationshipBetweenPovertyChildAbuseandNeglect_Report.pdf" TargetMode="External"/><Relationship Id="rId14" Type="http://schemas.openxmlformats.org/officeDocument/2006/relationships/hyperlink" Target="https://doi.org/10.1080/03004279.2016.1194448" TargetMode="External"/><Relationship Id="rId22" Type="http://schemas.openxmlformats.org/officeDocument/2006/relationships/hyperlink" Target="https://doi.org/10.1080/09669760.2016.1205970" TargetMode="External"/><Relationship Id="rId27" Type="http://schemas.openxmlformats.org/officeDocument/2006/relationships/hyperlink" Target="https://dera.ioe.ac.uk/id/eprint/4650/1/RR356.pdf" TargetMode="External"/><Relationship Id="rId30" Type="http://schemas.openxmlformats.org/officeDocument/2006/relationships/hyperlink" Target="https://socialcare.wales/qualifications-funding/qualification-framework" TargetMode="External"/><Relationship Id="rId35" Type="http://schemas.openxmlformats.org/officeDocument/2006/relationships/hyperlink" Target="https://www.gov.wales/written-statement-curriculum-wales-curriculum-life" TargetMode="External"/><Relationship Id="rId43" Type="http://schemas.openxmlformats.org/officeDocument/2006/relationships/header" Target="header3.xml"/><Relationship Id="rId8" Type="http://schemas.openxmlformats.org/officeDocument/2006/relationships/hyperlink" Target="https://doi.org/10.1080/14703297.2014.1003953" TargetMode="External"/><Relationship Id="rId3" Type="http://schemas.openxmlformats.org/officeDocument/2006/relationships/styles" Target="styles.xml"/><Relationship Id="rId12" Type="http://schemas.openxmlformats.org/officeDocument/2006/relationships/hyperlink" Target="https://doi.org/10.1177/0038038520939397" TargetMode="External"/><Relationship Id="rId17" Type="http://schemas.openxmlformats.org/officeDocument/2006/relationships/hyperlink" Target="https://www.sirenfilms.co.uk/library/in-conversation-with-warda-farah-speech-and-language-therapist/" TargetMode="External"/><Relationship Id="rId25" Type="http://schemas.openxmlformats.org/officeDocument/2006/relationships/hyperlink" Target="https://www.reggiochildren.it/en/reggio-emilia-approach" TargetMode="External"/><Relationship Id="rId33" Type="http://schemas.openxmlformats.org/officeDocument/2006/relationships/hyperlink" Target="https://www.froebel.org.uk/uploads/documents/FT-Froebels-principles-and-practice-today.pdf" TargetMode="External"/><Relationship Id="rId38" Type="http://schemas.openxmlformats.org/officeDocument/2006/relationships/hyperlink" Target="https://www.gov.wales/child-poverty-strategy-wales-2024-html" TargetMode="External"/><Relationship Id="rId46" Type="http://schemas.openxmlformats.org/officeDocument/2006/relationships/theme" Target="theme/theme1.xml"/><Relationship Id="rId20" Type="http://schemas.openxmlformats.org/officeDocument/2006/relationships/hyperlink" Target="https://doi.org/10.1177/1365480214553742"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5A4D7A-DFCD-49FB-92A8-45135E2FD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6862</Words>
  <Characters>39115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45886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Vikki</dc:creator>
  <cp:keywords/>
  <dc:description/>
  <cp:lastModifiedBy>Curtis, Vikki</cp:lastModifiedBy>
  <cp:revision>5</cp:revision>
  <dcterms:created xsi:type="dcterms:W3CDTF">2025-01-19T19:28:00Z</dcterms:created>
  <dcterms:modified xsi:type="dcterms:W3CDTF">2025-01-19T19:40:00Z</dcterms:modified>
</cp:coreProperties>
</file>