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D6B10" w14:textId="77777777" w:rsidR="00D02789" w:rsidRPr="00094D3C" w:rsidRDefault="00D02789" w:rsidP="00094D3C">
      <w:pPr>
        <w:spacing w:after="160"/>
        <w:jc w:val="center"/>
        <w:rPr>
          <w:rFonts w:ascii="Arial" w:hAnsi="Arial" w:cs="Arial"/>
          <w:b/>
          <w:bCs/>
          <w:sz w:val="96"/>
          <w:szCs w:val="96"/>
        </w:rPr>
      </w:pPr>
    </w:p>
    <w:p w14:paraId="40658289" w14:textId="77777777" w:rsidR="00F40597" w:rsidRPr="00094D3C" w:rsidRDefault="00F40597" w:rsidP="00094D3C">
      <w:pPr>
        <w:spacing w:after="160"/>
        <w:jc w:val="center"/>
        <w:rPr>
          <w:rFonts w:ascii="Arial" w:hAnsi="Arial" w:cs="Arial"/>
          <w:b/>
          <w:bCs/>
          <w:sz w:val="96"/>
          <w:szCs w:val="96"/>
        </w:rPr>
      </w:pPr>
    </w:p>
    <w:p w14:paraId="42B17822" w14:textId="0F1F5751" w:rsidR="0038439B" w:rsidRPr="00094D3C" w:rsidRDefault="00D02789" w:rsidP="00094D3C">
      <w:pPr>
        <w:spacing w:after="160"/>
        <w:jc w:val="center"/>
        <w:rPr>
          <w:rFonts w:ascii="Arial" w:hAnsi="Arial" w:cs="Arial"/>
          <w:b/>
          <w:bCs/>
          <w:sz w:val="96"/>
          <w:szCs w:val="96"/>
        </w:rPr>
      </w:pPr>
      <w:r w:rsidRPr="00094D3C">
        <w:rPr>
          <w:rFonts w:ascii="Arial" w:hAnsi="Arial" w:cs="Arial"/>
          <w:b/>
          <w:bCs/>
          <w:sz w:val="96"/>
          <w:szCs w:val="96"/>
        </w:rPr>
        <w:t xml:space="preserve">Budgeting Principles and Approaches </w:t>
      </w:r>
      <w:r w:rsidR="0038439B" w:rsidRPr="00094D3C">
        <w:rPr>
          <w:rFonts w:ascii="Arial" w:hAnsi="Arial" w:cs="Arial"/>
          <w:b/>
          <w:bCs/>
          <w:sz w:val="96"/>
          <w:szCs w:val="96"/>
        </w:rPr>
        <w:br w:type="page"/>
      </w:r>
    </w:p>
    <w:sdt>
      <w:sdtPr>
        <w:rPr>
          <w:rFonts w:ascii="Arial" w:eastAsiaTheme="minorHAnsi" w:hAnsi="Arial" w:cs="Arial"/>
          <w:color w:val="auto"/>
          <w:kern w:val="2"/>
          <w:sz w:val="24"/>
          <w:szCs w:val="24"/>
          <w:lang w:val="en-GB"/>
          <w14:ligatures w14:val="standardContextual"/>
        </w:rPr>
        <w:id w:val="-346636202"/>
        <w:docPartObj>
          <w:docPartGallery w:val="Table of Contents"/>
          <w:docPartUnique/>
        </w:docPartObj>
      </w:sdtPr>
      <w:sdtEndPr>
        <w:rPr>
          <w:b/>
          <w:bCs/>
          <w:noProof/>
        </w:rPr>
      </w:sdtEndPr>
      <w:sdtContent>
        <w:p w14:paraId="40DE2C3C" w14:textId="34E4C591" w:rsidR="0038439B" w:rsidRPr="00094D3C" w:rsidRDefault="0038439B" w:rsidP="00094D3C">
          <w:pPr>
            <w:pStyle w:val="TOCHeading"/>
            <w:spacing w:line="360" w:lineRule="auto"/>
            <w:rPr>
              <w:rFonts w:ascii="Arial" w:hAnsi="Arial" w:cs="Arial"/>
              <w:lang w:val="en-GB"/>
            </w:rPr>
          </w:pPr>
          <w:r w:rsidRPr="00094D3C">
            <w:rPr>
              <w:rFonts w:ascii="Arial" w:hAnsi="Arial" w:cs="Arial"/>
              <w:lang w:val="en-GB"/>
            </w:rPr>
            <w:t>Contents</w:t>
          </w:r>
        </w:p>
        <w:p w14:paraId="45AC018F" w14:textId="1E762F1B" w:rsidR="009C0D5B" w:rsidRPr="00094D3C" w:rsidRDefault="0038439B" w:rsidP="00094D3C">
          <w:pPr>
            <w:pStyle w:val="TOC1"/>
            <w:tabs>
              <w:tab w:val="right" w:leader="dot" w:pos="9016"/>
            </w:tabs>
            <w:rPr>
              <w:rFonts w:ascii="Arial" w:eastAsiaTheme="minorEastAsia" w:hAnsi="Arial" w:cs="Arial"/>
              <w:noProof/>
            </w:rPr>
          </w:pPr>
          <w:r w:rsidRPr="00094D3C">
            <w:rPr>
              <w:rFonts w:ascii="Arial" w:hAnsi="Arial" w:cs="Arial"/>
            </w:rPr>
            <w:fldChar w:fldCharType="begin"/>
          </w:r>
          <w:r w:rsidRPr="00094D3C">
            <w:rPr>
              <w:rFonts w:ascii="Arial" w:hAnsi="Arial" w:cs="Arial"/>
            </w:rPr>
            <w:instrText xml:space="preserve"> TOC \o "1-3" \h \z \u </w:instrText>
          </w:r>
          <w:r w:rsidRPr="00094D3C">
            <w:rPr>
              <w:rFonts w:ascii="Arial" w:hAnsi="Arial" w:cs="Arial"/>
            </w:rPr>
            <w:fldChar w:fldCharType="separate"/>
          </w:r>
          <w:hyperlink w:anchor="_Toc223790153" w:history="1">
            <w:r w:rsidR="009C0D5B" w:rsidRPr="00094D3C">
              <w:rPr>
                <w:rStyle w:val="Hyperlink"/>
                <w:rFonts w:ascii="Arial" w:hAnsi="Arial" w:cs="Arial"/>
                <w:noProof/>
              </w:rPr>
              <w:t>Introduction</w:t>
            </w:r>
            <w:r w:rsidR="009C0D5B" w:rsidRPr="00094D3C">
              <w:rPr>
                <w:rFonts w:ascii="Arial" w:hAnsi="Arial" w:cs="Arial"/>
                <w:noProof/>
                <w:webHidden/>
              </w:rPr>
              <w:tab/>
            </w:r>
            <w:r w:rsidR="009C0D5B" w:rsidRPr="00094D3C">
              <w:rPr>
                <w:rFonts w:ascii="Arial" w:hAnsi="Arial" w:cs="Arial"/>
                <w:noProof/>
                <w:webHidden/>
              </w:rPr>
              <w:fldChar w:fldCharType="begin"/>
            </w:r>
            <w:r w:rsidR="009C0D5B" w:rsidRPr="00094D3C">
              <w:rPr>
                <w:rFonts w:ascii="Arial" w:hAnsi="Arial" w:cs="Arial"/>
                <w:noProof/>
                <w:webHidden/>
              </w:rPr>
              <w:instrText xml:space="preserve"> PAGEREF _Toc223790153 \h </w:instrText>
            </w:r>
            <w:r w:rsidR="009C0D5B" w:rsidRPr="00094D3C">
              <w:rPr>
                <w:rFonts w:ascii="Arial" w:hAnsi="Arial" w:cs="Arial"/>
                <w:noProof/>
                <w:webHidden/>
              </w:rPr>
            </w:r>
            <w:r w:rsidR="009C0D5B" w:rsidRPr="00094D3C">
              <w:rPr>
                <w:rFonts w:ascii="Arial" w:hAnsi="Arial" w:cs="Arial"/>
                <w:noProof/>
                <w:webHidden/>
              </w:rPr>
              <w:fldChar w:fldCharType="separate"/>
            </w:r>
            <w:r w:rsidR="009C0D5B" w:rsidRPr="00094D3C">
              <w:rPr>
                <w:rFonts w:ascii="Arial" w:hAnsi="Arial" w:cs="Arial"/>
                <w:noProof/>
                <w:webHidden/>
              </w:rPr>
              <w:t>4</w:t>
            </w:r>
            <w:r w:rsidR="009C0D5B" w:rsidRPr="00094D3C">
              <w:rPr>
                <w:rFonts w:ascii="Arial" w:hAnsi="Arial" w:cs="Arial"/>
                <w:noProof/>
                <w:webHidden/>
              </w:rPr>
              <w:fldChar w:fldCharType="end"/>
            </w:r>
          </w:hyperlink>
        </w:p>
        <w:p w14:paraId="72C4AEAD" w14:textId="2C664544" w:rsidR="009C0D5B" w:rsidRPr="00094D3C" w:rsidRDefault="009C0D5B" w:rsidP="00094D3C">
          <w:pPr>
            <w:pStyle w:val="TOC1"/>
            <w:tabs>
              <w:tab w:val="right" w:leader="dot" w:pos="9016"/>
            </w:tabs>
            <w:rPr>
              <w:rFonts w:ascii="Arial" w:eastAsiaTheme="minorEastAsia" w:hAnsi="Arial" w:cs="Arial"/>
              <w:noProof/>
            </w:rPr>
          </w:pPr>
          <w:hyperlink w:anchor="_Toc223790154" w:history="1">
            <w:r w:rsidRPr="00094D3C">
              <w:rPr>
                <w:rStyle w:val="Hyperlink"/>
                <w:rFonts w:ascii="Arial" w:hAnsi="Arial" w:cs="Arial"/>
                <w:noProof/>
              </w:rPr>
              <w:t>TASK</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_Toc223790154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5</w:t>
            </w:r>
            <w:r w:rsidRPr="00094D3C">
              <w:rPr>
                <w:rFonts w:ascii="Arial" w:hAnsi="Arial" w:cs="Arial"/>
                <w:noProof/>
                <w:webHidden/>
              </w:rPr>
              <w:fldChar w:fldCharType="end"/>
            </w:r>
          </w:hyperlink>
        </w:p>
        <w:p w14:paraId="7E6E19FB" w14:textId="343CAC0F" w:rsidR="009C0D5B" w:rsidRPr="00094D3C" w:rsidRDefault="009C0D5B" w:rsidP="00094D3C">
          <w:pPr>
            <w:pStyle w:val="TOC1"/>
            <w:tabs>
              <w:tab w:val="right" w:leader="dot" w:pos="9016"/>
            </w:tabs>
            <w:rPr>
              <w:rFonts w:ascii="Arial" w:eastAsiaTheme="minorEastAsia" w:hAnsi="Arial" w:cs="Arial"/>
              <w:noProof/>
            </w:rPr>
          </w:pPr>
          <w:hyperlink w:anchor="_Toc223790155" w:history="1">
            <w:r w:rsidRPr="00094D3C">
              <w:rPr>
                <w:rStyle w:val="Hyperlink"/>
                <w:rFonts w:ascii="Arial" w:hAnsi="Arial" w:cs="Arial"/>
                <w:noProof/>
              </w:rPr>
              <w:t>a) Preparation of Stock budget, cash budget and budgeted Profit &amp; Loss Account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_Toc223790155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5</w:t>
            </w:r>
            <w:r w:rsidRPr="00094D3C">
              <w:rPr>
                <w:rFonts w:ascii="Arial" w:hAnsi="Arial" w:cs="Arial"/>
                <w:noProof/>
                <w:webHidden/>
              </w:rPr>
              <w:fldChar w:fldCharType="end"/>
            </w:r>
          </w:hyperlink>
        </w:p>
        <w:p w14:paraId="60E7AB31" w14:textId="4FEBE96D" w:rsidR="009C0D5B" w:rsidRPr="00094D3C" w:rsidRDefault="009C0D5B" w:rsidP="00094D3C">
          <w:pPr>
            <w:pStyle w:val="TOC2"/>
            <w:tabs>
              <w:tab w:val="right" w:leader="dot" w:pos="9016"/>
            </w:tabs>
            <w:rPr>
              <w:rFonts w:ascii="Arial" w:eastAsiaTheme="minorEastAsia" w:hAnsi="Arial" w:cs="Arial"/>
              <w:noProof/>
            </w:rPr>
          </w:pPr>
          <w:hyperlink w:anchor="_Toc223790156" w:history="1">
            <w:r w:rsidRPr="00094D3C">
              <w:rPr>
                <w:rStyle w:val="Hyperlink"/>
                <w:rFonts w:ascii="Arial" w:hAnsi="Arial" w:cs="Arial"/>
                <w:noProof/>
              </w:rPr>
              <w:t>Stock and Cash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_Toc223790156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5</w:t>
            </w:r>
            <w:r w:rsidRPr="00094D3C">
              <w:rPr>
                <w:rFonts w:ascii="Arial" w:hAnsi="Arial" w:cs="Arial"/>
                <w:noProof/>
                <w:webHidden/>
              </w:rPr>
              <w:fldChar w:fldCharType="end"/>
            </w:r>
          </w:hyperlink>
        </w:p>
        <w:p w14:paraId="329F5E21" w14:textId="0B414640" w:rsidR="009C0D5B" w:rsidRPr="00094D3C" w:rsidRDefault="009C0D5B" w:rsidP="00094D3C">
          <w:pPr>
            <w:pStyle w:val="TOC3"/>
            <w:tabs>
              <w:tab w:val="right" w:leader="dot" w:pos="9016"/>
            </w:tabs>
            <w:rPr>
              <w:rFonts w:ascii="Arial" w:eastAsiaTheme="minorEastAsia" w:hAnsi="Arial" w:cs="Arial"/>
              <w:noProof/>
            </w:rPr>
          </w:pPr>
          <w:hyperlink w:anchor="_Toc223790157" w:history="1">
            <w:r w:rsidRPr="00094D3C">
              <w:rPr>
                <w:rStyle w:val="Hyperlink"/>
                <w:rFonts w:ascii="Arial" w:hAnsi="Arial" w:cs="Arial"/>
                <w:noProof/>
              </w:rPr>
              <w:t>Stock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_Toc223790157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5</w:t>
            </w:r>
            <w:r w:rsidRPr="00094D3C">
              <w:rPr>
                <w:rFonts w:ascii="Arial" w:hAnsi="Arial" w:cs="Arial"/>
                <w:noProof/>
                <w:webHidden/>
              </w:rPr>
              <w:fldChar w:fldCharType="end"/>
            </w:r>
          </w:hyperlink>
        </w:p>
        <w:p w14:paraId="26EADDF9" w14:textId="0547C56C" w:rsidR="009C0D5B" w:rsidRPr="00094D3C" w:rsidRDefault="009C0D5B" w:rsidP="00094D3C">
          <w:pPr>
            <w:pStyle w:val="TOC3"/>
            <w:tabs>
              <w:tab w:val="right" w:leader="dot" w:pos="9016"/>
            </w:tabs>
            <w:rPr>
              <w:rFonts w:ascii="Arial" w:eastAsiaTheme="minorEastAsia" w:hAnsi="Arial" w:cs="Arial"/>
              <w:noProof/>
            </w:rPr>
          </w:pPr>
          <w:hyperlink w:anchor="_Toc223790158" w:history="1">
            <w:r w:rsidRPr="00094D3C">
              <w:rPr>
                <w:rStyle w:val="Hyperlink"/>
                <w:rFonts w:ascii="Arial" w:hAnsi="Arial" w:cs="Arial"/>
                <w:noProof/>
              </w:rPr>
              <w:t>Cash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_Toc223790158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6</w:t>
            </w:r>
            <w:r w:rsidRPr="00094D3C">
              <w:rPr>
                <w:rFonts w:ascii="Arial" w:hAnsi="Arial" w:cs="Arial"/>
                <w:noProof/>
                <w:webHidden/>
              </w:rPr>
              <w:fldChar w:fldCharType="end"/>
            </w:r>
          </w:hyperlink>
        </w:p>
        <w:p w14:paraId="1B5265F6" w14:textId="5C52EF66" w:rsidR="009C0D5B" w:rsidRPr="00094D3C" w:rsidRDefault="009C0D5B" w:rsidP="00094D3C">
          <w:pPr>
            <w:pStyle w:val="TOC2"/>
            <w:tabs>
              <w:tab w:val="right" w:leader="dot" w:pos="9016"/>
            </w:tabs>
            <w:rPr>
              <w:rFonts w:ascii="Arial" w:eastAsiaTheme="minorEastAsia" w:hAnsi="Arial" w:cs="Arial"/>
              <w:noProof/>
            </w:rPr>
          </w:pPr>
          <w:hyperlink w:anchor="_Toc223790159" w:history="1">
            <w:r w:rsidRPr="00094D3C">
              <w:rPr>
                <w:rStyle w:val="Hyperlink"/>
                <w:rFonts w:ascii="Arial" w:hAnsi="Arial" w:cs="Arial"/>
                <w:noProof/>
              </w:rPr>
              <w:t>Budgeted Profit &amp; Loss Account for the Period Ending 31 December</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_Toc223790159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8</w:t>
            </w:r>
            <w:r w:rsidRPr="00094D3C">
              <w:rPr>
                <w:rFonts w:ascii="Arial" w:hAnsi="Arial" w:cs="Arial"/>
                <w:noProof/>
                <w:webHidden/>
              </w:rPr>
              <w:fldChar w:fldCharType="end"/>
            </w:r>
          </w:hyperlink>
        </w:p>
        <w:p w14:paraId="431E534D" w14:textId="2B31F649" w:rsidR="009C0D5B" w:rsidRPr="00094D3C" w:rsidRDefault="009C0D5B" w:rsidP="00094D3C">
          <w:pPr>
            <w:pStyle w:val="TOC1"/>
            <w:tabs>
              <w:tab w:val="right" w:leader="dot" w:pos="9016"/>
            </w:tabs>
            <w:rPr>
              <w:rFonts w:ascii="Arial" w:eastAsiaTheme="minorEastAsia" w:hAnsi="Arial" w:cs="Arial"/>
              <w:noProof/>
            </w:rPr>
          </w:pPr>
          <w:hyperlink w:anchor="_Toc223790160" w:history="1">
            <w:r w:rsidRPr="00094D3C">
              <w:rPr>
                <w:rStyle w:val="Hyperlink"/>
                <w:rFonts w:ascii="Arial" w:hAnsi="Arial" w:cs="Arial"/>
                <w:noProof/>
              </w:rPr>
              <w:t>b) Analysis of Problems</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_Toc223790160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9</w:t>
            </w:r>
            <w:r w:rsidRPr="00094D3C">
              <w:rPr>
                <w:rFonts w:ascii="Arial" w:hAnsi="Arial" w:cs="Arial"/>
                <w:noProof/>
                <w:webHidden/>
              </w:rPr>
              <w:fldChar w:fldCharType="end"/>
            </w:r>
          </w:hyperlink>
        </w:p>
        <w:p w14:paraId="7D6E8F01" w14:textId="4FE9B63C" w:rsidR="009C0D5B" w:rsidRPr="00094D3C" w:rsidRDefault="009C0D5B" w:rsidP="00094D3C">
          <w:pPr>
            <w:pStyle w:val="TOC1"/>
            <w:tabs>
              <w:tab w:val="right" w:leader="dot" w:pos="9016"/>
            </w:tabs>
            <w:rPr>
              <w:rFonts w:ascii="Arial" w:eastAsiaTheme="minorEastAsia" w:hAnsi="Arial" w:cs="Arial"/>
              <w:noProof/>
            </w:rPr>
          </w:pPr>
          <w:hyperlink w:anchor="_Toc223790161" w:history="1">
            <w:r w:rsidRPr="00094D3C">
              <w:rPr>
                <w:rStyle w:val="Hyperlink"/>
                <w:rFonts w:ascii="Arial" w:hAnsi="Arial" w:cs="Arial"/>
                <w:noProof/>
              </w:rPr>
              <w:t>c) Conditions and behaviour for Successful Budgeting</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_Toc223790161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11</w:t>
            </w:r>
            <w:r w:rsidRPr="00094D3C">
              <w:rPr>
                <w:rFonts w:ascii="Arial" w:hAnsi="Arial" w:cs="Arial"/>
                <w:noProof/>
                <w:webHidden/>
              </w:rPr>
              <w:fldChar w:fldCharType="end"/>
            </w:r>
          </w:hyperlink>
        </w:p>
        <w:p w14:paraId="157117FF" w14:textId="43358763" w:rsidR="009C0D5B" w:rsidRPr="00094D3C" w:rsidRDefault="009C0D5B" w:rsidP="00094D3C">
          <w:pPr>
            <w:pStyle w:val="TOC2"/>
            <w:tabs>
              <w:tab w:val="right" w:leader="dot" w:pos="9016"/>
            </w:tabs>
            <w:rPr>
              <w:rFonts w:ascii="Arial" w:eastAsiaTheme="minorEastAsia" w:hAnsi="Arial" w:cs="Arial"/>
              <w:noProof/>
            </w:rPr>
          </w:pPr>
          <w:hyperlink w:anchor="_Toc223790162" w:history="1">
            <w:r w:rsidRPr="00094D3C">
              <w:rPr>
                <w:rStyle w:val="Hyperlink"/>
                <w:rFonts w:ascii="Arial" w:hAnsi="Arial" w:cs="Arial"/>
                <w:noProof/>
              </w:rPr>
              <w:t>Conditions for systematic budgeting</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_Toc223790162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11</w:t>
            </w:r>
            <w:r w:rsidRPr="00094D3C">
              <w:rPr>
                <w:rFonts w:ascii="Arial" w:hAnsi="Arial" w:cs="Arial"/>
                <w:noProof/>
                <w:webHidden/>
              </w:rPr>
              <w:fldChar w:fldCharType="end"/>
            </w:r>
          </w:hyperlink>
        </w:p>
        <w:p w14:paraId="2EB24437" w14:textId="14283407" w:rsidR="009C0D5B" w:rsidRPr="00094D3C" w:rsidRDefault="009C0D5B" w:rsidP="00094D3C">
          <w:pPr>
            <w:pStyle w:val="TOC2"/>
            <w:tabs>
              <w:tab w:val="right" w:leader="dot" w:pos="9016"/>
            </w:tabs>
            <w:rPr>
              <w:rFonts w:ascii="Arial" w:eastAsiaTheme="minorEastAsia" w:hAnsi="Arial" w:cs="Arial"/>
              <w:noProof/>
            </w:rPr>
          </w:pPr>
          <w:hyperlink w:anchor="_Toc223790163" w:history="1">
            <w:r w:rsidRPr="00094D3C">
              <w:rPr>
                <w:rStyle w:val="Hyperlink"/>
                <w:rFonts w:ascii="Arial" w:hAnsi="Arial" w:cs="Arial"/>
                <w:noProof/>
              </w:rPr>
              <w:t>Behavioural Implications in Budgeting</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_Toc223790163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13</w:t>
            </w:r>
            <w:r w:rsidRPr="00094D3C">
              <w:rPr>
                <w:rFonts w:ascii="Arial" w:hAnsi="Arial" w:cs="Arial"/>
                <w:noProof/>
                <w:webHidden/>
              </w:rPr>
              <w:fldChar w:fldCharType="end"/>
            </w:r>
          </w:hyperlink>
        </w:p>
        <w:p w14:paraId="07EFBCC3" w14:textId="4747A813" w:rsidR="009C0D5B" w:rsidRPr="00094D3C" w:rsidRDefault="009C0D5B" w:rsidP="00094D3C">
          <w:pPr>
            <w:pStyle w:val="TOC1"/>
            <w:tabs>
              <w:tab w:val="right" w:leader="dot" w:pos="9016"/>
            </w:tabs>
            <w:rPr>
              <w:rFonts w:ascii="Arial" w:eastAsiaTheme="minorEastAsia" w:hAnsi="Arial" w:cs="Arial"/>
              <w:noProof/>
            </w:rPr>
          </w:pPr>
          <w:hyperlink w:anchor="_Toc223790164" w:history="1">
            <w:r w:rsidRPr="00094D3C">
              <w:rPr>
                <w:rStyle w:val="Hyperlink"/>
                <w:rFonts w:ascii="Arial" w:hAnsi="Arial" w:cs="Arial"/>
                <w:noProof/>
              </w:rPr>
              <w:t>d) Evaluation of Traditional Budgeting Approaches</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_Toc223790164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14</w:t>
            </w:r>
            <w:r w:rsidRPr="00094D3C">
              <w:rPr>
                <w:rFonts w:ascii="Arial" w:hAnsi="Arial" w:cs="Arial"/>
                <w:noProof/>
                <w:webHidden/>
              </w:rPr>
              <w:fldChar w:fldCharType="end"/>
            </w:r>
          </w:hyperlink>
        </w:p>
        <w:p w14:paraId="132942F5" w14:textId="7B5D13A4" w:rsidR="009C0D5B" w:rsidRPr="00094D3C" w:rsidRDefault="009C0D5B" w:rsidP="00094D3C">
          <w:pPr>
            <w:pStyle w:val="TOC1"/>
            <w:tabs>
              <w:tab w:val="right" w:leader="dot" w:pos="9016"/>
            </w:tabs>
            <w:rPr>
              <w:rFonts w:ascii="Arial" w:eastAsiaTheme="minorEastAsia" w:hAnsi="Arial" w:cs="Arial"/>
              <w:noProof/>
            </w:rPr>
          </w:pPr>
          <w:hyperlink w:anchor="_Toc223790165" w:history="1">
            <w:r w:rsidRPr="00094D3C">
              <w:rPr>
                <w:rStyle w:val="Hyperlink"/>
                <w:rFonts w:ascii="Arial" w:hAnsi="Arial" w:cs="Arial"/>
                <w:noProof/>
              </w:rPr>
              <w:t>Conclusion and Recommendation</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_Toc223790165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17</w:t>
            </w:r>
            <w:r w:rsidRPr="00094D3C">
              <w:rPr>
                <w:rFonts w:ascii="Arial" w:hAnsi="Arial" w:cs="Arial"/>
                <w:noProof/>
                <w:webHidden/>
              </w:rPr>
              <w:fldChar w:fldCharType="end"/>
            </w:r>
          </w:hyperlink>
        </w:p>
        <w:p w14:paraId="30FA7ABC" w14:textId="48B03F94" w:rsidR="009C0D5B" w:rsidRPr="00094D3C" w:rsidRDefault="009C0D5B" w:rsidP="00094D3C">
          <w:pPr>
            <w:pStyle w:val="TOC1"/>
            <w:tabs>
              <w:tab w:val="right" w:leader="dot" w:pos="9016"/>
            </w:tabs>
            <w:rPr>
              <w:rFonts w:ascii="Arial" w:eastAsiaTheme="minorEastAsia" w:hAnsi="Arial" w:cs="Arial"/>
              <w:noProof/>
            </w:rPr>
          </w:pPr>
          <w:hyperlink w:anchor="_Toc223790166" w:history="1">
            <w:r w:rsidRPr="00094D3C">
              <w:rPr>
                <w:rStyle w:val="Hyperlink"/>
                <w:rFonts w:ascii="Arial" w:hAnsi="Arial" w:cs="Arial"/>
                <w:noProof/>
              </w:rPr>
              <w:t>References</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_Toc223790166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18</w:t>
            </w:r>
            <w:r w:rsidRPr="00094D3C">
              <w:rPr>
                <w:rFonts w:ascii="Arial" w:hAnsi="Arial" w:cs="Arial"/>
                <w:noProof/>
                <w:webHidden/>
              </w:rPr>
              <w:fldChar w:fldCharType="end"/>
            </w:r>
          </w:hyperlink>
        </w:p>
        <w:p w14:paraId="14434DF3" w14:textId="5E08143E" w:rsidR="009C0D5B" w:rsidRPr="00094D3C" w:rsidRDefault="009C0D5B" w:rsidP="00094D3C">
          <w:pPr>
            <w:pStyle w:val="TOC1"/>
            <w:tabs>
              <w:tab w:val="right" w:leader="dot" w:pos="9016"/>
            </w:tabs>
            <w:rPr>
              <w:rFonts w:ascii="Arial" w:eastAsiaTheme="minorEastAsia" w:hAnsi="Arial" w:cs="Arial"/>
              <w:noProof/>
            </w:rPr>
          </w:pPr>
          <w:hyperlink w:anchor="_Toc223790167" w:history="1">
            <w:r w:rsidRPr="00094D3C">
              <w:rPr>
                <w:rStyle w:val="Hyperlink"/>
                <w:rFonts w:ascii="Arial" w:hAnsi="Arial" w:cs="Arial"/>
                <w:noProof/>
              </w:rPr>
              <w:t>Appendix</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_Toc223790167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20</w:t>
            </w:r>
            <w:r w:rsidRPr="00094D3C">
              <w:rPr>
                <w:rFonts w:ascii="Arial" w:hAnsi="Arial" w:cs="Arial"/>
                <w:noProof/>
                <w:webHidden/>
              </w:rPr>
              <w:fldChar w:fldCharType="end"/>
            </w:r>
          </w:hyperlink>
        </w:p>
        <w:p w14:paraId="751219F9" w14:textId="761D40FA" w:rsidR="009C0D5B" w:rsidRPr="00094D3C" w:rsidRDefault="009C0D5B" w:rsidP="00094D3C">
          <w:pPr>
            <w:pStyle w:val="TOC2"/>
            <w:tabs>
              <w:tab w:val="right" w:leader="dot" w:pos="9016"/>
            </w:tabs>
            <w:rPr>
              <w:rFonts w:ascii="Arial" w:eastAsiaTheme="minorEastAsia" w:hAnsi="Arial" w:cs="Arial"/>
              <w:noProof/>
            </w:rPr>
          </w:pPr>
          <w:hyperlink w:anchor="_Toc223790168" w:history="1">
            <w:r w:rsidRPr="00094D3C">
              <w:rPr>
                <w:rStyle w:val="Hyperlink"/>
                <w:rFonts w:ascii="Arial" w:hAnsi="Arial" w:cs="Arial"/>
                <w:noProof/>
              </w:rPr>
              <w:t>Workings for cash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_Toc223790168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20</w:t>
            </w:r>
            <w:r w:rsidRPr="00094D3C">
              <w:rPr>
                <w:rFonts w:ascii="Arial" w:hAnsi="Arial" w:cs="Arial"/>
                <w:noProof/>
                <w:webHidden/>
              </w:rPr>
              <w:fldChar w:fldCharType="end"/>
            </w:r>
          </w:hyperlink>
        </w:p>
        <w:p w14:paraId="527B5639" w14:textId="0BA0DCD5" w:rsidR="009C0D5B" w:rsidRPr="00094D3C" w:rsidRDefault="009C0D5B" w:rsidP="00094D3C">
          <w:pPr>
            <w:pStyle w:val="TOC2"/>
            <w:tabs>
              <w:tab w:val="right" w:leader="dot" w:pos="9016"/>
            </w:tabs>
            <w:rPr>
              <w:rFonts w:ascii="Arial" w:eastAsiaTheme="minorEastAsia" w:hAnsi="Arial" w:cs="Arial"/>
              <w:noProof/>
            </w:rPr>
          </w:pPr>
          <w:hyperlink w:anchor="_Toc223790169" w:history="1">
            <w:r w:rsidRPr="00094D3C">
              <w:rPr>
                <w:rStyle w:val="Hyperlink"/>
                <w:rFonts w:ascii="Arial" w:hAnsi="Arial" w:cs="Arial"/>
                <w:noProof/>
              </w:rPr>
              <w:t>Profit and loss workings</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_Toc223790169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21</w:t>
            </w:r>
            <w:r w:rsidRPr="00094D3C">
              <w:rPr>
                <w:rFonts w:ascii="Arial" w:hAnsi="Arial" w:cs="Arial"/>
                <w:noProof/>
                <w:webHidden/>
              </w:rPr>
              <w:fldChar w:fldCharType="end"/>
            </w:r>
          </w:hyperlink>
        </w:p>
        <w:p w14:paraId="2653E2B3" w14:textId="60A7B0C8" w:rsidR="0038439B" w:rsidRPr="00094D3C" w:rsidRDefault="0038439B" w:rsidP="00094D3C">
          <w:pPr>
            <w:rPr>
              <w:rFonts w:ascii="Arial" w:hAnsi="Arial" w:cs="Arial"/>
            </w:rPr>
          </w:pPr>
          <w:r w:rsidRPr="00094D3C">
            <w:rPr>
              <w:rFonts w:ascii="Arial" w:hAnsi="Arial" w:cs="Arial"/>
              <w:b/>
              <w:bCs/>
              <w:noProof/>
            </w:rPr>
            <w:fldChar w:fldCharType="end"/>
          </w:r>
        </w:p>
      </w:sdtContent>
    </w:sdt>
    <w:p w14:paraId="1209F5CA" w14:textId="77777777" w:rsidR="009C7C07" w:rsidRPr="00094D3C" w:rsidRDefault="009C7C07" w:rsidP="00094D3C">
      <w:pPr>
        <w:spacing w:after="160"/>
        <w:jc w:val="left"/>
        <w:rPr>
          <w:rFonts w:ascii="Arial" w:hAnsi="Arial" w:cs="Arial"/>
        </w:rPr>
      </w:pPr>
      <w:r w:rsidRPr="00094D3C">
        <w:rPr>
          <w:rFonts w:ascii="Arial" w:hAnsi="Arial" w:cs="Arial"/>
        </w:rPr>
        <w:br w:type="page"/>
      </w:r>
    </w:p>
    <w:p w14:paraId="3B4CFE43" w14:textId="77777777" w:rsidR="00E13243" w:rsidRPr="00094D3C" w:rsidRDefault="00E13243" w:rsidP="00094D3C">
      <w:pPr>
        <w:rPr>
          <w:rFonts w:ascii="Arial" w:hAnsi="Arial" w:cs="Arial"/>
        </w:rPr>
      </w:pPr>
      <w:r w:rsidRPr="00094D3C">
        <w:rPr>
          <w:rFonts w:ascii="Arial" w:hAnsi="Arial" w:cs="Arial"/>
          <w:b/>
          <w:bCs/>
        </w:rPr>
        <w:lastRenderedPageBreak/>
        <w:t>List of tables</w:t>
      </w:r>
    </w:p>
    <w:p w14:paraId="10A2ADF0" w14:textId="2B6C91F2" w:rsidR="00B14BF9" w:rsidRPr="00094D3C" w:rsidRDefault="00B14BF9" w:rsidP="00094D3C">
      <w:pPr>
        <w:pStyle w:val="TableofFigures"/>
        <w:tabs>
          <w:tab w:val="right" w:leader="dot" w:pos="9016"/>
        </w:tabs>
        <w:rPr>
          <w:rFonts w:ascii="Arial" w:hAnsi="Arial" w:cs="Arial"/>
          <w:noProof/>
        </w:rPr>
      </w:pPr>
      <w:r w:rsidRPr="00094D3C">
        <w:rPr>
          <w:rFonts w:ascii="Arial" w:hAnsi="Arial" w:cs="Arial"/>
          <w:b/>
          <w:bCs/>
        </w:rPr>
        <w:fldChar w:fldCharType="begin"/>
      </w:r>
      <w:r w:rsidRPr="00094D3C">
        <w:rPr>
          <w:rFonts w:ascii="Arial" w:hAnsi="Arial" w:cs="Arial"/>
          <w:b/>
          <w:bCs/>
        </w:rPr>
        <w:instrText xml:space="preserve"> TOC \h \z \c "Table" </w:instrText>
      </w:r>
      <w:r w:rsidRPr="00094D3C">
        <w:rPr>
          <w:rFonts w:ascii="Arial" w:hAnsi="Arial" w:cs="Arial"/>
          <w:b/>
          <w:bCs/>
        </w:rPr>
        <w:fldChar w:fldCharType="separate"/>
      </w:r>
      <w:hyperlink w:anchor="_Toc223788261" w:history="1">
        <w:r w:rsidRPr="00094D3C">
          <w:rPr>
            <w:rStyle w:val="Hyperlink"/>
            <w:rFonts w:ascii="Arial" w:hAnsi="Arial" w:cs="Arial"/>
            <w:b/>
            <w:bCs/>
            <w:noProof/>
          </w:rPr>
          <w:t>Table 1</w:t>
        </w:r>
        <w:r w:rsidRPr="00094D3C">
          <w:rPr>
            <w:rStyle w:val="Hyperlink"/>
            <w:rFonts w:ascii="Arial" w:hAnsi="Arial" w:cs="Arial"/>
            <w:noProof/>
          </w:rPr>
          <w:t>: Stock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_Toc223788261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5</w:t>
        </w:r>
        <w:r w:rsidRPr="00094D3C">
          <w:rPr>
            <w:rFonts w:ascii="Arial" w:hAnsi="Arial" w:cs="Arial"/>
            <w:noProof/>
            <w:webHidden/>
          </w:rPr>
          <w:fldChar w:fldCharType="end"/>
        </w:r>
      </w:hyperlink>
    </w:p>
    <w:p w14:paraId="4BF77C9F" w14:textId="30756F82" w:rsidR="00B14BF9" w:rsidRPr="00094D3C" w:rsidRDefault="00B14BF9" w:rsidP="00094D3C">
      <w:pPr>
        <w:pStyle w:val="TableofFigures"/>
        <w:tabs>
          <w:tab w:val="right" w:leader="dot" w:pos="9016"/>
        </w:tabs>
        <w:rPr>
          <w:rFonts w:ascii="Arial" w:hAnsi="Arial" w:cs="Arial"/>
          <w:noProof/>
        </w:rPr>
      </w:pPr>
      <w:hyperlink w:anchor="_Toc223788262" w:history="1">
        <w:r w:rsidRPr="00094D3C">
          <w:rPr>
            <w:rStyle w:val="Hyperlink"/>
            <w:rFonts w:ascii="Arial" w:hAnsi="Arial" w:cs="Arial"/>
            <w:b/>
            <w:bCs/>
            <w:noProof/>
          </w:rPr>
          <w:t>Table 2:</w:t>
        </w:r>
        <w:r w:rsidRPr="00094D3C">
          <w:rPr>
            <w:rStyle w:val="Hyperlink"/>
            <w:rFonts w:ascii="Arial" w:hAnsi="Arial" w:cs="Arial"/>
            <w:noProof/>
          </w:rPr>
          <w:t xml:space="preserve"> Cash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_Toc223788262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6</w:t>
        </w:r>
        <w:r w:rsidRPr="00094D3C">
          <w:rPr>
            <w:rFonts w:ascii="Arial" w:hAnsi="Arial" w:cs="Arial"/>
            <w:noProof/>
            <w:webHidden/>
          </w:rPr>
          <w:fldChar w:fldCharType="end"/>
        </w:r>
      </w:hyperlink>
    </w:p>
    <w:p w14:paraId="7074AE95" w14:textId="50713E6B" w:rsidR="00B14BF9" w:rsidRPr="00094D3C" w:rsidRDefault="00B14BF9" w:rsidP="00094D3C">
      <w:pPr>
        <w:pStyle w:val="TableofFigures"/>
        <w:tabs>
          <w:tab w:val="right" w:leader="dot" w:pos="9016"/>
        </w:tabs>
        <w:rPr>
          <w:rFonts w:ascii="Arial" w:hAnsi="Arial" w:cs="Arial"/>
          <w:noProof/>
        </w:rPr>
      </w:pPr>
      <w:hyperlink w:anchor="_Toc223788263" w:history="1">
        <w:r w:rsidRPr="00094D3C">
          <w:rPr>
            <w:rStyle w:val="Hyperlink"/>
            <w:rFonts w:ascii="Arial" w:hAnsi="Arial" w:cs="Arial"/>
            <w:b/>
            <w:bCs/>
            <w:noProof/>
          </w:rPr>
          <w:t>Table 3:</w:t>
        </w:r>
        <w:r w:rsidRPr="00094D3C">
          <w:rPr>
            <w:rStyle w:val="Hyperlink"/>
            <w:rFonts w:ascii="Arial" w:hAnsi="Arial" w:cs="Arial"/>
            <w:noProof/>
          </w:rPr>
          <w:t xml:space="preserve"> Budgeted Profit &amp; Loss Account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_Toc223788263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8</w:t>
        </w:r>
        <w:r w:rsidRPr="00094D3C">
          <w:rPr>
            <w:rFonts w:ascii="Arial" w:hAnsi="Arial" w:cs="Arial"/>
            <w:noProof/>
            <w:webHidden/>
          </w:rPr>
          <w:fldChar w:fldCharType="end"/>
        </w:r>
      </w:hyperlink>
    </w:p>
    <w:p w14:paraId="475A8DA1" w14:textId="462C4568" w:rsidR="00B14BF9" w:rsidRPr="00094D3C" w:rsidRDefault="00B14BF9" w:rsidP="00094D3C">
      <w:pPr>
        <w:pStyle w:val="TableofFigures"/>
        <w:tabs>
          <w:tab w:val="right" w:leader="dot" w:pos="9016"/>
        </w:tabs>
        <w:rPr>
          <w:rFonts w:ascii="Arial" w:hAnsi="Arial" w:cs="Arial"/>
          <w:noProof/>
        </w:rPr>
      </w:pPr>
      <w:hyperlink w:anchor="_Toc223788264" w:history="1">
        <w:r w:rsidRPr="00094D3C">
          <w:rPr>
            <w:rStyle w:val="Hyperlink"/>
            <w:rFonts w:ascii="Arial" w:hAnsi="Arial" w:cs="Arial"/>
            <w:b/>
            <w:bCs/>
            <w:noProof/>
          </w:rPr>
          <w:t>Table 4:</w:t>
        </w:r>
        <w:r w:rsidRPr="00094D3C">
          <w:rPr>
            <w:rStyle w:val="Hyperlink"/>
            <w:rFonts w:ascii="Arial" w:hAnsi="Arial" w:cs="Arial"/>
            <w:noProof/>
          </w:rPr>
          <w:t xml:space="preserve"> Payment to suppliers (Workings for cash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_Toc223788264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17</w:t>
        </w:r>
        <w:r w:rsidRPr="00094D3C">
          <w:rPr>
            <w:rFonts w:ascii="Arial" w:hAnsi="Arial" w:cs="Arial"/>
            <w:noProof/>
            <w:webHidden/>
          </w:rPr>
          <w:fldChar w:fldCharType="end"/>
        </w:r>
      </w:hyperlink>
    </w:p>
    <w:p w14:paraId="77F82AEF" w14:textId="70136084" w:rsidR="00B14BF9" w:rsidRPr="00094D3C" w:rsidRDefault="00B14BF9" w:rsidP="00094D3C">
      <w:pPr>
        <w:pStyle w:val="TableofFigures"/>
        <w:tabs>
          <w:tab w:val="right" w:leader="dot" w:pos="9016"/>
        </w:tabs>
        <w:rPr>
          <w:rFonts w:ascii="Arial" w:hAnsi="Arial" w:cs="Arial"/>
          <w:noProof/>
        </w:rPr>
      </w:pPr>
      <w:hyperlink w:anchor="_Toc223788265" w:history="1">
        <w:r w:rsidRPr="00094D3C">
          <w:rPr>
            <w:rStyle w:val="Hyperlink"/>
            <w:rFonts w:ascii="Arial" w:hAnsi="Arial" w:cs="Arial"/>
            <w:b/>
            <w:bCs/>
            <w:noProof/>
          </w:rPr>
          <w:t>Table 5:</w:t>
        </w:r>
        <w:r w:rsidRPr="00094D3C">
          <w:rPr>
            <w:rStyle w:val="Hyperlink"/>
            <w:rFonts w:ascii="Arial" w:hAnsi="Arial" w:cs="Arial"/>
            <w:noProof/>
          </w:rPr>
          <w:t xml:space="preserve"> Calculation of interest charges (Workings for cash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_Toc223788265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17</w:t>
        </w:r>
        <w:r w:rsidRPr="00094D3C">
          <w:rPr>
            <w:rFonts w:ascii="Arial" w:hAnsi="Arial" w:cs="Arial"/>
            <w:noProof/>
            <w:webHidden/>
          </w:rPr>
          <w:fldChar w:fldCharType="end"/>
        </w:r>
      </w:hyperlink>
    </w:p>
    <w:p w14:paraId="0693FDAD" w14:textId="4037DE7C" w:rsidR="00B14BF9" w:rsidRPr="00094D3C" w:rsidRDefault="00B14BF9" w:rsidP="00094D3C">
      <w:pPr>
        <w:pStyle w:val="TableofFigures"/>
        <w:tabs>
          <w:tab w:val="right" w:leader="dot" w:pos="9016"/>
        </w:tabs>
        <w:rPr>
          <w:rFonts w:ascii="Arial" w:hAnsi="Arial" w:cs="Arial"/>
          <w:noProof/>
        </w:rPr>
      </w:pPr>
      <w:hyperlink w:anchor="_Toc223788266" w:history="1">
        <w:r w:rsidRPr="00094D3C">
          <w:rPr>
            <w:rStyle w:val="Hyperlink"/>
            <w:rFonts w:ascii="Arial" w:hAnsi="Arial" w:cs="Arial"/>
            <w:b/>
            <w:bCs/>
            <w:noProof/>
          </w:rPr>
          <w:t>Table 6:</w:t>
        </w:r>
        <w:r w:rsidRPr="00094D3C">
          <w:rPr>
            <w:rStyle w:val="Hyperlink"/>
            <w:rFonts w:ascii="Arial" w:hAnsi="Arial" w:cs="Arial"/>
            <w:noProof/>
          </w:rPr>
          <w:t xml:space="preserve"> Calculation of administration exp (Workings for cash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_Toc223788266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17</w:t>
        </w:r>
        <w:r w:rsidRPr="00094D3C">
          <w:rPr>
            <w:rFonts w:ascii="Arial" w:hAnsi="Arial" w:cs="Arial"/>
            <w:noProof/>
            <w:webHidden/>
          </w:rPr>
          <w:fldChar w:fldCharType="end"/>
        </w:r>
      </w:hyperlink>
    </w:p>
    <w:p w14:paraId="76778A38" w14:textId="6E912489" w:rsidR="00B14BF9" w:rsidRPr="00094D3C" w:rsidRDefault="00B14BF9" w:rsidP="00094D3C">
      <w:pPr>
        <w:pStyle w:val="TableofFigures"/>
        <w:tabs>
          <w:tab w:val="right" w:leader="dot" w:pos="9016"/>
        </w:tabs>
        <w:rPr>
          <w:rFonts w:ascii="Arial" w:hAnsi="Arial" w:cs="Arial"/>
          <w:noProof/>
        </w:rPr>
      </w:pPr>
      <w:hyperlink w:anchor="_Toc223788267" w:history="1">
        <w:r w:rsidRPr="00094D3C">
          <w:rPr>
            <w:rStyle w:val="Hyperlink"/>
            <w:rFonts w:ascii="Arial" w:hAnsi="Arial" w:cs="Arial"/>
            <w:b/>
            <w:bCs/>
            <w:noProof/>
          </w:rPr>
          <w:t>Table 7:</w:t>
        </w:r>
        <w:r w:rsidRPr="00094D3C">
          <w:rPr>
            <w:rStyle w:val="Hyperlink"/>
            <w:rFonts w:ascii="Arial" w:hAnsi="Arial" w:cs="Arial"/>
            <w:noProof/>
          </w:rPr>
          <w:t xml:space="preserve"> Payment of selling expenses (Workings for cash budget)</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_Toc223788267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17</w:t>
        </w:r>
        <w:r w:rsidRPr="00094D3C">
          <w:rPr>
            <w:rFonts w:ascii="Arial" w:hAnsi="Arial" w:cs="Arial"/>
            <w:noProof/>
            <w:webHidden/>
          </w:rPr>
          <w:fldChar w:fldCharType="end"/>
        </w:r>
      </w:hyperlink>
    </w:p>
    <w:p w14:paraId="62FE8545" w14:textId="443B4DE5" w:rsidR="00B14BF9" w:rsidRPr="00094D3C" w:rsidRDefault="00B14BF9" w:rsidP="00094D3C">
      <w:pPr>
        <w:pStyle w:val="TableofFigures"/>
        <w:tabs>
          <w:tab w:val="right" w:leader="dot" w:pos="9016"/>
        </w:tabs>
        <w:rPr>
          <w:rFonts w:ascii="Arial" w:hAnsi="Arial" w:cs="Arial"/>
          <w:noProof/>
        </w:rPr>
      </w:pPr>
      <w:hyperlink w:anchor="_Toc223788268" w:history="1">
        <w:r w:rsidRPr="00094D3C">
          <w:rPr>
            <w:rStyle w:val="Hyperlink"/>
            <w:rFonts w:ascii="Arial" w:hAnsi="Arial" w:cs="Arial"/>
            <w:b/>
            <w:bCs/>
            <w:noProof/>
          </w:rPr>
          <w:t>Table 8:</w:t>
        </w:r>
        <w:r w:rsidRPr="00094D3C">
          <w:rPr>
            <w:rStyle w:val="Hyperlink"/>
            <w:rFonts w:ascii="Arial" w:hAnsi="Arial" w:cs="Arial"/>
            <w:noProof/>
          </w:rPr>
          <w:t xml:space="preserve"> Calculation of expenses (Workings for profit and loss)</w:t>
        </w:r>
        <w:r w:rsidRPr="00094D3C">
          <w:rPr>
            <w:rFonts w:ascii="Arial" w:hAnsi="Arial" w:cs="Arial"/>
            <w:noProof/>
            <w:webHidden/>
          </w:rPr>
          <w:tab/>
        </w:r>
        <w:r w:rsidRPr="00094D3C">
          <w:rPr>
            <w:rFonts w:ascii="Arial" w:hAnsi="Arial" w:cs="Arial"/>
            <w:noProof/>
            <w:webHidden/>
          </w:rPr>
          <w:fldChar w:fldCharType="begin"/>
        </w:r>
        <w:r w:rsidRPr="00094D3C">
          <w:rPr>
            <w:rFonts w:ascii="Arial" w:hAnsi="Arial" w:cs="Arial"/>
            <w:noProof/>
            <w:webHidden/>
          </w:rPr>
          <w:instrText xml:space="preserve"> PAGEREF _Toc223788268 \h </w:instrText>
        </w:r>
        <w:r w:rsidRPr="00094D3C">
          <w:rPr>
            <w:rFonts w:ascii="Arial" w:hAnsi="Arial" w:cs="Arial"/>
            <w:noProof/>
            <w:webHidden/>
          </w:rPr>
        </w:r>
        <w:r w:rsidRPr="00094D3C">
          <w:rPr>
            <w:rFonts w:ascii="Arial" w:hAnsi="Arial" w:cs="Arial"/>
            <w:noProof/>
            <w:webHidden/>
          </w:rPr>
          <w:fldChar w:fldCharType="separate"/>
        </w:r>
        <w:r w:rsidRPr="00094D3C">
          <w:rPr>
            <w:rFonts w:ascii="Arial" w:hAnsi="Arial" w:cs="Arial"/>
            <w:noProof/>
            <w:webHidden/>
          </w:rPr>
          <w:t>18</w:t>
        </w:r>
        <w:r w:rsidRPr="00094D3C">
          <w:rPr>
            <w:rFonts w:ascii="Arial" w:hAnsi="Arial" w:cs="Arial"/>
            <w:noProof/>
            <w:webHidden/>
          </w:rPr>
          <w:fldChar w:fldCharType="end"/>
        </w:r>
      </w:hyperlink>
    </w:p>
    <w:p w14:paraId="676928AC" w14:textId="594B9CE1" w:rsidR="00F73D9E" w:rsidRPr="00094D3C" w:rsidRDefault="00B14BF9" w:rsidP="00094D3C">
      <w:pPr>
        <w:rPr>
          <w:rFonts w:ascii="Arial" w:hAnsi="Arial" w:cs="Arial"/>
          <w:b/>
          <w:bCs/>
        </w:rPr>
      </w:pPr>
      <w:r w:rsidRPr="00094D3C">
        <w:rPr>
          <w:rFonts w:ascii="Arial" w:hAnsi="Arial" w:cs="Arial"/>
          <w:b/>
          <w:bCs/>
        </w:rPr>
        <w:fldChar w:fldCharType="end"/>
      </w:r>
      <w:r w:rsidR="00F73D9E" w:rsidRPr="00094D3C">
        <w:rPr>
          <w:rFonts w:ascii="Arial" w:hAnsi="Arial" w:cs="Arial"/>
          <w:b/>
          <w:bCs/>
        </w:rPr>
        <w:br w:type="page"/>
      </w:r>
    </w:p>
    <w:p w14:paraId="014C2919" w14:textId="18853141" w:rsidR="00DF4E89" w:rsidRPr="00094D3C" w:rsidRDefault="00F73D9E" w:rsidP="00094D3C">
      <w:pPr>
        <w:pStyle w:val="Heading1"/>
        <w:rPr>
          <w:rFonts w:ascii="Arial" w:hAnsi="Arial" w:cs="Arial"/>
        </w:rPr>
      </w:pPr>
      <w:bookmarkStart w:id="0" w:name="_Toc223790153"/>
      <w:r w:rsidRPr="00094D3C">
        <w:rPr>
          <w:rFonts w:ascii="Arial" w:hAnsi="Arial" w:cs="Arial"/>
        </w:rPr>
        <w:lastRenderedPageBreak/>
        <w:t>Introduction</w:t>
      </w:r>
      <w:bookmarkEnd w:id="0"/>
    </w:p>
    <w:p w14:paraId="56E8A27C" w14:textId="5F418148" w:rsidR="00AD48CF" w:rsidRPr="00094D3C" w:rsidRDefault="00AD48CF" w:rsidP="00094D3C">
      <w:pPr>
        <w:rPr>
          <w:rFonts w:ascii="Arial" w:hAnsi="Arial" w:cs="Arial"/>
        </w:rPr>
      </w:pPr>
      <w:r w:rsidRPr="00094D3C">
        <w:rPr>
          <w:rFonts w:ascii="Arial" w:hAnsi="Arial" w:cs="Arial"/>
        </w:rPr>
        <w:t xml:space="preserve">Budget and financial management are vital to </w:t>
      </w:r>
      <w:r w:rsidR="008818A7" w:rsidRPr="00094D3C">
        <w:rPr>
          <w:rFonts w:ascii="Arial" w:hAnsi="Arial" w:cs="Arial"/>
        </w:rPr>
        <w:t xml:space="preserve">the </w:t>
      </w:r>
      <w:r w:rsidR="00094D3C" w:rsidRPr="00094D3C">
        <w:rPr>
          <w:rFonts w:ascii="Arial" w:hAnsi="Arial" w:cs="Arial"/>
        </w:rPr>
        <w:t>long-term</w:t>
      </w:r>
      <w:r w:rsidRPr="00094D3C">
        <w:rPr>
          <w:rFonts w:ascii="Arial" w:hAnsi="Arial" w:cs="Arial"/>
        </w:rPr>
        <w:t xml:space="preserve"> success of any business, especially Silver Stitch Ltd, a company that deals with retail of </w:t>
      </w:r>
      <w:r w:rsidR="003F5C27" w:rsidRPr="00094D3C">
        <w:rPr>
          <w:rFonts w:ascii="Arial" w:hAnsi="Arial" w:cs="Arial"/>
        </w:rPr>
        <w:t>high-quality</w:t>
      </w:r>
      <w:r w:rsidRPr="00094D3C">
        <w:rPr>
          <w:rFonts w:ascii="Arial" w:hAnsi="Arial" w:cs="Arial"/>
        </w:rPr>
        <w:t xml:space="preserve"> casual clothes. The company still has a negative balance of overdraft of approximately 30,000 to clear before the close of the month of December, and therefore, the dilemma of maximizing sales against good cost control. Silver Stitch Ltd has included in the financial planning process, the preparation of detailed stock and cash budgets, a budgeted Profit and Loss account of the period July to December.</w:t>
      </w:r>
    </w:p>
    <w:p w14:paraId="35AE460A" w14:textId="6FA5CF5E" w:rsidR="00AD48CF" w:rsidRPr="00094D3C" w:rsidRDefault="00AD48CF" w:rsidP="00094D3C">
      <w:pPr>
        <w:rPr>
          <w:rFonts w:ascii="Arial" w:hAnsi="Arial" w:cs="Arial"/>
        </w:rPr>
      </w:pPr>
      <w:r w:rsidRPr="00094D3C">
        <w:rPr>
          <w:rFonts w:ascii="Arial" w:hAnsi="Arial" w:cs="Arial"/>
        </w:rPr>
        <w:t>The purpose of this report is to review the budget process of the Silver Stitch Ltd and determine the challenges that may arise in the next six months to understand the financial situation</w:t>
      </w:r>
      <w:r w:rsidR="00F9489C" w:rsidRPr="00094D3C">
        <w:rPr>
          <w:rFonts w:ascii="Arial" w:hAnsi="Arial" w:cs="Arial"/>
        </w:rPr>
        <w:t xml:space="preserve"> (Thanh, 2024)</w:t>
      </w:r>
      <w:r w:rsidRPr="00094D3C">
        <w:rPr>
          <w:rFonts w:ascii="Arial" w:hAnsi="Arial" w:cs="Arial"/>
        </w:rPr>
        <w:t>. It will examine concern of cash flow, inventory management and operational costs, and determine whether the present budgeting approach is effective or not. The report will also critically assess traditional budgeting frameworks within the dynamic business environment setting and offer alternative mechanisms to improve flexibility, responsiveness and in line with long-term strategic objectives.</w:t>
      </w:r>
    </w:p>
    <w:p w14:paraId="5B69872C" w14:textId="1964A643" w:rsidR="004C5CEC" w:rsidRPr="00094D3C" w:rsidRDefault="00AD48CF" w:rsidP="00094D3C">
      <w:pPr>
        <w:rPr>
          <w:rFonts w:ascii="Arial" w:hAnsi="Arial" w:cs="Arial"/>
        </w:rPr>
      </w:pPr>
      <w:r w:rsidRPr="00094D3C">
        <w:rPr>
          <w:rFonts w:ascii="Arial" w:hAnsi="Arial" w:cs="Arial"/>
        </w:rPr>
        <w:t>By making decisions to solve these problems and implement an approach to budgeting that is more dynamic, Silver Stitch Ltd will be able to guarantee their financial health as well as control their overdraft and ensure a robust growth in the future.</w:t>
      </w:r>
    </w:p>
    <w:p w14:paraId="6BE0BC91" w14:textId="77777777" w:rsidR="00AF3607" w:rsidRPr="00094D3C" w:rsidRDefault="00AF3607" w:rsidP="00094D3C">
      <w:pPr>
        <w:spacing w:after="160"/>
        <w:jc w:val="left"/>
        <w:rPr>
          <w:rFonts w:ascii="Arial" w:hAnsi="Arial" w:cs="Arial"/>
        </w:rPr>
      </w:pPr>
      <w:r w:rsidRPr="00094D3C">
        <w:rPr>
          <w:rFonts w:ascii="Arial" w:hAnsi="Arial" w:cs="Arial"/>
        </w:rPr>
        <w:br w:type="page"/>
      </w:r>
    </w:p>
    <w:p w14:paraId="5DAFE977" w14:textId="154A2994" w:rsidR="001E7C8B" w:rsidRPr="00094D3C" w:rsidRDefault="00D70DD0" w:rsidP="00094D3C">
      <w:pPr>
        <w:pStyle w:val="Heading1"/>
        <w:rPr>
          <w:rFonts w:ascii="Arial" w:hAnsi="Arial" w:cs="Arial"/>
        </w:rPr>
      </w:pPr>
      <w:bookmarkStart w:id="1" w:name="_Toc223790154"/>
      <w:r w:rsidRPr="00094D3C">
        <w:rPr>
          <w:rFonts w:ascii="Arial" w:hAnsi="Arial" w:cs="Arial"/>
        </w:rPr>
        <w:lastRenderedPageBreak/>
        <w:t>TASK</w:t>
      </w:r>
      <w:bookmarkEnd w:id="1"/>
    </w:p>
    <w:p w14:paraId="64B81A2A" w14:textId="43FB0700" w:rsidR="00D70DD0" w:rsidRPr="00094D3C" w:rsidRDefault="005C14A0" w:rsidP="00094D3C">
      <w:pPr>
        <w:pStyle w:val="Heading1"/>
        <w:rPr>
          <w:rFonts w:ascii="Arial" w:hAnsi="Arial" w:cs="Arial"/>
        </w:rPr>
      </w:pPr>
      <w:bookmarkStart w:id="2" w:name="_Toc223790155"/>
      <w:r w:rsidRPr="00094D3C">
        <w:rPr>
          <w:rFonts w:ascii="Arial" w:hAnsi="Arial" w:cs="Arial"/>
        </w:rPr>
        <w:t>a</w:t>
      </w:r>
      <w:r w:rsidR="001E7C8B" w:rsidRPr="00094D3C">
        <w:rPr>
          <w:rFonts w:ascii="Arial" w:hAnsi="Arial" w:cs="Arial"/>
        </w:rPr>
        <w:t>) Preparation of Stock budget, cash budget and budgeted Profit &amp; Loss Account</w:t>
      </w:r>
      <w:bookmarkEnd w:id="2"/>
      <w:r w:rsidR="001E7C8B" w:rsidRPr="00094D3C">
        <w:rPr>
          <w:rFonts w:ascii="Arial" w:hAnsi="Arial" w:cs="Arial"/>
        </w:rPr>
        <w:t xml:space="preserve"> </w:t>
      </w:r>
    </w:p>
    <w:p w14:paraId="43D40215" w14:textId="45D9FF0F" w:rsidR="00555677" w:rsidRPr="00094D3C" w:rsidRDefault="00555677" w:rsidP="00094D3C">
      <w:pPr>
        <w:pStyle w:val="Heading2"/>
        <w:rPr>
          <w:rFonts w:ascii="Arial" w:hAnsi="Arial" w:cs="Arial"/>
        </w:rPr>
      </w:pPr>
      <w:bookmarkStart w:id="3" w:name="_Toc223790156"/>
      <w:r w:rsidRPr="00094D3C">
        <w:rPr>
          <w:rFonts w:ascii="Arial" w:hAnsi="Arial" w:cs="Arial"/>
        </w:rPr>
        <w:t>Stock and Cash Budget</w:t>
      </w:r>
      <w:bookmarkEnd w:id="3"/>
    </w:p>
    <w:p w14:paraId="48006BAC" w14:textId="59CBEF4F" w:rsidR="004F575D" w:rsidRPr="00094D3C" w:rsidRDefault="004F575D" w:rsidP="00094D3C">
      <w:pPr>
        <w:pStyle w:val="Heading3"/>
        <w:rPr>
          <w:rFonts w:ascii="Arial" w:hAnsi="Arial" w:cs="Arial"/>
        </w:rPr>
      </w:pPr>
      <w:bookmarkStart w:id="4" w:name="_Toc223790157"/>
      <w:r w:rsidRPr="00094D3C">
        <w:rPr>
          <w:rFonts w:ascii="Arial" w:hAnsi="Arial" w:cs="Arial"/>
        </w:rPr>
        <w:t>Stock budget</w:t>
      </w:r>
      <w:bookmarkEnd w:id="4"/>
    </w:p>
    <w:p w14:paraId="777E08F0" w14:textId="6BCD5170" w:rsidR="00C83A2E" w:rsidRPr="00094D3C" w:rsidRDefault="00C83A2E" w:rsidP="00094D3C">
      <w:pPr>
        <w:rPr>
          <w:rFonts w:ascii="Arial" w:hAnsi="Arial" w:cs="Arial"/>
        </w:rPr>
      </w:pPr>
      <w:r w:rsidRPr="00094D3C">
        <w:rPr>
          <w:rFonts w:ascii="Arial" w:hAnsi="Arial" w:cs="Arial"/>
        </w:rPr>
        <w:t>Stock budget will give a breakdown of stock management of Silver Stitch Ltd in the next six months. This entails sales income, gross profit, cost of goods sold (COGS) and opening and closing stock balance per month</w:t>
      </w:r>
      <w:r w:rsidR="0024560A" w:rsidRPr="00094D3C">
        <w:rPr>
          <w:rFonts w:ascii="Arial" w:hAnsi="Arial" w:cs="Arial"/>
        </w:rPr>
        <w:t xml:space="preserve"> (Upul W.A.P, 2025)</w:t>
      </w:r>
      <w:r w:rsidRPr="00094D3C">
        <w:rPr>
          <w:rFonts w:ascii="Arial" w:hAnsi="Arial" w:cs="Arial"/>
        </w:rPr>
        <w:t>. It is calculated on a gross profit margin of 40</w:t>
      </w:r>
      <w:r w:rsidR="002F69B3" w:rsidRPr="00094D3C">
        <w:rPr>
          <w:rFonts w:ascii="Arial" w:hAnsi="Arial" w:cs="Arial"/>
        </w:rPr>
        <w:t>%</w:t>
      </w:r>
      <w:r w:rsidRPr="00094D3C">
        <w:rPr>
          <w:rFonts w:ascii="Arial" w:hAnsi="Arial" w:cs="Arial"/>
        </w:rPr>
        <w:t xml:space="preserve"> leaving 60</w:t>
      </w:r>
      <w:r w:rsidR="002F69B3" w:rsidRPr="00094D3C">
        <w:rPr>
          <w:rFonts w:ascii="Arial" w:hAnsi="Arial" w:cs="Arial"/>
        </w:rPr>
        <w:t>%</w:t>
      </w:r>
      <w:r w:rsidRPr="00094D3C">
        <w:rPr>
          <w:rFonts w:ascii="Arial" w:hAnsi="Arial" w:cs="Arial"/>
        </w:rPr>
        <w:t xml:space="preserve"> to COGS. The COGS are computed by subtracting the purchases in addition to the opening stock per month to get the closing stock.</w:t>
      </w:r>
    </w:p>
    <w:p w14:paraId="4055C278" w14:textId="0429FBBA" w:rsidR="00E13243" w:rsidRPr="00094D3C" w:rsidRDefault="00E13243" w:rsidP="00094D3C">
      <w:pPr>
        <w:pStyle w:val="Caption"/>
        <w:spacing w:line="360" w:lineRule="auto"/>
        <w:jc w:val="center"/>
        <w:rPr>
          <w:rFonts w:ascii="Arial" w:hAnsi="Arial" w:cs="Arial"/>
          <w:i w:val="0"/>
          <w:iCs w:val="0"/>
          <w:color w:val="auto"/>
          <w:sz w:val="24"/>
          <w:szCs w:val="24"/>
        </w:rPr>
      </w:pPr>
      <w:bookmarkStart w:id="5" w:name="_Toc223788261"/>
      <w:r w:rsidRPr="00094D3C">
        <w:rPr>
          <w:rFonts w:ascii="Arial" w:hAnsi="Arial" w:cs="Arial"/>
          <w:b/>
          <w:bCs/>
          <w:i w:val="0"/>
          <w:iCs w:val="0"/>
          <w:color w:val="auto"/>
          <w:sz w:val="24"/>
          <w:szCs w:val="24"/>
        </w:rPr>
        <w:t xml:space="preserve">Table </w:t>
      </w:r>
      <w:r w:rsidRPr="00094D3C">
        <w:rPr>
          <w:rFonts w:ascii="Arial" w:hAnsi="Arial" w:cs="Arial"/>
          <w:b/>
          <w:bCs/>
          <w:i w:val="0"/>
          <w:iCs w:val="0"/>
          <w:color w:val="auto"/>
          <w:sz w:val="24"/>
          <w:szCs w:val="24"/>
        </w:rPr>
        <w:fldChar w:fldCharType="begin"/>
      </w:r>
      <w:r w:rsidRPr="00094D3C">
        <w:rPr>
          <w:rFonts w:ascii="Arial" w:hAnsi="Arial" w:cs="Arial"/>
          <w:b/>
          <w:bCs/>
          <w:i w:val="0"/>
          <w:iCs w:val="0"/>
          <w:color w:val="auto"/>
          <w:sz w:val="24"/>
          <w:szCs w:val="24"/>
        </w:rPr>
        <w:instrText xml:space="preserve"> SEQ Table \* ARABIC </w:instrText>
      </w:r>
      <w:r w:rsidRPr="00094D3C">
        <w:rPr>
          <w:rFonts w:ascii="Arial" w:hAnsi="Arial" w:cs="Arial"/>
          <w:b/>
          <w:bCs/>
          <w:i w:val="0"/>
          <w:iCs w:val="0"/>
          <w:color w:val="auto"/>
          <w:sz w:val="24"/>
          <w:szCs w:val="24"/>
        </w:rPr>
        <w:fldChar w:fldCharType="separate"/>
      </w:r>
      <w:r w:rsidR="00B14BF9" w:rsidRPr="00094D3C">
        <w:rPr>
          <w:rFonts w:ascii="Arial" w:hAnsi="Arial" w:cs="Arial"/>
          <w:b/>
          <w:bCs/>
          <w:i w:val="0"/>
          <w:iCs w:val="0"/>
          <w:noProof/>
          <w:color w:val="auto"/>
          <w:sz w:val="24"/>
          <w:szCs w:val="24"/>
        </w:rPr>
        <w:t>1</w:t>
      </w:r>
      <w:r w:rsidRPr="00094D3C">
        <w:rPr>
          <w:rFonts w:ascii="Arial" w:hAnsi="Arial" w:cs="Arial"/>
          <w:b/>
          <w:bCs/>
          <w:i w:val="0"/>
          <w:iCs w:val="0"/>
          <w:color w:val="auto"/>
          <w:sz w:val="24"/>
          <w:szCs w:val="24"/>
        </w:rPr>
        <w:fldChar w:fldCharType="end"/>
      </w:r>
      <w:r w:rsidRPr="00094D3C">
        <w:rPr>
          <w:rFonts w:ascii="Arial" w:hAnsi="Arial" w:cs="Arial"/>
          <w:i w:val="0"/>
          <w:iCs w:val="0"/>
          <w:color w:val="auto"/>
          <w:sz w:val="24"/>
          <w:szCs w:val="24"/>
        </w:rPr>
        <w:t>: Stock budget</w:t>
      </w:r>
      <w:bookmarkEnd w:id="5"/>
    </w:p>
    <w:tbl>
      <w:tblPr>
        <w:tblW w:w="0" w:type="auto"/>
        <w:tblLook w:val="04A0" w:firstRow="1" w:lastRow="0" w:firstColumn="1" w:lastColumn="0" w:noHBand="0" w:noVBand="1"/>
      </w:tblPr>
      <w:tblGrid>
        <w:gridCol w:w="826"/>
        <w:gridCol w:w="1013"/>
        <w:gridCol w:w="1297"/>
        <w:gridCol w:w="1568"/>
        <w:gridCol w:w="1083"/>
        <w:gridCol w:w="979"/>
        <w:gridCol w:w="2260"/>
      </w:tblGrid>
      <w:tr w:rsidR="00316666" w:rsidRPr="00094D3C" w14:paraId="7A5003EF" w14:textId="77777777" w:rsidTr="00316666">
        <w:trPr>
          <w:trHeight w:val="300"/>
        </w:trPr>
        <w:tc>
          <w:tcPr>
            <w:tcW w:w="0" w:type="auto"/>
            <w:gridSpan w:val="7"/>
            <w:tcBorders>
              <w:top w:val="nil"/>
              <w:left w:val="nil"/>
              <w:bottom w:val="single" w:sz="4" w:space="0" w:color="auto"/>
              <w:right w:val="nil"/>
            </w:tcBorders>
            <w:shd w:val="clear" w:color="000000" w:fill="EDEDED"/>
            <w:noWrap/>
            <w:vAlign w:val="bottom"/>
            <w:hideMark/>
          </w:tcPr>
          <w:p w14:paraId="7C9EFCAA" w14:textId="77777777" w:rsidR="00316666" w:rsidRPr="00094D3C" w:rsidRDefault="00316666"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Stock budget</w:t>
            </w:r>
          </w:p>
        </w:tc>
      </w:tr>
      <w:tr w:rsidR="00316666" w:rsidRPr="00094D3C" w14:paraId="253497C0" w14:textId="77777777" w:rsidTr="00316666">
        <w:trPr>
          <w:trHeight w:val="600"/>
        </w:trPr>
        <w:tc>
          <w:tcPr>
            <w:tcW w:w="0" w:type="auto"/>
            <w:tcBorders>
              <w:top w:val="nil"/>
              <w:left w:val="single" w:sz="4" w:space="0" w:color="auto"/>
              <w:bottom w:val="single" w:sz="4" w:space="0" w:color="auto"/>
              <w:right w:val="single" w:sz="4" w:space="0" w:color="auto"/>
            </w:tcBorders>
            <w:shd w:val="clear" w:color="000000" w:fill="EDEDED"/>
            <w:noWrap/>
            <w:vAlign w:val="bottom"/>
            <w:hideMark/>
          </w:tcPr>
          <w:p w14:paraId="6AB3E387" w14:textId="77777777" w:rsidR="00316666" w:rsidRPr="00094D3C" w:rsidRDefault="00316666"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c>
          <w:tcPr>
            <w:tcW w:w="0" w:type="auto"/>
            <w:tcBorders>
              <w:top w:val="nil"/>
              <w:left w:val="nil"/>
              <w:bottom w:val="single" w:sz="4" w:space="0" w:color="auto"/>
              <w:right w:val="single" w:sz="4" w:space="0" w:color="auto"/>
            </w:tcBorders>
            <w:shd w:val="clear" w:color="000000" w:fill="EDEDED"/>
            <w:noWrap/>
            <w:vAlign w:val="bottom"/>
            <w:hideMark/>
          </w:tcPr>
          <w:p w14:paraId="122CAE0D" w14:textId="77777777" w:rsidR="00316666" w:rsidRPr="00094D3C" w:rsidRDefault="00316666"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Sales</w:t>
            </w:r>
          </w:p>
        </w:tc>
        <w:tc>
          <w:tcPr>
            <w:tcW w:w="0" w:type="auto"/>
            <w:tcBorders>
              <w:top w:val="nil"/>
              <w:left w:val="nil"/>
              <w:bottom w:val="single" w:sz="4" w:space="0" w:color="auto"/>
              <w:right w:val="single" w:sz="4" w:space="0" w:color="auto"/>
            </w:tcBorders>
            <w:shd w:val="clear" w:color="000000" w:fill="EDEDED"/>
            <w:noWrap/>
            <w:vAlign w:val="bottom"/>
            <w:hideMark/>
          </w:tcPr>
          <w:p w14:paraId="571DF3CD" w14:textId="05D9B1F9" w:rsidR="00316666" w:rsidRPr="00094D3C" w:rsidRDefault="00316666"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Gross profit</w:t>
            </w:r>
            <w:r w:rsidR="00C83E92" w:rsidRPr="00094D3C">
              <w:rPr>
                <w:rFonts w:ascii="Arial" w:eastAsia="Times New Roman" w:hAnsi="Arial" w:cs="Arial"/>
                <w:b/>
                <w:bCs/>
                <w:color w:val="000000"/>
                <w:kern w:val="0"/>
                <w14:ligatures w14:val="none"/>
              </w:rPr>
              <w:t xml:space="preserve"> (40%)</w:t>
            </w:r>
          </w:p>
        </w:tc>
        <w:tc>
          <w:tcPr>
            <w:tcW w:w="0" w:type="auto"/>
            <w:tcBorders>
              <w:top w:val="nil"/>
              <w:left w:val="nil"/>
              <w:bottom w:val="single" w:sz="4" w:space="0" w:color="auto"/>
              <w:right w:val="single" w:sz="4" w:space="0" w:color="auto"/>
            </w:tcBorders>
            <w:shd w:val="clear" w:color="000000" w:fill="EDEDED"/>
            <w:vAlign w:val="bottom"/>
            <w:hideMark/>
          </w:tcPr>
          <w:p w14:paraId="331ED976" w14:textId="77777777" w:rsidR="00316666" w:rsidRPr="00094D3C" w:rsidRDefault="00316666"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COGS (Sales - Gross profit)</w:t>
            </w:r>
          </w:p>
        </w:tc>
        <w:tc>
          <w:tcPr>
            <w:tcW w:w="0" w:type="auto"/>
            <w:tcBorders>
              <w:top w:val="nil"/>
              <w:left w:val="nil"/>
              <w:bottom w:val="single" w:sz="4" w:space="0" w:color="auto"/>
              <w:right w:val="single" w:sz="4" w:space="0" w:color="auto"/>
            </w:tcBorders>
            <w:shd w:val="clear" w:color="000000" w:fill="EDEDED"/>
            <w:noWrap/>
            <w:vAlign w:val="bottom"/>
            <w:hideMark/>
          </w:tcPr>
          <w:p w14:paraId="4189637A" w14:textId="77777777" w:rsidR="00316666" w:rsidRPr="00094D3C" w:rsidRDefault="00316666"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Opening stock</w:t>
            </w:r>
          </w:p>
        </w:tc>
        <w:tc>
          <w:tcPr>
            <w:tcW w:w="0" w:type="auto"/>
            <w:tcBorders>
              <w:top w:val="nil"/>
              <w:left w:val="nil"/>
              <w:bottom w:val="single" w:sz="4" w:space="0" w:color="auto"/>
              <w:right w:val="single" w:sz="4" w:space="0" w:color="auto"/>
            </w:tcBorders>
            <w:shd w:val="clear" w:color="000000" w:fill="EDEDED"/>
            <w:noWrap/>
            <w:vAlign w:val="bottom"/>
            <w:hideMark/>
          </w:tcPr>
          <w:p w14:paraId="4EBA1078" w14:textId="77777777" w:rsidR="00316666" w:rsidRPr="00094D3C" w:rsidRDefault="00316666"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Purchases</w:t>
            </w:r>
          </w:p>
        </w:tc>
        <w:tc>
          <w:tcPr>
            <w:tcW w:w="0" w:type="auto"/>
            <w:tcBorders>
              <w:top w:val="nil"/>
              <w:left w:val="nil"/>
              <w:bottom w:val="single" w:sz="4" w:space="0" w:color="auto"/>
              <w:right w:val="single" w:sz="4" w:space="0" w:color="auto"/>
            </w:tcBorders>
            <w:shd w:val="clear" w:color="000000" w:fill="EDEDED"/>
            <w:vAlign w:val="bottom"/>
            <w:hideMark/>
          </w:tcPr>
          <w:p w14:paraId="53169A91" w14:textId="481BCA59" w:rsidR="00316666" w:rsidRPr="00094D3C" w:rsidRDefault="00316666"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Closing stock (Opening</w:t>
            </w:r>
            <w:r w:rsidR="00C83E92" w:rsidRPr="00094D3C">
              <w:rPr>
                <w:rFonts w:ascii="Arial" w:eastAsia="Times New Roman" w:hAnsi="Arial" w:cs="Arial"/>
                <w:b/>
                <w:bCs/>
                <w:color w:val="000000"/>
                <w:kern w:val="0"/>
                <w14:ligatures w14:val="none"/>
              </w:rPr>
              <w:t xml:space="preserve"> </w:t>
            </w:r>
            <w:r w:rsidRPr="00094D3C">
              <w:rPr>
                <w:rFonts w:ascii="Arial" w:eastAsia="Times New Roman" w:hAnsi="Arial" w:cs="Arial"/>
                <w:b/>
                <w:bCs/>
                <w:color w:val="000000"/>
                <w:kern w:val="0"/>
                <w14:ligatures w14:val="none"/>
              </w:rPr>
              <w:t>+Purchases</w:t>
            </w:r>
            <w:r w:rsidR="00C83E92" w:rsidRPr="00094D3C">
              <w:rPr>
                <w:rFonts w:ascii="Arial" w:eastAsia="Times New Roman" w:hAnsi="Arial" w:cs="Arial"/>
                <w:b/>
                <w:bCs/>
                <w:color w:val="000000"/>
                <w:kern w:val="0"/>
                <w14:ligatures w14:val="none"/>
              </w:rPr>
              <w:t xml:space="preserve"> </w:t>
            </w:r>
            <w:r w:rsidRPr="00094D3C">
              <w:rPr>
                <w:rFonts w:ascii="Arial" w:eastAsia="Times New Roman" w:hAnsi="Arial" w:cs="Arial"/>
                <w:b/>
                <w:bCs/>
                <w:color w:val="000000"/>
                <w:kern w:val="0"/>
                <w14:ligatures w14:val="none"/>
              </w:rPr>
              <w:t>-COGS)</w:t>
            </w:r>
          </w:p>
        </w:tc>
      </w:tr>
      <w:tr w:rsidR="00316666" w:rsidRPr="00094D3C" w14:paraId="19A983E0" w14:textId="77777777" w:rsidTr="00316666">
        <w:trPr>
          <w:trHeight w:val="300"/>
        </w:trPr>
        <w:tc>
          <w:tcPr>
            <w:tcW w:w="0" w:type="auto"/>
            <w:tcBorders>
              <w:top w:val="nil"/>
              <w:left w:val="single" w:sz="4" w:space="0" w:color="auto"/>
              <w:bottom w:val="single" w:sz="4" w:space="0" w:color="auto"/>
              <w:right w:val="single" w:sz="4" w:space="0" w:color="auto"/>
            </w:tcBorders>
            <w:shd w:val="clear" w:color="000000" w:fill="DDEBF7"/>
            <w:noWrap/>
            <w:vAlign w:val="bottom"/>
            <w:hideMark/>
          </w:tcPr>
          <w:p w14:paraId="49DCD8C7"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July</w:t>
            </w:r>
          </w:p>
        </w:tc>
        <w:tc>
          <w:tcPr>
            <w:tcW w:w="0" w:type="auto"/>
            <w:tcBorders>
              <w:top w:val="nil"/>
              <w:left w:val="nil"/>
              <w:bottom w:val="single" w:sz="4" w:space="0" w:color="auto"/>
              <w:right w:val="single" w:sz="4" w:space="0" w:color="auto"/>
            </w:tcBorders>
            <w:noWrap/>
            <w:vAlign w:val="bottom"/>
            <w:hideMark/>
          </w:tcPr>
          <w:p w14:paraId="3875270E"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210,000.00 </w:t>
            </w:r>
          </w:p>
        </w:tc>
        <w:tc>
          <w:tcPr>
            <w:tcW w:w="0" w:type="auto"/>
            <w:tcBorders>
              <w:top w:val="nil"/>
              <w:left w:val="nil"/>
              <w:bottom w:val="single" w:sz="4" w:space="0" w:color="auto"/>
              <w:right w:val="single" w:sz="4" w:space="0" w:color="auto"/>
            </w:tcBorders>
            <w:noWrap/>
            <w:vAlign w:val="bottom"/>
            <w:hideMark/>
          </w:tcPr>
          <w:p w14:paraId="016818FC"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84,000.00 </w:t>
            </w:r>
          </w:p>
        </w:tc>
        <w:tc>
          <w:tcPr>
            <w:tcW w:w="0" w:type="auto"/>
            <w:tcBorders>
              <w:top w:val="nil"/>
              <w:left w:val="nil"/>
              <w:bottom w:val="single" w:sz="4" w:space="0" w:color="auto"/>
              <w:right w:val="single" w:sz="4" w:space="0" w:color="auto"/>
            </w:tcBorders>
            <w:noWrap/>
            <w:vAlign w:val="bottom"/>
            <w:hideMark/>
          </w:tcPr>
          <w:p w14:paraId="1193274F"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126,000.00 </w:t>
            </w:r>
          </w:p>
        </w:tc>
        <w:tc>
          <w:tcPr>
            <w:tcW w:w="0" w:type="auto"/>
            <w:tcBorders>
              <w:top w:val="nil"/>
              <w:left w:val="nil"/>
              <w:bottom w:val="single" w:sz="4" w:space="0" w:color="auto"/>
              <w:right w:val="single" w:sz="4" w:space="0" w:color="auto"/>
            </w:tcBorders>
            <w:noWrap/>
            <w:vAlign w:val="bottom"/>
            <w:hideMark/>
          </w:tcPr>
          <w:p w14:paraId="5557B82C"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100,000.00 </w:t>
            </w:r>
          </w:p>
        </w:tc>
        <w:tc>
          <w:tcPr>
            <w:tcW w:w="0" w:type="auto"/>
            <w:tcBorders>
              <w:top w:val="nil"/>
              <w:left w:val="nil"/>
              <w:bottom w:val="single" w:sz="4" w:space="0" w:color="auto"/>
              <w:right w:val="single" w:sz="4" w:space="0" w:color="auto"/>
            </w:tcBorders>
            <w:noWrap/>
            <w:vAlign w:val="bottom"/>
            <w:hideMark/>
          </w:tcPr>
          <w:p w14:paraId="2141575A"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£ 180,000.00 </w:t>
            </w:r>
          </w:p>
        </w:tc>
        <w:tc>
          <w:tcPr>
            <w:tcW w:w="0" w:type="auto"/>
            <w:tcBorders>
              <w:top w:val="nil"/>
              <w:left w:val="nil"/>
              <w:bottom w:val="single" w:sz="4" w:space="0" w:color="auto"/>
              <w:right w:val="single" w:sz="4" w:space="0" w:color="auto"/>
            </w:tcBorders>
            <w:shd w:val="clear" w:color="000000" w:fill="DDEBF7"/>
            <w:noWrap/>
            <w:vAlign w:val="bottom"/>
            <w:hideMark/>
          </w:tcPr>
          <w:p w14:paraId="62C0CDF1"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154,000.00 </w:t>
            </w:r>
          </w:p>
        </w:tc>
      </w:tr>
      <w:tr w:rsidR="00316666" w:rsidRPr="00094D3C" w14:paraId="758C36BF" w14:textId="77777777" w:rsidTr="00316666">
        <w:trPr>
          <w:trHeight w:val="300"/>
        </w:trPr>
        <w:tc>
          <w:tcPr>
            <w:tcW w:w="0" w:type="auto"/>
            <w:tcBorders>
              <w:top w:val="nil"/>
              <w:left w:val="single" w:sz="4" w:space="0" w:color="auto"/>
              <w:bottom w:val="single" w:sz="4" w:space="0" w:color="auto"/>
              <w:right w:val="single" w:sz="4" w:space="0" w:color="auto"/>
            </w:tcBorders>
            <w:shd w:val="clear" w:color="000000" w:fill="DDEBF7"/>
            <w:noWrap/>
            <w:vAlign w:val="bottom"/>
            <w:hideMark/>
          </w:tcPr>
          <w:p w14:paraId="1734DC61"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August</w:t>
            </w:r>
          </w:p>
        </w:tc>
        <w:tc>
          <w:tcPr>
            <w:tcW w:w="0" w:type="auto"/>
            <w:tcBorders>
              <w:top w:val="nil"/>
              <w:left w:val="nil"/>
              <w:bottom w:val="single" w:sz="4" w:space="0" w:color="auto"/>
              <w:right w:val="single" w:sz="4" w:space="0" w:color="auto"/>
            </w:tcBorders>
            <w:noWrap/>
            <w:vAlign w:val="bottom"/>
            <w:hideMark/>
          </w:tcPr>
          <w:p w14:paraId="61F72AF6"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230,000.00 </w:t>
            </w:r>
          </w:p>
        </w:tc>
        <w:tc>
          <w:tcPr>
            <w:tcW w:w="0" w:type="auto"/>
            <w:tcBorders>
              <w:top w:val="nil"/>
              <w:left w:val="nil"/>
              <w:bottom w:val="single" w:sz="4" w:space="0" w:color="auto"/>
              <w:right w:val="single" w:sz="4" w:space="0" w:color="auto"/>
            </w:tcBorders>
            <w:noWrap/>
            <w:vAlign w:val="bottom"/>
            <w:hideMark/>
          </w:tcPr>
          <w:p w14:paraId="62380245"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92,000.00 </w:t>
            </w:r>
          </w:p>
        </w:tc>
        <w:tc>
          <w:tcPr>
            <w:tcW w:w="0" w:type="auto"/>
            <w:tcBorders>
              <w:top w:val="nil"/>
              <w:left w:val="nil"/>
              <w:bottom w:val="single" w:sz="4" w:space="0" w:color="auto"/>
              <w:right w:val="single" w:sz="4" w:space="0" w:color="auto"/>
            </w:tcBorders>
            <w:noWrap/>
            <w:vAlign w:val="bottom"/>
            <w:hideMark/>
          </w:tcPr>
          <w:p w14:paraId="19BC0848"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138,000.00 </w:t>
            </w:r>
          </w:p>
        </w:tc>
        <w:tc>
          <w:tcPr>
            <w:tcW w:w="0" w:type="auto"/>
            <w:tcBorders>
              <w:top w:val="nil"/>
              <w:left w:val="nil"/>
              <w:bottom w:val="single" w:sz="4" w:space="0" w:color="auto"/>
              <w:right w:val="single" w:sz="4" w:space="0" w:color="auto"/>
            </w:tcBorders>
            <w:noWrap/>
            <w:vAlign w:val="bottom"/>
            <w:hideMark/>
          </w:tcPr>
          <w:p w14:paraId="5D966542"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154,000.00 </w:t>
            </w:r>
          </w:p>
        </w:tc>
        <w:tc>
          <w:tcPr>
            <w:tcW w:w="0" w:type="auto"/>
            <w:tcBorders>
              <w:top w:val="nil"/>
              <w:left w:val="nil"/>
              <w:bottom w:val="single" w:sz="4" w:space="0" w:color="auto"/>
              <w:right w:val="single" w:sz="4" w:space="0" w:color="auto"/>
            </w:tcBorders>
            <w:noWrap/>
            <w:vAlign w:val="bottom"/>
            <w:hideMark/>
          </w:tcPr>
          <w:p w14:paraId="6DB76A2B"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£ 170,000.00 </w:t>
            </w:r>
          </w:p>
        </w:tc>
        <w:tc>
          <w:tcPr>
            <w:tcW w:w="0" w:type="auto"/>
            <w:tcBorders>
              <w:top w:val="nil"/>
              <w:left w:val="nil"/>
              <w:bottom w:val="single" w:sz="4" w:space="0" w:color="auto"/>
              <w:right w:val="single" w:sz="4" w:space="0" w:color="auto"/>
            </w:tcBorders>
            <w:shd w:val="clear" w:color="000000" w:fill="DDEBF7"/>
            <w:noWrap/>
            <w:vAlign w:val="bottom"/>
            <w:hideMark/>
          </w:tcPr>
          <w:p w14:paraId="3070E19E"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186,000.00 </w:t>
            </w:r>
          </w:p>
        </w:tc>
      </w:tr>
      <w:tr w:rsidR="00316666" w:rsidRPr="00094D3C" w14:paraId="292E63B1" w14:textId="77777777" w:rsidTr="00316666">
        <w:trPr>
          <w:trHeight w:val="300"/>
        </w:trPr>
        <w:tc>
          <w:tcPr>
            <w:tcW w:w="0" w:type="auto"/>
            <w:tcBorders>
              <w:top w:val="nil"/>
              <w:left w:val="single" w:sz="4" w:space="0" w:color="auto"/>
              <w:bottom w:val="single" w:sz="4" w:space="0" w:color="auto"/>
              <w:right w:val="single" w:sz="4" w:space="0" w:color="auto"/>
            </w:tcBorders>
            <w:shd w:val="clear" w:color="000000" w:fill="DDEBF7"/>
            <w:noWrap/>
            <w:vAlign w:val="bottom"/>
            <w:hideMark/>
          </w:tcPr>
          <w:p w14:paraId="1F1D411D"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September</w:t>
            </w:r>
          </w:p>
        </w:tc>
        <w:tc>
          <w:tcPr>
            <w:tcW w:w="0" w:type="auto"/>
            <w:tcBorders>
              <w:top w:val="nil"/>
              <w:left w:val="nil"/>
              <w:bottom w:val="single" w:sz="4" w:space="0" w:color="auto"/>
              <w:right w:val="single" w:sz="4" w:space="0" w:color="auto"/>
            </w:tcBorders>
            <w:noWrap/>
            <w:vAlign w:val="bottom"/>
            <w:hideMark/>
          </w:tcPr>
          <w:p w14:paraId="4057B599"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260,000.00 </w:t>
            </w:r>
          </w:p>
        </w:tc>
        <w:tc>
          <w:tcPr>
            <w:tcW w:w="0" w:type="auto"/>
            <w:tcBorders>
              <w:top w:val="nil"/>
              <w:left w:val="nil"/>
              <w:bottom w:val="single" w:sz="4" w:space="0" w:color="auto"/>
              <w:right w:val="single" w:sz="4" w:space="0" w:color="auto"/>
            </w:tcBorders>
            <w:noWrap/>
            <w:vAlign w:val="bottom"/>
            <w:hideMark/>
          </w:tcPr>
          <w:p w14:paraId="7FDE9408"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104,000.00 </w:t>
            </w:r>
          </w:p>
        </w:tc>
        <w:tc>
          <w:tcPr>
            <w:tcW w:w="0" w:type="auto"/>
            <w:tcBorders>
              <w:top w:val="nil"/>
              <w:left w:val="nil"/>
              <w:bottom w:val="single" w:sz="4" w:space="0" w:color="auto"/>
              <w:right w:val="single" w:sz="4" w:space="0" w:color="auto"/>
            </w:tcBorders>
            <w:noWrap/>
            <w:vAlign w:val="bottom"/>
            <w:hideMark/>
          </w:tcPr>
          <w:p w14:paraId="18E1F4DD"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156,000.00 </w:t>
            </w:r>
          </w:p>
        </w:tc>
        <w:tc>
          <w:tcPr>
            <w:tcW w:w="0" w:type="auto"/>
            <w:tcBorders>
              <w:top w:val="nil"/>
              <w:left w:val="nil"/>
              <w:bottom w:val="single" w:sz="4" w:space="0" w:color="auto"/>
              <w:right w:val="single" w:sz="4" w:space="0" w:color="auto"/>
            </w:tcBorders>
            <w:noWrap/>
            <w:vAlign w:val="bottom"/>
            <w:hideMark/>
          </w:tcPr>
          <w:p w14:paraId="2F7B82CD"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186,000.00 </w:t>
            </w:r>
          </w:p>
        </w:tc>
        <w:tc>
          <w:tcPr>
            <w:tcW w:w="0" w:type="auto"/>
            <w:tcBorders>
              <w:top w:val="nil"/>
              <w:left w:val="nil"/>
              <w:bottom w:val="single" w:sz="4" w:space="0" w:color="auto"/>
              <w:right w:val="single" w:sz="4" w:space="0" w:color="auto"/>
            </w:tcBorders>
            <w:noWrap/>
            <w:vAlign w:val="bottom"/>
            <w:hideMark/>
          </w:tcPr>
          <w:p w14:paraId="3055B503"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£ 200,000.00 </w:t>
            </w:r>
          </w:p>
        </w:tc>
        <w:tc>
          <w:tcPr>
            <w:tcW w:w="0" w:type="auto"/>
            <w:tcBorders>
              <w:top w:val="nil"/>
              <w:left w:val="nil"/>
              <w:bottom w:val="single" w:sz="4" w:space="0" w:color="auto"/>
              <w:right w:val="single" w:sz="4" w:space="0" w:color="auto"/>
            </w:tcBorders>
            <w:shd w:val="clear" w:color="000000" w:fill="DDEBF7"/>
            <w:noWrap/>
            <w:vAlign w:val="bottom"/>
            <w:hideMark/>
          </w:tcPr>
          <w:p w14:paraId="630DF2F4"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230,000.00 </w:t>
            </w:r>
          </w:p>
        </w:tc>
      </w:tr>
      <w:tr w:rsidR="00316666" w:rsidRPr="00094D3C" w14:paraId="6F2950A1" w14:textId="77777777" w:rsidTr="00316666">
        <w:trPr>
          <w:trHeight w:val="300"/>
        </w:trPr>
        <w:tc>
          <w:tcPr>
            <w:tcW w:w="0" w:type="auto"/>
            <w:tcBorders>
              <w:top w:val="nil"/>
              <w:left w:val="single" w:sz="4" w:space="0" w:color="auto"/>
              <w:bottom w:val="single" w:sz="4" w:space="0" w:color="auto"/>
              <w:right w:val="single" w:sz="4" w:space="0" w:color="auto"/>
            </w:tcBorders>
            <w:shd w:val="clear" w:color="000000" w:fill="DDEBF7"/>
            <w:noWrap/>
            <w:vAlign w:val="bottom"/>
            <w:hideMark/>
          </w:tcPr>
          <w:p w14:paraId="73B34A19"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October</w:t>
            </w:r>
          </w:p>
        </w:tc>
        <w:tc>
          <w:tcPr>
            <w:tcW w:w="0" w:type="auto"/>
            <w:tcBorders>
              <w:top w:val="nil"/>
              <w:left w:val="nil"/>
              <w:bottom w:val="single" w:sz="4" w:space="0" w:color="auto"/>
              <w:right w:val="single" w:sz="4" w:space="0" w:color="auto"/>
            </w:tcBorders>
            <w:noWrap/>
            <w:vAlign w:val="bottom"/>
            <w:hideMark/>
          </w:tcPr>
          <w:p w14:paraId="402EA841"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240,000.00 </w:t>
            </w:r>
          </w:p>
        </w:tc>
        <w:tc>
          <w:tcPr>
            <w:tcW w:w="0" w:type="auto"/>
            <w:tcBorders>
              <w:top w:val="nil"/>
              <w:left w:val="nil"/>
              <w:bottom w:val="single" w:sz="4" w:space="0" w:color="auto"/>
              <w:right w:val="single" w:sz="4" w:space="0" w:color="auto"/>
            </w:tcBorders>
            <w:noWrap/>
            <w:vAlign w:val="bottom"/>
            <w:hideMark/>
          </w:tcPr>
          <w:p w14:paraId="58F9932A"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96,000.00 </w:t>
            </w:r>
          </w:p>
        </w:tc>
        <w:tc>
          <w:tcPr>
            <w:tcW w:w="0" w:type="auto"/>
            <w:tcBorders>
              <w:top w:val="nil"/>
              <w:left w:val="nil"/>
              <w:bottom w:val="single" w:sz="4" w:space="0" w:color="auto"/>
              <w:right w:val="single" w:sz="4" w:space="0" w:color="auto"/>
            </w:tcBorders>
            <w:noWrap/>
            <w:vAlign w:val="bottom"/>
            <w:hideMark/>
          </w:tcPr>
          <w:p w14:paraId="798F8C05"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144,000.00 </w:t>
            </w:r>
          </w:p>
        </w:tc>
        <w:tc>
          <w:tcPr>
            <w:tcW w:w="0" w:type="auto"/>
            <w:tcBorders>
              <w:top w:val="nil"/>
              <w:left w:val="nil"/>
              <w:bottom w:val="single" w:sz="4" w:space="0" w:color="auto"/>
              <w:right w:val="single" w:sz="4" w:space="0" w:color="auto"/>
            </w:tcBorders>
            <w:noWrap/>
            <w:vAlign w:val="bottom"/>
            <w:hideMark/>
          </w:tcPr>
          <w:p w14:paraId="12FB8CE3"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230,000.00 </w:t>
            </w:r>
          </w:p>
        </w:tc>
        <w:tc>
          <w:tcPr>
            <w:tcW w:w="0" w:type="auto"/>
            <w:tcBorders>
              <w:top w:val="nil"/>
              <w:left w:val="nil"/>
              <w:bottom w:val="single" w:sz="4" w:space="0" w:color="auto"/>
              <w:right w:val="single" w:sz="4" w:space="0" w:color="auto"/>
            </w:tcBorders>
            <w:noWrap/>
            <w:vAlign w:val="bottom"/>
            <w:hideMark/>
          </w:tcPr>
          <w:p w14:paraId="575897B0"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£ 210,000.00 </w:t>
            </w:r>
          </w:p>
        </w:tc>
        <w:tc>
          <w:tcPr>
            <w:tcW w:w="0" w:type="auto"/>
            <w:tcBorders>
              <w:top w:val="nil"/>
              <w:left w:val="nil"/>
              <w:bottom w:val="single" w:sz="4" w:space="0" w:color="auto"/>
              <w:right w:val="single" w:sz="4" w:space="0" w:color="auto"/>
            </w:tcBorders>
            <w:shd w:val="clear" w:color="000000" w:fill="DDEBF7"/>
            <w:noWrap/>
            <w:vAlign w:val="bottom"/>
            <w:hideMark/>
          </w:tcPr>
          <w:p w14:paraId="7CC00FC1"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296,000.00 </w:t>
            </w:r>
          </w:p>
        </w:tc>
      </w:tr>
      <w:tr w:rsidR="00316666" w:rsidRPr="00094D3C" w14:paraId="5DEB39CE" w14:textId="77777777" w:rsidTr="00316666">
        <w:trPr>
          <w:trHeight w:val="300"/>
        </w:trPr>
        <w:tc>
          <w:tcPr>
            <w:tcW w:w="0" w:type="auto"/>
            <w:tcBorders>
              <w:top w:val="nil"/>
              <w:left w:val="single" w:sz="4" w:space="0" w:color="auto"/>
              <w:bottom w:val="single" w:sz="4" w:space="0" w:color="auto"/>
              <w:right w:val="single" w:sz="4" w:space="0" w:color="auto"/>
            </w:tcBorders>
            <w:shd w:val="clear" w:color="000000" w:fill="DDEBF7"/>
            <w:noWrap/>
            <w:vAlign w:val="bottom"/>
            <w:hideMark/>
          </w:tcPr>
          <w:p w14:paraId="1F071186"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November</w:t>
            </w:r>
          </w:p>
        </w:tc>
        <w:tc>
          <w:tcPr>
            <w:tcW w:w="0" w:type="auto"/>
            <w:tcBorders>
              <w:top w:val="nil"/>
              <w:left w:val="nil"/>
              <w:bottom w:val="single" w:sz="4" w:space="0" w:color="auto"/>
              <w:right w:val="single" w:sz="4" w:space="0" w:color="auto"/>
            </w:tcBorders>
            <w:noWrap/>
            <w:vAlign w:val="bottom"/>
            <w:hideMark/>
          </w:tcPr>
          <w:p w14:paraId="6D37FDD8"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250,000.00 </w:t>
            </w:r>
          </w:p>
        </w:tc>
        <w:tc>
          <w:tcPr>
            <w:tcW w:w="0" w:type="auto"/>
            <w:tcBorders>
              <w:top w:val="nil"/>
              <w:left w:val="nil"/>
              <w:bottom w:val="single" w:sz="4" w:space="0" w:color="auto"/>
              <w:right w:val="single" w:sz="4" w:space="0" w:color="auto"/>
            </w:tcBorders>
            <w:noWrap/>
            <w:vAlign w:val="bottom"/>
            <w:hideMark/>
          </w:tcPr>
          <w:p w14:paraId="18124234"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100,000.00 </w:t>
            </w:r>
          </w:p>
        </w:tc>
        <w:tc>
          <w:tcPr>
            <w:tcW w:w="0" w:type="auto"/>
            <w:tcBorders>
              <w:top w:val="nil"/>
              <w:left w:val="nil"/>
              <w:bottom w:val="single" w:sz="4" w:space="0" w:color="auto"/>
              <w:right w:val="single" w:sz="4" w:space="0" w:color="auto"/>
            </w:tcBorders>
            <w:noWrap/>
            <w:vAlign w:val="bottom"/>
            <w:hideMark/>
          </w:tcPr>
          <w:p w14:paraId="0F828CC0"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150,000.00 </w:t>
            </w:r>
          </w:p>
        </w:tc>
        <w:tc>
          <w:tcPr>
            <w:tcW w:w="0" w:type="auto"/>
            <w:tcBorders>
              <w:top w:val="nil"/>
              <w:left w:val="nil"/>
              <w:bottom w:val="single" w:sz="4" w:space="0" w:color="auto"/>
              <w:right w:val="single" w:sz="4" w:space="0" w:color="auto"/>
            </w:tcBorders>
            <w:noWrap/>
            <w:vAlign w:val="bottom"/>
            <w:hideMark/>
          </w:tcPr>
          <w:p w14:paraId="1E5E5CA5"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296,000.00 </w:t>
            </w:r>
          </w:p>
        </w:tc>
        <w:tc>
          <w:tcPr>
            <w:tcW w:w="0" w:type="auto"/>
            <w:tcBorders>
              <w:top w:val="nil"/>
              <w:left w:val="nil"/>
              <w:bottom w:val="single" w:sz="4" w:space="0" w:color="auto"/>
              <w:right w:val="single" w:sz="4" w:space="0" w:color="auto"/>
            </w:tcBorders>
            <w:noWrap/>
            <w:vAlign w:val="bottom"/>
            <w:hideMark/>
          </w:tcPr>
          <w:p w14:paraId="2514F6F1"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£ 190,000.00 </w:t>
            </w:r>
          </w:p>
        </w:tc>
        <w:tc>
          <w:tcPr>
            <w:tcW w:w="0" w:type="auto"/>
            <w:tcBorders>
              <w:top w:val="nil"/>
              <w:left w:val="nil"/>
              <w:bottom w:val="single" w:sz="4" w:space="0" w:color="auto"/>
              <w:right w:val="single" w:sz="4" w:space="0" w:color="auto"/>
            </w:tcBorders>
            <w:shd w:val="clear" w:color="000000" w:fill="DDEBF7"/>
            <w:noWrap/>
            <w:vAlign w:val="bottom"/>
            <w:hideMark/>
          </w:tcPr>
          <w:p w14:paraId="30523C97"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336,000.00 </w:t>
            </w:r>
          </w:p>
        </w:tc>
      </w:tr>
      <w:tr w:rsidR="00316666" w:rsidRPr="00094D3C" w14:paraId="46200525" w14:textId="77777777" w:rsidTr="00316666">
        <w:trPr>
          <w:trHeight w:val="300"/>
        </w:trPr>
        <w:tc>
          <w:tcPr>
            <w:tcW w:w="0" w:type="auto"/>
            <w:tcBorders>
              <w:top w:val="nil"/>
              <w:left w:val="single" w:sz="4" w:space="0" w:color="auto"/>
              <w:bottom w:val="single" w:sz="4" w:space="0" w:color="auto"/>
              <w:right w:val="single" w:sz="4" w:space="0" w:color="auto"/>
            </w:tcBorders>
            <w:shd w:val="clear" w:color="000000" w:fill="DDEBF7"/>
            <w:noWrap/>
            <w:vAlign w:val="bottom"/>
            <w:hideMark/>
          </w:tcPr>
          <w:p w14:paraId="24158295"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lastRenderedPageBreak/>
              <w:t>December</w:t>
            </w:r>
          </w:p>
        </w:tc>
        <w:tc>
          <w:tcPr>
            <w:tcW w:w="0" w:type="auto"/>
            <w:tcBorders>
              <w:top w:val="nil"/>
              <w:left w:val="nil"/>
              <w:bottom w:val="single" w:sz="4" w:space="0" w:color="auto"/>
              <w:right w:val="single" w:sz="4" w:space="0" w:color="auto"/>
            </w:tcBorders>
            <w:noWrap/>
            <w:vAlign w:val="bottom"/>
            <w:hideMark/>
          </w:tcPr>
          <w:p w14:paraId="683F536F"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280,000.00 </w:t>
            </w:r>
          </w:p>
        </w:tc>
        <w:tc>
          <w:tcPr>
            <w:tcW w:w="0" w:type="auto"/>
            <w:tcBorders>
              <w:top w:val="nil"/>
              <w:left w:val="nil"/>
              <w:bottom w:val="single" w:sz="4" w:space="0" w:color="auto"/>
              <w:right w:val="single" w:sz="4" w:space="0" w:color="auto"/>
            </w:tcBorders>
            <w:noWrap/>
            <w:vAlign w:val="bottom"/>
            <w:hideMark/>
          </w:tcPr>
          <w:p w14:paraId="6070CA33"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112,000.00 </w:t>
            </w:r>
          </w:p>
        </w:tc>
        <w:tc>
          <w:tcPr>
            <w:tcW w:w="0" w:type="auto"/>
            <w:tcBorders>
              <w:top w:val="nil"/>
              <w:left w:val="nil"/>
              <w:bottom w:val="single" w:sz="4" w:space="0" w:color="auto"/>
              <w:right w:val="single" w:sz="4" w:space="0" w:color="auto"/>
            </w:tcBorders>
            <w:noWrap/>
            <w:vAlign w:val="bottom"/>
            <w:hideMark/>
          </w:tcPr>
          <w:p w14:paraId="6209F08D"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168,000.00 </w:t>
            </w:r>
          </w:p>
        </w:tc>
        <w:tc>
          <w:tcPr>
            <w:tcW w:w="0" w:type="auto"/>
            <w:tcBorders>
              <w:top w:val="nil"/>
              <w:left w:val="nil"/>
              <w:bottom w:val="single" w:sz="4" w:space="0" w:color="auto"/>
              <w:right w:val="single" w:sz="4" w:space="0" w:color="auto"/>
            </w:tcBorders>
            <w:noWrap/>
            <w:vAlign w:val="bottom"/>
            <w:hideMark/>
          </w:tcPr>
          <w:p w14:paraId="325E2BE3"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336,000.00 </w:t>
            </w:r>
          </w:p>
        </w:tc>
        <w:tc>
          <w:tcPr>
            <w:tcW w:w="0" w:type="auto"/>
            <w:tcBorders>
              <w:top w:val="nil"/>
              <w:left w:val="nil"/>
              <w:bottom w:val="single" w:sz="4" w:space="0" w:color="auto"/>
              <w:right w:val="single" w:sz="4" w:space="0" w:color="auto"/>
            </w:tcBorders>
            <w:noWrap/>
            <w:vAlign w:val="bottom"/>
            <w:hideMark/>
          </w:tcPr>
          <w:p w14:paraId="61C6750F"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£ 220,000.00 </w:t>
            </w:r>
          </w:p>
        </w:tc>
        <w:tc>
          <w:tcPr>
            <w:tcW w:w="0" w:type="auto"/>
            <w:tcBorders>
              <w:top w:val="nil"/>
              <w:left w:val="nil"/>
              <w:bottom w:val="single" w:sz="4" w:space="0" w:color="auto"/>
              <w:right w:val="single" w:sz="4" w:space="0" w:color="auto"/>
            </w:tcBorders>
            <w:shd w:val="clear" w:color="000000" w:fill="DDEBF7"/>
            <w:noWrap/>
            <w:vAlign w:val="bottom"/>
            <w:hideMark/>
          </w:tcPr>
          <w:p w14:paraId="1585B93D" w14:textId="77777777" w:rsidR="00316666" w:rsidRPr="00094D3C" w:rsidRDefault="00316666"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388,000.00 </w:t>
            </w:r>
          </w:p>
        </w:tc>
      </w:tr>
    </w:tbl>
    <w:p w14:paraId="129E2CAA" w14:textId="77777777" w:rsidR="0096589E" w:rsidRPr="00094D3C" w:rsidRDefault="0096589E" w:rsidP="00094D3C">
      <w:pPr>
        <w:rPr>
          <w:rFonts w:ascii="Arial" w:hAnsi="Arial" w:cs="Arial"/>
        </w:rPr>
      </w:pPr>
    </w:p>
    <w:p w14:paraId="59876323" w14:textId="3D246632" w:rsidR="002E1897" w:rsidRPr="00094D3C" w:rsidRDefault="002E1897" w:rsidP="00094D3C">
      <w:pPr>
        <w:rPr>
          <w:rFonts w:ascii="Arial" w:hAnsi="Arial" w:cs="Arial"/>
          <w:b/>
          <w:bCs/>
        </w:rPr>
      </w:pPr>
      <w:r w:rsidRPr="00094D3C">
        <w:rPr>
          <w:rFonts w:ascii="Arial" w:hAnsi="Arial" w:cs="Arial"/>
          <w:b/>
          <w:bCs/>
        </w:rPr>
        <w:t>Interpretation of Stock Budget</w:t>
      </w:r>
    </w:p>
    <w:p w14:paraId="3129B798" w14:textId="3DE1DE29" w:rsidR="002E1897" w:rsidRPr="00094D3C" w:rsidRDefault="002E1897" w:rsidP="00094D3C">
      <w:pPr>
        <w:rPr>
          <w:rFonts w:ascii="Arial" w:hAnsi="Arial" w:cs="Arial"/>
        </w:rPr>
      </w:pPr>
      <w:r w:rsidRPr="00094D3C">
        <w:rPr>
          <w:rFonts w:ascii="Arial" w:hAnsi="Arial" w:cs="Arial"/>
        </w:rPr>
        <w:t>The stock budget provides the management of Silver Stitch Ltd with its inventory management planning within the sales and cost of goods sold (COGS) during the next six months.</w:t>
      </w:r>
    </w:p>
    <w:p w14:paraId="5BC77A8A" w14:textId="6D895B12" w:rsidR="0096589E" w:rsidRPr="00094D3C" w:rsidRDefault="002E1897" w:rsidP="00094D3C">
      <w:pPr>
        <w:rPr>
          <w:rFonts w:ascii="Arial" w:hAnsi="Arial" w:cs="Arial"/>
        </w:rPr>
      </w:pPr>
      <w:r w:rsidRPr="00094D3C">
        <w:rPr>
          <w:rFonts w:ascii="Arial" w:hAnsi="Arial" w:cs="Arial"/>
          <w:b/>
          <w:bCs/>
        </w:rPr>
        <w:t>Sales and COGS:</w:t>
      </w:r>
      <w:r w:rsidRPr="00094D3C">
        <w:rPr>
          <w:rFonts w:ascii="Arial" w:hAnsi="Arial" w:cs="Arial"/>
        </w:rPr>
        <w:t xml:space="preserve"> Sales revenue increases to £280,000 in December and it was 180,000 in Ju</w:t>
      </w:r>
      <w:r w:rsidR="003162C0" w:rsidRPr="00094D3C">
        <w:rPr>
          <w:rFonts w:ascii="Arial" w:hAnsi="Arial" w:cs="Arial"/>
        </w:rPr>
        <w:t>ly</w:t>
      </w:r>
      <w:r w:rsidRPr="00094D3C">
        <w:rPr>
          <w:rFonts w:ascii="Arial" w:hAnsi="Arial" w:cs="Arial"/>
        </w:rPr>
        <w:t xml:space="preserve">. At a level of 40 percent, gross profit begins at the level of </w:t>
      </w:r>
      <w:r w:rsidR="008A1F59" w:rsidRPr="00094D3C">
        <w:rPr>
          <w:rFonts w:ascii="Arial" w:hAnsi="Arial" w:cs="Arial"/>
        </w:rPr>
        <w:t>84</w:t>
      </w:r>
      <w:r w:rsidRPr="00094D3C">
        <w:rPr>
          <w:rFonts w:ascii="Arial" w:hAnsi="Arial" w:cs="Arial"/>
        </w:rPr>
        <w:t>,000 in Ju</w:t>
      </w:r>
      <w:r w:rsidR="003162C0" w:rsidRPr="00094D3C">
        <w:rPr>
          <w:rFonts w:ascii="Arial" w:hAnsi="Arial" w:cs="Arial"/>
        </w:rPr>
        <w:t>ly</w:t>
      </w:r>
      <w:r w:rsidRPr="00094D3C">
        <w:rPr>
          <w:rFonts w:ascii="Arial" w:hAnsi="Arial" w:cs="Arial"/>
        </w:rPr>
        <w:t xml:space="preserve"> and rises to 112,000 in December. The 60 percent of the sales (COGS) increases by £1</w:t>
      </w:r>
      <w:r w:rsidR="002F0C2E" w:rsidRPr="00094D3C">
        <w:rPr>
          <w:rFonts w:ascii="Arial" w:hAnsi="Arial" w:cs="Arial"/>
        </w:rPr>
        <w:t>26</w:t>
      </w:r>
      <w:r w:rsidRPr="00094D3C">
        <w:rPr>
          <w:rFonts w:ascii="Arial" w:hAnsi="Arial" w:cs="Arial"/>
        </w:rPr>
        <w:t>,000 to £168,000 within the same period.</w:t>
      </w:r>
    </w:p>
    <w:p w14:paraId="5771BD5E" w14:textId="24D7E584" w:rsidR="003E01C2" w:rsidRPr="00094D3C" w:rsidRDefault="003E01C2" w:rsidP="00094D3C">
      <w:pPr>
        <w:rPr>
          <w:rFonts w:ascii="Arial" w:hAnsi="Arial" w:cs="Arial"/>
        </w:rPr>
      </w:pPr>
      <w:r w:rsidRPr="00094D3C">
        <w:rPr>
          <w:rFonts w:ascii="Arial" w:hAnsi="Arial" w:cs="Arial"/>
          <w:b/>
          <w:bCs/>
        </w:rPr>
        <w:t>Stock Management:</w:t>
      </w:r>
      <w:r w:rsidRPr="00094D3C">
        <w:rPr>
          <w:rFonts w:ascii="Arial" w:hAnsi="Arial" w:cs="Arial"/>
        </w:rPr>
        <w:t xml:space="preserve"> The opening stock in Ju</w:t>
      </w:r>
      <w:r w:rsidR="00FD4501" w:rsidRPr="00094D3C">
        <w:rPr>
          <w:rFonts w:ascii="Arial" w:hAnsi="Arial" w:cs="Arial"/>
        </w:rPr>
        <w:t>ly</w:t>
      </w:r>
      <w:r w:rsidRPr="00094D3C">
        <w:rPr>
          <w:rFonts w:ascii="Arial" w:hAnsi="Arial" w:cs="Arial"/>
        </w:rPr>
        <w:t xml:space="preserve"> is 100,000, the monthly purchases will be 1</w:t>
      </w:r>
      <w:r w:rsidR="00FD4501" w:rsidRPr="00094D3C">
        <w:rPr>
          <w:rFonts w:ascii="Arial" w:hAnsi="Arial" w:cs="Arial"/>
        </w:rPr>
        <w:t>8</w:t>
      </w:r>
      <w:r w:rsidRPr="00094D3C">
        <w:rPr>
          <w:rFonts w:ascii="Arial" w:hAnsi="Arial" w:cs="Arial"/>
        </w:rPr>
        <w:t>0000 in Ju</w:t>
      </w:r>
      <w:r w:rsidR="00FD4501" w:rsidRPr="00094D3C">
        <w:rPr>
          <w:rFonts w:ascii="Arial" w:hAnsi="Arial" w:cs="Arial"/>
        </w:rPr>
        <w:t>ly</w:t>
      </w:r>
      <w:r w:rsidRPr="00094D3C">
        <w:rPr>
          <w:rFonts w:ascii="Arial" w:hAnsi="Arial" w:cs="Arial"/>
        </w:rPr>
        <w:t xml:space="preserve"> and will rise to 220000 in December. It is supported by the higher sales with the closing stock growing between £1</w:t>
      </w:r>
      <w:r w:rsidR="00FD4501" w:rsidRPr="00094D3C">
        <w:rPr>
          <w:rFonts w:ascii="Arial" w:hAnsi="Arial" w:cs="Arial"/>
        </w:rPr>
        <w:t>54</w:t>
      </w:r>
      <w:r w:rsidRPr="00094D3C">
        <w:rPr>
          <w:rFonts w:ascii="Arial" w:hAnsi="Arial" w:cs="Arial"/>
        </w:rPr>
        <w:t>,000 in Ju</w:t>
      </w:r>
      <w:r w:rsidR="002242A2" w:rsidRPr="00094D3C">
        <w:rPr>
          <w:rFonts w:ascii="Arial" w:hAnsi="Arial" w:cs="Arial"/>
        </w:rPr>
        <w:t>ly</w:t>
      </w:r>
      <w:r w:rsidRPr="00094D3C">
        <w:rPr>
          <w:rFonts w:ascii="Arial" w:hAnsi="Arial" w:cs="Arial"/>
        </w:rPr>
        <w:t xml:space="preserve"> and £388,000 in December. Although the stock level is rising, Silver Stitch Ltd should be able to control this to ensure that there is no excess inventory that is likely to strain the cash flow.</w:t>
      </w:r>
    </w:p>
    <w:p w14:paraId="077F31FE" w14:textId="30282865" w:rsidR="003E01C2" w:rsidRPr="00094D3C" w:rsidRDefault="003E01C2" w:rsidP="00094D3C">
      <w:pPr>
        <w:rPr>
          <w:rFonts w:ascii="Arial" w:hAnsi="Arial" w:cs="Arial"/>
        </w:rPr>
      </w:pPr>
      <w:r w:rsidRPr="00094D3C">
        <w:rPr>
          <w:rFonts w:ascii="Arial" w:hAnsi="Arial" w:cs="Arial"/>
          <w:b/>
          <w:bCs/>
        </w:rPr>
        <w:t>Trends:</w:t>
      </w:r>
      <w:r w:rsidRPr="00094D3C">
        <w:rPr>
          <w:rFonts w:ascii="Arial" w:hAnsi="Arial" w:cs="Arial"/>
        </w:rPr>
        <w:t xml:space="preserve"> The consistent increase in purchases and closing stock in each month indicates a predictable increase in sales. But it is important that the company is not overstocking and this may either cause an increment in the cost of holding or the liquidity</w:t>
      </w:r>
      <w:r w:rsidR="00300259" w:rsidRPr="00094D3C">
        <w:rPr>
          <w:rFonts w:ascii="Arial" w:hAnsi="Arial" w:cs="Arial"/>
        </w:rPr>
        <w:t xml:space="preserve"> (Lijuan et al., 2023)</w:t>
      </w:r>
      <w:r w:rsidRPr="00094D3C">
        <w:rPr>
          <w:rFonts w:ascii="Arial" w:hAnsi="Arial" w:cs="Arial"/>
        </w:rPr>
        <w:t>.</w:t>
      </w:r>
    </w:p>
    <w:p w14:paraId="3A3FF221" w14:textId="77777777" w:rsidR="002E1897" w:rsidRPr="00094D3C" w:rsidRDefault="002E1897" w:rsidP="00094D3C">
      <w:pPr>
        <w:rPr>
          <w:rFonts w:ascii="Arial" w:hAnsi="Arial" w:cs="Arial"/>
        </w:rPr>
      </w:pPr>
    </w:p>
    <w:p w14:paraId="641C5E73" w14:textId="16F4AE6B" w:rsidR="004C5CEC" w:rsidRPr="00094D3C" w:rsidRDefault="004C5CEC" w:rsidP="00094D3C">
      <w:pPr>
        <w:pStyle w:val="Heading3"/>
        <w:rPr>
          <w:rFonts w:ascii="Arial" w:hAnsi="Arial" w:cs="Arial"/>
        </w:rPr>
      </w:pPr>
      <w:bookmarkStart w:id="6" w:name="_Toc223790158"/>
      <w:r w:rsidRPr="00094D3C">
        <w:rPr>
          <w:rFonts w:ascii="Arial" w:hAnsi="Arial" w:cs="Arial"/>
        </w:rPr>
        <w:t>Cash budget</w:t>
      </w:r>
      <w:bookmarkEnd w:id="6"/>
    </w:p>
    <w:p w14:paraId="7A448509" w14:textId="57F0C358" w:rsidR="00EF6459" w:rsidRPr="00094D3C" w:rsidRDefault="00EF6459" w:rsidP="00094D3C">
      <w:pPr>
        <w:rPr>
          <w:rFonts w:ascii="Arial" w:hAnsi="Arial" w:cs="Arial"/>
        </w:rPr>
      </w:pPr>
      <w:r w:rsidRPr="00094D3C">
        <w:rPr>
          <w:rFonts w:ascii="Arial" w:hAnsi="Arial" w:cs="Arial"/>
        </w:rPr>
        <w:t xml:space="preserve">The cash budget of Silver Stitch Ltd gives the details of the cash inflows and outflows and </w:t>
      </w:r>
      <w:r w:rsidR="008818A7" w:rsidRPr="00094D3C">
        <w:rPr>
          <w:rFonts w:ascii="Arial" w:hAnsi="Arial" w:cs="Arial"/>
        </w:rPr>
        <w:t>provides</w:t>
      </w:r>
      <w:r w:rsidRPr="00094D3C">
        <w:rPr>
          <w:rFonts w:ascii="Arial" w:hAnsi="Arial" w:cs="Arial"/>
        </w:rPr>
        <w:t xml:space="preserve"> </w:t>
      </w:r>
      <w:r w:rsidR="008818A7" w:rsidRPr="00094D3C">
        <w:rPr>
          <w:rFonts w:ascii="Arial" w:hAnsi="Arial" w:cs="Arial"/>
        </w:rPr>
        <w:t>an</w:t>
      </w:r>
      <w:r w:rsidRPr="00094D3C">
        <w:rPr>
          <w:rFonts w:ascii="Arial" w:hAnsi="Arial" w:cs="Arial"/>
        </w:rPr>
        <w:t xml:space="preserve"> overview of the liquidity position of the company over the next six months. The sources of cash inflows are mainly sales revenue whereas cash outflows are cash payments to suppliers, credit card sales interest, loan payments, administrative and selling costs, taxes, and costs to refurbish stores</w:t>
      </w:r>
      <w:r w:rsidR="00300259" w:rsidRPr="00094D3C">
        <w:rPr>
          <w:rFonts w:ascii="Arial" w:hAnsi="Arial" w:cs="Arial"/>
        </w:rPr>
        <w:t xml:space="preserve"> (Oriekhova and Golovko, 2022)</w:t>
      </w:r>
      <w:r w:rsidRPr="00094D3C">
        <w:rPr>
          <w:rFonts w:ascii="Arial" w:hAnsi="Arial" w:cs="Arial"/>
        </w:rPr>
        <w:t>. The net cash flow in each month is obtained by deducting the total outlays in each month with the total inflows and the closing and opening balances are changed respectively.</w:t>
      </w:r>
    </w:p>
    <w:p w14:paraId="301C57AE" w14:textId="381D99AB" w:rsidR="00E13243" w:rsidRPr="00094D3C" w:rsidRDefault="00E13243" w:rsidP="00094D3C">
      <w:pPr>
        <w:pStyle w:val="Caption"/>
        <w:spacing w:line="360" w:lineRule="auto"/>
        <w:jc w:val="center"/>
        <w:rPr>
          <w:rFonts w:ascii="Arial" w:hAnsi="Arial" w:cs="Arial"/>
          <w:i w:val="0"/>
          <w:iCs w:val="0"/>
          <w:color w:val="auto"/>
          <w:sz w:val="24"/>
          <w:szCs w:val="24"/>
        </w:rPr>
      </w:pPr>
      <w:bookmarkStart w:id="7" w:name="_Toc223788262"/>
      <w:r w:rsidRPr="00094D3C">
        <w:rPr>
          <w:rFonts w:ascii="Arial" w:hAnsi="Arial" w:cs="Arial"/>
          <w:b/>
          <w:bCs/>
          <w:i w:val="0"/>
          <w:iCs w:val="0"/>
          <w:color w:val="auto"/>
          <w:sz w:val="24"/>
          <w:szCs w:val="24"/>
        </w:rPr>
        <w:t xml:space="preserve">Table </w:t>
      </w:r>
      <w:r w:rsidRPr="00094D3C">
        <w:rPr>
          <w:rFonts w:ascii="Arial" w:hAnsi="Arial" w:cs="Arial"/>
          <w:b/>
          <w:bCs/>
          <w:i w:val="0"/>
          <w:iCs w:val="0"/>
          <w:color w:val="auto"/>
          <w:sz w:val="24"/>
          <w:szCs w:val="24"/>
        </w:rPr>
        <w:fldChar w:fldCharType="begin"/>
      </w:r>
      <w:r w:rsidRPr="00094D3C">
        <w:rPr>
          <w:rFonts w:ascii="Arial" w:hAnsi="Arial" w:cs="Arial"/>
          <w:b/>
          <w:bCs/>
          <w:i w:val="0"/>
          <w:iCs w:val="0"/>
          <w:color w:val="auto"/>
          <w:sz w:val="24"/>
          <w:szCs w:val="24"/>
        </w:rPr>
        <w:instrText xml:space="preserve"> SEQ Table \* ARABIC </w:instrText>
      </w:r>
      <w:r w:rsidRPr="00094D3C">
        <w:rPr>
          <w:rFonts w:ascii="Arial" w:hAnsi="Arial" w:cs="Arial"/>
          <w:b/>
          <w:bCs/>
          <w:i w:val="0"/>
          <w:iCs w:val="0"/>
          <w:color w:val="auto"/>
          <w:sz w:val="24"/>
          <w:szCs w:val="24"/>
        </w:rPr>
        <w:fldChar w:fldCharType="separate"/>
      </w:r>
      <w:r w:rsidR="00B14BF9" w:rsidRPr="00094D3C">
        <w:rPr>
          <w:rFonts w:ascii="Arial" w:hAnsi="Arial" w:cs="Arial"/>
          <w:b/>
          <w:bCs/>
          <w:i w:val="0"/>
          <w:iCs w:val="0"/>
          <w:noProof/>
          <w:color w:val="auto"/>
          <w:sz w:val="24"/>
          <w:szCs w:val="24"/>
        </w:rPr>
        <w:t>2</w:t>
      </w:r>
      <w:r w:rsidRPr="00094D3C">
        <w:rPr>
          <w:rFonts w:ascii="Arial" w:hAnsi="Arial" w:cs="Arial"/>
          <w:b/>
          <w:bCs/>
          <w:i w:val="0"/>
          <w:iCs w:val="0"/>
          <w:color w:val="auto"/>
          <w:sz w:val="24"/>
          <w:szCs w:val="24"/>
        </w:rPr>
        <w:fldChar w:fldCharType="end"/>
      </w:r>
      <w:r w:rsidRPr="00094D3C">
        <w:rPr>
          <w:rFonts w:ascii="Arial" w:hAnsi="Arial" w:cs="Arial"/>
          <w:b/>
          <w:bCs/>
          <w:i w:val="0"/>
          <w:iCs w:val="0"/>
          <w:color w:val="auto"/>
          <w:sz w:val="24"/>
          <w:szCs w:val="24"/>
        </w:rPr>
        <w:t>:</w:t>
      </w:r>
      <w:r w:rsidRPr="00094D3C">
        <w:rPr>
          <w:rFonts w:ascii="Arial" w:hAnsi="Arial" w:cs="Arial"/>
          <w:i w:val="0"/>
          <w:iCs w:val="0"/>
          <w:color w:val="auto"/>
          <w:sz w:val="24"/>
          <w:szCs w:val="24"/>
        </w:rPr>
        <w:t xml:space="preserve"> Cash budget</w:t>
      </w:r>
      <w:bookmarkEnd w:id="7"/>
    </w:p>
    <w:tbl>
      <w:tblPr>
        <w:tblW w:w="0" w:type="auto"/>
        <w:tblLook w:val="04A0" w:firstRow="1" w:lastRow="0" w:firstColumn="1" w:lastColumn="0" w:noHBand="0" w:noVBand="1"/>
      </w:tblPr>
      <w:tblGrid>
        <w:gridCol w:w="1849"/>
        <w:gridCol w:w="1005"/>
        <w:gridCol w:w="1006"/>
        <w:gridCol w:w="1006"/>
        <w:gridCol w:w="1005"/>
        <w:gridCol w:w="1005"/>
        <w:gridCol w:w="1005"/>
        <w:gridCol w:w="1135"/>
      </w:tblGrid>
      <w:tr w:rsidR="004C5CEC" w:rsidRPr="00094D3C" w14:paraId="369C2189" w14:textId="77777777" w:rsidTr="004C5CEC">
        <w:trPr>
          <w:trHeight w:val="300"/>
        </w:trPr>
        <w:tc>
          <w:tcPr>
            <w:tcW w:w="0" w:type="auto"/>
            <w:gridSpan w:val="8"/>
            <w:tcBorders>
              <w:top w:val="single" w:sz="4" w:space="0" w:color="auto"/>
              <w:left w:val="single" w:sz="4" w:space="0" w:color="auto"/>
              <w:bottom w:val="single" w:sz="4" w:space="0" w:color="auto"/>
              <w:right w:val="single" w:sz="4" w:space="0" w:color="auto"/>
            </w:tcBorders>
            <w:shd w:val="clear" w:color="000000" w:fill="D6DCE4"/>
            <w:noWrap/>
            <w:vAlign w:val="bottom"/>
            <w:hideMark/>
          </w:tcPr>
          <w:p w14:paraId="05AC1B33" w14:textId="77777777" w:rsidR="004C5CEC" w:rsidRPr="00094D3C" w:rsidRDefault="004C5CEC"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Cash budget for the six months to 31 December</w:t>
            </w:r>
          </w:p>
        </w:tc>
      </w:tr>
      <w:tr w:rsidR="004C5CEC" w:rsidRPr="00094D3C" w14:paraId="7CA3A975" w14:textId="77777777" w:rsidTr="004C5CEC">
        <w:trPr>
          <w:trHeight w:val="300"/>
        </w:trPr>
        <w:tc>
          <w:tcPr>
            <w:tcW w:w="0" w:type="auto"/>
            <w:tcBorders>
              <w:top w:val="nil"/>
              <w:left w:val="single" w:sz="4" w:space="0" w:color="auto"/>
              <w:bottom w:val="single" w:sz="4" w:space="0" w:color="auto"/>
              <w:right w:val="single" w:sz="4" w:space="0" w:color="auto"/>
            </w:tcBorders>
            <w:shd w:val="clear" w:color="000000" w:fill="D6DCE4"/>
            <w:noWrap/>
            <w:vAlign w:val="bottom"/>
            <w:hideMark/>
          </w:tcPr>
          <w:p w14:paraId="1EBF4C7A"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lastRenderedPageBreak/>
              <w:t xml:space="preserve"> Particulars </w:t>
            </w:r>
          </w:p>
        </w:tc>
        <w:tc>
          <w:tcPr>
            <w:tcW w:w="0" w:type="auto"/>
            <w:tcBorders>
              <w:top w:val="nil"/>
              <w:left w:val="nil"/>
              <w:bottom w:val="single" w:sz="4" w:space="0" w:color="auto"/>
              <w:right w:val="single" w:sz="4" w:space="0" w:color="auto"/>
            </w:tcBorders>
            <w:shd w:val="clear" w:color="000000" w:fill="D6DCE4"/>
            <w:noWrap/>
            <w:vAlign w:val="bottom"/>
            <w:hideMark/>
          </w:tcPr>
          <w:p w14:paraId="2BE5B7A4"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July </w:t>
            </w:r>
          </w:p>
        </w:tc>
        <w:tc>
          <w:tcPr>
            <w:tcW w:w="0" w:type="auto"/>
            <w:tcBorders>
              <w:top w:val="nil"/>
              <w:left w:val="nil"/>
              <w:bottom w:val="single" w:sz="4" w:space="0" w:color="auto"/>
              <w:right w:val="single" w:sz="4" w:space="0" w:color="auto"/>
            </w:tcBorders>
            <w:shd w:val="clear" w:color="000000" w:fill="D6DCE4"/>
            <w:noWrap/>
            <w:vAlign w:val="bottom"/>
            <w:hideMark/>
          </w:tcPr>
          <w:p w14:paraId="26C2E7D2"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Aug </w:t>
            </w:r>
          </w:p>
        </w:tc>
        <w:tc>
          <w:tcPr>
            <w:tcW w:w="0" w:type="auto"/>
            <w:tcBorders>
              <w:top w:val="nil"/>
              <w:left w:val="nil"/>
              <w:bottom w:val="single" w:sz="4" w:space="0" w:color="auto"/>
              <w:right w:val="single" w:sz="4" w:space="0" w:color="auto"/>
            </w:tcBorders>
            <w:shd w:val="clear" w:color="000000" w:fill="D6DCE4"/>
            <w:noWrap/>
            <w:vAlign w:val="bottom"/>
            <w:hideMark/>
          </w:tcPr>
          <w:p w14:paraId="1E442394"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Sept </w:t>
            </w:r>
          </w:p>
        </w:tc>
        <w:tc>
          <w:tcPr>
            <w:tcW w:w="0" w:type="auto"/>
            <w:tcBorders>
              <w:top w:val="nil"/>
              <w:left w:val="nil"/>
              <w:bottom w:val="single" w:sz="4" w:space="0" w:color="auto"/>
              <w:right w:val="single" w:sz="4" w:space="0" w:color="auto"/>
            </w:tcBorders>
            <w:shd w:val="clear" w:color="000000" w:fill="D6DCE4"/>
            <w:noWrap/>
            <w:vAlign w:val="bottom"/>
            <w:hideMark/>
          </w:tcPr>
          <w:p w14:paraId="3715B8C3"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Oct </w:t>
            </w:r>
          </w:p>
        </w:tc>
        <w:tc>
          <w:tcPr>
            <w:tcW w:w="0" w:type="auto"/>
            <w:tcBorders>
              <w:top w:val="nil"/>
              <w:left w:val="nil"/>
              <w:bottom w:val="single" w:sz="4" w:space="0" w:color="auto"/>
              <w:right w:val="single" w:sz="4" w:space="0" w:color="auto"/>
            </w:tcBorders>
            <w:shd w:val="clear" w:color="000000" w:fill="D6DCE4"/>
            <w:noWrap/>
            <w:vAlign w:val="bottom"/>
            <w:hideMark/>
          </w:tcPr>
          <w:p w14:paraId="575DDC11"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Nov </w:t>
            </w:r>
          </w:p>
        </w:tc>
        <w:tc>
          <w:tcPr>
            <w:tcW w:w="0" w:type="auto"/>
            <w:tcBorders>
              <w:top w:val="nil"/>
              <w:left w:val="nil"/>
              <w:bottom w:val="single" w:sz="4" w:space="0" w:color="auto"/>
              <w:right w:val="single" w:sz="4" w:space="0" w:color="auto"/>
            </w:tcBorders>
            <w:shd w:val="clear" w:color="000000" w:fill="D6DCE4"/>
            <w:noWrap/>
            <w:vAlign w:val="bottom"/>
            <w:hideMark/>
          </w:tcPr>
          <w:p w14:paraId="46D0601A"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Dec </w:t>
            </w:r>
          </w:p>
        </w:tc>
        <w:tc>
          <w:tcPr>
            <w:tcW w:w="0" w:type="auto"/>
            <w:tcBorders>
              <w:top w:val="nil"/>
              <w:left w:val="nil"/>
              <w:bottom w:val="single" w:sz="4" w:space="0" w:color="auto"/>
              <w:right w:val="single" w:sz="4" w:space="0" w:color="auto"/>
            </w:tcBorders>
            <w:shd w:val="clear" w:color="000000" w:fill="D6DCE4"/>
            <w:noWrap/>
            <w:vAlign w:val="bottom"/>
            <w:hideMark/>
          </w:tcPr>
          <w:p w14:paraId="43039CD0"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Total </w:t>
            </w:r>
          </w:p>
        </w:tc>
      </w:tr>
      <w:tr w:rsidR="004C5CEC" w:rsidRPr="00094D3C" w14:paraId="7E0B7192"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2DA8DBCD" w14:textId="77777777" w:rsidR="004C5CEC" w:rsidRPr="00094D3C" w:rsidRDefault="004C5CEC" w:rsidP="00094D3C">
            <w:pPr>
              <w:jc w:val="left"/>
              <w:rPr>
                <w:rFonts w:ascii="Arial" w:eastAsia="Times New Roman" w:hAnsi="Arial" w:cs="Arial"/>
                <w:b/>
                <w:bCs/>
                <w:color w:val="000000"/>
                <w:kern w:val="0"/>
                <w:u w:val="single"/>
                <w14:ligatures w14:val="none"/>
              </w:rPr>
            </w:pPr>
            <w:r w:rsidRPr="00094D3C">
              <w:rPr>
                <w:rFonts w:ascii="Arial" w:eastAsia="Times New Roman" w:hAnsi="Arial" w:cs="Arial"/>
                <w:b/>
                <w:bCs/>
                <w:color w:val="000000"/>
                <w:kern w:val="0"/>
                <w:u w:val="single"/>
                <w14:ligatures w14:val="none"/>
              </w:rPr>
              <w:t xml:space="preserve"> Cash inflows </w:t>
            </w:r>
          </w:p>
        </w:tc>
        <w:tc>
          <w:tcPr>
            <w:tcW w:w="0" w:type="auto"/>
            <w:tcBorders>
              <w:top w:val="nil"/>
              <w:left w:val="nil"/>
              <w:bottom w:val="single" w:sz="4" w:space="0" w:color="auto"/>
              <w:right w:val="single" w:sz="4" w:space="0" w:color="auto"/>
            </w:tcBorders>
            <w:noWrap/>
            <w:vAlign w:val="bottom"/>
            <w:hideMark/>
          </w:tcPr>
          <w:p w14:paraId="42050956"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643F51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081F67A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37D92147"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1FDE7AEF"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351EEA02"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shd w:val="clear" w:color="000000" w:fill="E2EFDA"/>
            <w:noWrap/>
            <w:vAlign w:val="bottom"/>
            <w:hideMark/>
          </w:tcPr>
          <w:p w14:paraId="7E0417A1"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r>
      <w:tr w:rsidR="004C5CEC" w:rsidRPr="00094D3C" w14:paraId="6BACAAD8"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1810F86F"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Sales income  </w:t>
            </w:r>
          </w:p>
        </w:tc>
        <w:tc>
          <w:tcPr>
            <w:tcW w:w="0" w:type="auto"/>
            <w:tcBorders>
              <w:top w:val="nil"/>
              <w:left w:val="nil"/>
              <w:bottom w:val="single" w:sz="4" w:space="0" w:color="auto"/>
              <w:right w:val="single" w:sz="4" w:space="0" w:color="auto"/>
            </w:tcBorders>
            <w:noWrap/>
            <w:vAlign w:val="bottom"/>
            <w:hideMark/>
          </w:tcPr>
          <w:p w14:paraId="5E1780AE" w14:textId="04614C66"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£ 210,000.00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46B0828E" w14:textId="168D5B90"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£ 230,000.00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7C8D5846" w14:textId="03E40E98"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£ 260,000.00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55807BB3" w14:textId="175867B0"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£ 240,000.00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3D166F0C" w14:textId="36D3B756"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£ 250,000.00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20AF0437"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280,000.00 </w:t>
            </w:r>
          </w:p>
        </w:tc>
        <w:tc>
          <w:tcPr>
            <w:tcW w:w="0" w:type="auto"/>
            <w:tcBorders>
              <w:top w:val="nil"/>
              <w:left w:val="nil"/>
              <w:bottom w:val="single" w:sz="4" w:space="0" w:color="auto"/>
              <w:right w:val="single" w:sz="4" w:space="0" w:color="auto"/>
            </w:tcBorders>
            <w:shd w:val="clear" w:color="000000" w:fill="E2EFDA"/>
            <w:noWrap/>
            <w:vAlign w:val="bottom"/>
            <w:hideMark/>
          </w:tcPr>
          <w:p w14:paraId="7541782F" w14:textId="26A56822"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£ 1,470,000.00</w:t>
            </w:r>
            <w:r w:rsidRPr="00094D3C">
              <w:rPr>
                <w:rFonts w:ascii="Arial" w:eastAsia="Times New Roman" w:hAnsi="Arial" w:cs="Arial"/>
                <w:color w:val="000000"/>
                <w:kern w:val="0"/>
                <w14:ligatures w14:val="none"/>
              </w:rPr>
              <w:t xml:space="preserve"> </w:t>
            </w:r>
          </w:p>
        </w:tc>
      </w:tr>
      <w:tr w:rsidR="004C5CEC" w:rsidRPr="00094D3C" w14:paraId="7B764F05" w14:textId="77777777" w:rsidTr="004C5CEC">
        <w:trPr>
          <w:trHeight w:val="300"/>
        </w:trPr>
        <w:tc>
          <w:tcPr>
            <w:tcW w:w="0" w:type="auto"/>
            <w:tcBorders>
              <w:top w:val="nil"/>
              <w:left w:val="single" w:sz="4" w:space="0" w:color="auto"/>
              <w:bottom w:val="single" w:sz="4" w:space="0" w:color="auto"/>
              <w:right w:val="single" w:sz="4" w:space="0" w:color="auto"/>
            </w:tcBorders>
            <w:shd w:val="clear" w:color="000000" w:fill="FCE4D6"/>
            <w:noWrap/>
            <w:vAlign w:val="bottom"/>
            <w:hideMark/>
          </w:tcPr>
          <w:p w14:paraId="5A22FF67"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Total cash Inflows </w:t>
            </w:r>
          </w:p>
        </w:tc>
        <w:tc>
          <w:tcPr>
            <w:tcW w:w="0" w:type="auto"/>
            <w:tcBorders>
              <w:top w:val="nil"/>
              <w:left w:val="nil"/>
              <w:bottom w:val="single" w:sz="4" w:space="0" w:color="auto"/>
              <w:right w:val="single" w:sz="4" w:space="0" w:color="auto"/>
            </w:tcBorders>
            <w:shd w:val="clear" w:color="000000" w:fill="FCE4D6"/>
            <w:noWrap/>
            <w:vAlign w:val="bottom"/>
            <w:hideMark/>
          </w:tcPr>
          <w:p w14:paraId="0BACF1A8" w14:textId="02CBE49F"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6C4A87" w:rsidRPr="00094D3C">
              <w:rPr>
                <w:rFonts w:ascii="Arial" w:eastAsia="Times New Roman" w:hAnsi="Arial" w:cs="Arial"/>
                <w:b/>
                <w:bCs/>
                <w:color w:val="000000"/>
                <w:kern w:val="0"/>
                <w14:ligatures w14:val="none"/>
              </w:rPr>
              <w:t>£ 210,000.00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04BF6857" w14:textId="38AF6642"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6C4A87" w:rsidRPr="00094D3C">
              <w:rPr>
                <w:rFonts w:ascii="Arial" w:eastAsia="Times New Roman" w:hAnsi="Arial" w:cs="Arial"/>
                <w:b/>
                <w:bCs/>
                <w:color w:val="000000"/>
                <w:kern w:val="0"/>
                <w14:ligatures w14:val="none"/>
              </w:rPr>
              <w:t>£ 230,000.00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3E128ED3" w14:textId="25F854D3"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6C4A87" w:rsidRPr="00094D3C">
              <w:rPr>
                <w:rFonts w:ascii="Arial" w:eastAsia="Times New Roman" w:hAnsi="Arial" w:cs="Arial"/>
                <w:b/>
                <w:bCs/>
                <w:color w:val="000000"/>
                <w:kern w:val="0"/>
                <w14:ligatures w14:val="none"/>
              </w:rPr>
              <w:t>£ 260,000.00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68FDF77C" w14:textId="6094BED0"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6C4A87" w:rsidRPr="00094D3C">
              <w:rPr>
                <w:rFonts w:ascii="Arial" w:eastAsia="Times New Roman" w:hAnsi="Arial" w:cs="Arial"/>
                <w:b/>
                <w:bCs/>
                <w:color w:val="000000"/>
                <w:kern w:val="0"/>
                <w14:ligatures w14:val="none"/>
              </w:rPr>
              <w:t>£ 240,000.00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720C5125" w14:textId="6D7F16B4"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6C4A87" w:rsidRPr="00094D3C">
              <w:rPr>
                <w:rFonts w:ascii="Arial" w:eastAsia="Times New Roman" w:hAnsi="Arial" w:cs="Arial"/>
                <w:b/>
                <w:bCs/>
                <w:color w:val="000000"/>
                <w:kern w:val="0"/>
                <w14:ligatures w14:val="none"/>
              </w:rPr>
              <w:t>£ 250,000.00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5D91F75E" w14:textId="1B6C2D93"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6C4A87" w:rsidRPr="00094D3C">
              <w:rPr>
                <w:rFonts w:ascii="Arial" w:eastAsia="Times New Roman" w:hAnsi="Arial" w:cs="Arial"/>
                <w:b/>
                <w:bCs/>
                <w:color w:val="000000"/>
                <w:kern w:val="0"/>
                <w14:ligatures w14:val="none"/>
              </w:rPr>
              <w:t>£ 280,000.00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E2EFDA"/>
            <w:noWrap/>
            <w:vAlign w:val="bottom"/>
            <w:hideMark/>
          </w:tcPr>
          <w:p w14:paraId="43CBC5F6" w14:textId="19173351"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6C4A87" w:rsidRPr="00094D3C">
              <w:rPr>
                <w:rFonts w:ascii="Arial" w:eastAsia="Times New Roman" w:hAnsi="Arial" w:cs="Arial"/>
                <w:b/>
                <w:bCs/>
                <w:color w:val="000000"/>
                <w:kern w:val="0"/>
                <w14:ligatures w14:val="none"/>
              </w:rPr>
              <w:t>£ 1,470,000.00</w:t>
            </w:r>
            <w:r w:rsidRPr="00094D3C">
              <w:rPr>
                <w:rFonts w:ascii="Arial" w:eastAsia="Times New Roman" w:hAnsi="Arial" w:cs="Arial"/>
                <w:b/>
                <w:bCs/>
                <w:color w:val="000000"/>
                <w:kern w:val="0"/>
                <w14:ligatures w14:val="none"/>
              </w:rPr>
              <w:t xml:space="preserve"> </w:t>
            </w:r>
          </w:p>
        </w:tc>
      </w:tr>
      <w:tr w:rsidR="004C5CEC" w:rsidRPr="00094D3C" w14:paraId="4AF76ABD"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04C27F29"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3495039D"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3B86EF5"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65858D6F"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4F8FD2C2"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B954AD8"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09652FAA"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shd w:val="clear" w:color="000000" w:fill="E2EFDA"/>
            <w:noWrap/>
            <w:vAlign w:val="bottom"/>
            <w:hideMark/>
          </w:tcPr>
          <w:p w14:paraId="09E25584"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r>
      <w:tr w:rsidR="004C5CEC" w:rsidRPr="00094D3C" w14:paraId="32023510"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10C6C0EF" w14:textId="77777777" w:rsidR="004C5CEC" w:rsidRPr="00094D3C" w:rsidRDefault="004C5CEC" w:rsidP="00094D3C">
            <w:pPr>
              <w:jc w:val="left"/>
              <w:rPr>
                <w:rFonts w:ascii="Arial" w:eastAsia="Times New Roman" w:hAnsi="Arial" w:cs="Arial"/>
                <w:b/>
                <w:bCs/>
                <w:color w:val="000000"/>
                <w:kern w:val="0"/>
                <w:u w:val="single"/>
                <w14:ligatures w14:val="none"/>
              </w:rPr>
            </w:pPr>
            <w:r w:rsidRPr="00094D3C">
              <w:rPr>
                <w:rFonts w:ascii="Arial" w:eastAsia="Times New Roman" w:hAnsi="Arial" w:cs="Arial"/>
                <w:b/>
                <w:bCs/>
                <w:color w:val="000000"/>
                <w:kern w:val="0"/>
                <w:u w:val="single"/>
                <w14:ligatures w14:val="none"/>
              </w:rPr>
              <w:t xml:space="preserve"> Cash outflows </w:t>
            </w:r>
          </w:p>
        </w:tc>
        <w:tc>
          <w:tcPr>
            <w:tcW w:w="0" w:type="auto"/>
            <w:tcBorders>
              <w:top w:val="nil"/>
              <w:left w:val="nil"/>
              <w:bottom w:val="single" w:sz="4" w:space="0" w:color="auto"/>
              <w:right w:val="single" w:sz="4" w:space="0" w:color="auto"/>
            </w:tcBorders>
            <w:noWrap/>
            <w:vAlign w:val="bottom"/>
            <w:hideMark/>
          </w:tcPr>
          <w:p w14:paraId="33E4565C"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9D1D07A"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6137B5FB"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314D39F9"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7AB5CC7C"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2B72B8B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shd w:val="clear" w:color="000000" w:fill="E2EFDA"/>
            <w:noWrap/>
            <w:vAlign w:val="bottom"/>
            <w:hideMark/>
          </w:tcPr>
          <w:p w14:paraId="6B262910"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r>
      <w:tr w:rsidR="004C5CEC" w:rsidRPr="00094D3C" w14:paraId="7C1C19ED"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19BA702C"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Payment to suppliers (W.N 1) </w:t>
            </w:r>
          </w:p>
        </w:tc>
        <w:tc>
          <w:tcPr>
            <w:tcW w:w="0" w:type="auto"/>
            <w:tcBorders>
              <w:top w:val="nil"/>
              <w:left w:val="nil"/>
              <w:bottom w:val="single" w:sz="4" w:space="0" w:color="auto"/>
              <w:right w:val="single" w:sz="4" w:space="0" w:color="auto"/>
            </w:tcBorders>
            <w:noWrap/>
            <w:vAlign w:val="bottom"/>
            <w:hideMark/>
          </w:tcPr>
          <w:p w14:paraId="206DF4CB" w14:textId="6B2EB1DB"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£ 150,000.00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3554DB0D" w14:textId="753C86D4"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£ 180,000.00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13644A42" w14:textId="5304945E"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£ 170,000.00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098172DD" w14:textId="723A4115"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£ 200,000.00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46203431" w14:textId="07396C02"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£ 210,000.00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5C7F2692" w14:textId="013ACD18"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£ 190,000.00</w:t>
            </w:r>
            <w:r w:rsidRPr="00094D3C">
              <w:rPr>
                <w:rFonts w:ascii="Arial" w:eastAsia="Times New Roman" w:hAnsi="Arial" w:cs="Arial"/>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E2EFDA"/>
            <w:noWrap/>
            <w:vAlign w:val="bottom"/>
            <w:hideMark/>
          </w:tcPr>
          <w:p w14:paraId="14F7A906" w14:textId="2D591186"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w:t>
            </w:r>
            <w:r w:rsidR="006C4A87" w:rsidRPr="00094D3C">
              <w:rPr>
                <w:rFonts w:ascii="Arial" w:eastAsia="Times New Roman" w:hAnsi="Arial" w:cs="Arial"/>
                <w:color w:val="000000"/>
                <w:kern w:val="0"/>
                <w14:ligatures w14:val="none"/>
              </w:rPr>
              <w:t>£ 1,100,000.00</w:t>
            </w:r>
            <w:r w:rsidRPr="00094D3C">
              <w:rPr>
                <w:rFonts w:ascii="Arial" w:eastAsia="Times New Roman" w:hAnsi="Arial" w:cs="Arial"/>
                <w:color w:val="000000"/>
                <w:kern w:val="0"/>
                <w14:ligatures w14:val="none"/>
              </w:rPr>
              <w:t xml:space="preserve"> </w:t>
            </w:r>
          </w:p>
        </w:tc>
      </w:tr>
      <w:tr w:rsidR="004C5CEC" w:rsidRPr="00094D3C" w14:paraId="50DB839A" w14:textId="77777777" w:rsidTr="004C5CEC">
        <w:trPr>
          <w:trHeight w:val="600"/>
        </w:trPr>
        <w:tc>
          <w:tcPr>
            <w:tcW w:w="0" w:type="auto"/>
            <w:tcBorders>
              <w:top w:val="nil"/>
              <w:left w:val="single" w:sz="4" w:space="0" w:color="auto"/>
              <w:bottom w:val="single" w:sz="4" w:space="0" w:color="auto"/>
              <w:right w:val="single" w:sz="4" w:space="0" w:color="auto"/>
            </w:tcBorders>
            <w:vAlign w:val="bottom"/>
            <w:hideMark/>
          </w:tcPr>
          <w:p w14:paraId="5D1B95A1" w14:textId="4F8F2D30"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Interest Charges on credit card </w:t>
            </w:r>
            <w:r w:rsidR="006C4A87" w:rsidRPr="00094D3C">
              <w:rPr>
                <w:rFonts w:ascii="Arial" w:eastAsia="Times New Roman" w:hAnsi="Arial" w:cs="Arial"/>
                <w:color w:val="000000"/>
                <w:kern w:val="0"/>
                <w14:ligatures w14:val="none"/>
              </w:rPr>
              <w:t>sales (</w:t>
            </w:r>
            <w:r w:rsidRPr="00094D3C">
              <w:rPr>
                <w:rFonts w:ascii="Arial" w:eastAsia="Times New Roman" w:hAnsi="Arial" w:cs="Arial"/>
                <w:color w:val="000000"/>
                <w:kern w:val="0"/>
                <w14:ligatures w14:val="none"/>
              </w:rPr>
              <w:t xml:space="preserve">W.N. 2) </w:t>
            </w:r>
          </w:p>
        </w:tc>
        <w:tc>
          <w:tcPr>
            <w:tcW w:w="0" w:type="auto"/>
            <w:tcBorders>
              <w:top w:val="nil"/>
              <w:left w:val="nil"/>
              <w:bottom w:val="single" w:sz="4" w:space="0" w:color="auto"/>
              <w:right w:val="single" w:sz="4" w:space="0" w:color="auto"/>
            </w:tcBorders>
            <w:noWrap/>
            <w:vAlign w:val="bottom"/>
            <w:hideMark/>
          </w:tcPr>
          <w:p w14:paraId="06481723"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1,837.50 </w:t>
            </w:r>
          </w:p>
        </w:tc>
        <w:tc>
          <w:tcPr>
            <w:tcW w:w="0" w:type="auto"/>
            <w:tcBorders>
              <w:top w:val="nil"/>
              <w:left w:val="nil"/>
              <w:bottom w:val="single" w:sz="4" w:space="0" w:color="auto"/>
              <w:right w:val="single" w:sz="4" w:space="0" w:color="auto"/>
            </w:tcBorders>
            <w:noWrap/>
            <w:vAlign w:val="bottom"/>
            <w:hideMark/>
          </w:tcPr>
          <w:p w14:paraId="16AC3E6F"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2,012.50 </w:t>
            </w:r>
          </w:p>
        </w:tc>
        <w:tc>
          <w:tcPr>
            <w:tcW w:w="0" w:type="auto"/>
            <w:tcBorders>
              <w:top w:val="nil"/>
              <w:left w:val="nil"/>
              <w:bottom w:val="single" w:sz="4" w:space="0" w:color="auto"/>
              <w:right w:val="single" w:sz="4" w:space="0" w:color="auto"/>
            </w:tcBorders>
            <w:noWrap/>
            <w:vAlign w:val="bottom"/>
            <w:hideMark/>
          </w:tcPr>
          <w:p w14:paraId="68E3DBF3"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2,275.00 </w:t>
            </w:r>
          </w:p>
        </w:tc>
        <w:tc>
          <w:tcPr>
            <w:tcW w:w="0" w:type="auto"/>
            <w:tcBorders>
              <w:top w:val="nil"/>
              <w:left w:val="nil"/>
              <w:bottom w:val="single" w:sz="4" w:space="0" w:color="auto"/>
              <w:right w:val="single" w:sz="4" w:space="0" w:color="auto"/>
            </w:tcBorders>
            <w:noWrap/>
            <w:vAlign w:val="bottom"/>
            <w:hideMark/>
          </w:tcPr>
          <w:p w14:paraId="0879D8E4"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2,100.00 </w:t>
            </w:r>
          </w:p>
        </w:tc>
        <w:tc>
          <w:tcPr>
            <w:tcW w:w="0" w:type="auto"/>
            <w:tcBorders>
              <w:top w:val="nil"/>
              <w:left w:val="nil"/>
              <w:bottom w:val="single" w:sz="4" w:space="0" w:color="auto"/>
              <w:right w:val="single" w:sz="4" w:space="0" w:color="auto"/>
            </w:tcBorders>
            <w:noWrap/>
            <w:vAlign w:val="bottom"/>
            <w:hideMark/>
          </w:tcPr>
          <w:p w14:paraId="45824D9D"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2,187.50 </w:t>
            </w:r>
          </w:p>
        </w:tc>
        <w:tc>
          <w:tcPr>
            <w:tcW w:w="0" w:type="auto"/>
            <w:tcBorders>
              <w:top w:val="nil"/>
              <w:left w:val="nil"/>
              <w:bottom w:val="single" w:sz="4" w:space="0" w:color="auto"/>
              <w:right w:val="single" w:sz="4" w:space="0" w:color="auto"/>
            </w:tcBorders>
            <w:noWrap/>
            <w:vAlign w:val="bottom"/>
            <w:hideMark/>
          </w:tcPr>
          <w:p w14:paraId="32E84F03"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2,450.00 </w:t>
            </w:r>
          </w:p>
        </w:tc>
        <w:tc>
          <w:tcPr>
            <w:tcW w:w="0" w:type="auto"/>
            <w:tcBorders>
              <w:top w:val="nil"/>
              <w:left w:val="nil"/>
              <w:bottom w:val="single" w:sz="4" w:space="0" w:color="auto"/>
              <w:right w:val="single" w:sz="4" w:space="0" w:color="auto"/>
            </w:tcBorders>
            <w:shd w:val="clear" w:color="000000" w:fill="E2EFDA"/>
            <w:noWrap/>
            <w:vAlign w:val="bottom"/>
            <w:hideMark/>
          </w:tcPr>
          <w:p w14:paraId="152BEACD"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12,862.50 </w:t>
            </w:r>
          </w:p>
        </w:tc>
      </w:tr>
      <w:tr w:rsidR="004C5CEC" w:rsidRPr="00094D3C" w14:paraId="385E21B9" w14:textId="77777777" w:rsidTr="004C5CEC">
        <w:trPr>
          <w:trHeight w:val="600"/>
        </w:trPr>
        <w:tc>
          <w:tcPr>
            <w:tcW w:w="0" w:type="auto"/>
            <w:tcBorders>
              <w:top w:val="nil"/>
              <w:left w:val="single" w:sz="4" w:space="0" w:color="auto"/>
              <w:bottom w:val="single" w:sz="4" w:space="0" w:color="auto"/>
              <w:right w:val="single" w:sz="4" w:space="0" w:color="auto"/>
            </w:tcBorders>
            <w:vAlign w:val="bottom"/>
            <w:hideMark/>
          </w:tcPr>
          <w:p w14:paraId="10548F94" w14:textId="65E8DA73"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Loan monthly </w:t>
            </w:r>
            <w:r w:rsidR="00094D3C" w:rsidRPr="00094D3C">
              <w:rPr>
                <w:rFonts w:ascii="Arial" w:eastAsia="Times New Roman" w:hAnsi="Arial" w:cs="Arial"/>
                <w:color w:val="000000"/>
                <w:kern w:val="0"/>
                <w14:ligatures w14:val="none"/>
              </w:rPr>
              <w:t>instalment</w:t>
            </w:r>
            <w:r w:rsidRPr="00094D3C">
              <w:rPr>
                <w:rFonts w:ascii="Arial" w:eastAsia="Times New Roman" w:hAnsi="Arial" w:cs="Arial"/>
                <w:color w:val="000000"/>
                <w:kern w:val="0"/>
                <w14:ligatures w14:val="none"/>
              </w:rPr>
              <w:t xml:space="preserve"> (including interest) </w:t>
            </w:r>
          </w:p>
        </w:tc>
        <w:tc>
          <w:tcPr>
            <w:tcW w:w="0" w:type="auto"/>
            <w:tcBorders>
              <w:top w:val="nil"/>
              <w:left w:val="nil"/>
              <w:bottom w:val="single" w:sz="4" w:space="0" w:color="auto"/>
              <w:right w:val="single" w:sz="4" w:space="0" w:color="auto"/>
            </w:tcBorders>
            <w:noWrap/>
            <w:vAlign w:val="bottom"/>
            <w:hideMark/>
          </w:tcPr>
          <w:p w14:paraId="1714D212"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5,000.00 </w:t>
            </w:r>
          </w:p>
        </w:tc>
        <w:tc>
          <w:tcPr>
            <w:tcW w:w="0" w:type="auto"/>
            <w:tcBorders>
              <w:top w:val="nil"/>
              <w:left w:val="nil"/>
              <w:bottom w:val="single" w:sz="4" w:space="0" w:color="auto"/>
              <w:right w:val="single" w:sz="4" w:space="0" w:color="auto"/>
            </w:tcBorders>
            <w:noWrap/>
            <w:vAlign w:val="bottom"/>
            <w:hideMark/>
          </w:tcPr>
          <w:p w14:paraId="14CBC3F3"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5,000.00 </w:t>
            </w:r>
          </w:p>
        </w:tc>
        <w:tc>
          <w:tcPr>
            <w:tcW w:w="0" w:type="auto"/>
            <w:tcBorders>
              <w:top w:val="nil"/>
              <w:left w:val="nil"/>
              <w:bottom w:val="single" w:sz="4" w:space="0" w:color="auto"/>
              <w:right w:val="single" w:sz="4" w:space="0" w:color="auto"/>
            </w:tcBorders>
            <w:noWrap/>
            <w:vAlign w:val="bottom"/>
            <w:hideMark/>
          </w:tcPr>
          <w:p w14:paraId="6828F8B9"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5,000.00 </w:t>
            </w:r>
          </w:p>
        </w:tc>
        <w:tc>
          <w:tcPr>
            <w:tcW w:w="0" w:type="auto"/>
            <w:tcBorders>
              <w:top w:val="nil"/>
              <w:left w:val="nil"/>
              <w:bottom w:val="single" w:sz="4" w:space="0" w:color="auto"/>
              <w:right w:val="single" w:sz="4" w:space="0" w:color="auto"/>
            </w:tcBorders>
            <w:noWrap/>
            <w:vAlign w:val="bottom"/>
            <w:hideMark/>
          </w:tcPr>
          <w:p w14:paraId="06DABAEF"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5,000.00 </w:t>
            </w:r>
          </w:p>
        </w:tc>
        <w:tc>
          <w:tcPr>
            <w:tcW w:w="0" w:type="auto"/>
            <w:tcBorders>
              <w:top w:val="nil"/>
              <w:left w:val="nil"/>
              <w:bottom w:val="single" w:sz="4" w:space="0" w:color="auto"/>
              <w:right w:val="single" w:sz="4" w:space="0" w:color="auto"/>
            </w:tcBorders>
            <w:noWrap/>
            <w:vAlign w:val="bottom"/>
            <w:hideMark/>
          </w:tcPr>
          <w:p w14:paraId="1042219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5,000.00 </w:t>
            </w:r>
          </w:p>
        </w:tc>
        <w:tc>
          <w:tcPr>
            <w:tcW w:w="0" w:type="auto"/>
            <w:tcBorders>
              <w:top w:val="nil"/>
              <w:left w:val="nil"/>
              <w:bottom w:val="single" w:sz="4" w:space="0" w:color="auto"/>
              <w:right w:val="single" w:sz="4" w:space="0" w:color="auto"/>
            </w:tcBorders>
            <w:noWrap/>
            <w:vAlign w:val="bottom"/>
            <w:hideMark/>
          </w:tcPr>
          <w:p w14:paraId="5410661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5,000.00 </w:t>
            </w:r>
          </w:p>
        </w:tc>
        <w:tc>
          <w:tcPr>
            <w:tcW w:w="0" w:type="auto"/>
            <w:tcBorders>
              <w:top w:val="nil"/>
              <w:left w:val="nil"/>
              <w:bottom w:val="single" w:sz="4" w:space="0" w:color="auto"/>
              <w:right w:val="single" w:sz="4" w:space="0" w:color="auto"/>
            </w:tcBorders>
            <w:shd w:val="clear" w:color="000000" w:fill="E2EFDA"/>
            <w:noWrap/>
            <w:vAlign w:val="bottom"/>
            <w:hideMark/>
          </w:tcPr>
          <w:p w14:paraId="142A5DD3"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30,000.00 </w:t>
            </w:r>
          </w:p>
        </w:tc>
      </w:tr>
      <w:tr w:rsidR="004C5CEC" w:rsidRPr="00094D3C" w14:paraId="4A874CFE" w14:textId="77777777" w:rsidTr="004C5CEC">
        <w:trPr>
          <w:trHeight w:val="600"/>
        </w:trPr>
        <w:tc>
          <w:tcPr>
            <w:tcW w:w="0" w:type="auto"/>
            <w:tcBorders>
              <w:top w:val="nil"/>
              <w:left w:val="single" w:sz="4" w:space="0" w:color="auto"/>
              <w:bottom w:val="single" w:sz="4" w:space="0" w:color="auto"/>
              <w:right w:val="single" w:sz="4" w:space="0" w:color="auto"/>
            </w:tcBorders>
            <w:vAlign w:val="bottom"/>
            <w:hideMark/>
          </w:tcPr>
          <w:p w14:paraId="0E408748"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Admin expenses after dep (W.N 3) </w:t>
            </w:r>
          </w:p>
        </w:tc>
        <w:tc>
          <w:tcPr>
            <w:tcW w:w="0" w:type="auto"/>
            <w:tcBorders>
              <w:top w:val="nil"/>
              <w:left w:val="nil"/>
              <w:bottom w:val="single" w:sz="4" w:space="0" w:color="auto"/>
              <w:right w:val="single" w:sz="4" w:space="0" w:color="auto"/>
            </w:tcBorders>
            <w:noWrap/>
            <w:vAlign w:val="bottom"/>
            <w:hideMark/>
          </w:tcPr>
          <w:p w14:paraId="5C929D29"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17,000.00 </w:t>
            </w:r>
          </w:p>
        </w:tc>
        <w:tc>
          <w:tcPr>
            <w:tcW w:w="0" w:type="auto"/>
            <w:tcBorders>
              <w:top w:val="nil"/>
              <w:left w:val="nil"/>
              <w:bottom w:val="single" w:sz="4" w:space="0" w:color="auto"/>
              <w:right w:val="single" w:sz="4" w:space="0" w:color="auto"/>
            </w:tcBorders>
            <w:noWrap/>
            <w:vAlign w:val="bottom"/>
            <w:hideMark/>
          </w:tcPr>
          <w:p w14:paraId="7FA41D16"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18,000.00 </w:t>
            </w:r>
          </w:p>
        </w:tc>
        <w:tc>
          <w:tcPr>
            <w:tcW w:w="0" w:type="auto"/>
            <w:tcBorders>
              <w:top w:val="nil"/>
              <w:left w:val="nil"/>
              <w:bottom w:val="single" w:sz="4" w:space="0" w:color="auto"/>
              <w:right w:val="single" w:sz="4" w:space="0" w:color="auto"/>
            </w:tcBorders>
            <w:noWrap/>
            <w:vAlign w:val="bottom"/>
            <w:hideMark/>
          </w:tcPr>
          <w:p w14:paraId="55FCC41C"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19,000.00 </w:t>
            </w:r>
          </w:p>
        </w:tc>
        <w:tc>
          <w:tcPr>
            <w:tcW w:w="0" w:type="auto"/>
            <w:tcBorders>
              <w:top w:val="nil"/>
              <w:left w:val="nil"/>
              <w:bottom w:val="single" w:sz="4" w:space="0" w:color="auto"/>
              <w:right w:val="single" w:sz="4" w:space="0" w:color="auto"/>
            </w:tcBorders>
            <w:noWrap/>
            <w:vAlign w:val="bottom"/>
            <w:hideMark/>
          </w:tcPr>
          <w:p w14:paraId="5CFC4E65"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20,000.00 </w:t>
            </w:r>
          </w:p>
        </w:tc>
        <w:tc>
          <w:tcPr>
            <w:tcW w:w="0" w:type="auto"/>
            <w:tcBorders>
              <w:top w:val="nil"/>
              <w:left w:val="nil"/>
              <w:bottom w:val="single" w:sz="4" w:space="0" w:color="auto"/>
              <w:right w:val="single" w:sz="4" w:space="0" w:color="auto"/>
            </w:tcBorders>
            <w:noWrap/>
            <w:vAlign w:val="bottom"/>
            <w:hideMark/>
          </w:tcPr>
          <w:p w14:paraId="56586BE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21,000.00 </w:t>
            </w:r>
          </w:p>
        </w:tc>
        <w:tc>
          <w:tcPr>
            <w:tcW w:w="0" w:type="auto"/>
            <w:tcBorders>
              <w:top w:val="nil"/>
              <w:left w:val="nil"/>
              <w:bottom w:val="single" w:sz="4" w:space="0" w:color="auto"/>
              <w:right w:val="single" w:sz="4" w:space="0" w:color="auto"/>
            </w:tcBorders>
            <w:noWrap/>
            <w:vAlign w:val="bottom"/>
            <w:hideMark/>
          </w:tcPr>
          <w:p w14:paraId="1931713D"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22,000.00 </w:t>
            </w:r>
          </w:p>
        </w:tc>
        <w:tc>
          <w:tcPr>
            <w:tcW w:w="0" w:type="auto"/>
            <w:tcBorders>
              <w:top w:val="nil"/>
              <w:left w:val="nil"/>
              <w:bottom w:val="single" w:sz="4" w:space="0" w:color="auto"/>
              <w:right w:val="single" w:sz="4" w:space="0" w:color="auto"/>
            </w:tcBorders>
            <w:shd w:val="clear" w:color="000000" w:fill="E2EFDA"/>
            <w:noWrap/>
            <w:vAlign w:val="bottom"/>
            <w:hideMark/>
          </w:tcPr>
          <w:p w14:paraId="18D1FA98"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117,000.00 </w:t>
            </w:r>
          </w:p>
        </w:tc>
      </w:tr>
      <w:tr w:rsidR="004C5CEC" w:rsidRPr="00094D3C" w14:paraId="6A4DA97D"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43A199D2"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Selling expenses (W.N 4) </w:t>
            </w:r>
          </w:p>
        </w:tc>
        <w:tc>
          <w:tcPr>
            <w:tcW w:w="0" w:type="auto"/>
            <w:tcBorders>
              <w:top w:val="nil"/>
              <w:left w:val="nil"/>
              <w:bottom w:val="single" w:sz="4" w:space="0" w:color="auto"/>
              <w:right w:val="single" w:sz="4" w:space="0" w:color="auto"/>
            </w:tcBorders>
            <w:noWrap/>
            <w:vAlign w:val="bottom"/>
            <w:hideMark/>
          </w:tcPr>
          <w:p w14:paraId="2996D632"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5,000.00 </w:t>
            </w:r>
          </w:p>
        </w:tc>
        <w:tc>
          <w:tcPr>
            <w:tcW w:w="0" w:type="auto"/>
            <w:tcBorders>
              <w:top w:val="nil"/>
              <w:left w:val="nil"/>
              <w:bottom w:val="single" w:sz="4" w:space="0" w:color="auto"/>
              <w:right w:val="single" w:sz="4" w:space="0" w:color="auto"/>
            </w:tcBorders>
            <w:noWrap/>
            <w:vAlign w:val="bottom"/>
            <w:hideMark/>
          </w:tcPr>
          <w:p w14:paraId="1AA40BE4"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6,000.00 </w:t>
            </w:r>
          </w:p>
        </w:tc>
        <w:tc>
          <w:tcPr>
            <w:tcW w:w="0" w:type="auto"/>
            <w:tcBorders>
              <w:top w:val="nil"/>
              <w:left w:val="nil"/>
              <w:bottom w:val="single" w:sz="4" w:space="0" w:color="auto"/>
              <w:right w:val="single" w:sz="4" w:space="0" w:color="auto"/>
            </w:tcBorders>
            <w:noWrap/>
            <w:vAlign w:val="bottom"/>
            <w:hideMark/>
          </w:tcPr>
          <w:p w14:paraId="2268E77F"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2D85B96C"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8,000.00 </w:t>
            </w:r>
          </w:p>
        </w:tc>
        <w:tc>
          <w:tcPr>
            <w:tcW w:w="0" w:type="auto"/>
            <w:tcBorders>
              <w:top w:val="nil"/>
              <w:left w:val="nil"/>
              <w:bottom w:val="single" w:sz="4" w:space="0" w:color="auto"/>
              <w:right w:val="single" w:sz="4" w:space="0" w:color="auto"/>
            </w:tcBorders>
            <w:noWrap/>
            <w:vAlign w:val="bottom"/>
            <w:hideMark/>
          </w:tcPr>
          <w:p w14:paraId="7E27263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9,000.00 </w:t>
            </w:r>
          </w:p>
        </w:tc>
        <w:tc>
          <w:tcPr>
            <w:tcW w:w="0" w:type="auto"/>
            <w:tcBorders>
              <w:top w:val="nil"/>
              <w:left w:val="nil"/>
              <w:bottom w:val="single" w:sz="4" w:space="0" w:color="auto"/>
              <w:right w:val="single" w:sz="4" w:space="0" w:color="auto"/>
            </w:tcBorders>
            <w:noWrap/>
            <w:vAlign w:val="bottom"/>
            <w:hideMark/>
          </w:tcPr>
          <w:p w14:paraId="3EF319B3"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shd w:val="clear" w:color="000000" w:fill="E2EFDA"/>
            <w:noWrap/>
            <w:vAlign w:val="bottom"/>
            <w:hideMark/>
          </w:tcPr>
          <w:p w14:paraId="0F2DC790"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42,000.00 </w:t>
            </w:r>
          </w:p>
        </w:tc>
      </w:tr>
      <w:tr w:rsidR="004C5CEC" w:rsidRPr="00094D3C" w14:paraId="767ED53A"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406C19DF"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Taxation payment </w:t>
            </w:r>
          </w:p>
        </w:tc>
        <w:tc>
          <w:tcPr>
            <w:tcW w:w="0" w:type="auto"/>
            <w:tcBorders>
              <w:top w:val="nil"/>
              <w:left w:val="nil"/>
              <w:bottom w:val="single" w:sz="4" w:space="0" w:color="auto"/>
              <w:right w:val="single" w:sz="4" w:space="0" w:color="auto"/>
            </w:tcBorders>
            <w:noWrap/>
            <w:vAlign w:val="bottom"/>
            <w:hideMark/>
          </w:tcPr>
          <w:p w14:paraId="0E29445A"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   </w:t>
            </w:r>
          </w:p>
        </w:tc>
        <w:tc>
          <w:tcPr>
            <w:tcW w:w="0" w:type="auto"/>
            <w:tcBorders>
              <w:top w:val="nil"/>
              <w:left w:val="nil"/>
              <w:bottom w:val="single" w:sz="4" w:space="0" w:color="auto"/>
              <w:right w:val="single" w:sz="4" w:space="0" w:color="auto"/>
            </w:tcBorders>
            <w:noWrap/>
            <w:vAlign w:val="bottom"/>
            <w:hideMark/>
          </w:tcPr>
          <w:p w14:paraId="602FD6FB"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   </w:t>
            </w:r>
          </w:p>
        </w:tc>
        <w:tc>
          <w:tcPr>
            <w:tcW w:w="0" w:type="auto"/>
            <w:tcBorders>
              <w:top w:val="nil"/>
              <w:left w:val="nil"/>
              <w:bottom w:val="single" w:sz="4" w:space="0" w:color="auto"/>
              <w:right w:val="single" w:sz="4" w:space="0" w:color="auto"/>
            </w:tcBorders>
            <w:noWrap/>
            <w:vAlign w:val="bottom"/>
            <w:hideMark/>
          </w:tcPr>
          <w:p w14:paraId="2657546B"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18,000.00 </w:t>
            </w:r>
          </w:p>
        </w:tc>
        <w:tc>
          <w:tcPr>
            <w:tcW w:w="0" w:type="auto"/>
            <w:tcBorders>
              <w:top w:val="nil"/>
              <w:left w:val="nil"/>
              <w:bottom w:val="single" w:sz="4" w:space="0" w:color="auto"/>
              <w:right w:val="single" w:sz="4" w:space="0" w:color="auto"/>
            </w:tcBorders>
            <w:noWrap/>
            <w:vAlign w:val="bottom"/>
            <w:hideMark/>
          </w:tcPr>
          <w:p w14:paraId="7F4E62A9"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   </w:t>
            </w:r>
          </w:p>
        </w:tc>
        <w:tc>
          <w:tcPr>
            <w:tcW w:w="0" w:type="auto"/>
            <w:tcBorders>
              <w:top w:val="nil"/>
              <w:left w:val="nil"/>
              <w:bottom w:val="single" w:sz="4" w:space="0" w:color="auto"/>
              <w:right w:val="single" w:sz="4" w:space="0" w:color="auto"/>
            </w:tcBorders>
            <w:noWrap/>
            <w:vAlign w:val="bottom"/>
            <w:hideMark/>
          </w:tcPr>
          <w:p w14:paraId="7D2BECC5"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   </w:t>
            </w:r>
          </w:p>
        </w:tc>
        <w:tc>
          <w:tcPr>
            <w:tcW w:w="0" w:type="auto"/>
            <w:tcBorders>
              <w:top w:val="nil"/>
              <w:left w:val="nil"/>
              <w:bottom w:val="single" w:sz="4" w:space="0" w:color="auto"/>
              <w:right w:val="single" w:sz="4" w:space="0" w:color="auto"/>
            </w:tcBorders>
            <w:noWrap/>
            <w:vAlign w:val="bottom"/>
            <w:hideMark/>
          </w:tcPr>
          <w:p w14:paraId="192739A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   </w:t>
            </w:r>
          </w:p>
        </w:tc>
        <w:tc>
          <w:tcPr>
            <w:tcW w:w="0" w:type="auto"/>
            <w:tcBorders>
              <w:top w:val="nil"/>
              <w:left w:val="nil"/>
              <w:bottom w:val="single" w:sz="4" w:space="0" w:color="auto"/>
              <w:right w:val="single" w:sz="4" w:space="0" w:color="auto"/>
            </w:tcBorders>
            <w:shd w:val="clear" w:color="000000" w:fill="E2EFDA"/>
            <w:noWrap/>
            <w:vAlign w:val="bottom"/>
            <w:hideMark/>
          </w:tcPr>
          <w:p w14:paraId="10DC8249"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18,000.00 </w:t>
            </w:r>
          </w:p>
        </w:tc>
      </w:tr>
      <w:tr w:rsidR="004C5CEC" w:rsidRPr="00094D3C" w14:paraId="14116BD9"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7AC70070"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lastRenderedPageBreak/>
              <w:t xml:space="preserve"> Store refurbishment  </w:t>
            </w:r>
          </w:p>
        </w:tc>
        <w:tc>
          <w:tcPr>
            <w:tcW w:w="0" w:type="auto"/>
            <w:tcBorders>
              <w:top w:val="nil"/>
              <w:left w:val="nil"/>
              <w:bottom w:val="single" w:sz="4" w:space="0" w:color="auto"/>
              <w:right w:val="single" w:sz="4" w:space="0" w:color="auto"/>
            </w:tcBorders>
            <w:noWrap/>
            <w:vAlign w:val="bottom"/>
            <w:hideMark/>
          </w:tcPr>
          <w:p w14:paraId="3F68B7F5"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15,000.00 </w:t>
            </w:r>
          </w:p>
        </w:tc>
        <w:tc>
          <w:tcPr>
            <w:tcW w:w="0" w:type="auto"/>
            <w:tcBorders>
              <w:top w:val="nil"/>
              <w:left w:val="nil"/>
              <w:bottom w:val="single" w:sz="4" w:space="0" w:color="auto"/>
              <w:right w:val="single" w:sz="4" w:space="0" w:color="auto"/>
            </w:tcBorders>
            <w:noWrap/>
            <w:vAlign w:val="bottom"/>
            <w:hideMark/>
          </w:tcPr>
          <w:p w14:paraId="2F6601CE"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12,000.00 </w:t>
            </w:r>
          </w:p>
        </w:tc>
        <w:tc>
          <w:tcPr>
            <w:tcW w:w="0" w:type="auto"/>
            <w:tcBorders>
              <w:top w:val="nil"/>
              <w:left w:val="nil"/>
              <w:bottom w:val="single" w:sz="4" w:space="0" w:color="auto"/>
              <w:right w:val="single" w:sz="4" w:space="0" w:color="auto"/>
            </w:tcBorders>
            <w:noWrap/>
            <w:vAlign w:val="bottom"/>
            <w:hideMark/>
          </w:tcPr>
          <w:p w14:paraId="77600078"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10,000.00 </w:t>
            </w:r>
          </w:p>
        </w:tc>
        <w:tc>
          <w:tcPr>
            <w:tcW w:w="0" w:type="auto"/>
            <w:tcBorders>
              <w:top w:val="nil"/>
              <w:left w:val="nil"/>
              <w:bottom w:val="single" w:sz="4" w:space="0" w:color="auto"/>
              <w:right w:val="single" w:sz="4" w:space="0" w:color="auto"/>
            </w:tcBorders>
            <w:noWrap/>
            <w:vAlign w:val="bottom"/>
            <w:hideMark/>
          </w:tcPr>
          <w:p w14:paraId="38FEE41F"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   </w:t>
            </w:r>
          </w:p>
        </w:tc>
        <w:tc>
          <w:tcPr>
            <w:tcW w:w="0" w:type="auto"/>
            <w:tcBorders>
              <w:top w:val="nil"/>
              <w:left w:val="nil"/>
              <w:bottom w:val="single" w:sz="4" w:space="0" w:color="auto"/>
              <w:right w:val="single" w:sz="4" w:space="0" w:color="auto"/>
            </w:tcBorders>
            <w:noWrap/>
            <w:vAlign w:val="bottom"/>
            <w:hideMark/>
          </w:tcPr>
          <w:p w14:paraId="25823BBA"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   </w:t>
            </w:r>
          </w:p>
        </w:tc>
        <w:tc>
          <w:tcPr>
            <w:tcW w:w="0" w:type="auto"/>
            <w:tcBorders>
              <w:top w:val="nil"/>
              <w:left w:val="nil"/>
              <w:bottom w:val="single" w:sz="4" w:space="0" w:color="auto"/>
              <w:right w:val="single" w:sz="4" w:space="0" w:color="auto"/>
            </w:tcBorders>
            <w:noWrap/>
            <w:vAlign w:val="bottom"/>
            <w:hideMark/>
          </w:tcPr>
          <w:p w14:paraId="103A0678"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   </w:t>
            </w:r>
          </w:p>
        </w:tc>
        <w:tc>
          <w:tcPr>
            <w:tcW w:w="0" w:type="auto"/>
            <w:tcBorders>
              <w:top w:val="nil"/>
              <w:left w:val="nil"/>
              <w:bottom w:val="single" w:sz="4" w:space="0" w:color="auto"/>
              <w:right w:val="single" w:sz="4" w:space="0" w:color="auto"/>
            </w:tcBorders>
            <w:shd w:val="clear" w:color="000000" w:fill="E2EFDA"/>
            <w:noWrap/>
            <w:vAlign w:val="bottom"/>
            <w:hideMark/>
          </w:tcPr>
          <w:p w14:paraId="1D16F067"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37,000.00 </w:t>
            </w:r>
          </w:p>
        </w:tc>
      </w:tr>
      <w:tr w:rsidR="004C5CEC" w:rsidRPr="00094D3C" w14:paraId="1775411E" w14:textId="77777777" w:rsidTr="004C5CEC">
        <w:trPr>
          <w:trHeight w:val="300"/>
        </w:trPr>
        <w:tc>
          <w:tcPr>
            <w:tcW w:w="0" w:type="auto"/>
            <w:tcBorders>
              <w:top w:val="nil"/>
              <w:left w:val="single" w:sz="4" w:space="0" w:color="auto"/>
              <w:bottom w:val="single" w:sz="4" w:space="0" w:color="auto"/>
              <w:right w:val="single" w:sz="4" w:space="0" w:color="auto"/>
            </w:tcBorders>
            <w:shd w:val="clear" w:color="000000" w:fill="FCE4D6"/>
            <w:noWrap/>
            <w:vAlign w:val="bottom"/>
            <w:hideMark/>
          </w:tcPr>
          <w:p w14:paraId="7B6321CB"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Total cash outflows </w:t>
            </w:r>
          </w:p>
        </w:tc>
        <w:tc>
          <w:tcPr>
            <w:tcW w:w="0" w:type="auto"/>
            <w:tcBorders>
              <w:top w:val="nil"/>
              <w:left w:val="nil"/>
              <w:bottom w:val="single" w:sz="4" w:space="0" w:color="auto"/>
              <w:right w:val="single" w:sz="4" w:space="0" w:color="auto"/>
            </w:tcBorders>
            <w:shd w:val="clear" w:color="000000" w:fill="FCE4D6"/>
            <w:noWrap/>
            <w:vAlign w:val="bottom"/>
            <w:hideMark/>
          </w:tcPr>
          <w:p w14:paraId="25147144" w14:textId="703C7DC2"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E34ABF" w:rsidRPr="00094D3C">
              <w:rPr>
                <w:rFonts w:ascii="Arial" w:eastAsia="Times New Roman" w:hAnsi="Arial" w:cs="Arial"/>
                <w:b/>
                <w:bCs/>
                <w:color w:val="000000"/>
                <w:kern w:val="0"/>
                <w14:ligatures w14:val="none"/>
              </w:rPr>
              <w:t>£ 193,837.50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1C4A15BF" w14:textId="400874CF"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E34ABF" w:rsidRPr="00094D3C">
              <w:rPr>
                <w:rFonts w:ascii="Arial" w:eastAsia="Times New Roman" w:hAnsi="Arial" w:cs="Arial"/>
                <w:b/>
                <w:bCs/>
                <w:color w:val="000000"/>
                <w:kern w:val="0"/>
                <w14:ligatures w14:val="none"/>
              </w:rPr>
              <w:t>£ 223,012.50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61310445" w14:textId="0A3D6C64"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E34ABF" w:rsidRPr="00094D3C">
              <w:rPr>
                <w:rFonts w:ascii="Arial" w:eastAsia="Times New Roman" w:hAnsi="Arial" w:cs="Arial"/>
                <w:b/>
                <w:bCs/>
                <w:color w:val="000000"/>
                <w:kern w:val="0"/>
                <w14:ligatures w14:val="none"/>
              </w:rPr>
              <w:t>£ 231,275.00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307DBAA3" w14:textId="06EDB23A"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E34ABF" w:rsidRPr="00094D3C">
              <w:rPr>
                <w:rFonts w:ascii="Arial" w:eastAsia="Times New Roman" w:hAnsi="Arial" w:cs="Arial"/>
                <w:b/>
                <w:bCs/>
                <w:color w:val="000000"/>
                <w:kern w:val="0"/>
                <w14:ligatures w14:val="none"/>
              </w:rPr>
              <w:t>£ 235,100.00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626DC472" w14:textId="5B34123C"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E34ABF" w:rsidRPr="00094D3C">
              <w:rPr>
                <w:rFonts w:ascii="Arial" w:eastAsia="Times New Roman" w:hAnsi="Arial" w:cs="Arial"/>
                <w:b/>
                <w:bCs/>
                <w:color w:val="000000"/>
                <w:kern w:val="0"/>
                <w14:ligatures w14:val="none"/>
              </w:rPr>
              <w:t>£ 247,187.50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FCE4D6"/>
            <w:noWrap/>
            <w:vAlign w:val="bottom"/>
            <w:hideMark/>
          </w:tcPr>
          <w:p w14:paraId="28164353" w14:textId="2DC55DE2"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E34ABF" w:rsidRPr="00094D3C">
              <w:rPr>
                <w:rFonts w:ascii="Arial" w:eastAsia="Times New Roman" w:hAnsi="Arial" w:cs="Arial"/>
                <w:b/>
                <w:bCs/>
                <w:color w:val="000000"/>
                <w:kern w:val="0"/>
                <w14:ligatures w14:val="none"/>
              </w:rPr>
              <w:t>£ 226,450.00</w:t>
            </w:r>
            <w:r w:rsidRPr="00094D3C">
              <w:rPr>
                <w:rFonts w:ascii="Arial" w:eastAsia="Times New Roman" w:hAnsi="Arial" w:cs="Arial"/>
                <w:b/>
                <w:bCs/>
                <w:color w:val="000000"/>
                <w:kern w:val="0"/>
                <w14:ligatures w14:val="none"/>
              </w:rPr>
              <w:t xml:space="preserve"> </w:t>
            </w:r>
          </w:p>
        </w:tc>
        <w:tc>
          <w:tcPr>
            <w:tcW w:w="0" w:type="auto"/>
            <w:tcBorders>
              <w:top w:val="nil"/>
              <w:left w:val="nil"/>
              <w:bottom w:val="single" w:sz="4" w:space="0" w:color="auto"/>
              <w:right w:val="single" w:sz="4" w:space="0" w:color="auto"/>
            </w:tcBorders>
            <w:shd w:val="clear" w:color="000000" w:fill="E2EFDA"/>
            <w:noWrap/>
            <w:vAlign w:val="bottom"/>
            <w:hideMark/>
          </w:tcPr>
          <w:p w14:paraId="79218EEE" w14:textId="7359EA90"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w:t>
            </w:r>
            <w:r w:rsidR="00E34ABF" w:rsidRPr="00094D3C">
              <w:rPr>
                <w:rFonts w:ascii="Arial" w:eastAsia="Times New Roman" w:hAnsi="Arial" w:cs="Arial"/>
                <w:b/>
                <w:bCs/>
                <w:color w:val="000000"/>
                <w:kern w:val="0"/>
                <w14:ligatures w14:val="none"/>
              </w:rPr>
              <w:t>£ 1,356,862.50</w:t>
            </w:r>
            <w:r w:rsidRPr="00094D3C">
              <w:rPr>
                <w:rFonts w:ascii="Arial" w:eastAsia="Times New Roman" w:hAnsi="Arial" w:cs="Arial"/>
                <w:b/>
                <w:bCs/>
                <w:color w:val="000000"/>
                <w:kern w:val="0"/>
                <w14:ligatures w14:val="none"/>
              </w:rPr>
              <w:t xml:space="preserve"> </w:t>
            </w:r>
          </w:p>
        </w:tc>
      </w:tr>
      <w:tr w:rsidR="004C5CEC" w:rsidRPr="00094D3C" w14:paraId="20146BA6" w14:textId="77777777" w:rsidTr="004C5CEC">
        <w:trPr>
          <w:trHeight w:val="300"/>
        </w:trPr>
        <w:tc>
          <w:tcPr>
            <w:tcW w:w="0" w:type="auto"/>
            <w:tcBorders>
              <w:top w:val="nil"/>
              <w:left w:val="single" w:sz="4" w:space="0" w:color="auto"/>
              <w:bottom w:val="single" w:sz="4" w:space="0" w:color="auto"/>
              <w:right w:val="single" w:sz="4" w:space="0" w:color="auto"/>
            </w:tcBorders>
            <w:shd w:val="clear" w:color="000000" w:fill="FCE4D6"/>
            <w:noWrap/>
            <w:vAlign w:val="bottom"/>
            <w:hideMark/>
          </w:tcPr>
          <w:p w14:paraId="084FCABB"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Net cash flows </w:t>
            </w:r>
          </w:p>
        </w:tc>
        <w:tc>
          <w:tcPr>
            <w:tcW w:w="0" w:type="auto"/>
            <w:tcBorders>
              <w:top w:val="nil"/>
              <w:left w:val="nil"/>
              <w:bottom w:val="single" w:sz="4" w:space="0" w:color="auto"/>
              <w:right w:val="single" w:sz="4" w:space="0" w:color="auto"/>
            </w:tcBorders>
            <w:shd w:val="clear" w:color="000000" w:fill="FCE4D6"/>
            <w:noWrap/>
            <w:vAlign w:val="bottom"/>
            <w:hideMark/>
          </w:tcPr>
          <w:p w14:paraId="78212F90"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16,162.50 </w:t>
            </w:r>
          </w:p>
        </w:tc>
        <w:tc>
          <w:tcPr>
            <w:tcW w:w="0" w:type="auto"/>
            <w:tcBorders>
              <w:top w:val="nil"/>
              <w:left w:val="nil"/>
              <w:bottom w:val="single" w:sz="4" w:space="0" w:color="auto"/>
              <w:right w:val="single" w:sz="4" w:space="0" w:color="auto"/>
            </w:tcBorders>
            <w:shd w:val="clear" w:color="000000" w:fill="FCE4D6"/>
            <w:noWrap/>
            <w:vAlign w:val="bottom"/>
            <w:hideMark/>
          </w:tcPr>
          <w:p w14:paraId="2C2A9A07"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6,987.50 </w:t>
            </w:r>
          </w:p>
        </w:tc>
        <w:tc>
          <w:tcPr>
            <w:tcW w:w="0" w:type="auto"/>
            <w:tcBorders>
              <w:top w:val="nil"/>
              <w:left w:val="nil"/>
              <w:bottom w:val="single" w:sz="4" w:space="0" w:color="auto"/>
              <w:right w:val="single" w:sz="4" w:space="0" w:color="auto"/>
            </w:tcBorders>
            <w:shd w:val="clear" w:color="000000" w:fill="FCE4D6"/>
            <w:noWrap/>
            <w:vAlign w:val="bottom"/>
            <w:hideMark/>
          </w:tcPr>
          <w:p w14:paraId="7963DBFA"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28,725.00 </w:t>
            </w:r>
          </w:p>
        </w:tc>
        <w:tc>
          <w:tcPr>
            <w:tcW w:w="0" w:type="auto"/>
            <w:tcBorders>
              <w:top w:val="nil"/>
              <w:left w:val="nil"/>
              <w:bottom w:val="single" w:sz="4" w:space="0" w:color="auto"/>
              <w:right w:val="single" w:sz="4" w:space="0" w:color="auto"/>
            </w:tcBorders>
            <w:shd w:val="clear" w:color="000000" w:fill="FCE4D6"/>
            <w:noWrap/>
            <w:vAlign w:val="bottom"/>
            <w:hideMark/>
          </w:tcPr>
          <w:p w14:paraId="06FAF312"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4,900.00 </w:t>
            </w:r>
          </w:p>
        </w:tc>
        <w:tc>
          <w:tcPr>
            <w:tcW w:w="0" w:type="auto"/>
            <w:tcBorders>
              <w:top w:val="nil"/>
              <w:left w:val="nil"/>
              <w:bottom w:val="single" w:sz="4" w:space="0" w:color="auto"/>
              <w:right w:val="single" w:sz="4" w:space="0" w:color="auto"/>
            </w:tcBorders>
            <w:shd w:val="clear" w:color="000000" w:fill="FCE4D6"/>
            <w:noWrap/>
            <w:vAlign w:val="bottom"/>
            <w:hideMark/>
          </w:tcPr>
          <w:p w14:paraId="644BA6B8"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2,812.50 </w:t>
            </w:r>
          </w:p>
        </w:tc>
        <w:tc>
          <w:tcPr>
            <w:tcW w:w="0" w:type="auto"/>
            <w:tcBorders>
              <w:top w:val="nil"/>
              <w:left w:val="nil"/>
              <w:bottom w:val="single" w:sz="4" w:space="0" w:color="auto"/>
              <w:right w:val="single" w:sz="4" w:space="0" w:color="auto"/>
            </w:tcBorders>
            <w:shd w:val="clear" w:color="000000" w:fill="FCE4D6"/>
            <w:noWrap/>
            <w:vAlign w:val="bottom"/>
            <w:hideMark/>
          </w:tcPr>
          <w:p w14:paraId="4547CEFD"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53,550.00 </w:t>
            </w:r>
          </w:p>
        </w:tc>
        <w:tc>
          <w:tcPr>
            <w:tcW w:w="0" w:type="auto"/>
            <w:tcBorders>
              <w:top w:val="nil"/>
              <w:left w:val="nil"/>
              <w:bottom w:val="single" w:sz="4" w:space="0" w:color="auto"/>
              <w:right w:val="single" w:sz="4" w:space="0" w:color="auto"/>
            </w:tcBorders>
            <w:shd w:val="clear" w:color="000000" w:fill="E2EFDA"/>
            <w:noWrap/>
            <w:vAlign w:val="bottom"/>
            <w:hideMark/>
          </w:tcPr>
          <w:p w14:paraId="6EDC9A32"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113,137.50 </w:t>
            </w:r>
          </w:p>
        </w:tc>
      </w:tr>
      <w:tr w:rsidR="004C5CEC" w:rsidRPr="00094D3C" w14:paraId="21D66AB8" w14:textId="77777777" w:rsidTr="004C5CEC">
        <w:trPr>
          <w:trHeight w:val="300"/>
        </w:trPr>
        <w:tc>
          <w:tcPr>
            <w:tcW w:w="0" w:type="auto"/>
            <w:tcBorders>
              <w:top w:val="nil"/>
              <w:left w:val="single" w:sz="4" w:space="0" w:color="auto"/>
              <w:bottom w:val="single" w:sz="4" w:space="0" w:color="auto"/>
              <w:right w:val="single" w:sz="4" w:space="0" w:color="auto"/>
            </w:tcBorders>
            <w:noWrap/>
            <w:vAlign w:val="bottom"/>
            <w:hideMark/>
          </w:tcPr>
          <w:p w14:paraId="4A727FF8"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Opening balance </w:t>
            </w:r>
          </w:p>
        </w:tc>
        <w:tc>
          <w:tcPr>
            <w:tcW w:w="0" w:type="auto"/>
            <w:tcBorders>
              <w:top w:val="nil"/>
              <w:left w:val="nil"/>
              <w:bottom w:val="single" w:sz="4" w:space="0" w:color="auto"/>
              <w:right w:val="single" w:sz="4" w:space="0" w:color="auto"/>
            </w:tcBorders>
            <w:noWrap/>
            <w:vAlign w:val="bottom"/>
            <w:hideMark/>
          </w:tcPr>
          <w:p w14:paraId="25A41D92"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30,000.00 </w:t>
            </w:r>
          </w:p>
        </w:tc>
        <w:tc>
          <w:tcPr>
            <w:tcW w:w="0" w:type="auto"/>
            <w:tcBorders>
              <w:top w:val="nil"/>
              <w:left w:val="nil"/>
              <w:bottom w:val="single" w:sz="4" w:space="0" w:color="auto"/>
              <w:right w:val="single" w:sz="4" w:space="0" w:color="auto"/>
            </w:tcBorders>
            <w:noWrap/>
            <w:vAlign w:val="bottom"/>
            <w:hideMark/>
          </w:tcPr>
          <w:p w14:paraId="240F20AA"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13,837.50 </w:t>
            </w:r>
          </w:p>
        </w:tc>
        <w:tc>
          <w:tcPr>
            <w:tcW w:w="0" w:type="auto"/>
            <w:tcBorders>
              <w:top w:val="nil"/>
              <w:left w:val="nil"/>
              <w:bottom w:val="single" w:sz="4" w:space="0" w:color="auto"/>
              <w:right w:val="single" w:sz="4" w:space="0" w:color="auto"/>
            </w:tcBorders>
            <w:noWrap/>
            <w:vAlign w:val="bottom"/>
            <w:hideMark/>
          </w:tcPr>
          <w:p w14:paraId="7364DD31"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6,850.00 </w:t>
            </w:r>
          </w:p>
        </w:tc>
        <w:tc>
          <w:tcPr>
            <w:tcW w:w="0" w:type="auto"/>
            <w:tcBorders>
              <w:top w:val="nil"/>
              <w:left w:val="nil"/>
              <w:bottom w:val="single" w:sz="4" w:space="0" w:color="auto"/>
              <w:right w:val="single" w:sz="4" w:space="0" w:color="auto"/>
            </w:tcBorders>
            <w:noWrap/>
            <w:vAlign w:val="bottom"/>
            <w:hideMark/>
          </w:tcPr>
          <w:p w14:paraId="7F868CEB"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21,875.00 </w:t>
            </w:r>
          </w:p>
        </w:tc>
        <w:tc>
          <w:tcPr>
            <w:tcW w:w="0" w:type="auto"/>
            <w:tcBorders>
              <w:top w:val="nil"/>
              <w:left w:val="nil"/>
              <w:bottom w:val="single" w:sz="4" w:space="0" w:color="auto"/>
              <w:right w:val="single" w:sz="4" w:space="0" w:color="auto"/>
            </w:tcBorders>
            <w:noWrap/>
            <w:vAlign w:val="bottom"/>
            <w:hideMark/>
          </w:tcPr>
          <w:p w14:paraId="67D917C4"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26,775.00 </w:t>
            </w:r>
          </w:p>
        </w:tc>
        <w:tc>
          <w:tcPr>
            <w:tcW w:w="0" w:type="auto"/>
            <w:tcBorders>
              <w:top w:val="nil"/>
              <w:left w:val="nil"/>
              <w:bottom w:val="single" w:sz="4" w:space="0" w:color="auto"/>
              <w:right w:val="single" w:sz="4" w:space="0" w:color="auto"/>
            </w:tcBorders>
            <w:noWrap/>
            <w:vAlign w:val="bottom"/>
            <w:hideMark/>
          </w:tcPr>
          <w:p w14:paraId="0E71B8E9"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29,587.50 </w:t>
            </w:r>
          </w:p>
        </w:tc>
        <w:tc>
          <w:tcPr>
            <w:tcW w:w="0" w:type="auto"/>
            <w:tcBorders>
              <w:top w:val="nil"/>
              <w:left w:val="nil"/>
              <w:bottom w:val="single" w:sz="4" w:space="0" w:color="auto"/>
              <w:right w:val="single" w:sz="4" w:space="0" w:color="auto"/>
            </w:tcBorders>
            <w:shd w:val="clear" w:color="000000" w:fill="E2EFDA"/>
            <w:noWrap/>
            <w:vAlign w:val="bottom"/>
            <w:hideMark/>
          </w:tcPr>
          <w:p w14:paraId="3BCF7C0A" w14:textId="77777777" w:rsidR="004C5CEC" w:rsidRPr="00094D3C" w:rsidRDefault="004C5CEC"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30,000.00 </w:t>
            </w:r>
          </w:p>
        </w:tc>
      </w:tr>
      <w:tr w:rsidR="004C5CEC" w:rsidRPr="00094D3C" w14:paraId="362061DB" w14:textId="77777777" w:rsidTr="004C5CEC">
        <w:trPr>
          <w:trHeight w:val="300"/>
        </w:trPr>
        <w:tc>
          <w:tcPr>
            <w:tcW w:w="0" w:type="auto"/>
            <w:tcBorders>
              <w:top w:val="nil"/>
              <w:left w:val="single" w:sz="4" w:space="0" w:color="auto"/>
              <w:bottom w:val="single" w:sz="4" w:space="0" w:color="auto"/>
              <w:right w:val="single" w:sz="4" w:space="0" w:color="auto"/>
            </w:tcBorders>
            <w:shd w:val="clear" w:color="000000" w:fill="FCE4D6"/>
            <w:noWrap/>
            <w:vAlign w:val="bottom"/>
            <w:hideMark/>
          </w:tcPr>
          <w:p w14:paraId="39C8DB94"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Closing cash balance </w:t>
            </w:r>
          </w:p>
        </w:tc>
        <w:tc>
          <w:tcPr>
            <w:tcW w:w="0" w:type="auto"/>
            <w:tcBorders>
              <w:top w:val="nil"/>
              <w:left w:val="nil"/>
              <w:bottom w:val="single" w:sz="4" w:space="0" w:color="auto"/>
              <w:right w:val="single" w:sz="4" w:space="0" w:color="auto"/>
            </w:tcBorders>
            <w:shd w:val="clear" w:color="000000" w:fill="FCE4D6"/>
            <w:noWrap/>
            <w:vAlign w:val="bottom"/>
            <w:hideMark/>
          </w:tcPr>
          <w:p w14:paraId="699C8239"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13,837.50 </w:t>
            </w:r>
          </w:p>
        </w:tc>
        <w:tc>
          <w:tcPr>
            <w:tcW w:w="0" w:type="auto"/>
            <w:tcBorders>
              <w:top w:val="nil"/>
              <w:left w:val="nil"/>
              <w:bottom w:val="single" w:sz="4" w:space="0" w:color="auto"/>
              <w:right w:val="single" w:sz="4" w:space="0" w:color="auto"/>
            </w:tcBorders>
            <w:shd w:val="clear" w:color="000000" w:fill="FCE4D6"/>
            <w:noWrap/>
            <w:vAlign w:val="bottom"/>
            <w:hideMark/>
          </w:tcPr>
          <w:p w14:paraId="343CAD28"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6,850.00 </w:t>
            </w:r>
          </w:p>
        </w:tc>
        <w:tc>
          <w:tcPr>
            <w:tcW w:w="0" w:type="auto"/>
            <w:tcBorders>
              <w:top w:val="nil"/>
              <w:left w:val="nil"/>
              <w:bottom w:val="single" w:sz="4" w:space="0" w:color="auto"/>
              <w:right w:val="single" w:sz="4" w:space="0" w:color="auto"/>
            </w:tcBorders>
            <w:shd w:val="clear" w:color="000000" w:fill="FCE4D6"/>
            <w:noWrap/>
            <w:vAlign w:val="bottom"/>
            <w:hideMark/>
          </w:tcPr>
          <w:p w14:paraId="16CBB951"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21,875.00 </w:t>
            </w:r>
          </w:p>
        </w:tc>
        <w:tc>
          <w:tcPr>
            <w:tcW w:w="0" w:type="auto"/>
            <w:tcBorders>
              <w:top w:val="nil"/>
              <w:left w:val="nil"/>
              <w:bottom w:val="single" w:sz="4" w:space="0" w:color="auto"/>
              <w:right w:val="single" w:sz="4" w:space="0" w:color="auto"/>
            </w:tcBorders>
            <w:shd w:val="clear" w:color="000000" w:fill="FCE4D6"/>
            <w:noWrap/>
            <w:vAlign w:val="bottom"/>
            <w:hideMark/>
          </w:tcPr>
          <w:p w14:paraId="20910D7A"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26,775.00 </w:t>
            </w:r>
          </w:p>
        </w:tc>
        <w:tc>
          <w:tcPr>
            <w:tcW w:w="0" w:type="auto"/>
            <w:tcBorders>
              <w:top w:val="nil"/>
              <w:left w:val="nil"/>
              <w:bottom w:val="single" w:sz="4" w:space="0" w:color="auto"/>
              <w:right w:val="single" w:sz="4" w:space="0" w:color="auto"/>
            </w:tcBorders>
            <w:shd w:val="clear" w:color="000000" w:fill="FCE4D6"/>
            <w:noWrap/>
            <w:vAlign w:val="bottom"/>
            <w:hideMark/>
          </w:tcPr>
          <w:p w14:paraId="77BECBDF"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29,587.50 </w:t>
            </w:r>
          </w:p>
        </w:tc>
        <w:tc>
          <w:tcPr>
            <w:tcW w:w="0" w:type="auto"/>
            <w:tcBorders>
              <w:top w:val="nil"/>
              <w:left w:val="nil"/>
              <w:bottom w:val="single" w:sz="4" w:space="0" w:color="auto"/>
              <w:right w:val="single" w:sz="4" w:space="0" w:color="auto"/>
            </w:tcBorders>
            <w:shd w:val="clear" w:color="000000" w:fill="FCE4D6"/>
            <w:noWrap/>
            <w:vAlign w:val="bottom"/>
            <w:hideMark/>
          </w:tcPr>
          <w:p w14:paraId="6DA01FF2"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83,137.50 </w:t>
            </w:r>
          </w:p>
        </w:tc>
        <w:tc>
          <w:tcPr>
            <w:tcW w:w="0" w:type="auto"/>
            <w:tcBorders>
              <w:top w:val="nil"/>
              <w:left w:val="nil"/>
              <w:bottom w:val="single" w:sz="4" w:space="0" w:color="auto"/>
              <w:right w:val="single" w:sz="4" w:space="0" w:color="auto"/>
            </w:tcBorders>
            <w:shd w:val="clear" w:color="000000" w:fill="E2EFDA"/>
            <w:noWrap/>
            <w:vAlign w:val="bottom"/>
            <w:hideMark/>
          </w:tcPr>
          <w:p w14:paraId="32F68385" w14:textId="77777777" w:rsidR="004C5CEC" w:rsidRPr="00094D3C" w:rsidRDefault="004C5CEC"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83,137.50 </w:t>
            </w:r>
          </w:p>
        </w:tc>
      </w:tr>
    </w:tbl>
    <w:p w14:paraId="0413BBF0" w14:textId="24A719C0" w:rsidR="00555409" w:rsidRPr="00094D3C" w:rsidRDefault="00555409" w:rsidP="00094D3C">
      <w:pPr>
        <w:rPr>
          <w:rFonts w:ascii="Arial" w:hAnsi="Arial" w:cs="Arial"/>
        </w:rPr>
      </w:pPr>
    </w:p>
    <w:p w14:paraId="0D7F14AF" w14:textId="7524AC09" w:rsidR="00355F81" w:rsidRPr="00094D3C" w:rsidRDefault="00355F81" w:rsidP="00094D3C">
      <w:pPr>
        <w:spacing w:after="160"/>
        <w:jc w:val="left"/>
        <w:rPr>
          <w:rFonts w:ascii="Arial" w:hAnsi="Arial" w:cs="Arial"/>
          <w:b/>
          <w:bCs/>
        </w:rPr>
      </w:pPr>
      <w:r w:rsidRPr="00094D3C">
        <w:rPr>
          <w:rFonts w:ascii="Arial" w:hAnsi="Arial" w:cs="Arial"/>
          <w:b/>
          <w:bCs/>
        </w:rPr>
        <w:t>Interpretation of cash budget:</w:t>
      </w:r>
    </w:p>
    <w:p w14:paraId="07EECDB1" w14:textId="133E7E66" w:rsidR="00355F81" w:rsidRPr="00094D3C" w:rsidRDefault="00355F81" w:rsidP="00094D3C">
      <w:pPr>
        <w:rPr>
          <w:rFonts w:ascii="Arial" w:hAnsi="Arial" w:cs="Arial"/>
        </w:rPr>
      </w:pPr>
      <w:r w:rsidRPr="00094D3C">
        <w:rPr>
          <w:rFonts w:ascii="Arial" w:hAnsi="Arial" w:cs="Arial"/>
        </w:rPr>
        <w:t>The cash budget follows the cash inflows and outflows of Silver Stitch Ltd of the second half of the year, that is, between July and December, to keep the company solvent</w:t>
      </w:r>
      <w:r w:rsidR="00300259" w:rsidRPr="00094D3C">
        <w:rPr>
          <w:rFonts w:ascii="Arial" w:hAnsi="Arial" w:cs="Arial"/>
        </w:rPr>
        <w:t xml:space="preserve"> (Georgiana and Lavinia-Denisia, 2025)</w:t>
      </w:r>
      <w:r w:rsidRPr="00094D3C">
        <w:rPr>
          <w:rFonts w:ascii="Arial" w:hAnsi="Arial" w:cs="Arial"/>
        </w:rPr>
        <w:t>.</w:t>
      </w:r>
    </w:p>
    <w:p w14:paraId="4406417E" w14:textId="77777777" w:rsidR="00355F81" w:rsidRPr="00094D3C" w:rsidRDefault="00355F81" w:rsidP="00094D3C">
      <w:pPr>
        <w:rPr>
          <w:rFonts w:ascii="Arial" w:hAnsi="Arial" w:cs="Arial"/>
        </w:rPr>
      </w:pPr>
      <w:r w:rsidRPr="00094D3C">
        <w:rPr>
          <w:rFonts w:ascii="Arial" w:hAnsi="Arial" w:cs="Arial"/>
          <w:b/>
          <w:bCs/>
        </w:rPr>
        <w:t>Cash Inflows:</w:t>
      </w:r>
      <w:r w:rsidRPr="00094D3C">
        <w:rPr>
          <w:rFonts w:ascii="Arial" w:hAnsi="Arial" w:cs="Arial"/>
        </w:rPr>
        <w:t xml:space="preserve"> Sales income is considered to be the main source of cash inflows, and this amount reaches its highest in July and December, 210,000 and 280,000, respectively. The overall sales revenue within the period is an income of 1, 470,000 which will sustain the cash flow requirements of the company.</w:t>
      </w:r>
    </w:p>
    <w:p w14:paraId="3289C2BE" w14:textId="6CFFA691" w:rsidR="00355F81" w:rsidRPr="00094D3C" w:rsidRDefault="00355F81" w:rsidP="00094D3C">
      <w:pPr>
        <w:rPr>
          <w:rFonts w:ascii="Arial" w:hAnsi="Arial" w:cs="Arial"/>
        </w:rPr>
      </w:pPr>
      <w:r w:rsidRPr="00094D3C">
        <w:rPr>
          <w:rFonts w:ascii="Arial" w:hAnsi="Arial" w:cs="Arial"/>
          <w:b/>
          <w:bCs/>
        </w:rPr>
        <w:t>Cash Outflows</w:t>
      </w:r>
      <w:r w:rsidRPr="00094D3C">
        <w:rPr>
          <w:rFonts w:ascii="Arial" w:hAnsi="Arial" w:cs="Arial"/>
        </w:rPr>
        <w:t>: Cash outflows consist of the payments to suppliers (£1,100,000), interest payments on credit card sales (£12,862.50), loan instalments, administrative expenses, sales expenditure and store renovations. The six months outflows are a total of 1,356,862.50. The greatest outflows are payments to suppliers and administrative expenses.</w:t>
      </w:r>
    </w:p>
    <w:p w14:paraId="38397491" w14:textId="01D631A2" w:rsidR="00355F81" w:rsidRPr="00094D3C" w:rsidRDefault="00355F81" w:rsidP="00094D3C">
      <w:pPr>
        <w:rPr>
          <w:rFonts w:ascii="Arial" w:hAnsi="Arial" w:cs="Arial"/>
        </w:rPr>
      </w:pPr>
      <w:r w:rsidRPr="00094D3C">
        <w:rPr>
          <w:rFonts w:ascii="Arial" w:hAnsi="Arial" w:cs="Arial"/>
          <w:b/>
          <w:bCs/>
        </w:rPr>
        <w:t>Net Cash Flow:</w:t>
      </w:r>
      <w:r w:rsidRPr="00094D3C">
        <w:rPr>
          <w:rFonts w:ascii="Arial" w:hAnsi="Arial" w:cs="Arial"/>
        </w:rPr>
        <w:t xml:space="preserve"> The positive net cash flow is seen to start in July with a figure of £16,162.50 and in December with a figure of £53,550. The total net cash flow July to December equals to 113, 137.50. The company ends with a balance of cash which is a positive negative number since it starts with negative balance which was the closing </w:t>
      </w:r>
      <w:r w:rsidRPr="00094D3C">
        <w:rPr>
          <w:rFonts w:ascii="Arial" w:hAnsi="Arial" w:cs="Arial"/>
        </w:rPr>
        <w:lastRenderedPageBreak/>
        <w:t>balance of the company of -13,837.50 in July to a positive balance of 83,137.50 in December.</w:t>
      </w:r>
    </w:p>
    <w:p w14:paraId="32CA8440" w14:textId="1294421B" w:rsidR="00355F81" w:rsidRPr="00094D3C" w:rsidRDefault="00355F81" w:rsidP="00094D3C">
      <w:pPr>
        <w:rPr>
          <w:rFonts w:ascii="Arial" w:hAnsi="Arial" w:cs="Arial"/>
        </w:rPr>
      </w:pPr>
      <w:r w:rsidRPr="00094D3C">
        <w:rPr>
          <w:rFonts w:ascii="Arial" w:hAnsi="Arial" w:cs="Arial"/>
          <w:b/>
          <w:bCs/>
        </w:rPr>
        <w:t>Interpretation:</w:t>
      </w:r>
      <w:r w:rsidRPr="00094D3C">
        <w:rPr>
          <w:rFonts w:ascii="Arial" w:hAnsi="Arial" w:cs="Arial"/>
        </w:rPr>
        <w:t xml:space="preserve"> Silver Stitch Ltd has successfully controlled the growth of its sales which is why it passes negative cash position in July into the positive position in December where it has closing position of 83,137.50. Such a rise in cash flow is the key to dealing with its overdraft and covering financial commitments, including loan payments and supplier expenses</w:t>
      </w:r>
      <w:r w:rsidR="00BE75AC" w:rsidRPr="00094D3C">
        <w:rPr>
          <w:rFonts w:ascii="Arial" w:hAnsi="Arial" w:cs="Arial"/>
        </w:rPr>
        <w:t xml:space="preserve"> (Barnabas and Oloyede, 2025)</w:t>
      </w:r>
      <w:r w:rsidRPr="00094D3C">
        <w:rPr>
          <w:rFonts w:ascii="Arial" w:hAnsi="Arial" w:cs="Arial"/>
        </w:rPr>
        <w:t>.</w:t>
      </w:r>
    </w:p>
    <w:p w14:paraId="5E05E337" w14:textId="77777777" w:rsidR="00AF3607" w:rsidRPr="00094D3C" w:rsidRDefault="00355F81" w:rsidP="00094D3C">
      <w:pPr>
        <w:rPr>
          <w:rFonts w:ascii="Arial" w:hAnsi="Arial" w:cs="Arial"/>
        </w:rPr>
      </w:pPr>
      <w:r w:rsidRPr="00094D3C">
        <w:rPr>
          <w:rFonts w:ascii="Arial" w:hAnsi="Arial" w:cs="Arial"/>
        </w:rPr>
        <w:t>To conclude, between July and December, the Silver Stitch Ltd can strike a balance between rising sales and good management of inventory and cash flow. The good positive closing balance of the cash of £83,137.50 proves the fact that the company is capable of finding the solution to its overdraft and stay on the high-level finances in the future.</w:t>
      </w:r>
    </w:p>
    <w:p w14:paraId="1F6112D4" w14:textId="77777777" w:rsidR="00AF3607" w:rsidRPr="00094D3C" w:rsidRDefault="00AF3607" w:rsidP="00094D3C">
      <w:pPr>
        <w:rPr>
          <w:rFonts w:ascii="Arial" w:hAnsi="Arial" w:cs="Arial"/>
        </w:rPr>
      </w:pPr>
    </w:p>
    <w:p w14:paraId="680E7509" w14:textId="77777777" w:rsidR="0038439B" w:rsidRPr="00094D3C" w:rsidRDefault="00AF3607" w:rsidP="00094D3C">
      <w:pPr>
        <w:pStyle w:val="Heading2"/>
        <w:rPr>
          <w:rFonts w:ascii="Arial" w:hAnsi="Arial" w:cs="Arial"/>
        </w:rPr>
      </w:pPr>
      <w:bookmarkStart w:id="8" w:name="_Toc223790159"/>
      <w:r w:rsidRPr="00094D3C">
        <w:rPr>
          <w:rFonts w:ascii="Arial" w:hAnsi="Arial" w:cs="Arial"/>
        </w:rPr>
        <w:t>Budgeted Profit &amp; Loss Account for the Period Ending 31 December</w:t>
      </w:r>
      <w:bookmarkEnd w:id="8"/>
    </w:p>
    <w:p w14:paraId="4505961D" w14:textId="77777777" w:rsidR="0038439B" w:rsidRPr="00094D3C" w:rsidRDefault="0038439B" w:rsidP="00094D3C">
      <w:pPr>
        <w:rPr>
          <w:rFonts w:ascii="Arial" w:hAnsi="Arial" w:cs="Arial"/>
        </w:rPr>
      </w:pPr>
      <w:r w:rsidRPr="00094D3C">
        <w:rPr>
          <w:rFonts w:ascii="Arial" w:hAnsi="Arial" w:cs="Arial"/>
        </w:rPr>
        <w:t>The approved Profit and Loss account gives an overview of the performance expected of Silver Stitch Ltd in terms of profitability during the six-month period between July and December.</w:t>
      </w:r>
    </w:p>
    <w:p w14:paraId="12C6D356" w14:textId="41274501" w:rsidR="000B69AC" w:rsidRPr="00094D3C" w:rsidRDefault="000B69AC" w:rsidP="00094D3C">
      <w:pPr>
        <w:pStyle w:val="Caption"/>
        <w:spacing w:line="360" w:lineRule="auto"/>
        <w:jc w:val="center"/>
        <w:rPr>
          <w:rFonts w:ascii="Arial" w:hAnsi="Arial" w:cs="Arial"/>
          <w:i w:val="0"/>
          <w:iCs w:val="0"/>
          <w:color w:val="auto"/>
          <w:sz w:val="24"/>
          <w:szCs w:val="24"/>
        </w:rPr>
      </w:pPr>
      <w:bookmarkStart w:id="9" w:name="_Toc223788263"/>
      <w:r w:rsidRPr="00094D3C">
        <w:rPr>
          <w:rFonts w:ascii="Arial" w:hAnsi="Arial" w:cs="Arial"/>
          <w:b/>
          <w:bCs/>
          <w:i w:val="0"/>
          <w:iCs w:val="0"/>
          <w:color w:val="auto"/>
          <w:sz w:val="24"/>
          <w:szCs w:val="24"/>
        </w:rPr>
        <w:t xml:space="preserve">Table </w:t>
      </w:r>
      <w:r w:rsidRPr="00094D3C">
        <w:rPr>
          <w:rFonts w:ascii="Arial" w:hAnsi="Arial" w:cs="Arial"/>
          <w:b/>
          <w:bCs/>
          <w:i w:val="0"/>
          <w:iCs w:val="0"/>
          <w:color w:val="auto"/>
          <w:sz w:val="24"/>
          <w:szCs w:val="24"/>
        </w:rPr>
        <w:fldChar w:fldCharType="begin"/>
      </w:r>
      <w:r w:rsidRPr="00094D3C">
        <w:rPr>
          <w:rFonts w:ascii="Arial" w:hAnsi="Arial" w:cs="Arial"/>
          <w:b/>
          <w:bCs/>
          <w:i w:val="0"/>
          <w:iCs w:val="0"/>
          <w:color w:val="auto"/>
          <w:sz w:val="24"/>
          <w:szCs w:val="24"/>
        </w:rPr>
        <w:instrText xml:space="preserve"> SEQ Table \* ARABIC </w:instrText>
      </w:r>
      <w:r w:rsidRPr="00094D3C">
        <w:rPr>
          <w:rFonts w:ascii="Arial" w:hAnsi="Arial" w:cs="Arial"/>
          <w:b/>
          <w:bCs/>
          <w:i w:val="0"/>
          <w:iCs w:val="0"/>
          <w:color w:val="auto"/>
          <w:sz w:val="24"/>
          <w:szCs w:val="24"/>
        </w:rPr>
        <w:fldChar w:fldCharType="separate"/>
      </w:r>
      <w:r w:rsidR="00B14BF9" w:rsidRPr="00094D3C">
        <w:rPr>
          <w:rFonts w:ascii="Arial" w:hAnsi="Arial" w:cs="Arial"/>
          <w:b/>
          <w:bCs/>
          <w:i w:val="0"/>
          <w:iCs w:val="0"/>
          <w:noProof/>
          <w:color w:val="auto"/>
          <w:sz w:val="24"/>
          <w:szCs w:val="24"/>
        </w:rPr>
        <w:t>3</w:t>
      </w:r>
      <w:r w:rsidRPr="00094D3C">
        <w:rPr>
          <w:rFonts w:ascii="Arial" w:hAnsi="Arial" w:cs="Arial"/>
          <w:b/>
          <w:bCs/>
          <w:i w:val="0"/>
          <w:iCs w:val="0"/>
          <w:color w:val="auto"/>
          <w:sz w:val="24"/>
          <w:szCs w:val="24"/>
        </w:rPr>
        <w:fldChar w:fldCharType="end"/>
      </w:r>
      <w:r w:rsidRPr="00094D3C">
        <w:rPr>
          <w:rFonts w:ascii="Arial" w:hAnsi="Arial" w:cs="Arial"/>
          <w:b/>
          <w:bCs/>
          <w:i w:val="0"/>
          <w:iCs w:val="0"/>
          <w:color w:val="auto"/>
          <w:sz w:val="24"/>
          <w:szCs w:val="24"/>
        </w:rPr>
        <w:t>:</w:t>
      </w:r>
      <w:r w:rsidRPr="00094D3C">
        <w:rPr>
          <w:rFonts w:ascii="Arial" w:hAnsi="Arial" w:cs="Arial"/>
          <w:i w:val="0"/>
          <w:iCs w:val="0"/>
          <w:color w:val="auto"/>
          <w:sz w:val="24"/>
          <w:szCs w:val="24"/>
        </w:rPr>
        <w:t xml:space="preserve"> Budgeted Profit &amp; Loss Account</w:t>
      </w:r>
      <w:bookmarkEnd w:id="9"/>
    </w:p>
    <w:tbl>
      <w:tblPr>
        <w:tblW w:w="4665" w:type="dxa"/>
        <w:jc w:val="center"/>
        <w:tblLook w:val="04A0" w:firstRow="1" w:lastRow="0" w:firstColumn="1" w:lastColumn="0" w:noHBand="0" w:noVBand="1"/>
      </w:tblPr>
      <w:tblGrid>
        <w:gridCol w:w="2875"/>
        <w:gridCol w:w="1790"/>
      </w:tblGrid>
      <w:tr w:rsidR="0038439B" w:rsidRPr="00094D3C" w14:paraId="3B70C752" w14:textId="77777777" w:rsidTr="00DC2639">
        <w:trPr>
          <w:trHeight w:val="300"/>
          <w:jc w:val="center"/>
        </w:trPr>
        <w:tc>
          <w:tcPr>
            <w:tcW w:w="4665"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025CC150" w14:textId="0043589A" w:rsidR="0038439B" w:rsidRPr="00094D3C" w:rsidRDefault="0038439B" w:rsidP="00094D3C">
            <w:pPr>
              <w:jc w:val="center"/>
              <w:rPr>
                <w:rFonts w:ascii="Arial" w:eastAsia="Times New Roman" w:hAnsi="Arial" w:cs="Arial"/>
                <w:b/>
                <w:bCs/>
                <w:color w:val="000000"/>
                <w:kern w:val="0"/>
                <w14:ligatures w14:val="none"/>
              </w:rPr>
            </w:pPr>
            <w:bookmarkStart w:id="10" w:name="_Hlk223788097"/>
            <w:r w:rsidRPr="00094D3C">
              <w:rPr>
                <w:rFonts w:ascii="Arial" w:eastAsia="Times New Roman" w:hAnsi="Arial" w:cs="Arial"/>
                <w:b/>
                <w:bCs/>
                <w:color w:val="000000"/>
                <w:kern w:val="0"/>
                <w14:ligatures w14:val="none"/>
              </w:rPr>
              <w:t xml:space="preserve">Budgeted Profit &amp; Loss Account </w:t>
            </w:r>
            <w:bookmarkEnd w:id="10"/>
            <w:r w:rsidR="00790B27" w:rsidRPr="00094D3C">
              <w:rPr>
                <w:rFonts w:ascii="Arial" w:eastAsia="Times New Roman" w:hAnsi="Arial" w:cs="Arial"/>
                <w:b/>
                <w:bCs/>
                <w:color w:val="000000"/>
                <w:kern w:val="0"/>
                <w14:ligatures w14:val="none"/>
              </w:rPr>
              <w:t>(Jul</w:t>
            </w:r>
            <w:r w:rsidR="00CA6132" w:rsidRPr="00094D3C">
              <w:rPr>
                <w:rFonts w:ascii="Arial" w:eastAsia="Times New Roman" w:hAnsi="Arial" w:cs="Arial"/>
                <w:b/>
                <w:bCs/>
                <w:color w:val="000000"/>
                <w:kern w:val="0"/>
                <w14:ligatures w14:val="none"/>
              </w:rPr>
              <w:t>y</w:t>
            </w:r>
            <w:r w:rsidR="00790B27" w:rsidRPr="00094D3C">
              <w:rPr>
                <w:rFonts w:ascii="Arial" w:eastAsia="Times New Roman" w:hAnsi="Arial" w:cs="Arial"/>
                <w:b/>
                <w:bCs/>
                <w:color w:val="000000"/>
                <w:kern w:val="0"/>
                <w14:ligatures w14:val="none"/>
              </w:rPr>
              <w:t xml:space="preserve"> to dec)</w:t>
            </w:r>
          </w:p>
        </w:tc>
      </w:tr>
      <w:tr w:rsidR="0038439B" w:rsidRPr="00094D3C" w14:paraId="726786D6" w14:textId="77777777" w:rsidTr="00DC2639">
        <w:trPr>
          <w:trHeight w:val="300"/>
          <w:jc w:val="center"/>
        </w:trPr>
        <w:tc>
          <w:tcPr>
            <w:tcW w:w="2875" w:type="dxa"/>
            <w:tcBorders>
              <w:top w:val="nil"/>
              <w:left w:val="single" w:sz="4" w:space="0" w:color="auto"/>
              <w:bottom w:val="single" w:sz="4" w:space="0" w:color="auto"/>
              <w:right w:val="single" w:sz="4" w:space="0" w:color="auto"/>
            </w:tcBorders>
            <w:shd w:val="clear" w:color="000000" w:fill="FCE4D6"/>
            <w:noWrap/>
            <w:vAlign w:val="bottom"/>
            <w:hideMark/>
          </w:tcPr>
          <w:p w14:paraId="709B638A" w14:textId="77777777" w:rsidR="0038439B" w:rsidRPr="00094D3C" w:rsidRDefault="0038439B"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Particulars</w:t>
            </w:r>
          </w:p>
        </w:tc>
        <w:tc>
          <w:tcPr>
            <w:tcW w:w="1790" w:type="dxa"/>
            <w:tcBorders>
              <w:top w:val="nil"/>
              <w:left w:val="nil"/>
              <w:bottom w:val="single" w:sz="4" w:space="0" w:color="auto"/>
              <w:right w:val="single" w:sz="4" w:space="0" w:color="auto"/>
            </w:tcBorders>
            <w:shd w:val="clear" w:color="000000" w:fill="FCE4D6"/>
            <w:noWrap/>
            <w:vAlign w:val="bottom"/>
            <w:hideMark/>
          </w:tcPr>
          <w:p w14:paraId="1446924E" w14:textId="77777777" w:rsidR="0038439B" w:rsidRPr="00094D3C" w:rsidRDefault="0038439B"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Amount</w:t>
            </w:r>
          </w:p>
        </w:tc>
      </w:tr>
      <w:tr w:rsidR="0038439B" w:rsidRPr="00094D3C" w14:paraId="6FFD8462"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08ACAB0B"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Sales</w:t>
            </w:r>
          </w:p>
        </w:tc>
        <w:tc>
          <w:tcPr>
            <w:tcW w:w="1790" w:type="dxa"/>
            <w:tcBorders>
              <w:top w:val="nil"/>
              <w:left w:val="nil"/>
              <w:bottom w:val="single" w:sz="4" w:space="0" w:color="auto"/>
              <w:right w:val="single" w:sz="4" w:space="0" w:color="auto"/>
            </w:tcBorders>
            <w:noWrap/>
            <w:vAlign w:val="bottom"/>
            <w:hideMark/>
          </w:tcPr>
          <w:p w14:paraId="632A7CAA"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£ 1,470,000.00 </w:t>
            </w:r>
          </w:p>
        </w:tc>
      </w:tr>
      <w:tr w:rsidR="0038439B" w:rsidRPr="00094D3C" w14:paraId="434B5518"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6BCCA2C1" w14:textId="4E9B1350"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COGS</w:t>
            </w:r>
            <w:r w:rsidR="00761A7A" w:rsidRPr="00094D3C">
              <w:rPr>
                <w:rFonts w:ascii="Arial" w:eastAsia="Times New Roman" w:hAnsi="Arial" w:cs="Arial"/>
                <w:color w:val="000000"/>
                <w:kern w:val="0"/>
                <w14:ligatures w14:val="none"/>
              </w:rPr>
              <w:t xml:space="preserve"> (60%)</w:t>
            </w:r>
          </w:p>
        </w:tc>
        <w:tc>
          <w:tcPr>
            <w:tcW w:w="1790" w:type="dxa"/>
            <w:tcBorders>
              <w:top w:val="nil"/>
              <w:left w:val="nil"/>
              <w:bottom w:val="single" w:sz="4" w:space="0" w:color="auto"/>
              <w:right w:val="single" w:sz="4" w:space="0" w:color="auto"/>
            </w:tcBorders>
            <w:noWrap/>
            <w:vAlign w:val="bottom"/>
            <w:hideMark/>
          </w:tcPr>
          <w:p w14:paraId="248CA965"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882,000.00 </w:t>
            </w:r>
          </w:p>
        </w:tc>
      </w:tr>
      <w:tr w:rsidR="0038439B" w:rsidRPr="00094D3C" w14:paraId="2A746199" w14:textId="77777777" w:rsidTr="00DC2639">
        <w:trPr>
          <w:trHeight w:val="300"/>
          <w:jc w:val="center"/>
        </w:trPr>
        <w:tc>
          <w:tcPr>
            <w:tcW w:w="2875" w:type="dxa"/>
            <w:tcBorders>
              <w:top w:val="nil"/>
              <w:left w:val="single" w:sz="4" w:space="0" w:color="auto"/>
              <w:bottom w:val="single" w:sz="4" w:space="0" w:color="auto"/>
              <w:right w:val="single" w:sz="4" w:space="0" w:color="auto"/>
            </w:tcBorders>
            <w:shd w:val="clear" w:color="000000" w:fill="FCE4D6"/>
            <w:noWrap/>
            <w:vAlign w:val="bottom"/>
            <w:hideMark/>
          </w:tcPr>
          <w:p w14:paraId="3C0C458C"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Gross profit (40%)</w:t>
            </w:r>
          </w:p>
        </w:tc>
        <w:tc>
          <w:tcPr>
            <w:tcW w:w="1790" w:type="dxa"/>
            <w:tcBorders>
              <w:top w:val="nil"/>
              <w:left w:val="nil"/>
              <w:bottom w:val="single" w:sz="4" w:space="0" w:color="auto"/>
              <w:right w:val="single" w:sz="4" w:space="0" w:color="auto"/>
            </w:tcBorders>
            <w:shd w:val="clear" w:color="000000" w:fill="FCE4D6"/>
            <w:noWrap/>
            <w:vAlign w:val="bottom"/>
            <w:hideMark/>
          </w:tcPr>
          <w:p w14:paraId="3DD4DECE"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588,000.00 </w:t>
            </w:r>
          </w:p>
        </w:tc>
      </w:tr>
      <w:tr w:rsidR="0038439B" w:rsidRPr="00094D3C" w14:paraId="39A174E3"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4DD0FF7A"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c>
          <w:tcPr>
            <w:tcW w:w="1790" w:type="dxa"/>
            <w:tcBorders>
              <w:top w:val="nil"/>
              <w:left w:val="nil"/>
              <w:bottom w:val="single" w:sz="4" w:space="0" w:color="auto"/>
              <w:right w:val="single" w:sz="4" w:space="0" w:color="auto"/>
            </w:tcBorders>
            <w:noWrap/>
            <w:vAlign w:val="bottom"/>
            <w:hideMark/>
          </w:tcPr>
          <w:p w14:paraId="65E5BD71"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r>
      <w:tr w:rsidR="0038439B" w:rsidRPr="00094D3C" w14:paraId="2A271D2B"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020E0455" w14:textId="77777777" w:rsidR="0038439B" w:rsidRPr="00094D3C" w:rsidRDefault="0038439B" w:rsidP="00094D3C">
            <w:pPr>
              <w:jc w:val="left"/>
              <w:rPr>
                <w:rFonts w:ascii="Arial" w:eastAsia="Times New Roman" w:hAnsi="Arial" w:cs="Arial"/>
                <w:b/>
                <w:bCs/>
                <w:color w:val="000000"/>
                <w:kern w:val="0"/>
                <w:u w:val="single"/>
                <w14:ligatures w14:val="none"/>
              </w:rPr>
            </w:pPr>
            <w:r w:rsidRPr="00094D3C">
              <w:rPr>
                <w:rFonts w:ascii="Arial" w:eastAsia="Times New Roman" w:hAnsi="Arial" w:cs="Arial"/>
                <w:b/>
                <w:bCs/>
                <w:color w:val="000000"/>
                <w:kern w:val="0"/>
                <w:u w:val="single"/>
                <w14:ligatures w14:val="none"/>
              </w:rPr>
              <w:t>Expenses</w:t>
            </w:r>
          </w:p>
        </w:tc>
        <w:tc>
          <w:tcPr>
            <w:tcW w:w="1790" w:type="dxa"/>
            <w:tcBorders>
              <w:top w:val="nil"/>
              <w:left w:val="nil"/>
              <w:bottom w:val="single" w:sz="4" w:space="0" w:color="auto"/>
              <w:right w:val="single" w:sz="4" w:space="0" w:color="auto"/>
            </w:tcBorders>
            <w:noWrap/>
            <w:vAlign w:val="bottom"/>
            <w:hideMark/>
          </w:tcPr>
          <w:p w14:paraId="6EC8D883"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r>
      <w:tr w:rsidR="0038439B" w:rsidRPr="00094D3C" w14:paraId="3C89D404"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3996C3AD" w14:textId="6835CF58"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Admin expenses </w:t>
            </w:r>
            <w:r w:rsidR="00EE76C8" w:rsidRPr="00094D3C">
              <w:rPr>
                <w:rFonts w:ascii="Arial" w:eastAsia="Times New Roman" w:hAnsi="Arial" w:cs="Arial"/>
                <w:color w:val="000000"/>
                <w:kern w:val="0"/>
                <w14:ligatures w14:val="none"/>
              </w:rPr>
              <w:t>(Excluding dep)</w:t>
            </w:r>
          </w:p>
        </w:tc>
        <w:tc>
          <w:tcPr>
            <w:tcW w:w="1790" w:type="dxa"/>
            <w:tcBorders>
              <w:top w:val="nil"/>
              <w:left w:val="nil"/>
              <w:bottom w:val="single" w:sz="4" w:space="0" w:color="auto"/>
              <w:right w:val="single" w:sz="4" w:space="0" w:color="auto"/>
            </w:tcBorders>
            <w:noWrap/>
            <w:vAlign w:val="bottom"/>
            <w:hideMark/>
          </w:tcPr>
          <w:p w14:paraId="67DDA182"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117,000.00 </w:t>
            </w:r>
          </w:p>
        </w:tc>
      </w:tr>
      <w:tr w:rsidR="0038439B" w:rsidRPr="00094D3C" w14:paraId="76BEC333"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0E97647D"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lastRenderedPageBreak/>
              <w:t xml:space="preserve">Selling expenses </w:t>
            </w:r>
          </w:p>
        </w:tc>
        <w:tc>
          <w:tcPr>
            <w:tcW w:w="1790" w:type="dxa"/>
            <w:tcBorders>
              <w:top w:val="nil"/>
              <w:left w:val="nil"/>
              <w:bottom w:val="single" w:sz="4" w:space="0" w:color="auto"/>
              <w:right w:val="single" w:sz="4" w:space="0" w:color="auto"/>
            </w:tcBorders>
            <w:noWrap/>
            <w:vAlign w:val="bottom"/>
            <w:hideMark/>
          </w:tcPr>
          <w:p w14:paraId="60F6CA61"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45,000.00 </w:t>
            </w:r>
          </w:p>
        </w:tc>
      </w:tr>
      <w:tr w:rsidR="0038439B" w:rsidRPr="00094D3C" w14:paraId="3EE9BFCB"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0F53852D"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Taxation payments </w:t>
            </w:r>
          </w:p>
        </w:tc>
        <w:tc>
          <w:tcPr>
            <w:tcW w:w="1790" w:type="dxa"/>
            <w:tcBorders>
              <w:top w:val="nil"/>
              <w:left w:val="nil"/>
              <w:bottom w:val="single" w:sz="4" w:space="0" w:color="auto"/>
              <w:right w:val="single" w:sz="4" w:space="0" w:color="auto"/>
            </w:tcBorders>
            <w:noWrap/>
            <w:vAlign w:val="bottom"/>
            <w:hideMark/>
          </w:tcPr>
          <w:p w14:paraId="1228B663"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18,000.00 </w:t>
            </w:r>
          </w:p>
        </w:tc>
      </w:tr>
      <w:tr w:rsidR="0038439B" w:rsidRPr="00094D3C" w14:paraId="19929AB5"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286FA1B2"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loan repayment</w:t>
            </w:r>
          </w:p>
        </w:tc>
        <w:tc>
          <w:tcPr>
            <w:tcW w:w="1790" w:type="dxa"/>
            <w:tcBorders>
              <w:top w:val="nil"/>
              <w:left w:val="nil"/>
              <w:bottom w:val="single" w:sz="4" w:space="0" w:color="auto"/>
              <w:right w:val="single" w:sz="4" w:space="0" w:color="auto"/>
            </w:tcBorders>
            <w:noWrap/>
            <w:vAlign w:val="bottom"/>
            <w:hideMark/>
          </w:tcPr>
          <w:p w14:paraId="5D9AE00F"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30,000.00 </w:t>
            </w:r>
          </w:p>
        </w:tc>
      </w:tr>
      <w:tr w:rsidR="0038439B" w:rsidRPr="00094D3C" w14:paraId="73BD247A" w14:textId="77777777" w:rsidTr="00DC2639">
        <w:trPr>
          <w:trHeight w:val="600"/>
          <w:jc w:val="center"/>
        </w:trPr>
        <w:tc>
          <w:tcPr>
            <w:tcW w:w="2875" w:type="dxa"/>
            <w:tcBorders>
              <w:top w:val="nil"/>
              <w:left w:val="single" w:sz="4" w:space="0" w:color="auto"/>
              <w:bottom w:val="single" w:sz="4" w:space="0" w:color="auto"/>
              <w:right w:val="single" w:sz="4" w:space="0" w:color="auto"/>
            </w:tcBorders>
            <w:vAlign w:val="bottom"/>
            <w:hideMark/>
          </w:tcPr>
          <w:p w14:paraId="2845E3E1" w14:textId="47D8D213"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Interest on credit card sales receipt</w:t>
            </w:r>
            <w:r w:rsidR="00E43186" w:rsidRPr="00094D3C">
              <w:rPr>
                <w:rFonts w:ascii="Arial" w:eastAsia="Times New Roman" w:hAnsi="Arial" w:cs="Arial"/>
                <w:color w:val="000000"/>
                <w:kern w:val="0"/>
                <w14:ligatures w14:val="none"/>
              </w:rPr>
              <w:t xml:space="preserve"> </w:t>
            </w:r>
            <w:r w:rsidR="000E7D21" w:rsidRPr="00094D3C">
              <w:rPr>
                <w:rFonts w:ascii="Arial" w:eastAsia="Times New Roman" w:hAnsi="Arial" w:cs="Arial"/>
                <w:b/>
                <w:bCs/>
                <w:color w:val="000000"/>
                <w:kern w:val="0"/>
                <w14:ligatures w14:val="none"/>
              </w:rPr>
              <w:t>(2.5% of 35% sales)</w:t>
            </w:r>
          </w:p>
        </w:tc>
        <w:tc>
          <w:tcPr>
            <w:tcW w:w="1790" w:type="dxa"/>
            <w:tcBorders>
              <w:top w:val="nil"/>
              <w:left w:val="nil"/>
              <w:bottom w:val="single" w:sz="4" w:space="0" w:color="auto"/>
              <w:right w:val="single" w:sz="4" w:space="0" w:color="auto"/>
            </w:tcBorders>
            <w:noWrap/>
            <w:vAlign w:val="bottom"/>
            <w:hideMark/>
          </w:tcPr>
          <w:p w14:paraId="1C43E537"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12,862.50 </w:t>
            </w:r>
          </w:p>
        </w:tc>
      </w:tr>
      <w:tr w:rsidR="0038439B" w:rsidRPr="00094D3C" w14:paraId="1748A53C"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3A2D50AF"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Store refurbishment </w:t>
            </w:r>
          </w:p>
        </w:tc>
        <w:tc>
          <w:tcPr>
            <w:tcW w:w="1790" w:type="dxa"/>
            <w:tcBorders>
              <w:top w:val="nil"/>
              <w:left w:val="nil"/>
              <w:bottom w:val="single" w:sz="4" w:space="0" w:color="auto"/>
              <w:right w:val="single" w:sz="4" w:space="0" w:color="auto"/>
            </w:tcBorders>
            <w:noWrap/>
            <w:vAlign w:val="bottom"/>
            <w:hideMark/>
          </w:tcPr>
          <w:p w14:paraId="777D26DB"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37,000.00 </w:t>
            </w:r>
          </w:p>
        </w:tc>
      </w:tr>
      <w:tr w:rsidR="0038439B" w:rsidRPr="00094D3C" w14:paraId="49E49136" w14:textId="77777777" w:rsidTr="00DC2639">
        <w:trPr>
          <w:trHeight w:val="300"/>
          <w:jc w:val="center"/>
        </w:trPr>
        <w:tc>
          <w:tcPr>
            <w:tcW w:w="2875" w:type="dxa"/>
            <w:tcBorders>
              <w:top w:val="nil"/>
              <w:left w:val="single" w:sz="4" w:space="0" w:color="auto"/>
              <w:bottom w:val="single" w:sz="4" w:space="0" w:color="auto"/>
              <w:right w:val="single" w:sz="4" w:space="0" w:color="auto"/>
            </w:tcBorders>
            <w:noWrap/>
            <w:vAlign w:val="bottom"/>
            <w:hideMark/>
          </w:tcPr>
          <w:p w14:paraId="58F7A412" w14:textId="699283D6"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Depreciation</w:t>
            </w:r>
            <w:r w:rsidR="00E1472B" w:rsidRPr="00094D3C">
              <w:rPr>
                <w:rFonts w:ascii="Arial" w:eastAsia="Times New Roman" w:hAnsi="Arial" w:cs="Arial"/>
                <w:color w:val="000000"/>
                <w:kern w:val="0"/>
                <w14:ligatures w14:val="none"/>
              </w:rPr>
              <w:t xml:space="preserve"> (</w:t>
            </w:r>
            <w:r w:rsidR="0044091A" w:rsidRPr="00094D3C">
              <w:rPr>
                <w:rFonts w:ascii="Arial" w:eastAsia="Times New Roman" w:hAnsi="Arial" w:cs="Arial"/>
                <w:color w:val="000000"/>
                <w:kern w:val="0"/>
                <w14:ligatures w14:val="none"/>
              </w:rPr>
              <w:t>£</w:t>
            </w:r>
            <w:r w:rsidR="00E1472B" w:rsidRPr="00094D3C">
              <w:rPr>
                <w:rFonts w:ascii="Arial" w:eastAsia="Times New Roman" w:hAnsi="Arial" w:cs="Arial"/>
                <w:color w:val="000000"/>
                <w:kern w:val="0"/>
                <w14:ligatures w14:val="none"/>
              </w:rPr>
              <w:t>7000 per month</w:t>
            </w:r>
            <w:r w:rsidR="001D4C11" w:rsidRPr="00094D3C">
              <w:rPr>
                <w:rFonts w:ascii="Arial" w:eastAsia="Times New Roman" w:hAnsi="Arial" w:cs="Arial"/>
                <w:color w:val="000000"/>
                <w:kern w:val="0"/>
                <w14:ligatures w14:val="none"/>
              </w:rPr>
              <w:t>)</w:t>
            </w:r>
          </w:p>
        </w:tc>
        <w:tc>
          <w:tcPr>
            <w:tcW w:w="1790" w:type="dxa"/>
            <w:tcBorders>
              <w:top w:val="nil"/>
              <w:left w:val="nil"/>
              <w:bottom w:val="single" w:sz="4" w:space="0" w:color="auto"/>
              <w:right w:val="single" w:sz="4" w:space="0" w:color="auto"/>
            </w:tcBorders>
            <w:noWrap/>
            <w:vAlign w:val="bottom"/>
            <w:hideMark/>
          </w:tcPr>
          <w:p w14:paraId="2F5E2600" w14:textId="77777777" w:rsidR="0038439B" w:rsidRPr="00094D3C" w:rsidRDefault="0038439B"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42,000.00 </w:t>
            </w:r>
          </w:p>
        </w:tc>
      </w:tr>
      <w:tr w:rsidR="0038439B" w:rsidRPr="00094D3C" w14:paraId="70F2DD90" w14:textId="77777777" w:rsidTr="00DC2639">
        <w:trPr>
          <w:trHeight w:val="300"/>
          <w:jc w:val="center"/>
        </w:trPr>
        <w:tc>
          <w:tcPr>
            <w:tcW w:w="2875" w:type="dxa"/>
            <w:tcBorders>
              <w:top w:val="nil"/>
              <w:left w:val="single" w:sz="4" w:space="0" w:color="auto"/>
              <w:bottom w:val="single" w:sz="4" w:space="0" w:color="auto"/>
              <w:right w:val="single" w:sz="4" w:space="0" w:color="auto"/>
            </w:tcBorders>
            <w:shd w:val="clear" w:color="000000" w:fill="FCE4D6"/>
            <w:noWrap/>
            <w:vAlign w:val="bottom"/>
            <w:hideMark/>
          </w:tcPr>
          <w:p w14:paraId="60A39BD5"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Total expenses</w:t>
            </w:r>
          </w:p>
        </w:tc>
        <w:tc>
          <w:tcPr>
            <w:tcW w:w="1790" w:type="dxa"/>
            <w:tcBorders>
              <w:top w:val="nil"/>
              <w:left w:val="nil"/>
              <w:bottom w:val="single" w:sz="4" w:space="0" w:color="auto"/>
              <w:right w:val="single" w:sz="4" w:space="0" w:color="auto"/>
            </w:tcBorders>
            <w:shd w:val="clear" w:color="000000" w:fill="FCE4D6"/>
            <w:noWrap/>
            <w:vAlign w:val="bottom"/>
            <w:hideMark/>
          </w:tcPr>
          <w:p w14:paraId="7F9E24B3"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301,862.50 </w:t>
            </w:r>
          </w:p>
        </w:tc>
      </w:tr>
      <w:tr w:rsidR="0038439B" w:rsidRPr="00094D3C" w14:paraId="5C4E213F" w14:textId="77777777" w:rsidTr="00DC2639">
        <w:trPr>
          <w:trHeight w:val="300"/>
          <w:jc w:val="center"/>
        </w:trPr>
        <w:tc>
          <w:tcPr>
            <w:tcW w:w="2875" w:type="dxa"/>
            <w:tcBorders>
              <w:top w:val="nil"/>
              <w:left w:val="single" w:sz="4" w:space="0" w:color="auto"/>
              <w:bottom w:val="single" w:sz="4" w:space="0" w:color="auto"/>
              <w:right w:val="single" w:sz="4" w:space="0" w:color="auto"/>
            </w:tcBorders>
            <w:shd w:val="clear" w:color="000000" w:fill="DDEBF7"/>
            <w:noWrap/>
            <w:vAlign w:val="bottom"/>
            <w:hideMark/>
          </w:tcPr>
          <w:p w14:paraId="302AC4F1"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Net profit</w:t>
            </w:r>
          </w:p>
        </w:tc>
        <w:tc>
          <w:tcPr>
            <w:tcW w:w="1790" w:type="dxa"/>
            <w:tcBorders>
              <w:top w:val="nil"/>
              <w:left w:val="nil"/>
              <w:bottom w:val="single" w:sz="4" w:space="0" w:color="auto"/>
              <w:right w:val="single" w:sz="4" w:space="0" w:color="auto"/>
            </w:tcBorders>
            <w:shd w:val="clear" w:color="000000" w:fill="DDEBF7"/>
            <w:noWrap/>
            <w:vAlign w:val="bottom"/>
            <w:hideMark/>
          </w:tcPr>
          <w:p w14:paraId="73D20D1E" w14:textId="77777777" w:rsidR="0038439B" w:rsidRPr="00094D3C" w:rsidRDefault="0038439B"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286,137.50 </w:t>
            </w:r>
          </w:p>
        </w:tc>
      </w:tr>
    </w:tbl>
    <w:p w14:paraId="450E50B7" w14:textId="77777777" w:rsidR="004254C8" w:rsidRPr="00094D3C" w:rsidRDefault="004254C8" w:rsidP="00094D3C">
      <w:pPr>
        <w:rPr>
          <w:rFonts w:ascii="Arial" w:hAnsi="Arial" w:cs="Arial"/>
          <w:b/>
          <w:bCs/>
        </w:rPr>
      </w:pPr>
    </w:p>
    <w:p w14:paraId="3C5E56B6" w14:textId="513B68FA" w:rsidR="0038439B" w:rsidRPr="00094D3C" w:rsidRDefault="0038439B" w:rsidP="00094D3C">
      <w:pPr>
        <w:rPr>
          <w:rFonts w:ascii="Arial" w:hAnsi="Arial" w:cs="Arial"/>
        </w:rPr>
      </w:pPr>
      <w:r w:rsidRPr="00094D3C">
        <w:rPr>
          <w:rFonts w:ascii="Arial" w:hAnsi="Arial" w:cs="Arial"/>
          <w:b/>
          <w:bCs/>
        </w:rPr>
        <w:t>Interpretation:</w:t>
      </w:r>
    </w:p>
    <w:p w14:paraId="0A316261" w14:textId="15893FAF" w:rsidR="0038439B" w:rsidRPr="00094D3C" w:rsidRDefault="0038439B" w:rsidP="00094D3C">
      <w:pPr>
        <w:rPr>
          <w:rFonts w:ascii="Arial" w:hAnsi="Arial" w:cs="Arial"/>
        </w:rPr>
      </w:pPr>
      <w:r w:rsidRPr="00094D3C">
        <w:rPr>
          <w:rFonts w:ascii="Arial" w:hAnsi="Arial" w:cs="Arial"/>
        </w:rPr>
        <w:t>In the six months between July and December, the budgeted Profit and loss account of Silver Stitch Ltd estimates that its total sales income will be of 1,470,000 pounds indicating constant expansion with respect to sales. The cost of goods sold (COGS) is 882,000 which is 60 percent of the total sales and the remaining gross profits are 588,000 or 40 percent of the total sales. This shows that the gross profit margin is constant meaning that the company is managing its production costs</w:t>
      </w:r>
      <w:r w:rsidR="00BE75AC" w:rsidRPr="00094D3C">
        <w:rPr>
          <w:rFonts w:ascii="Arial" w:hAnsi="Arial" w:cs="Arial"/>
        </w:rPr>
        <w:t xml:space="preserve"> (Fridson and Alvarez, 2022)</w:t>
      </w:r>
      <w:r w:rsidRPr="00094D3C">
        <w:rPr>
          <w:rFonts w:ascii="Arial" w:hAnsi="Arial" w:cs="Arial"/>
        </w:rPr>
        <w:t>.</w:t>
      </w:r>
    </w:p>
    <w:p w14:paraId="15FA9ACA" w14:textId="77777777" w:rsidR="0038439B" w:rsidRPr="00094D3C" w:rsidRDefault="0038439B" w:rsidP="00094D3C">
      <w:pPr>
        <w:rPr>
          <w:rFonts w:ascii="Arial" w:hAnsi="Arial" w:cs="Arial"/>
        </w:rPr>
      </w:pPr>
      <w:r w:rsidRPr="00094D3C">
        <w:rPr>
          <w:rFonts w:ascii="Arial" w:hAnsi="Arial" w:cs="Arial"/>
        </w:rPr>
        <w:t>The total operating costs incurred includes administrative cost (£117,000), selling (45,000), taxation (18,000), loan (30,000), interest on credit card sales (12,862.50), store refurbishment (37,000) and the depreciation (42,000). Such costs are required in day to day running and expansion of business.</w:t>
      </w:r>
    </w:p>
    <w:p w14:paraId="4A10F559" w14:textId="77777777" w:rsidR="0038439B" w:rsidRPr="00094D3C" w:rsidRDefault="0038439B" w:rsidP="00094D3C">
      <w:pPr>
        <w:rPr>
          <w:rFonts w:ascii="Arial" w:hAnsi="Arial" w:cs="Arial"/>
        </w:rPr>
      </w:pPr>
      <w:r w:rsidRPr="00094D3C">
        <w:rPr>
          <w:rFonts w:ascii="Arial" w:hAnsi="Arial" w:cs="Arial"/>
        </w:rPr>
        <w:t xml:space="preserve">The net profit to be earned by the Silver Stitch Ltd is likely to be 286,137.50 when all expenses are put into consideration. This high profit indicates that the company is </w:t>
      </w:r>
      <w:r w:rsidRPr="00094D3C">
        <w:rPr>
          <w:rFonts w:ascii="Arial" w:hAnsi="Arial" w:cs="Arial"/>
        </w:rPr>
        <w:lastRenderedPageBreak/>
        <w:t>operating well on its revenues and expenditures to make a good profit. Such financial results will assist the company to cover its overdraft and invest in future development.</w:t>
      </w:r>
    </w:p>
    <w:p w14:paraId="4A7BF3DB" w14:textId="77777777" w:rsidR="0038439B" w:rsidRPr="00094D3C" w:rsidRDefault="0038439B" w:rsidP="00094D3C">
      <w:pPr>
        <w:rPr>
          <w:rFonts w:ascii="Arial" w:hAnsi="Arial" w:cs="Arial"/>
        </w:rPr>
      </w:pPr>
    </w:p>
    <w:p w14:paraId="7493C32A" w14:textId="77777777" w:rsidR="00432FDC" w:rsidRPr="00094D3C" w:rsidRDefault="00432FDC" w:rsidP="00094D3C">
      <w:pPr>
        <w:rPr>
          <w:rFonts w:ascii="Arial" w:hAnsi="Arial" w:cs="Arial"/>
        </w:rPr>
      </w:pPr>
    </w:p>
    <w:p w14:paraId="037097CC" w14:textId="45CCDFD0" w:rsidR="007375D9" w:rsidRPr="00094D3C" w:rsidRDefault="00823B68" w:rsidP="00094D3C">
      <w:pPr>
        <w:pStyle w:val="Heading1"/>
        <w:rPr>
          <w:rFonts w:ascii="Arial" w:hAnsi="Arial" w:cs="Arial"/>
        </w:rPr>
      </w:pPr>
      <w:bookmarkStart w:id="11" w:name="_Toc223790160"/>
      <w:r w:rsidRPr="00094D3C">
        <w:rPr>
          <w:rFonts w:ascii="Arial" w:hAnsi="Arial" w:cs="Arial"/>
        </w:rPr>
        <w:t xml:space="preserve">b) </w:t>
      </w:r>
      <w:r w:rsidR="007375D9" w:rsidRPr="00094D3C">
        <w:rPr>
          <w:rFonts w:ascii="Arial" w:hAnsi="Arial" w:cs="Arial"/>
        </w:rPr>
        <w:t>Analysis of Problems</w:t>
      </w:r>
      <w:bookmarkEnd w:id="11"/>
    </w:p>
    <w:p w14:paraId="7D6F8668" w14:textId="4237B874" w:rsidR="00BE6462" w:rsidRPr="00094D3C" w:rsidRDefault="00BE6462" w:rsidP="00094D3C">
      <w:pPr>
        <w:rPr>
          <w:rFonts w:ascii="Arial" w:hAnsi="Arial" w:cs="Arial"/>
        </w:rPr>
      </w:pPr>
      <w:r w:rsidRPr="00094D3C">
        <w:rPr>
          <w:rFonts w:ascii="Arial" w:hAnsi="Arial" w:cs="Arial"/>
        </w:rPr>
        <w:t xml:space="preserve"> Owing to the stock and cash budgets, Silver Stitch Ltd is likely to encounter a number of challenges in the next six months. The main problems are mainly the cash flow management, inventory control, as well as the operating cost management. These problems and recommended management measures that can be adopted to address them are </w:t>
      </w:r>
      <w:r w:rsidR="00B37090" w:rsidRPr="00094D3C">
        <w:rPr>
          <w:rFonts w:ascii="Arial" w:hAnsi="Arial" w:cs="Arial"/>
        </w:rPr>
        <w:t>analysed</w:t>
      </w:r>
      <w:r w:rsidRPr="00094D3C">
        <w:rPr>
          <w:rFonts w:ascii="Arial" w:hAnsi="Arial" w:cs="Arial"/>
        </w:rPr>
        <w:t xml:space="preserve"> below.</w:t>
      </w:r>
    </w:p>
    <w:p w14:paraId="7D228805" w14:textId="56610A87" w:rsidR="00BE6462" w:rsidRPr="00094D3C" w:rsidRDefault="00BE6462" w:rsidP="00094D3C">
      <w:pPr>
        <w:rPr>
          <w:rFonts w:ascii="Arial" w:hAnsi="Arial" w:cs="Arial"/>
          <w:b/>
          <w:bCs/>
        </w:rPr>
      </w:pPr>
      <w:r w:rsidRPr="00094D3C">
        <w:rPr>
          <w:rFonts w:ascii="Arial" w:hAnsi="Arial" w:cs="Arial"/>
          <w:b/>
          <w:bCs/>
        </w:rPr>
        <w:t>1. Cash Flow and Overdraft Management</w:t>
      </w:r>
    </w:p>
    <w:p w14:paraId="2FCEFC77" w14:textId="2CA3FE2C" w:rsidR="00BE6462" w:rsidRPr="00094D3C" w:rsidRDefault="00BE6462" w:rsidP="00094D3C">
      <w:pPr>
        <w:rPr>
          <w:rFonts w:ascii="Arial" w:hAnsi="Arial" w:cs="Arial"/>
        </w:rPr>
      </w:pPr>
      <w:r w:rsidRPr="00094D3C">
        <w:rPr>
          <w:rFonts w:ascii="Arial" w:hAnsi="Arial" w:cs="Arial"/>
        </w:rPr>
        <w:t>The negative cash flow of £30,000 in July may result in liquidity issues in the company</w:t>
      </w:r>
      <w:r w:rsidR="00096E61" w:rsidRPr="00094D3C">
        <w:rPr>
          <w:rFonts w:ascii="Arial" w:hAnsi="Arial" w:cs="Arial"/>
        </w:rPr>
        <w:t xml:space="preserve"> (Lovita, Gatot Prabantoro and Karisma Devi Roswida, 2024)</w:t>
      </w:r>
      <w:r w:rsidRPr="00094D3C">
        <w:rPr>
          <w:rFonts w:ascii="Arial" w:hAnsi="Arial" w:cs="Arial"/>
        </w:rPr>
        <w:t>. Although the sales will improve within the six-month period and hence enhance the cash flow, there will be no perfect alignment of inflows and outflows of the company particularly considering the high rate at which it will pay its suppliers and pay its interest.</w:t>
      </w:r>
    </w:p>
    <w:p w14:paraId="5DA2B708" w14:textId="77777777" w:rsidR="00BE6462" w:rsidRPr="00094D3C" w:rsidRDefault="00BE6462" w:rsidP="00094D3C">
      <w:pPr>
        <w:rPr>
          <w:rFonts w:ascii="Arial" w:hAnsi="Arial" w:cs="Arial"/>
        </w:rPr>
      </w:pPr>
      <w:r w:rsidRPr="00094D3C">
        <w:rPr>
          <w:rFonts w:ascii="Arial" w:hAnsi="Arial" w:cs="Arial"/>
          <w:b/>
          <w:bCs/>
        </w:rPr>
        <w:t>Management Action:</w:t>
      </w:r>
      <w:r w:rsidRPr="00094D3C">
        <w:rPr>
          <w:rFonts w:ascii="Arial" w:hAnsi="Arial" w:cs="Arial"/>
        </w:rPr>
        <w:t xml:space="preserve"> In order to control cash flow, Silver Stitch Ltd may enter into a long payment duration with the suppliers or take a short-term credit facility to allow the gap. Also, the process of increasing the rate of credit card collections and restricting payment conditions with the customers can contribute more to the cash inflows. This will see the company receive sufficient liquidity to meet its operating costs and to deal with the overdraft.</w:t>
      </w:r>
    </w:p>
    <w:p w14:paraId="4654A44B" w14:textId="77777777" w:rsidR="00BE6462" w:rsidRPr="00094D3C" w:rsidRDefault="00BE6462" w:rsidP="00094D3C">
      <w:pPr>
        <w:rPr>
          <w:rFonts w:ascii="Arial" w:hAnsi="Arial" w:cs="Arial"/>
        </w:rPr>
      </w:pPr>
    </w:p>
    <w:p w14:paraId="382FAAC9" w14:textId="6EAC200A" w:rsidR="00BE6462" w:rsidRPr="00094D3C" w:rsidRDefault="00BE6462" w:rsidP="00094D3C">
      <w:pPr>
        <w:rPr>
          <w:rFonts w:ascii="Arial" w:hAnsi="Arial" w:cs="Arial"/>
          <w:b/>
          <w:bCs/>
        </w:rPr>
      </w:pPr>
      <w:r w:rsidRPr="00094D3C">
        <w:rPr>
          <w:rFonts w:ascii="Arial" w:hAnsi="Arial" w:cs="Arial"/>
          <w:b/>
          <w:bCs/>
        </w:rPr>
        <w:t>2. Inventory Management and Overstocking</w:t>
      </w:r>
    </w:p>
    <w:p w14:paraId="7EE17795" w14:textId="77777777" w:rsidR="00BE6462" w:rsidRPr="00094D3C" w:rsidRDefault="00BE6462" w:rsidP="00094D3C">
      <w:pPr>
        <w:rPr>
          <w:rFonts w:ascii="Arial" w:hAnsi="Arial" w:cs="Arial"/>
        </w:rPr>
      </w:pPr>
      <w:r w:rsidRPr="00094D3C">
        <w:rPr>
          <w:rFonts w:ascii="Arial" w:hAnsi="Arial" w:cs="Arial"/>
        </w:rPr>
        <w:t>According to the stock budget, the closing stock higher and higher, starting with the stock of 154,000 in July and 388,000 in December. Although this is in accordance with increasing sales, it might result in overstocking that liquidates precious cash in stock that is not sold.</w:t>
      </w:r>
    </w:p>
    <w:p w14:paraId="10517830" w14:textId="77D727FE" w:rsidR="00BE6462" w:rsidRPr="00094D3C" w:rsidRDefault="00BE6462" w:rsidP="00094D3C">
      <w:pPr>
        <w:rPr>
          <w:rFonts w:ascii="Arial" w:hAnsi="Arial" w:cs="Arial"/>
        </w:rPr>
      </w:pPr>
      <w:r w:rsidRPr="00094D3C">
        <w:rPr>
          <w:rFonts w:ascii="Arial" w:hAnsi="Arial" w:cs="Arial"/>
          <w:b/>
          <w:bCs/>
        </w:rPr>
        <w:t xml:space="preserve">Management Action: </w:t>
      </w:r>
      <w:r w:rsidRPr="00094D3C">
        <w:rPr>
          <w:rFonts w:ascii="Arial" w:hAnsi="Arial" w:cs="Arial"/>
        </w:rPr>
        <w:t>Silver Stitch Ltd needs to engage in stricter inventory management and it possible to adopt Just-in-Time (JIT) to reduce inventory holding costs</w:t>
      </w:r>
      <w:r w:rsidR="00096E61" w:rsidRPr="00094D3C">
        <w:rPr>
          <w:rFonts w:ascii="Arial" w:hAnsi="Arial" w:cs="Arial"/>
        </w:rPr>
        <w:t xml:space="preserve"> (Ferdi Yosranindi, 2024)</w:t>
      </w:r>
      <w:r w:rsidRPr="00094D3C">
        <w:rPr>
          <w:rFonts w:ascii="Arial" w:hAnsi="Arial" w:cs="Arial"/>
        </w:rPr>
        <w:t xml:space="preserve">. Inventory reviews will be conducted on a regular basis to ensure that the inventory levels are supported by the level of actual sales. The </w:t>
      </w:r>
      <w:r w:rsidRPr="00094D3C">
        <w:rPr>
          <w:rFonts w:ascii="Arial" w:hAnsi="Arial" w:cs="Arial"/>
        </w:rPr>
        <w:lastRenderedPageBreak/>
        <w:t>company is able to save on unnecessary inventory to release cash to other operational demands.</w:t>
      </w:r>
    </w:p>
    <w:p w14:paraId="18081E09" w14:textId="77777777" w:rsidR="00926B24" w:rsidRPr="00094D3C" w:rsidRDefault="00926B24" w:rsidP="00094D3C">
      <w:pPr>
        <w:rPr>
          <w:rFonts w:ascii="Arial" w:hAnsi="Arial" w:cs="Arial"/>
        </w:rPr>
      </w:pPr>
    </w:p>
    <w:p w14:paraId="61979CC6" w14:textId="0821E984" w:rsidR="00BE6462" w:rsidRPr="00094D3C" w:rsidRDefault="00BE6462" w:rsidP="00094D3C">
      <w:pPr>
        <w:rPr>
          <w:rFonts w:ascii="Arial" w:hAnsi="Arial" w:cs="Arial"/>
          <w:b/>
          <w:bCs/>
        </w:rPr>
      </w:pPr>
      <w:r w:rsidRPr="00094D3C">
        <w:rPr>
          <w:rFonts w:ascii="Arial" w:hAnsi="Arial" w:cs="Arial"/>
          <w:b/>
          <w:bCs/>
        </w:rPr>
        <w:t>3. High Operating Costs</w:t>
      </w:r>
    </w:p>
    <w:p w14:paraId="3F925612" w14:textId="77777777" w:rsidR="00BE6462" w:rsidRPr="00094D3C" w:rsidRDefault="00BE6462" w:rsidP="00094D3C">
      <w:pPr>
        <w:rPr>
          <w:rFonts w:ascii="Arial" w:hAnsi="Arial" w:cs="Arial"/>
        </w:rPr>
      </w:pPr>
      <w:r w:rsidRPr="00094D3C">
        <w:rPr>
          <w:rFonts w:ascii="Arial" w:hAnsi="Arial" w:cs="Arial"/>
        </w:rPr>
        <w:t>Although the net profit of the company is expected to be 286,137.50, the overall operating expenses are very high, particularly the administration costs (£117,000) and selling costs (45,000). These fixed costs may be a bigger burden to profitability in the event of a slowing growth of sales.</w:t>
      </w:r>
    </w:p>
    <w:p w14:paraId="4C9113D0" w14:textId="59D8F4D6" w:rsidR="00BE6462" w:rsidRPr="00094D3C" w:rsidRDefault="00BE6462" w:rsidP="00094D3C">
      <w:pPr>
        <w:rPr>
          <w:rFonts w:ascii="Arial" w:hAnsi="Arial" w:cs="Arial"/>
        </w:rPr>
      </w:pPr>
      <w:r w:rsidRPr="00094D3C">
        <w:rPr>
          <w:rFonts w:ascii="Arial" w:hAnsi="Arial" w:cs="Arial"/>
          <w:b/>
          <w:bCs/>
        </w:rPr>
        <w:t>Management Action:</w:t>
      </w:r>
      <w:r w:rsidRPr="00094D3C">
        <w:rPr>
          <w:rFonts w:ascii="Arial" w:hAnsi="Arial" w:cs="Arial"/>
        </w:rPr>
        <w:t xml:space="preserve"> To overcome this, Silver Stitch Ltd needs to address the matter of administrative costs by automating the procedures and renegotiating the contracts with the suppliers. There is also the opportunity to maximize marketing and sales, so that selling costs can be minimized in order to increase profit margins. An analysis of the discretionary spending particularly on overheads will keep the expenses within the real performance of sales.</w:t>
      </w:r>
    </w:p>
    <w:p w14:paraId="436BFCBD" w14:textId="77777777" w:rsidR="00926B24" w:rsidRPr="00094D3C" w:rsidRDefault="00926B24" w:rsidP="00094D3C">
      <w:pPr>
        <w:spacing w:after="160"/>
        <w:jc w:val="left"/>
        <w:rPr>
          <w:rFonts w:ascii="Arial" w:hAnsi="Arial" w:cs="Arial"/>
        </w:rPr>
      </w:pPr>
    </w:p>
    <w:p w14:paraId="675D516D" w14:textId="149BE4D2" w:rsidR="00926B24" w:rsidRPr="00094D3C" w:rsidRDefault="00926B24" w:rsidP="00094D3C">
      <w:pPr>
        <w:rPr>
          <w:rFonts w:ascii="Arial" w:hAnsi="Arial" w:cs="Arial"/>
          <w:b/>
          <w:bCs/>
        </w:rPr>
      </w:pPr>
      <w:r w:rsidRPr="00094D3C">
        <w:rPr>
          <w:rFonts w:ascii="Arial" w:hAnsi="Arial" w:cs="Arial"/>
          <w:b/>
          <w:bCs/>
        </w:rPr>
        <w:t>4. Interest Payments on credit cards</w:t>
      </w:r>
    </w:p>
    <w:p w14:paraId="473335CE" w14:textId="77777777" w:rsidR="00926B24" w:rsidRPr="00094D3C" w:rsidRDefault="00926B24" w:rsidP="00094D3C">
      <w:pPr>
        <w:rPr>
          <w:rFonts w:ascii="Arial" w:hAnsi="Arial" w:cs="Arial"/>
        </w:rPr>
      </w:pPr>
      <w:r w:rsidRPr="00094D3C">
        <w:rPr>
          <w:rFonts w:ascii="Arial" w:hAnsi="Arial" w:cs="Arial"/>
        </w:rPr>
        <w:t>Repayment of interest charged on credit card revenues (12862.50 in half a year) is a recurring expense. Such charges will be 2.5 percent of credit card sales, which will escalate with the increase in sales, straining the cash flow of a company.</w:t>
      </w:r>
    </w:p>
    <w:p w14:paraId="390CFABF" w14:textId="77777777" w:rsidR="00926B24" w:rsidRPr="00094D3C" w:rsidRDefault="00926B24" w:rsidP="00094D3C">
      <w:pPr>
        <w:rPr>
          <w:rFonts w:ascii="Arial" w:hAnsi="Arial" w:cs="Arial"/>
        </w:rPr>
      </w:pPr>
      <w:r w:rsidRPr="00094D3C">
        <w:rPr>
          <w:rFonts w:ascii="Arial" w:hAnsi="Arial" w:cs="Arial"/>
          <w:b/>
          <w:bCs/>
        </w:rPr>
        <w:t>Management Intervention:</w:t>
      </w:r>
      <w:r w:rsidRPr="00094D3C">
        <w:rPr>
          <w:rFonts w:ascii="Arial" w:hAnsi="Arial" w:cs="Arial"/>
        </w:rPr>
        <w:t xml:space="preserve"> To limit such interest rates, the firm may motivate customers to pay in less expensive ways like bank transfers. Alternatively, the management can negotiate with credit card firms to have lower interest rates or can look into other financing sources that come with lower interest rates. The exposure to high interest payments would also be mitigated through management of the percentage of payments made using credit card and the total sales.</w:t>
      </w:r>
    </w:p>
    <w:p w14:paraId="41FC3DAA" w14:textId="77777777" w:rsidR="00926B24" w:rsidRPr="00094D3C" w:rsidRDefault="00926B24" w:rsidP="00094D3C">
      <w:pPr>
        <w:rPr>
          <w:rFonts w:ascii="Arial" w:hAnsi="Arial" w:cs="Arial"/>
        </w:rPr>
      </w:pPr>
    </w:p>
    <w:p w14:paraId="04D67927" w14:textId="77777777" w:rsidR="00926B24" w:rsidRPr="00094D3C" w:rsidRDefault="00926B24" w:rsidP="00094D3C">
      <w:pPr>
        <w:rPr>
          <w:rFonts w:ascii="Arial" w:hAnsi="Arial" w:cs="Arial"/>
          <w:b/>
          <w:bCs/>
        </w:rPr>
      </w:pPr>
      <w:r w:rsidRPr="00094D3C">
        <w:rPr>
          <w:rFonts w:ascii="Arial" w:hAnsi="Arial" w:cs="Arial"/>
          <w:b/>
          <w:bCs/>
        </w:rPr>
        <w:t>5. Store Refurbishment Costs</w:t>
      </w:r>
    </w:p>
    <w:p w14:paraId="1EB94F09" w14:textId="624EF52E" w:rsidR="00926B24" w:rsidRPr="00094D3C" w:rsidRDefault="00926B24" w:rsidP="00094D3C">
      <w:pPr>
        <w:rPr>
          <w:rFonts w:ascii="Arial" w:hAnsi="Arial" w:cs="Arial"/>
        </w:rPr>
      </w:pPr>
      <w:r w:rsidRPr="00094D3C">
        <w:rPr>
          <w:rFonts w:ascii="Arial" w:hAnsi="Arial" w:cs="Arial"/>
        </w:rPr>
        <w:t>The budget has allocated the budget of refurbishing the stores at a cost of 37,000, and this will cause strain on cash flow particularly during the months that have low net cash flow. Although these refurbishments are significant towards long-term growth, it is a large capital expenditure</w:t>
      </w:r>
      <w:r w:rsidR="00096E61" w:rsidRPr="00094D3C">
        <w:rPr>
          <w:rFonts w:ascii="Arial" w:hAnsi="Arial" w:cs="Arial"/>
        </w:rPr>
        <w:t xml:space="preserve"> (Balasbaneh, Sher and Li, 2025)</w:t>
      </w:r>
      <w:r w:rsidRPr="00094D3C">
        <w:rPr>
          <w:rFonts w:ascii="Arial" w:hAnsi="Arial" w:cs="Arial"/>
        </w:rPr>
        <w:t>.</w:t>
      </w:r>
    </w:p>
    <w:p w14:paraId="664AE3A2" w14:textId="77777777" w:rsidR="00926B24" w:rsidRPr="00094D3C" w:rsidRDefault="00926B24" w:rsidP="00094D3C">
      <w:pPr>
        <w:rPr>
          <w:rFonts w:ascii="Arial" w:hAnsi="Arial" w:cs="Arial"/>
        </w:rPr>
      </w:pPr>
      <w:r w:rsidRPr="00094D3C">
        <w:rPr>
          <w:rFonts w:ascii="Arial" w:hAnsi="Arial" w:cs="Arial"/>
          <w:b/>
          <w:bCs/>
        </w:rPr>
        <w:t>Management Action:</w:t>
      </w:r>
      <w:r w:rsidRPr="00094D3C">
        <w:rPr>
          <w:rFonts w:ascii="Arial" w:hAnsi="Arial" w:cs="Arial"/>
        </w:rPr>
        <w:t xml:space="preserve"> Silver Stitch Ltd ought to have the refurbishment work spread out over more time so that the cost becomes more uniformly spread throughout the </w:t>
      </w:r>
      <w:r w:rsidRPr="00094D3C">
        <w:rPr>
          <w:rFonts w:ascii="Arial" w:hAnsi="Arial" w:cs="Arial"/>
        </w:rPr>
        <w:lastRenderedPageBreak/>
        <w:t>year. By focusing on high-traffic stores first and pushing work on less profitable stores to the backburner, it is possible to distribute financial obligations and better manage the cash flow.</w:t>
      </w:r>
    </w:p>
    <w:p w14:paraId="620BA4F3" w14:textId="77777777" w:rsidR="00926B24" w:rsidRPr="00094D3C" w:rsidRDefault="00926B24" w:rsidP="00094D3C">
      <w:pPr>
        <w:rPr>
          <w:rFonts w:ascii="Arial" w:hAnsi="Arial" w:cs="Arial"/>
        </w:rPr>
      </w:pPr>
    </w:p>
    <w:p w14:paraId="116B5E49" w14:textId="67910865" w:rsidR="00F13598" w:rsidRPr="00094D3C" w:rsidRDefault="00A219B8" w:rsidP="00094D3C">
      <w:pPr>
        <w:pStyle w:val="Heading1"/>
        <w:rPr>
          <w:rFonts w:ascii="Arial" w:hAnsi="Arial" w:cs="Arial"/>
        </w:rPr>
      </w:pPr>
      <w:bookmarkStart w:id="12" w:name="_Toc223790161"/>
      <w:r w:rsidRPr="00094D3C">
        <w:rPr>
          <w:rFonts w:ascii="Arial" w:hAnsi="Arial" w:cs="Arial"/>
        </w:rPr>
        <w:t xml:space="preserve">c) </w:t>
      </w:r>
      <w:r w:rsidR="00F13598" w:rsidRPr="00094D3C">
        <w:rPr>
          <w:rFonts w:ascii="Arial" w:hAnsi="Arial" w:cs="Arial"/>
        </w:rPr>
        <w:t xml:space="preserve">Conditions </w:t>
      </w:r>
      <w:r w:rsidR="00D474A5" w:rsidRPr="00094D3C">
        <w:rPr>
          <w:rFonts w:ascii="Arial" w:hAnsi="Arial" w:cs="Arial"/>
        </w:rPr>
        <w:t xml:space="preserve">and behaviour </w:t>
      </w:r>
      <w:r w:rsidR="00F13598" w:rsidRPr="00094D3C">
        <w:rPr>
          <w:rFonts w:ascii="Arial" w:hAnsi="Arial" w:cs="Arial"/>
        </w:rPr>
        <w:t>for Successful Budgeting</w:t>
      </w:r>
      <w:bookmarkEnd w:id="12"/>
    </w:p>
    <w:p w14:paraId="3AA81E04" w14:textId="4CFB2FA4" w:rsidR="00D474A5" w:rsidRPr="00094D3C" w:rsidRDefault="00D474A5" w:rsidP="00094D3C">
      <w:pPr>
        <w:pStyle w:val="Heading2"/>
        <w:rPr>
          <w:rFonts w:ascii="Arial" w:hAnsi="Arial" w:cs="Arial"/>
        </w:rPr>
      </w:pPr>
      <w:bookmarkStart w:id="13" w:name="_Toc223790162"/>
      <w:r w:rsidRPr="00094D3C">
        <w:rPr>
          <w:rFonts w:ascii="Arial" w:hAnsi="Arial" w:cs="Arial"/>
        </w:rPr>
        <w:t>Conditions for systematic budgeting</w:t>
      </w:r>
      <w:bookmarkEnd w:id="13"/>
    </w:p>
    <w:p w14:paraId="604D7F18" w14:textId="1BBC14D8" w:rsidR="00F13598" w:rsidRPr="00094D3C" w:rsidRDefault="00F13598" w:rsidP="00094D3C">
      <w:pPr>
        <w:rPr>
          <w:rFonts w:ascii="Arial" w:hAnsi="Arial" w:cs="Arial"/>
        </w:rPr>
      </w:pPr>
      <w:r w:rsidRPr="00094D3C">
        <w:rPr>
          <w:rFonts w:ascii="Arial" w:hAnsi="Arial" w:cs="Arial"/>
        </w:rPr>
        <w:t xml:space="preserve">Any budgeting system should be a success to ensure that the financial control of any given organization is successful. In order to be in a position to maximize on budgeting and budgetary control, there are some important conditions that Silver Stitch Ltd must satisfy in order to ensure the success of the system. The critical conditions to successful budgeting are listed below and four aspects of </w:t>
      </w:r>
      <w:r w:rsidR="00D474A5" w:rsidRPr="00094D3C">
        <w:rPr>
          <w:rFonts w:ascii="Arial" w:hAnsi="Arial" w:cs="Arial"/>
        </w:rPr>
        <w:t>behaviour</w:t>
      </w:r>
      <w:r w:rsidRPr="00094D3C">
        <w:rPr>
          <w:rFonts w:ascii="Arial" w:hAnsi="Arial" w:cs="Arial"/>
        </w:rPr>
        <w:t xml:space="preserve"> that the management should take into account during the introduction of such a system are briefly discussed below.</w:t>
      </w:r>
    </w:p>
    <w:p w14:paraId="1811B2DC" w14:textId="77777777" w:rsidR="00F13598" w:rsidRPr="00094D3C" w:rsidRDefault="00F13598" w:rsidP="00094D3C">
      <w:pPr>
        <w:rPr>
          <w:rFonts w:ascii="Arial" w:hAnsi="Arial" w:cs="Arial"/>
        </w:rPr>
      </w:pPr>
    </w:p>
    <w:p w14:paraId="7A074E0D" w14:textId="56655795" w:rsidR="00F13598" w:rsidRPr="00094D3C" w:rsidRDefault="00F13598" w:rsidP="00094D3C">
      <w:pPr>
        <w:rPr>
          <w:rFonts w:ascii="Arial" w:hAnsi="Arial" w:cs="Arial"/>
          <w:b/>
          <w:bCs/>
        </w:rPr>
      </w:pPr>
      <w:r w:rsidRPr="00094D3C">
        <w:rPr>
          <w:rFonts w:ascii="Arial" w:hAnsi="Arial" w:cs="Arial"/>
          <w:b/>
          <w:bCs/>
        </w:rPr>
        <w:t>1. Defined Organization Objectives and Goals</w:t>
      </w:r>
    </w:p>
    <w:p w14:paraId="0DC85EAE" w14:textId="2206F7E9" w:rsidR="00F13598" w:rsidRPr="00094D3C" w:rsidRDefault="00F13598" w:rsidP="00094D3C">
      <w:pPr>
        <w:rPr>
          <w:rFonts w:ascii="Arial" w:hAnsi="Arial" w:cs="Arial"/>
        </w:rPr>
      </w:pPr>
      <w:r w:rsidRPr="00094D3C">
        <w:rPr>
          <w:rFonts w:ascii="Arial" w:hAnsi="Arial" w:cs="Arial"/>
        </w:rPr>
        <w:t>To make budgeting effective, there should be clear goals and objectives within the organization that are more in line with the overall strategy of the organization. The objectives give a guide to the budgeting process and make the budget capture priorities of the business</w:t>
      </w:r>
      <w:r w:rsidR="00096E61" w:rsidRPr="00094D3C">
        <w:rPr>
          <w:rFonts w:ascii="Arial" w:hAnsi="Arial" w:cs="Arial"/>
        </w:rPr>
        <w:t xml:space="preserve"> (Galuh Prabowo and Lely Ana Ferawati Ekanigsih, 2025)</w:t>
      </w:r>
      <w:r w:rsidRPr="00094D3C">
        <w:rPr>
          <w:rFonts w:ascii="Arial" w:hAnsi="Arial" w:cs="Arial"/>
        </w:rPr>
        <w:t>. As seen in Silver Stitch Ltd, some of the goals that will be used to prepare the budgets will involve increasing the sales, enhancing cash flow, and ensuring that the operating costs are allocated in a manner that will help the company to achieve the strategic goals.</w:t>
      </w:r>
    </w:p>
    <w:p w14:paraId="19DA9ED0" w14:textId="77777777" w:rsidR="00F13598" w:rsidRPr="00094D3C" w:rsidRDefault="00F13598" w:rsidP="00094D3C">
      <w:pPr>
        <w:rPr>
          <w:rFonts w:ascii="Arial" w:hAnsi="Arial" w:cs="Arial"/>
        </w:rPr>
      </w:pPr>
      <w:r w:rsidRPr="00094D3C">
        <w:rPr>
          <w:rFonts w:ascii="Arial" w:hAnsi="Arial" w:cs="Arial"/>
          <w:b/>
          <w:bCs/>
        </w:rPr>
        <w:t>Condition:</w:t>
      </w:r>
      <w:r w:rsidRPr="00094D3C">
        <w:rPr>
          <w:rFonts w:ascii="Arial" w:hAnsi="Arial" w:cs="Arial"/>
        </w:rPr>
        <w:t xml:space="preserve"> Silver Stitch Ltd is advised to set clear financial and working objectives which should lead the budgeting process and make sure that the budget follows the general business strategy.</w:t>
      </w:r>
    </w:p>
    <w:p w14:paraId="730B4F9A" w14:textId="77777777" w:rsidR="00F13598" w:rsidRPr="00094D3C" w:rsidRDefault="00F13598" w:rsidP="00094D3C">
      <w:pPr>
        <w:rPr>
          <w:rFonts w:ascii="Arial" w:hAnsi="Arial" w:cs="Arial"/>
        </w:rPr>
      </w:pPr>
    </w:p>
    <w:p w14:paraId="13F9B013" w14:textId="33763DB4" w:rsidR="00F13598" w:rsidRPr="00094D3C" w:rsidRDefault="00F13598" w:rsidP="00094D3C">
      <w:pPr>
        <w:rPr>
          <w:rFonts w:ascii="Arial" w:hAnsi="Arial" w:cs="Arial"/>
          <w:b/>
          <w:bCs/>
        </w:rPr>
      </w:pPr>
      <w:r w:rsidRPr="00094D3C">
        <w:rPr>
          <w:rFonts w:ascii="Arial" w:hAnsi="Arial" w:cs="Arial"/>
          <w:b/>
          <w:bCs/>
        </w:rPr>
        <w:t>2. Right Information at the Right Time</w:t>
      </w:r>
    </w:p>
    <w:p w14:paraId="139E7142" w14:textId="77777777" w:rsidR="00F13598" w:rsidRPr="00094D3C" w:rsidRDefault="00F13598" w:rsidP="00094D3C">
      <w:pPr>
        <w:rPr>
          <w:rFonts w:ascii="Arial" w:hAnsi="Arial" w:cs="Arial"/>
        </w:rPr>
      </w:pPr>
      <w:r w:rsidRPr="00094D3C">
        <w:rPr>
          <w:rFonts w:ascii="Arial" w:hAnsi="Arial" w:cs="Arial"/>
        </w:rPr>
        <w:t xml:space="preserve">The budgets must be prepared using accurate and timely information that is critical in preparing realistic and actionable budgets. When the data upon which the budget is designed is obsolete or inaccurate, then the budget that is made will not be helpful and it will result in making poor decisions. In the case of Silver Stitch Ltd, this involves </w:t>
      </w:r>
      <w:r w:rsidRPr="00094D3C">
        <w:rPr>
          <w:rFonts w:ascii="Arial" w:hAnsi="Arial" w:cs="Arial"/>
        </w:rPr>
        <w:lastRenderedPageBreak/>
        <w:t>getting accurate sales projections, cost estimates and cash flow information among other things which will be required to come up with a sound budget.</w:t>
      </w:r>
    </w:p>
    <w:p w14:paraId="7FEF2103" w14:textId="77777777" w:rsidR="00F13598" w:rsidRPr="00094D3C" w:rsidRDefault="00F13598" w:rsidP="00094D3C">
      <w:pPr>
        <w:rPr>
          <w:rFonts w:ascii="Arial" w:hAnsi="Arial" w:cs="Arial"/>
        </w:rPr>
      </w:pPr>
      <w:r w:rsidRPr="00094D3C">
        <w:rPr>
          <w:rFonts w:ascii="Arial" w:hAnsi="Arial" w:cs="Arial"/>
          <w:b/>
          <w:bCs/>
        </w:rPr>
        <w:t>Condition:</w:t>
      </w:r>
      <w:r w:rsidRPr="00094D3C">
        <w:rPr>
          <w:rFonts w:ascii="Arial" w:hAnsi="Arial" w:cs="Arial"/>
        </w:rPr>
        <w:t xml:space="preserve"> The management should have reliable and timely data available and systems in place to collect and process the data should be available. Silver Stitch Ltd needs to have well developed accounting and financial systems, so that the availability of accurate information is guaranteed.</w:t>
      </w:r>
    </w:p>
    <w:p w14:paraId="13D26727" w14:textId="77777777" w:rsidR="00F13598" w:rsidRPr="00094D3C" w:rsidRDefault="00F13598" w:rsidP="00094D3C">
      <w:pPr>
        <w:rPr>
          <w:rFonts w:ascii="Arial" w:hAnsi="Arial" w:cs="Arial"/>
        </w:rPr>
      </w:pPr>
    </w:p>
    <w:p w14:paraId="09CC0EC6" w14:textId="4C3A4691" w:rsidR="00F13598" w:rsidRPr="00094D3C" w:rsidRDefault="00F13598" w:rsidP="00094D3C">
      <w:pPr>
        <w:rPr>
          <w:rFonts w:ascii="Arial" w:hAnsi="Arial" w:cs="Arial"/>
          <w:b/>
          <w:bCs/>
        </w:rPr>
      </w:pPr>
      <w:r w:rsidRPr="00094D3C">
        <w:rPr>
          <w:rFonts w:ascii="Arial" w:hAnsi="Arial" w:cs="Arial"/>
          <w:b/>
          <w:bCs/>
        </w:rPr>
        <w:t>3. Participation and Communication</w:t>
      </w:r>
    </w:p>
    <w:p w14:paraId="0EBD3639" w14:textId="7CD474CA" w:rsidR="00F13598" w:rsidRPr="00094D3C" w:rsidRDefault="00F13598" w:rsidP="00094D3C">
      <w:pPr>
        <w:rPr>
          <w:rFonts w:ascii="Arial" w:hAnsi="Arial" w:cs="Arial"/>
        </w:rPr>
      </w:pPr>
      <w:r w:rsidRPr="00094D3C">
        <w:rPr>
          <w:rFonts w:ascii="Arial" w:hAnsi="Arial" w:cs="Arial"/>
        </w:rPr>
        <w:t xml:space="preserve">It involves engaging every organizational level of the organization to have a successful budgeting process. Top-down budgeting may result to resistance and lack of ownership among customers, whereas bottom-up budgeting is guaranteed to incorporate the opinion of those who are involved in the daily activities. The company should also have effective communication among the </w:t>
      </w:r>
      <w:r w:rsidR="00094D3C" w:rsidRPr="00094D3C">
        <w:rPr>
          <w:rFonts w:ascii="Arial" w:hAnsi="Arial" w:cs="Arial"/>
        </w:rPr>
        <w:t>departments,</w:t>
      </w:r>
      <w:r w:rsidRPr="00094D3C">
        <w:rPr>
          <w:rFonts w:ascii="Arial" w:hAnsi="Arial" w:cs="Arial"/>
        </w:rPr>
        <w:t xml:space="preserve"> and this is important in ensuring that the whole organization is moving towards similar financial objectives</w:t>
      </w:r>
      <w:r w:rsidR="00096E61" w:rsidRPr="00094D3C">
        <w:rPr>
          <w:rFonts w:ascii="Arial" w:hAnsi="Arial" w:cs="Arial"/>
        </w:rPr>
        <w:t xml:space="preserve"> (Klopp, 2023)</w:t>
      </w:r>
      <w:r w:rsidRPr="00094D3C">
        <w:rPr>
          <w:rFonts w:ascii="Arial" w:hAnsi="Arial" w:cs="Arial"/>
        </w:rPr>
        <w:t>.</w:t>
      </w:r>
    </w:p>
    <w:p w14:paraId="59BCA0A4" w14:textId="2586D318" w:rsidR="00F13598" w:rsidRPr="00094D3C" w:rsidRDefault="00F13598" w:rsidP="00094D3C">
      <w:pPr>
        <w:rPr>
          <w:rFonts w:ascii="Arial" w:hAnsi="Arial" w:cs="Arial"/>
        </w:rPr>
      </w:pPr>
      <w:r w:rsidRPr="00094D3C">
        <w:rPr>
          <w:rFonts w:ascii="Arial" w:hAnsi="Arial" w:cs="Arial"/>
          <w:b/>
          <w:bCs/>
        </w:rPr>
        <w:t>Condition:</w:t>
      </w:r>
      <w:r w:rsidRPr="00094D3C">
        <w:rPr>
          <w:rFonts w:ascii="Arial" w:hAnsi="Arial" w:cs="Arial"/>
        </w:rPr>
        <w:t xml:space="preserve"> Silver Stitch Ltd ought to promote the departmental cooperation and make the budgeting process inclusive. Engagement of managers and employees to all levels will create a sense of ownership and responsibility resulting in enhanced adherence to the budget.</w:t>
      </w:r>
    </w:p>
    <w:p w14:paraId="43CEF196" w14:textId="77777777" w:rsidR="00006F7D" w:rsidRPr="00094D3C" w:rsidRDefault="00006F7D" w:rsidP="00094D3C">
      <w:pPr>
        <w:rPr>
          <w:rFonts w:ascii="Arial" w:hAnsi="Arial" w:cs="Arial"/>
        </w:rPr>
      </w:pPr>
    </w:p>
    <w:p w14:paraId="07B5B8CE" w14:textId="214AA0B4" w:rsidR="00006F7D" w:rsidRPr="00094D3C" w:rsidRDefault="00006F7D" w:rsidP="00094D3C">
      <w:pPr>
        <w:rPr>
          <w:rFonts w:ascii="Arial" w:hAnsi="Arial" w:cs="Arial"/>
          <w:b/>
          <w:bCs/>
        </w:rPr>
      </w:pPr>
      <w:r w:rsidRPr="00094D3C">
        <w:rPr>
          <w:rFonts w:ascii="Arial" w:hAnsi="Arial" w:cs="Arial"/>
          <w:b/>
          <w:bCs/>
        </w:rPr>
        <w:t>4. Adaptability and Flexibility</w:t>
      </w:r>
    </w:p>
    <w:p w14:paraId="6F3B3AF3" w14:textId="77777777" w:rsidR="00006F7D" w:rsidRPr="00094D3C" w:rsidRDefault="00006F7D" w:rsidP="00094D3C">
      <w:pPr>
        <w:rPr>
          <w:rFonts w:ascii="Arial" w:hAnsi="Arial" w:cs="Arial"/>
        </w:rPr>
      </w:pPr>
      <w:r w:rsidRPr="00094D3C">
        <w:rPr>
          <w:rFonts w:ascii="Arial" w:hAnsi="Arial" w:cs="Arial"/>
        </w:rPr>
        <w:t>Business environment is dynamic and a strict and set rigid budget may turn into an obstacle instead of a success tool. Budgeting requires effective adjustment to unpredictable events that might occur or modifications in the market condition. To illustrate, the Silver Stitch Ltd should be able to make adjustments in the budget in case of unforeseen demand alterations or cost variations.</w:t>
      </w:r>
    </w:p>
    <w:p w14:paraId="241C0F4C" w14:textId="77777777" w:rsidR="00006F7D" w:rsidRPr="00094D3C" w:rsidRDefault="00006F7D" w:rsidP="00094D3C">
      <w:pPr>
        <w:rPr>
          <w:rFonts w:ascii="Arial" w:hAnsi="Arial" w:cs="Arial"/>
        </w:rPr>
      </w:pPr>
      <w:r w:rsidRPr="00094D3C">
        <w:rPr>
          <w:rFonts w:ascii="Arial" w:hAnsi="Arial" w:cs="Arial"/>
          <w:b/>
          <w:bCs/>
        </w:rPr>
        <w:t>Condition:</w:t>
      </w:r>
      <w:r w:rsidRPr="00094D3C">
        <w:rPr>
          <w:rFonts w:ascii="Arial" w:hAnsi="Arial" w:cs="Arial"/>
        </w:rPr>
        <w:t xml:space="preserve"> Silver Stitch Ltd would be required to use a flexible budgeting technique, which is rolling forecast, where it can make any changes to the budget depending on the actual performance and the conditions.</w:t>
      </w:r>
    </w:p>
    <w:p w14:paraId="63839399" w14:textId="77777777" w:rsidR="00006F7D" w:rsidRPr="00094D3C" w:rsidRDefault="00006F7D" w:rsidP="00094D3C">
      <w:pPr>
        <w:rPr>
          <w:rFonts w:ascii="Arial" w:hAnsi="Arial" w:cs="Arial"/>
        </w:rPr>
      </w:pPr>
    </w:p>
    <w:p w14:paraId="49C24F3D" w14:textId="6350F9E2" w:rsidR="00006F7D" w:rsidRPr="00094D3C" w:rsidRDefault="00BD05A5" w:rsidP="00094D3C">
      <w:pPr>
        <w:pStyle w:val="Heading2"/>
        <w:rPr>
          <w:rFonts w:ascii="Arial" w:hAnsi="Arial" w:cs="Arial"/>
        </w:rPr>
      </w:pPr>
      <w:bookmarkStart w:id="14" w:name="_Toc223790163"/>
      <w:r w:rsidRPr="00094D3C">
        <w:rPr>
          <w:rFonts w:ascii="Arial" w:hAnsi="Arial" w:cs="Arial"/>
        </w:rPr>
        <w:t>Behavioural</w:t>
      </w:r>
      <w:r w:rsidR="00006F7D" w:rsidRPr="00094D3C">
        <w:rPr>
          <w:rFonts w:ascii="Arial" w:hAnsi="Arial" w:cs="Arial"/>
        </w:rPr>
        <w:t xml:space="preserve"> Implications in Budgeting</w:t>
      </w:r>
      <w:bookmarkEnd w:id="14"/>
    </w:p>
    <w:p w14:paraId="069DE7C9" w14:textId="69905DD5" w:rsidR="00006F7D" w:rsidRPr="00094D3C" w:rsidRDefault="00006F7D" w:rsidP="00094D3C">
      <w:pPr>
        <w:rPr>
          <w:rFonts w:ascii="Arial" w:hAnsi="Arial" w:cs="Arial"/>
        </w:rPr>
      </w:pPr>
      <w:r w:rsidRPr="00094D3C">
        <w:rPr>
          <w:rFonts w:ascii="Arial" w:hAnsi="Arial" w:cs="Arial"/>
        </w:rPr>
        <w:t xml:space="preserve">The management should also focus on the </w:t>
      </w:r>
      <w:r w:rsidR="00BD05A5" w:rsidRPr="00094D3C">
        <w:rPr>
          <w:rFonts w:ascii="Arial" w:hAnsi="Arial" w:cs="Arial"/>
        </w:rPr>
        <w:t>behaviours</w:t>
      </w:r>
      <w:r w:rsidRPr="00094D3C">
        <w:rPr>
          <w:rFonts w:ascii="Arial" w:hAnsi="Arial" w:cs="Arial"/>
        </w:rPr>
        <w:t xml:space="preserve"> and attitudes of employees when addressing a budgeting system. Effective budgeting involves good planning of the budgeting process and having a motivated work force that is willing to follow and </w:t>
      </w:r>
      <w:r w:rsidRPr="00094D3C">
        <w:rPr>
          <w:rFonts w:ascii="Arial" w:hAnsi="Arial" w:cs="Arial"/>
        </w:rPr>
        <w:lastRenderedPageBreak/>
        <w:t>comply with the budget. There are four major behavioural aspects that the management needs to consider and they include:</w:t>
      </w:r>
    </w:p>
    <w:p w14:paraId="72D1BC85" w14:textId="77777777" w:rsidR="00006F7D" w:rsidRPr="00094D3C" w:rsidRDefault="00006F7D" w:rsidP="00094D3C">
      <w:pPr>
        <w:rPr>
          <w:rFonts w:ascii="Arial" w:hAnsi="Arial" w:cs="Arial"/>
        </w:rPr>
      </w:pPr>
    </w:p>
    <w:p w14:paraId="733A247D" w14:textId="77777777" w:rsidR="00006F7D" w:rsidRPr="00094D3C" w:rsidRDefault="00006F7D" w:rsidP="00094D3C">
      <w:pPr>
        <w:rPr>
          <w:rFonts w:ascii="Arial" w:hAnsi="Arial" w:cs="Arial"/>
          <w:b/>
          <w:bCs/>
        </w:rPr>
      </w:pPr>
      <w:r w:rsidRPr="00094D3C">
        <w:rPr>
          <w:rFonts w:ascii="Arial" w:hAnsi="Arial" w:cs="Arial"/>
          <w:b/>
          <w:bCs/>
        </w:rPr>
        <w:t>1. Motivation and Engagement</w:t>
      </w:r>
    </w:p>
    <w:p w14:paraId="6920F463" w14:textId="38800EA0" w:rsidR="00006F7D" w:rsidRPr="00094D3C" w:rsidRDefault="00006F7D" w:rsidP="00094D3C">
      <w:pPr>
        <w:rPr>
          <w:rFonts w:ascii="Arial" w:hAnsi="Arial" w:cs="Arial"/>
        </w:rPr>
      </w:pPr>
      <w:r w:rsidRPr="00094D3C">
        <w:rPr>
          <w:rFonts w:ascii="Arial" w:hAnsi="Arial" w:cs="Arial"/>
        </w:rPr>
        <w:t xml:space="preserve">Employees should be encouraged to stick to the </w:t>
      </w:r>
      <w:r w:rsidR="00094D3C" w:rsidRPr="00094D3C">
        <w:rPr>
          <w:rFonts w:ascii="Arial" w:hAnsi="Arial" w:cs="Arial"/>
        </w:rPr>
        <w:t>budget,</w:t>
      </w:r>
      <w:r w:rsidRPr="00094D3C">
        <w:rPr>
          <w:rFonts w:ascii="Arial" w:hAnsi="Arial" w:cs="Arial"/>
        </w:rPr>
        <w:t xml:space="preserve"> and this has to be done through good communication and even by relating the budget to the performance review and rewards</w:t>
      </w:r>
      <w:r w:rsidR="00096E61" w:rsidRPr="00094D3C">
        <w:rPr>
          <w:rFonts w:ascii="Arial" w:hAnsi="Arial" w:cs="Arial"/>
        </w:rPr>
        <w:t xml:space="preserve"> (Zhou et al., 2025)</w:t>
      </w:r>
      <w:r w:rsidRPr="00094D3C">
        <w:rPr>
          <w:rFonts w:ascii="Arial" w:hAnsi="Arial" w:cs="Arial"/>
        </w:rPr>
        <w:t>. Employees will feel that they will be more in charge of their performance when they realize that their actions affect the budget and they are encouraged to achieve financial targets.</w:t>
      </w:r>
    </w:p>
    <w:p w14:paraId="0064FBE5" w14:textId="321BA578" w:rsidR="00006F7D" w:rsidRPr="00094D3C" w:rsidRDefault="00D808FA" w:rsidP="00094D3C">
      <w:pPr>
        <w:rPr>
          <w:rFonts w:ascii="Arial" w:hAnsi="Arial" w:cs="Arial"/>
        </w:rPr>
      </w:pPr>
      <w:r w:rsidRPr="00094D3C">
        <w:rPr>
          <w:rFonts w:ascii="Arial" w:hAnsi="Arial" w:cs="Arial"/>
          <w:b/>
          <w:bCs/>
        </w:rPr>
        <w:t>Behavioural</w:t>
      </w:r>
      <w:r w:rsidR="00006F7D" w:rsidRPr="00094D3C">
        <w:rPr>
          <w:rFonts w:ascii="Arial" w:hAnsi="Arial" w:cs="Arial"/>
          <w:b/>
          <w:bCs/>
        </w:rPr>
        <w:t xml:space="preserve"> Factor:</w:t>
      </w:r>
      <w:r w:rsidR="00006F7D" w:rsidRPr="00094D3C">
        <w:rPr>
          <w:rFonts w:ascii="Arial" w:hAnsi="Arial" w:cs="Arial"/>
        </w:rPr>
        <w:t xml:space="preserve"> Silver Stitch Ltd ought to make employees feel that they are expected to achieve goals set in the budget by expectations and rewards on how the budget is achieved and surpassed.</w:t>
      </w:r>
    </w:p>
    <w:p w14:paraId="3D201F36" w14:textId="77777777" w:rsidR="00006F7D" w:rsidRPr="00094D3C" w:rsidRDefault="00006F7D" w:rsidP="00094D3C">
      <w:pPr>
        <w:rPr>
          <w:rFonts w:ascii="Arial" w:hAnsi="Arial" w:cs="Arial"/>
        </w:rPr>
      </w:pPr>
    </w:p>
    <w:p w14:paraId="145A3C1A" w14:textId="77777777" w:rsidR="00006F7D" w:rsidRPr="00094D3C" w:rsidRDefault="00006F7D" w:rsidP="00094D3C">
      <w:pPr>
        <w:rPr>
          <w:rFonts w:ascii="Arial" w:hAnsi="Arial" w:cs="Arial"/>
          <w:b/>
          <w:bCs/>
        </w:rPr>
      </w:pPr>
      <w:r w:rsidRPr="00094D3C">
        <w:rPr>
          <w:rFonts w:ascii="Arial" w:hAnsi="Arial" w:cs="Arial"/>
          <w:b/>
          <w:bCs/>
        </w:rPr>
        <w:t>2. Resistance to Change</w:t>
      </w:r>
    </w:p>
    <w:p w14:paraId="47E335C1" w14:textId="77777777" w:rsidR="00006F7D" w:rsidRPr="00094D3C" w:rsidRDefault="00006F7D" w:rsidP="00094D3C">
      <w:pPr>
        <w:rPr>
          <w:rFonts w:ascii="Arial" w:hAnsi="Arial" w:cs="Arial"/>
        </w:rPr>
      </w:pPr>
      <w:r w:rsidRPr="00094D3C">
        <w:rPr>
          <w:rFonts w:ascii="Arial" w:hAnsi="Arial" w:cs="Arial"/>
        </w:rPr>
        <w:t>Implementation of a new budget system can be met with opposition by the employees who might be used to present-established practices. Employee resistance to change may sabotage the effectiveness of the budgeting system in case employees fail to engage in the process or they feel that their issues are not being taken care of.</w:t>
      </w:r>
    </w:p>
    <w:p w14:paraId="0B95771F" w14:textId="28AD8987" w:rsidR="00006F7D" w:rsidRPr="00094D3C" w:rsidRDefault="00D808FA" w:rsidP="00094D3C">
      <w:pPr>
        <w:rPr>
          <w:rFonts w:ascii="Arial" w:hAnsi="Arial" w:cs="Arial"/>
        </w:rPr>
      </w:pPr>
      <w:r w:rsidRPr="00094D3C">
        <w:rPr>
          <w:rFonts w:ascii="Arial" w:hAnsi="Arial" w:cs="Arial"/>
          <w:b/>
          <w:bCs/>
        </w:rPr>
        <w:t>Behavioural</w:t>
      </w:r>
      <w:r w:rsidR="00006F7D" w:rsidRPr="00094D3C">
        <w:rPr>
          <w:rFonts w:ascii="Arial" w:hAnsi="Arial" w:cs="Arial"/>
          <w:b/>
          <w:bCs/>
        </w:rPr>
        <w:t xml:space="preserve"> Factor:</w:t>
      </w:r>
      <w:r w:rsidR="00006F7D" w:rsidRPr="00094D3C">
        <w:rPr>
          <w:rFonts w:ascii="Arial" w:hAnsi="Arial" w:cs="Arial"/>
        </w:rPr>
        <w:t xml:space="preserve"> The management should be able to successfully implement the change by communicating the advantages of the new system clearly and engage the employees in the process in order to decrease the resistance and create the acceptability.</w:t>
      </w:r>
    </w:p>
    <w:p w14:paraId="6C72A9A0" w14:textId="77777777" w:rsidR="00A0086E" w:rsidRPr="00094D3C" w:rsidRDefault="00A0086E" w:rsidP="00094D3C">
      <w:pPr>
        <w:rPr>
          <w:rFonts w:ascii="Arial" w:hAnsi="Arial" w:cs="Arial"/>
        </w:rPr>
      </w:pPr>
    </w:p>
    <w:p w14:paraId="42A778C6" w14:textId="7545D274" w:rsidR="00A0086E" w:rsidRPr="00094D3C" w:rsidRDefault="00A0086E" w:rsidP="00094D3C">
      <w:pPr>
        <w:rPr>
          <w:rFonts w:ascii="Arial" w:hAnsi="Arial" w:cs="Arial"/>
          <w:b/>
          <w:bCs/>
        </w:rPr>
      </w:pPr>
      <w:r w:rsidRPr="00094D3C">
        <w:rPr>
          <w:rFonts w:ascii="Arial" w:hAnsi="Arial" w:cs="Arial"/>
          <w:b/>
          <w:bCs/>
        </w:rPr>
        <w:t>3. Responsibility and Ownership</w:t>
      </w:r>
    </w:p>
    <w:p w14:paraId="4A560167" w14:textId="77777777" w:rsidR="00A0086E" w:rsidRPr="00094D3C" w:rsidRDefault="00A0086E" w:rsidP="00094D3C">
      <w:pPr>
        <w:rPr>
          <w:rFonts w:ascii="Arial" w:hAnsi="Arial" w:cs="Arial"/>
        </w:rPr>
      </w:pPr>
      <w:r w:rsidRPr="00094D3C">
        <w:rPr>
          <w:rFonts w:ascii="Arial" w:hAnsi="Arial" w:cs="Arial"/>
        </w:rPr>
        <w:t>Budgeting should be successful by ensuring that employees have a feeling of ownership and responsibility to the budget in their respective departments. When the people are held responsible on their budgetary performance, they would have the appropriate measures to control themselves to remain within budget and deal with any variances.</w:t>
      </w:r>
    </w:p>
    <w:p w14:paraId="4234E6A0" w14:textId="66A5F685" w:rsidR="00A0086E" w:rsidRPr="00094D3C" w:rsidRDefault="00A0086E" w:rsidP="00094D3C">
      <w:pPr>
        <w:rPr>
          <w:rFonts w:ascii="Arial" w:hAnsi="Arial" w:cs="Arial"/>
        </w:rPr>
      </w:pPr>
      <w:r w:rsidRPr="00094D3C">
        <w:rPr>
          <w:rFonts w:ascii="Arial" w:hAnsi="Arial" w:cs="Arial"/>
          <w:b/>
          <w:bCs/>
        </w:rPr>
        <w:t>Behavioural Factor:</w:t>
      </w:r>
      <w:r w:rsidRPr="00094D3C">
        <w:rPr>
          <w:rFonts w:ascii="Arial" w:hAnsi="Arial" w:cs="Arial"/>
        </w:rPr>
        <w:t xml:space="preserve"> Silver Stitch Ltd ought to make managers and employees responsible in achieving their budget, they should have reporting systems and regularly review performance</w:t>
      </w:r>
      <w:r w:rsidR="00096E61" w:rsidRPr="00094D3C">
        <w:rPr>
          <w:rFonts w:ascii="Arial" w:hAnsi="Arial" w:cs="Arial"/>
        </w:rPr>
        <w:t xml:space="preserve"> (Helle and Roberts, 2023)</w:t>
      </w:r>
      <w:r w:rsidRPr="00094D3C">
        <w:rPr>
          <w:rFonts w:ascii="Arial" w:hAnsi="Arial" w:cs="Arial"/>
        </w:rPr>
        <w:t>.</w:t>
      </w:r>
    </w:p>
    <w:p w14:paraId="02804D37" w14:textId="77777777" w:rsidR="00A0086E" w:rsidRPr="00094D3C" w:rsidRDefault="00A0086E" w:rsidP="00094D3C">
      <w:pPr>
        <w:rPr>
          <w:rFonts w:ascii="Arial" w:hAnsi="Arial" w:cs="Arial"/>
        </w:rPr>
      </w:pPr>
    </w:p>
    <w:p w14:paraId="0F1ED63B" w14:textId="77777777" w:rsidR="00A0086E" w:rsidRPr="00094D3C" w:rsidRDefault="00A0086E" w:rsidP="00094D3C">
      <w:pPr>
        <w:rPr>
          <w:rFonts w:ascii="Arial" w:hAnsi="Arial" w:cs="Arial"/>
          <w:b/>
          <w:bCs/>
        </w:rPr>
      </w:pPr>
      <w:r w:rsidRPr="00094D3C">
        <w:rPr>
          <w:rFonts w:ascii="Arial" w:hAnsi="Arial" w:cs="Arial"/>
          <w:b/>
          <w:bCs/>
        </w:rPr>
        <w:t>4. Goal Setting and Realism</w:t>
      </w:r>
    </w:p>
    <w:p w14:paraId="703A6C42" w14:textId="77777777" w:rsidR="00A0086E" w:rsidRPr="00094D3C" w:rsidRDefault="00A0086E" w:rsidP="00094D3C">
      <w:pPr>
        <w:rPr>
          <w:rFonts w:ascii="Arial" w:hAnsi="Arial" w:cs="Arial"/>
        </w:rPr>
      </w:pPr>
      <w:r w:rsidRPr="00094D3C">
        <w:rPr>
          <w:rFonts w:ascii="Arial" w:hAnsi="Arial" w:cs="Arial"/>
        </w:rPr>
        <w:lastRenderedPageBreak/>
        <w:t>Budgets should be realistic and attainable because the employees will be motivated to work. Impractical goals may result in frustrations and decreased morale and non-adherence to the budget. There is need to ensure that the goals are set realistically with attainable goals as the employees must feel that the goals are realistic.</w:t>
      </w:r>
    </w:p>
    <w:p w14:paraId="0C581970" w14:textId="77777777" w:rsidR="00A0086E" w:rsidRPr="00094D3C" w:rsidRDefault="00A0086E" w:rsidP="00094D3C">
      <w:pPr>
        <w:rPr>
          <w:rFonts w:ascii="Arial" w:hAnsi="Arial" w:cs="Arial"/>
        </w:rPr>
      </w:pPr>
    </w:p>
    <w:p w14:paraId="0D6BBAC4" w14:textId="77777777" w:rsidR="00356225" w:rsidRPr="00094D3C" w:rsidRDefault="00A0086E" w:rsidP="00094D3C">
      <w:pPr>
        <w:rPr>
          <w:rFonts w:ascii="Arial" w:hAnsi="Arial" w:cs="Arial"/>
        </w:rPr>
      </w:pPr>
      <w:r w:rsidRPr="00094D3C">
        <w:rPr>
          <w:rFonts w:ascii="Arial" w:hAnsi="Arial" w:cs="Arial"/>
          <w:b/>
          <w:bCs/>
        </w:rPr>
        <w:t>Behavioural Factor:</w:t>
      </w:r>
      <w:r w:rsidRPr="00094D3C">
        <w:rPr>
          <w:rFonts w:ascii="Arial" w:hAnsi="Arial" w:cs="Arial"/>
        </w:rPr>
        <w:t xml:space="preserve"> Silver Stitch Ltd ought to make certain the budget is pegged on realistic assumptions and the targets are attainable, which leads to feeling of accomplishment upon attainment of goals. </w:t>
      </w:r>
    </w:p>
    <w:p w14:paraId="1263DD78" w14:textId="77777777" w:rsidR="00356225" w:rsidRPr="00094D3C" w:rsidRDefault="00356225" w:rsidP="00094D3C">
      <w:pPr>
        <w:rPr>
          <w:rFonts w:ascii="Arial" w:hAnsi="Arial" w:cs="Arial"/>
        </w:rPr>
      </w:pPr>
    </w:p>
    <w:p w14:paraId="7A32F603" w14:textId="77777777" w:rsidR="00D474A5" w:rsidRPr="00094D3C" w:rsidRDefault="00356225" w:rsidP="00094D3C">
      <w:pPr>
        <w:pStyle w:val="Heading1"/>
        <w:rPr>
          <w:rFonts w:ascii="Arial" w:hAnsi="Arial" w:cs="Arial"/>
        </w:rPr>
      </w:pPr>
      <w:bookmarkStart w:id="15" w:name="_Toc223790164"/>
      <w:r w:rsidRPr="00094D3C">
        <w:rPr>
          <w:rFonts w:ascii="Arial" w:hAnsi="Arial" w:cs="Arial"/>
        </w:rPr>
        <w:t>d) Evaluation of Traditional Budgeting Approaches</w:t>
      </w:r>
      <w:bookmarkEnd w:id="15"/>
      <w:r w:rsidRPr="00094D3C">
        <w:rPr>
          <w:rFonts w:ascii="Arial" w:hAnsi="Arial" w:cs="Arial"/>
        </w:rPr>
        <w:t xml:space="preserve"> </w:t>
      </w:r>
    </w:p>
    <w:p w14:paraId="3F23788F" w14:textId="4716224B" w:rsidR="00D474A5" w:rsidRPr="00094D3C" w:rsidRDefault="00D474A5" w:rsidP="00094D3C">
      <w:pPr>
        <w:rPr>
          <w:rFonts w:ascii="Arial" w:hAnsi="Arial" w:cs="Arial"/>
        </w:rPr>
      </w:pPr>
      <w:r w:rsidRPr="00094D3C">
        <w:rPr>
          <w:rFonts w:ascii="Arial" w:hAnsi="Arial" w:cs="Arial"/>
        </w:rPr>
        <w:t xml:space="preserve">Conventional ways of budgeting have historically been part and parcel of the financial management. Nonetheless, with the growing dynamic nature of the business environments, the weakness of these traditional practices has become even more evident. This is a critical analysis of the traditional budgeting and its application within a dynamic business environment with a view to identifying the flaws intrinsic in </w:t>
      </w:r>
      <w:r w:rsidR="00094D3C" w:rsidRPr="00094D3C">
        <w:rPr>
          <w:rFonts w:ascii="Arial" w:hAnsi="Arial" w:cs="Arial"/>
        </w:rPr>
        <w:t>it and</w:t>
      </w:r>
      <w:r w:rsidRPr="00094D3C">
        <w:rPr>
          <w:rFonts w:ascii="Arial" w:hAnsi="Arial" w:cs="Arial"/>
        </w:rPr>
        <w:t xml:space="preserve"> recommending alternatives.</w:t>
      </w:r>
    </w:p>
    <w:p w14:paraId="561EAB20" w14:textId="77777777" w:rsidR="00D474A5" w:rsidRPr="00094D3C" w:rsidRDefault="00D474A5" w:rsidP="00094D3C">
      <w:pPr>
        <w:rPr>
          <w:rFonts w:ascii="Arial" w:hAnsi="Arial" w:cs="Arial"/>
          <w:b/>
          <w:bCs/>
        </w:rPr>
      </w:pPr>
      <w:r w:rsidRPr="00094D3C">
        <w:rPr>
          <w:rFonts w:ascii="Arial" w:hAnsi="Arial" w:cs="Arial"/>
          <w:b/>
          <w:bCs/>
        </w:rPr>
        <w:t>1. Fixed and Inflexible Nature</w:t>
      </w:r>
    </w:p>
    <w:p w14:paraId="67500FC7" w14:textId="77777777" w:rsidR="00D474A5" w:rsidRPr="00094D3C" w:rsidRDefault="00D474A5" w:rsidP="00094D3C">
      <w:pPr>
        <w:rPr>
          <w:rFonts w:ascii="Arial" w:hAnsi="Arial" w:cs="Arial"/>
        </w:rPr>
      </w:pPr>
      <w:r w:rsidRPr="00094D3C">
        <w:rPr>
          <w:rFonts w:ascii="Arial" w:hAnsi="Arial" w:cs="Arial"/>
        </w:rPr>
        <w:t>There are traditional budgets usually determined on annual basis which uses past data and assumptions. Although this strategy may be effective in the stable environment, it is not as effective in the dynamic setting where market shifts and customer preferences change at a very fast pace. Annual budgets are completely static and therefore may soon be out-of-date and irrelevant causing an opportunity to be missed or the wrong resources to be allocated.</w:t>
      </w:r>
    </w:p>
    <w:p w14:paraId="3D58FB5D" w14:textId="298B8908" w:rsidR="00D474A5" w:rsidRPr="00094D3C" w:rsidRDefault="004F6AC3" w:rsidP="00094D3C">
      <w:pPr>
        <w:pStyle w:val="ListParagraph"/>
        <w:numPr>
          <w:ilvl w:val="0"/>
          <w:numId w:val="1"/>
        </w:numPr>
        <w:ind w:left="180" w:hanging="180"/>
        <w:rPr>
          <w:rFonts w:ascii="Arial" w:hAnsi="Arial" w:cs="Arial"/>
        </w:rPr>
      </w:pPr>
      <w:r w:rsidRPr="00094D3C">
        <w:rPr>
          <w:rFonts w:ascii="Arial" w:hAnsi="Arial" w:cs="Arial"/>
          <w:b/>
          <w:bCs/>
        </w:rPr>
        <w:t>Flaw:</w:t>
      </w:r>
      <w:r w:rsidR="00D474A5" w:rsidRPr="00094D3C">
        <w:rPr>
          <w:rFonts w:ascii="Arial" w:hAnsi="Arial" w:cs="Arial"/>
        </w:rPr>
        <w:t xml:space="preserve"> In the traditional budget, any change in the external environment is difficult to accommodate hence the companies find it difficult in responding to unplanned events such as market disruption or demand changes.</w:t>
      </w:r>
    </w:p>
    <w:p w14:paraId="0D60B521" w14:textId="4FA6A671" w:rsidR="00D474A5" w:rsidRPr="00094D3C" w:rsidRDefault="00D474A5" w:rsidP="00094D3C">
      <w:pPr>
        <w:pStyle w:val="ListParagraph"/>
        <w:numPr>
          <w:ilvl w:val="0"/>
          <w:numId w:val="1"/>
        </w:numPr>
        <w:ind w:left="180" w:hanging="180"/>
        <w:rPr>
          <w:rFonts w:ascii="Arial" w:hAnsi="Arial" w:cs="Arial"/>
        </w:rPr>
      </w:pPr>
      <w:r w:rsidRPr="00094D3C">
        <w:rPr>
          <w:rFonts w:ascii="Arial" w:hAnsi="Arial" w:cs="Arial"/>
          <w:b/>
          <w:bCs/>
        </w:rPr>
        <w:t>Alternative:</w:t>
      </w:r>
      <w:r w:rsidRPr="00094D3C">
        <w:rPr>
          <w:rFonts w:ascii="Arial" w:hAnsi="Arial" w:cs="Arial"/>
        </w:rPr>
        <w:t xml:space="preserve"> Rolling forecasts or flexible budgets that are periodically established (e.g., quarterly) enable firms to revise projections on the basis of real-time information, which can help companies ensure they remain relevant to the prevailing business environment</w:t>
      </w:r>
      <w:r w:rsidR="00514BA1" w:rsidRPr="00094D3C">
        <w:rPr>
          <w:rFonts w:ascii="Arial" w:hAnsi="Arial" w:cs="Arial"/>
        </w:rPr>
        <w:t xml:space="preserve"> (Ahmed, 2025)</w:t>
      </w:r>
      <w:r w:rsidRPr="00094D3C">
        <w:rPr>
          <w:rFonts w:ascii="Arial" w:hAnsi="Arial" w:cs="Arial"/>
        </w:rPr>
        <w:t>.</w:t>
      </w:r>
    </w:p>
    <w:p w14:paraId="52117526" w14:textId="77777777" w:rsidR="00D474A5" w:rsidRPr="00094D3C" w:rsidRDefault="00D474A5" w:rsidP="00094D3C">
      <w:pPr>
        <w:rPr>
          <w:rFonts w:ascii="Arial" w:hAnsi="Arial" w:cs="Arial"/>
        </w:rPr>
      </w:pPr>
    </w:p>
    <w:p w14:paraId="02C81B8F" w14:textId="54335920" w:rsidR="00D474A5" w:rsidRPr="00094D3C" w:rsidRDefault="00D474A5" w:rsidP="00094D3C">
      <w:pPr>
        <w:rPr>
          <w:rFonts w:ascii="Arial" w:hAnsi="Arial" w:cs="Arial"/>
          <w:b/>
          <w:bCs/>
        </w:rPr>
      </w:pPr>
      <w:r w:rsidRPr="00094D3C">
        <w:rPr>
          <w:rFonts w:ascii="Arial" w:hAnsi="Arial" w:cs="Arial"/>
          <w:b/>
          <w:bCs/>
        </w:rPr>
        <w:t>2. Resource Intensive and Time-Consuming</w:t>
      </w:r>
    </w:p>
    <w:p w14:paraId="17139BAC" w14:textId="7EC00E39" w:rsidR="00D474A5" w:rsidRPr="00094D3C" w:rsidRDefault="00D474A5" w:rsidP="00094D3C">
      <w:pPr>
        <w:rPr>
          <w:rFonts w:ascii="Arial" w:hAnsi="Arial" w:cs="Arial"/>
        </w:rPr>
      </w:pPr>
      <w:r w:rsidRPr="00094D3C">
        <w:rPr>
          <w:rFonts w:ascii="Arial" w:hAnsi="Arial" w:cs="Arial"/>
        </w:rPr>
        <w:lastRenderedPageBreak/>
        <w:t>The</w:t>
      </w:r>
      <w:r w:rsidR="004F6AC3" w:rsidRPr="00094D3C">
        <w:rPr>
          <w:rFonts w:ascii="Arial" w:hAnsi="Arial" w:cs="Arial"/>
        </w:rPr>
        <w:t xml:space="preserve"> </w:t>
      </w:r>
      <w:r w:rsidRPr="00094D3C">
        <w:rPr>
          <w:rFonts w:ascii="Arial" w:hAnsi="Arial" w:cs="Arial"/>
        </w:rPr>
        <w:t>conventional budgeting can be a time and resource-intensive task. In this case, the departments are expected to present a comprehensive budget request which is consolidated and corrected by the top management. This may be an inefficient process particularly in fast moving markets where decisions must be made on time. Prioritizing line-item budgets may lead to a lack of more strategic activities which slows the decision-making process.</w:t>
      </w:r>
    </w:p>
    <w:p w14:paraId="6C56E721" w14:textId="07B55F5C" w:rsidR="00D474A5" w:rsidRPr="00094D3C" w:rsidRDefault="004F6AC3" w:rsidP="00094D3C">
      <w:pPr>
        <w:pStyle w:val="ListParagraph"/>
        <w:numPr>
          <w:ilvl w:val="0"/>
          <w:numId w:val="1"/>
        </w:numPr>
        <w:ind w:left="180" w:hanging="180"/>
        <w:rPr>
          <w:rFonts w:ascii="Arial" w:hAnsi="Arial" w:cs="Arial"/>
        </w:rPr>
      </w:pPr>
      <w:r w:rsidRPr="00094D3C">
        <w:rPr>
          <w:rFonts w:ascii="Arial" w:hAnsi="Arial" w:cs="Arial"/>
          <w:b/>
          <w:bCs/>
        </w:rPr>
        <w:t>Flaw:</w:t>
      </w:r>
      <w:r w:rsidRPr="00094D3C">
        <w:rPr>
          <w:rFonts w:ascii="Arial" w:hAnsi="Arial" w:cs="Arial"/>
        </w:rPr>
        <w:t xml:space="preserve"> </w:t>
      </w:r>
      <w:r w:rsidR="00D474A5" w:rsidRPr="00094D3C">
        <w:rPr>
          <w:rFonts w:ascii="Arial" w:hAnsi="Arial" w:cs="Arial"/>
        </w:rPr>
        <w:t>Traditional budgeting is time-consuming and consumes resources and this may cause delays and decreased flexibility of a company to make quick adjustments.</w:t>
      </w:r>
    </w:p>
    <w:p w14:paraId="1C98E583" w14:textId="77777777" w:rsidR="004F6AC3" w:rsidRPr="00094D3C" w:rsidRDefault="00D474A5" w:rsidP="00094D3C">
      <w:pPr>
        <w:pStyle w:val="ListParagraph"/>
        <w:numPr>
          <w:ilvl w:val="0"/>
          <w:numId w:val="1"/>
        </w:numPr>
        <w:ind w:left="180" w:hanging="180"/>
        <w:rPr>
          <w:rFonts w:ascii="Arial" w:hAnsi="Arial" w:cs="Arial"/>
        </w:rPr>
      </w:pPr>
      <w:r w:rsidRPr="00094D3C">
        <w:rPr>
          <w:rFonts w:ascii="Arial" w:hAnsi="Arial" w:cs="Arial"/>
          <w:b/>
          <w:bCs/>
        </w:rPr>
        <w:t>Alternative:</w:t>
      </w:r>
      <w:r w:rsidRPr="00094D3C">
        <w:rPr>
          <w:rFonts w:ascii="Arial" w:hAnsi="Arial" w:cs="Arial"/>
        </w:rPr>
        <w:t xml:space="preserve"> Simplified budgeting or beyond budgeting models, which are </w:t>
      </w:r>
      <w:r w:rsidR="004F6AC3" w:rsidRPr="00094D3C">
        <w:rPr>
          <w:rFonts w:ascii="Arial" w:hAnsi="Arial" w:cs="Arial"/>
        </w:rPr>
        <w:t>centred</w:t>
      </w:r>
      <w:r w:rsidRPr="00094D3C">
        <w:rPr>
          <w:rFonts w:ascii="Arial" w:hAnsi="Arial" w:cs="Arial"/>
        </w:rPr>
        <w:t xml:space="preserve"> on key performance indicators (KPIs) and high-level goals, spend less time on line-item planning so that firms can allocate more time to strategic initiatives. </w:t>
      </w:r>
    </w:p>
    <w:p w14:paraId="747A5579" w14:textId="77777777" w:rsidR="004F6AC3" w:rsidRPr="00094D3C" w:rsidRDefault="004F6AC3" w:rsidP="00094D3C">
      <w:pPr>
        <w:rPr>
          <w:rFonts w:ascii="Arial" w:hAnsi="Arial" w:cs="Arial"/>
        </w:rPr>
      </w:pPr>
    </w:p>
    <w:p w14:paraId="75A70810" w14:textId="77777777" w:rsidR="004F6AC3" w:rsidRPr="00094D3C" w:rsidRDefault="004F6AC3" w:rsidP="00094D3C">
      <w:pPr>
        <w:rPr>
          <w:rFonts w:ascii="Arial" w:hAnsi="Arial" w:cs="Arial"/>
          <w:b/>
          <w:bCs/>
        </w:rPr>
      </w:pPr>
      <w:r w:rsidRPr="00094D3C">
        <w:rPr>
          <w:rFonts w:ascii="Arial" w:hAnsi="Arial" w:cs="Arial"/>
          <w:b/>
          <w:bCs/>
        </w:rPr>
        <w:t>3. Short-Term Focus</w:t>
      </w:r>
    </w:p>
    <w:p w14:paraId="62A897AF" w14:textId="24F434B4" w:rsidR="004F6AC3" w:rsidRPr="00094D3C" w:rsidRDefault="004F6AC3" w:rsidP="00094D3C">
      <w:pPr>
        <w:rPr>
          <w:rFonts w:ascii="Arial" w:hAnsi="Arial" w:cs="Arial"/>
        </w:rPr>
      </w:pPr>
      <w:r w:rsidRPr="00094D3C">
        <w:rPr>
          <w:rFonts w:ascii="Arial" w:hAnsi="Arial" w:cs="Arial"/>
        </w:rPr>
        <w:t xml:space="preserve">The traditional budgets tend to focus on short financial objectives, which are realized at the quarterly or annual revenue objectives. Although these objectives are essential, </w:t>
      </w:r>
      <w:r w:rsidR="008170F8" w:rsidRPr="00094D3C">
        <w:rPr>
          <w:rFonts w:ascii="Arial" w:hAnsi="Arial" w:cs="Arial"/>
        </w:rPr>
        <w:t>short-term</w:t>
      </w:r>
      <w:r w:rsidRPr="00094D3C">
        <w:rPr>
          <w:rFonts w:ascii="Arial" w:hAnsi="Arial" w:cs="Arial"/>
        </w:rPr>
        <w:t xml:space="preserve"> outcomes may cause sub-optimality when focusing on the short term and overlooking other areas of the organizational results like research and development or marketing to achieve the </w:t>
      </w:r>
      <w:r w:rsidR="008170F8" w:rsidRPr="00094D3C">
        <w:rPr>
          <w:rFonts w:ascii="Arial" w:hAnsi="Arial" w:cs="Arial"/>
        </w:rPr>
        <w:t>short-term</w:t>
      </w:r>
      <w:r w:rsidRPr="00094D3C">
        <w:rPr>
          <w:rFonts w:ascii="Arial" w:hAnsi="Arial" w:cs="Arial"/>
        </w:rPr>
        <w:t xml:space="preserve"> goals. Such emphasis on the immediate financial performance would be detrimental to the long-term growth and sustainability.</w:t>
      </w:r>
    </w:p>
    <w:p w14:paraId="5CD1C07B" w14:textId="389AE6B3" w:rsidR="004F6AC3" w:rsidRPr="00094D3C" w:rsidRDefault="008170F8" w:rsidP="00094D3C">
      <w:pPr>
        <w:pStyle w:val="ListParagraph"/>
        <w:numPr>
          <w:ilvl w:val="0"/>
          <w:numId w:val="1"/>
        </w:numPr>
        <w:ind w:left="180" w:hanging="180"/>
        <w:rPr>
          <w:rFonts w:ascii="Arial" w:hAnsi="Arial" w:cs="Arial"/>
        </w:rPr>
      </w:pPr>
      <w:r w:rsidRPr="00094D3C">
        <w:rPr>
          <w:rFonts w:ascii="Arial" w:hAnsi="Arial" w:cs="Arial"/>
          <w:b/>
          <w:bCs/>
        </w:rPr>
        <w:t>Flaw</w:t>
      </w:r>
      <w:r w:rsidR="004F6AC3" w:rsidRPr="00094D3C">
        <w:rPr>
          <w:rFonts w:ascii="Arial" w:hAnsi="Arial" w:cs="Arial"/>
          <w:b/>
          <w:bCs/>
        </w:rPr>
        <w:t>:</w:t>
      </w:r>
      <w:r w:rsidR="004F6AC3" w:rsidRPr="00094D3C">
        <w:rPr>
          <w:rFonts w:ascii="Arial" w:hAnsi="Arial" w:cs="Arial"/>
        </w:rPr>
        <w:t xml:space="preserve"> Traditional budgeting may promote short-term thinking causing long-term strategic investments to be at risk of being caught in the crossfire between short-term and long-term financial performance improvements.</w:t>
      </w:r>
    </w:p>
    <w:p w14:paraId="153C12C0" w14:textId="77777777" w:rsidR="004F6AC3" w:rsidRPr="00094D3C" w:rsidRDefault="004F6AC3" w:rsidP="00094D3C">
      <w:pPr>
        <w:pStyle w:val="ListParagraph"/>
        <w:numPr>
          <w:ilvl w:val="0"/>
          <w:numId w:val="1"/>
        </w:numPr>
        <w:ind w:left="180" w:hanging="180"/>
        <w:rPr>
          <w:rFonts w:ascii="Arial" w:hAnsi="Arial" w:cs="Arial"/>
        </w:rPr>
      </w:pPr>
      <w:r w:rsidRPr="00094D3C">
        <w:rPr>
          <w:rFonts w:ascii="Arial" w:hAnsi="Arial" w:cs="Arial"/>
          <w:b/>
          <w:bCs/>
        </w:rPr>
        <w:t>Alternative:</w:t>
      </w:r>
      <w:r w:rsidRPr="00094D3C">
        <w:rPr>
          <w:rFonts w:ascii="Arial" w:hAnsi="Arial" w:cs="Arial"/>
        </w:rPr>
        <w:t xml:space="preserve"> A better strategy to budgeting will tie financial objectives to the long-term goals and would involve investing in growth opportunities such as innovation and customer experience which are instrumental to success in the long-term.</w:t>
      </w:r>
    </w:p>
    <w:p w14:paraId="3CA81BCE" w14:textId="77777777" w:rsidR="004F6AC3" w:rsidRPr="00094D3C" w:rsidRDefault="004F6AC3" w:rsidP="00094D3C">
      <w:pPr>
        <w:rPr>
          <w:rFonts w:ascii="Arial" w:hAnsi="Arial" w:cs="Arial"/>
        </w:rPr>
      </w:pPr>
    </w:p>
    <w:p w14:paraId="183F6F53" w14:textId="6D44BC67" w:rsidR="004F6AC3" w:rsidRPr="00094D3C" w:rsidRDefault="004F6AC3" w:rsidP="00094D3C">
      <w:pPr>
        <w:rPr>
          <w:rFonts w:ascii="Arial" w:hAnsi="Arial" w:cs="Arial"/>
          <w:b/>
          <w:bCs/>
        </w:rPr>
      </w:pPr>
      <w:r w:rsidRPr="00094D3C">
        <w:rPr>
          <w:rFonts w:ascii="Arial" w:hAnsi="Arial" w:cs="Arial"/>
          <w:b/>
          <w:bCs/>
        </w:rPr>
        <w:t>4. Employee Lack of Engagement and Accountability</w:t>
      </w:r>
    </w:p>
    <w:p w14:paraId="628F5E3D" w14:textId="3DFEA675" w:rsidR="004F6AC3" w:rsidRPr="00094D3C" w:rsidRDefault="004F6AC3" w:rsidP="00094D3C">
      <w:pPr>
        <w:rPr>
          <w:rFonts w:ascii="Arial" w:hAnsi="Arial" w:cs="Arial"/>
        </w:rPr>
      </w:pPr>
      <w:r w:rsidRPr="00094D3C">
        <w:rPr>
          <w:rFonts w:ascii="Arial" w:hAnsi="Arial" w:cs="Arial"/>
        </w:rPr>
        <w:t xml:space="preserve">The conventional budgets are usually pushed downwards without much consultation with the </w:t>
      </w:r>
      <w:r w:rsidR="008170F8" w:rsidRPr="00094D3C">
        <w:rPr>
          <w:rFonts w:ascii="Arial" w:hAnsi="Arial" w:cs="Arial"/>
        </w:rPr>
        <w:t>low-level</w:t>
      </w:r>
      <w:r w:rsidRPr="00094D3C">
        <w:rPr>
          <w:rFonts w:ascii="Arial" w:hAnsi="Arial" w:cs="Arial"/>
        </w:rPr>
        <w:t xml:space="preserve"> managers. This absence of involvement may lead to absence of ownership and responsibility. The employees might feel detached by the budgeting process thus causing lack of motivation and in other instances, manipulation of the budget to achieve the targets without necessarily showing the actual performance or business requirements.</w:t>
      </w:r>
    </w:p>
    <w:p w14:paraId="15B74304" w14:textId="6F562070" w:rsidR="004F6AC3" w:rsidRPr="00094D3C" w:rsidRDefault="008170F8" w:rsidP="00094D3C">
      <w:pPr>
        <w:pStyle w:val="ListParagraph"/>
        <w:numPr>
          <w:ilvl w:val="0"/>
          <w:numId w:val="1"/>
        </w:numPr>
        <w:ind w:left="180" w:hanging="180"/>
        <w:rPr>
          <w:rFonts w:ascii="Arial" w:hAnsi="Arial" w:cs="Arial"/>
        </w:rPr>
      </w:pPr>
      <w:r w:rsidRPr="00094D3C">
        <w:rPr>
          <w:rFonts w:ascii="Arial" w:hAnsi="Arial" w:cs="Arial"/>
          <w:b/>
          <w:bCs/>
        </w:rPr>
        <w:lastRenderedPageBreak/>
        <w:t xml:space="preserve">Flaw: </w:t>
      </w:r>
      <w:r w:rsidR="004F6AC3" w:rsidRPr="00094D3C">
        <w:rPr>
          <w:rFonts w:ascii="Arial" w:hAnsi="Arial" w:cs="Arial"/>
        </w:rPr>
        <w:t>Traditional budgeting is top-down, which may decrease the level of employee buy-in and responsibility, resulting in opposition, lack of engagement, and possible distortion of the budget figures.</w:t>
      </w:r>
    </w:p>
    <w:p w14:paraId="3FCCE5F1" w14:textId="15E8E349" w:rsidR="004F6AC3" w:rsidRPr="00094D3C" w:rsidRDefault="004F6AC3" w:rsidP="00094D3C">
      <w:pPr>
        <w:pStyle w:val="ListParagraph"/>
        <w:numPr>
          <w:ilvl w:val="0"/>
          <w:numId w:val="1"/>
        </w:numPr>
        <w:ind w:left="180" w:hanging="180"/>
        <w:rPr>
          <w:rFonts w:ascii="Arial" w:hAnsi="Arial" w:cs="Arial"/>
        </w:rPr>
      </w:pPr>
      <w:r w:rsidRPr="00094D3C">
        <w:rPr>
          <w:rFonts w:ascii="Arial" w:hAnsi="Arial" w:cs="Arial"/>
          <w:b/>
          <w:bCs/>
        </w:rPr>
        <w:t>Alternative:</w:t>
      </w:r>
      <w:r w:rsidRPr="00094D3C">
        <w:rPr>
          <w:rFonts w:ascii="Arial" w:hAnsi="Arial" w:cs="Arial"/>
        </w:rPr>
        <w:t xml:space="preserve"> Participative budgeting where budgeting is carried out by the employees of all levels would create a sense of ownership and accountability</w:t>
      </w:r>
      <w:r w:rsidR="00514BA1" w:rsidRPr="00094D3C">
        <w:rPr>
          <w:rFonts w:ascii="Arial" w:hAnsi="Arial" w:cs="Arial"/>
        </w:rPr>
        <w:t xml:space="preserve"> (Silva, Mota and Moreira, 2022)</w:t>
      </w:r>
      <w:r w:rsidRPr="00094D3C">
        <w:rPr>
          <w:rFonts w:ascii="Arial" w:hAnsi="Arial" w:cs="Arial"/>
        </w:rPr>
        <w:t xml:space="preserve">. This method does both individual and departmental performance </w:t>
      </w:r>
      <w:r w:rsidR="008170F8" w:rsidRPr="00094D3C">
        <w:rPr>
          <w:rFonts w:ascii="Arial" w:hAnsi="Arial" w:cs="Arial"/>
        </w:rPr>
        <w:t>in line</w:t>
      </w:r>
      <w:r w:rsidRPr="00094D3C">
        <w:rPr>
          <w:rFonts w:ascii="Arial" w:hAnsi="Arial" w:cs="Arial"/>
        </w:rPr>
        <w:t xml:space="preserve"> with the entire company.</w:t>
      </w:r>
    </w:p>
    <w:p w14:paraId="6F37718B" w14:textId="77777777" w:rsidR="008170F8" w:rsidRPr="00094D3C" w:rsidRDefault="008170F8" w:rsidP="00094D3C">
      <w:pPr>
        <w:rPr>
          <w:rFonts w:ascii="Arial" w:hAnsi="Arial" w:cs="Arial"/>
          <w:b/>
          <w:bCs/>
        </w:rPr>
      </w:pPr>
    </w:p>
    <w:p w14:paraId="78AE53ED" w14:textId="040281BA" w:rsidR="004F6AC3" w:rsidRPr="00094D3C" w:rsidRDefault="004F6AC3" w:rsidP="00094D3C">
      <w:pPr>
        <w:rPr>
          <w:rFonts w:ascii="Arial" w:hAnsi="Arial" w:cs="Arial"/>
          <w:b/>
          <w:bCs/>
        </w:rPr>
      </w:pPr>
      <w:r w:rsidRPr="00094D3C">
        <w:rPr>
          <w:rFonts w:ascii="Arial" w:hAnsi="Arial" w:cs="Arial"/>
          <w:b/>
          <w:bCs/>
        </w:rPr>
        <w:t>5. Excessive focus on the Financial Metrics</w:t>
      </w:r>
    </w:p>
    <w:p w14:paraId="120328E0" w14:textId="77777777" w:rsidR="004F6AC3" w:rsidRPr="00094D3C" w:rsidRDefault="004F6AC3" w:rsidP="00094D3C">
      <w:pPr>
        <w:rPr>
          <w:rFonts w:ascii="Arial" w:hAnsi="Arial" w:cs="Arial"/>
        </w:rPr>
      </w:pPr>
      <w:r w:rsidRPr="00094D3C">
        <w:rPr>
          <w:rFonts w:ascii="Arial" w:hAnsi="Arial" w:cs="Arial"/>
        </w:rPr>
        <w:t>The traditional budget is very much concerned with financial measures including revenue, cost management and profitability. Although they are crucial metrics, financial performance can focus on other vital dimensions, including customer satisfaction, employee-engagement, and innovation. In the modern competitive business world, the non-financial measures may be equally significant towards long-term achievement.</w:t>
      </w:r>
    </w:p>
    <w:p w14:paraId="2C1361FA" w14:textId="6FE65AEC" w:rsidR="004F6AC3" w:rsidRPr="00094D3C" w:rsidRDefault="00F45E50" w:rsidP="00094D3C">
      <w:pPr>
        <w:rPr>
          <w:rFonts w:ascii="Arial" w:hAnsi="Arial" w:cs="Arial"/>
        </w:rPr>
      </w:pPr>
      <w:r w:rsidRPr="00094D3C">
        <w:rPr>
          <w:rFonts w:ascii="Arial" w:hAnsi="Arial" w:cs="Arial"/>
          <w:b/>
          <w:bCs/>
        </w:rPr>
        <w:t xml:space="preserve">Flaw: </w:t>
      </w:r>
      <w:r w:rsidR="004F6AC3" w:rsidRPr="00094D3C">
        <w:rPr>
          <w:rFonts w:ascii="Arial" w:hAnsi="Arial" w:cs="Arial"/>
        </w:rPr>
        <w:t>Traditional budgeting has been known to ignore important non-financial aspects, which are crucial in competitive advantage and growth of the business.</w:t>
      </w:r>
    </w:p>
    <w:p w14:paraId="5E1DD109" w14:textId="517DC376" w:rsidR="00391D6D" w:rsidRPr="00094D3C" w:rsidRDefault="00391D6D" w:rsidP="00094D3C">
      <w:pPr>
        <w:rPr>
          <w:rFonts w:ascii="Arial" w:hAnsi="Arial" w:cs="Arial"/>
        </w:rPr>
      </w:pPr>
      <w:r w:rsidRPr="00094D3C">
        <w:rPr>
          <w:rFonts w:ascii="Arial" w:hAnsi="Arial" w:cs="Arial"/>
          <w:b/>
          <w:bCs/>
        </w:rPr>
        <w:t>Useful Alternative:</w:t>
      </w:r>
      <w:r w:rsidRPr="00094D3C">
        <w:rPr>
          <w:rFonts w:ascii="Arial" w:hAnsi="Arial" w:cs="Arial"/>
        </w:rPr>
        <w:t xml:space="preserve"> Use of BSC (balance scorecard) is </w:t>
      </w:r>
      <w:r w:rsidR="002A1D99" w:rsidRPr="00094D3C">
        <w:rPr>
          <w:rFonts w:ascii="Arial" w:hAnsi="Arial" w:cs="Arial"/>
        </w:rPr>
        <w:t xml:space="preserve">appropriate </w:t>
      </w:r>
      <w:r w:rsidR="001B7D5E" w:rsidRPr="00094D3C">
        <w:rPr>
          <w:rFonts w:ascii="Arial" w:hAnsi="Arial" w:cs="Arial"/>
        </w:rPr>
        <w:t>in combining both financial and non-financial metrics and achieve a comprehensive performance analysis with meeting budgets and objective in long r</w:t>
      </w:r>
      <w:r w:rsidR="00023389" w:rsidRPr="00094D3C">
        <w:rPr>
          <w:rFonts w:ascii="Arial" w:hAnsi="Arial" w:cs="Arial"/>
        </w:rPr>
        <w:t>u</w:t>
      </w:r>
      <w:r w:rsidR="001B7D5E" w:rsidRPr="00094D3C">
        <w:rPr>
          <w:rFonts w:ascii="Arial" w:hAnsi="Arial" w:cs="Arial"/>
        </w:rPr>
        <w:t>n.</w:t>
      </w:r>
    </w:p>
    <w:p w14:paraId="72564BA1" w14:textId="19C951D1" w:rsidR="00E30F92" w:rsidRPr="00094D3C" w:rsidRDefault="00E30F92" w:rsidP="00094D3C">
      <w:pPr>
        <w:spacing w:after="160"/>
        <w:jc w:val="left"/>
        <w:rPr>
          <w:rFonts w:ascii="Arial" w:hAnsi="Arial" w:cs="Arial"/>
        </w:rPr>
      </w:pPr>
      <w:r w:rsidRPr="00094D3C">
        <w:rPr>
          <w:rFonts w:ascii="Arial" w:hAnsi="Arial" w:cs="Arial"/>
        </w:rPr>
        <w:br w:type="page"/>
      </w:r>
    </w:p>
    <w:p w14:paraId="68F52C7D" w14:textId="77777777" w:rsidR="00555C71" w:rsidRPr="00094D3C" w:rsidRDefault="009E10C4" w:rsidP="00094D3C">
      <w:pPr>
        <w:pStyle w:val="Heading1"/>
        <w:rPr>
          <w:rFonts w:ascii="Arial" w:hAnsi="Arial" w:cs="Arial"/>
        </w:rPr>
      </w:pPr>
      <w:bookmarkStart w:id="16" w:name="_Toc223790165"/>
      <w:r w:rsidRPr="00094D3C">
        <w:rPr>
          <w:rFonts w:ascii="Arial" w:hAnsi="Arial" w:cs="Arial"/>
        </w:rPr>
        <w:lastRenderedPageBreak/>
        <w:t>Conclusion and Recommendation</w:t>
      </w:r>
      <w:bookmarkEnd w:id="16"/>
    </w:p>
    <w:p w14:paraId="3756F9B8" w14:textId="0B7B635D" w:rsidR="00BD6600" w:rsidRPr="00094D3C" w:rsidRDefault="00E22DD1" w:rsidP="00094D3C">
      <w:pPr>
        <w:rPr>
          <w:rFonts w:ascii="Arial" w:hAnsi="Arial" w:cs="Arial"/>
        </w:rPr>
      </w:pPr>
      <w:r w:rsidRPr="00094D3C">
        <w:rPr>
          <w:rFonts w:ascii="Arial" w:hAnsi="Arial" w:cs="Arial"/>
        </w:rPr>
        <w:t xml:space="preserve">From the above analysis, it is concluded that Silver Stitch Ltd is growing and using its cash resources effectively and efficiently including inventory. Operating expenses are under control during the period of six </w:t>
      </w:r>
      <w:r w:rsidR="00094D3C" w:rsidRPr="00094D3C">
        <w:rPr>
          <w:rFonts w:ascii="Arial" w:hAnsi="Arial" w:cs="Arial"/>
        </w:rPr>
        <w:t>month,</w:t>
      </w:r>
      <w:r w:rsidRPr="00094D3C">
        <w:rPr>
          <w:rFonts w:ascii="Arial" w:hAnsi="Arial" w:cs="Arial"/>
        </w:rPr>
        <w:t xml:space="preserve"> and company is also successful in recovering its </w:t>
      </w:r>
      <w:r w:rsidR="00857AE1" w:rsidRPr="00094D3C">
        <w:rPr>
          <w:rFonts w:ascii="Arial" w:hAnsi="Arial" w:cs="Arial"/>
        </w:rPr>
        <w:t>o</w:t>
      </w:r>
      <w:r w:rsidRPr="00094D3C">
        <w:rPr>
          <w:rFonts w:ascii="Arial" w:hAnsi="Arial" w:cs="Arial"/>
        </w:rPr>
        <w:t>pening overdraft</w:t>
      </w:r>
      <w:r w:rsidR="00857AE1" w:rsidRPr="00094D3C">
        <w:rPr>
          <w:rFonts w:ascii="Arial" w:hAnsi="Arial" w:cs="Arial"/>
        </w:rPr>
        <w:t xml:space="preserve"> balance</w:t>
      </w:r>
      <w:r w:rsidRPr="00094D3C">
        <w:rPr>
          <w:rFonts w:ascii="Arial" w:hAnsi="Arial" w:cs="Arial"/>
        </w:rPr>
        <w:t xml:space="preserve">. </w:t>
      </w:r>
      <w:r w:rsidR="00857AE1" w:rsidRPr="00094D3C">
        <w:rPr>
          <w:rFonts w:ascii="Arial" w:hAnsi="Arial" w:cs="Arial"/>
        </w:rPr>
        <w:t xml:space="preserve">The use of traditional budgeting system is </w:t>
      </w:r>
      <w:r w:rsidR="00094D3C" w:rsidRPr="00094D3C">
        <w:rPr>
          <w:rFonts w:ascii="Arial" w:hAnsi="Arial" w:cs="Arial"/>
        </w:rPr>
        <w:t>easy,</w:t>
      </w:r>
      <w:r w:rsidR="00857AE1" w:rsidRPr="00094D3C">
        <w:rPr>
          <w:rFonts w:ascii="Arial" w:hAnsi="Arial" w:cs="Arial"/>
        </w:rPr>
        <w:t xml:space="preserve"> but it cannot meet the requirement of the quickly changing business environment due to lack of </w:t>
      </w:r>
      <w:r w:rsidR="00094D3C" w:rsidRPr="00094D3C">
        <w:rPr>
          <w:rFonts w:ascii="Arial" w:hAnsi="Arial" w:cs="Arial"/>
        </w:rPr>
        <w:t>flexibility</w:t>
      </w:r>
      <w:r w:rsidR="00857AE1" w:rsidRPr="00094D3C">
        <w:rPr>
          <w:rFonts w:ascii="Arial" w:hAnsi="Arial" w:cs="Arial"/>
        </w:rPr>
        <w:t xml:space="preserve"> as well as time consuming problems. </w:t>
      </w:r>
      <w:r w:rsidR="00283CC9" w:rsidRPr="00094D3C">
        <w:rPr>
          <w:rFonts w:ascii="Arial" w:hAnsi="Arial" w:cs="Arial"/>
        </w:rPr>
        <w:t xml:space="preserve">Company can easily improve its flexibility by incorporating use of rolling budgets in place of traditional budgeting methods. These budgets stay updated within the changing actual performance of business. Just in time inventory system also needed to be implemented to decrease overstocking and increasing cash flows. </w:t>
      </w:r>
      <w:r w:rsidR="00A955DD" w:rsidRPr="00094D3C">
        <w:rPr>
          <w:rFonts w:ascii="Arial" w:hAnsi="Arial" w:cs="Arial"/>
        </w:rPr>
        <w:t>With the help of optimization of the administrative processes and further research of the cost-effective marketing options, operational costs may be also optimized. Moreover, the shift to participative budgeting will promote the level of employee participation and accountability in the budget process, which will result in a sense of ownership. Through such recommendations, Silver Stitch Ltd may be in a better position to control its finances, overcome the overdraft and become a profitable business in the volatile business environment in the long term.</w:t>
      </w:r>
    </w:p>
    <w:p w14:paraId="69F9BCDD" w14:textId="77777777" w:rsidR="00BD6600" w:rsidRPr="00094D3C" w:rsidRDefault="00BD6600" w:rsidP="00094D3C">
      <w:pPr>
        <w:spacing w:after="160"/>
        <w:jc w:val="left"/>
        <w:rPr>
          <w:rFonts w:ascii="Arial" w:hAnsi="Arial" w:cs="Arial"/>
        </w:rPr>
      </w:pPr>
      <w:r w:rsidRPr="00094D3C">
        <w:rPr>
          <w:rFonts w:ascii="Arial" w:hAnsi="Arial" w:cs="Arial"/>
        </w:rPr>
        <w:br w:type="page"/>
      </w:r>
    </w:p>
    <w:p w14:paraId="51035ACC" w14:textId="77777777" w:rsidR="00BD6600" w:rsidRPr="00094D3C" w:rsidRDefault="00BD6600" w:rsidP="00094D3C">
      <w:pPr>
        <w:pStyle w:val="Heading1"/>
        <w:rPr>
          <w:rFonts w:ascii="Arial" w:hAnsi="Arial" w:cs="Arial"/>
        </w:rPr>
      </w:pPr>
      <w:bookmarkStart w:id="17" w:name="_Toc223790166"/>
      <w:r w:rsidRPr="00094D3C">
        <w:rPr>
          <w:rFonts w:ascii="Arial" w:hAnsi="Arial" w:cs="Arial"/>
        </w:rPr>
        <w:lastRenderedPageBreak/>
        <w:t>References</w:t>
      </w:r>
      <w:bookmarkEnd w:id="17"/>
      <w:r w:rsidR="00A955DD" w:rsidRPr="00094D3C">
        <w:rPr>
          <w:rFonts w:ascii="Arial" w:hAnsi="Arial" w:cs="Arial"/>
        </w:rPr>
        <w:t xml:space="preserve"> </w:t>
      </w:r>
    </w:p>
    <w:p w14:paraId="1ED14AE7" w14:textId="77777777" w:rsidR="00BD6600" w:rsidRPr="00094D3C" w:rsidRDefault="00BD6600" w:rsidP="00094D3C">
      <w:pPr>
        <w:ind w:left="720" w:hanging="720"/>
        <w:rPr>
          <w:rFonts w:ascii="Arial" w:hAnsi="Arial" w:cs="Arial"/>
        </w:rPr>
      </w:pPr>
      <w:r w:rsidRPr="00094D3C">
        <w:rPr>
          <w:rFonts w:ascii="Arial" w:hAnsi="Arial" w:cs="Arial"/>
        </w:rPr>
        <w:t xml:space="preserve">Ahmed, D.S. (2025). Budgeting Techniques in Dynamic Business Environments. </w:t>
      </w:r>
      <w:r w:rsidRPr="00094D3C">
        <w:rPr>
          <w:rFonts w:ascii="Arial" w:hAnsi="Arial" w:cs="Arial"/>
          <w:i/>
          <w:iCs/>
        </w:rPr>
        <w:t>Journal of Management and Social Sciences Review</w:t>
      </w:r>
      <w:r w:rsidRPr="00094D3C">
        <w:rPr>
          <w:rFonts w:ascii="Arial" w:hAnsi="Arial" w:cs="Arial"/>
        </w:rPr>
        <w:t>, [online] 3(1), pp.1–11. Available at: http://jmssr.org/index.php/Journal/article/view/42.</w:t>
      </w:r>
    </w:p>
    <w:p w14:paraId="5E3341C7" w14:textId="77777777" w:rsidR="00BD6600" w:rsidRPr="00094D3C" w:rsidRDefault="00BD6600" w:rsidP="00094D3C">
      <w:pPr>
        <w:ind w:left="720" w:hanging="720"/>
        <w:rPr>
          <w:rFonts w:ascii="Arial" w:hAnsi="Arial" w:cs="Arial"/>
        </w:rPr>
      </w:pPr>
      <w:r w:rsidRPr="00094D3C">
        <w:rPr>
          <w:rFonts w:ascii="Arial" w:hAnsi="Arial" w:cs="Arial"/>
        </w:rPr>
        <w:t xml:space="preserve">Balasbaneh, A.T., Sher, W. and Li, J. (2025). A systematic review of the life cycle cost estimation of upgrading buildings for sustainability. </w:t>
      </w:r>
      <w:r w:rsidRPr="00094D3C">
        <w:rPr>
          <w:rFonts w:ascii="Arial" w:hAnsi="Arial" w:cs="Arial"/>
          <w:i/>
          <w:iCs/>
        </w:rPr>
        <w:t>Environmental Science and Pollution Research</w:t>
      </w:r>
      <w:r w:rsidRPr="00094D3C">
        <w:rPr>
          <w:rFonts w:ascii="Arial" w:hAnsi="Arial" w:cs="Arial"/>
        </w:rPr>
        <w:t>. doi:https://doi.org/10.1007/s11356-025-36757-x.</w:t>
      </w:r>
    </w:p>
    <w:p w14:paraId="6F6F6288" w14:textId="77777777" w:rsidR="00BD6600" w:rsidRPr="00094D3C" w:rsidRDefault="00BD6600" w:rsidP="00094D3C">
      <w:pPr>
        <w:ind w:left="720" w:hanging="720"/>
        <w:rPr>
          <w:rFonts w:ascii="Arial" w:hAnsi="Arial" w:cs="Arial"/>
        </w:rPr>
      </w:pPr>
      <w:r w:rsidRPr="00094D3C">
        <w:rPr>
          <w:rFonts w:ascii="Arial" w:hAnsi="Arial" w:cs="Arial"/>
        </w:rPr>
        <w:t xml:space="preserve">Barnabas, B. and Oloyede, J. (2025). Cash Flow Optimization: Strategies for Enhancing Short-Term Liquidity. </w:t>
      </w:r>
      <w:r w:rsidRPr="00094D3C">
        <w:rPr>
          <w:rFonts w:ascii="Arial" w:hAnsi="Arial" w:cs="Arial"/>
          <w:i/>
          <w:iCs/>
        </w:rPr>
        <w:t>Cash Flow Optimization: Strategies for Enhancing Short-Term Liquidity</w:t>
      </w:r>
      <w:r w:rsidRPr="00094D3C">
        <w:rPr>
          <w:rFonts w:ascii="Arial" w:hAnsi="Arial" w:cs="Arial"/>
        </w:rPr>
        <w:t>. [online] doi:https://doi.org/10.2139/ssrn.5004465.</w:t>
      </w:r>
    </w:p>
    <w:p w14:paraId="1F23E32F" w14:textId="77777777" w:rsidR="00BD6600" w:rsidRPr="00094D3C" w:rsidRDefault="00BD6600" w:rsidP="00094D3C">
      <w:pPr>
        <w:ind w:left="720" w:hanging="720"/>
        <w:rPr>
          <w:rFonts w:ascii="Arial" w:hAnsi="Arial" w:cs="Arial"/>
        </w:rPr>
      </w:pPr>
      <w:r w:rsidRPr="00094D3C">
        <w:rPr>
          <w:rFonts w:ascii="Arial" w:hAnsi="Arial" w:cs="Arial"/>
        </w:rPr>
        <w:t xml:space="preserve">Ferdi Yosranindi (2024). Analysis of Just-in-Time Inventory Management in Retail Companies to Reduce Operational Costs. </w:t>
      </w:r>
      <w:r w:rsidRPr="00094D3C">
        <w:rPr>
          <w:rFonts w:ascii="Arial" w:hAnsi="Arial" w:cs="Arial"/>
          <w:i/>
          <w:iCs/>
        </w:rPr>
        <w:t>Maroon Journal De Management</w:t>
      </w:r>
      <w:r w:rsidRPr="00094D3C">
        <w:rPr>
          <w:rFonts w:ascii="Arial" w:hAnsi="Arial" w:cs="Arial"/>
        </w:rPr>
        <w:t>, [online] 1(3), pp.124–134. Available at: https://gensain.com/index.php/mjdm/article/view/98.</w:t>
      </w:r>
    </w:p>
    <w:p w14:paraId="3ECF4B94" w14:textId="77777777" w:rsidR="00BD6600" w:rsidRPr="00094D3C" w:rsidRDefault="00BD6600" w:rsidP="00094D3C">
      <w:pPr>
        <w:ind w:left="720" w:hanging="720"/>
        <w:rPr>
          <w:rFonts w:ascii="Arial" w:hAnsi="Arial" w:cs="Arial"/>
        </w:rPr>
      </w:pPr>
      <w:r w:rsidRPr="00094D3C">
        <w:rPr>
          <w:rFonts w:ascii="Arial" w:hAnsi="Arial" w:cs="Arial"/>
        </w:rPr>
        <w:t xml:space="preserve">Fridson, M.S. and Alvarez, F. (2022). </w:t>
      </w:r>
      <w:r w:rsidRPr="00094D3C">
        <w:rPr>
          <w:rFonts w:ascii="Arial" w:hAnsi="Arial" w:cs="Arial"/>
          <w:i/>
          <w:iCs/>
        </w:rPr>
        <w:t>Financial statement analysis a practitioner’s guide Workbook</w:t>
      </w:r>
      <w:r w:rsidRPr="00094D3C">
        <w:rPr>
          <w:rFonts w:ascii="Arial" w:hAnsi="Arial" w:cs="Arial"/>
        </w:rPr>
        <w:t>. New York, Ny Wiley.</w:t>
      </w:r>
    </w:p>
    <w:p w14:paraId="31934DE0" w14:textId="77777777" w:rsidR="00BD6600" w:rsidRPr="00094D3C" w:rsidRDefault="00BD6600" w:rsidP="00094D3C">
      <w:pPr>
        <w:ind w:left="720" w:hanging="720"/>
        <w:rPr>
          <w:rFonts w:ascii="Arial" w:hAnsi="Arial" w:cs="Arial"/>
        </w:rPr>
      </w:pPr>
      <w:r w:rsidRPr="00094D3C">
        <w:rPr>
          <w:rFonts w:ascii="Arial" w:hAnsi="Arial" w:cs="Arial"/>
        </w:rPr>
        <w:t xml:space="preserve">Galuh Prabowo and Lely Ana Ferawati Ekanigsih (2025). Implementation of an Integrated Approach in Budget Planning for Resource Optimization in Organization. </w:t>
      </w:r>
      <w:r w:rsidRPr="00094D3C">
        <w:rPr>
          <w:rFonts w:ascii="Arial" w:hAnsi="Arial" w:cs="Arial"/>
          <w:i/>
          <w:iCs/>
        </w:rPr>
        <w:t>Management Analysis Journal</w:t>
      </w:r>
      <w:r w:rsidRPr="00094D3C">
        <w:rPr>
          <w:rFonts w:ascii="Arial" w:hAnsi="Arial" w:cs="Arial"/>
        </w:rPr>
        <w:t>, 14(1), pp.104–111. doi:https://doi.org/10.15294/maj.v14i1.21648.</w:t>
      </w:r>
    </w:p>
    <w:p w14:paraId="7B1F4D6F" w14:textId="77777777" w:rsidR="00BD6600" w:rsidRPr="00094D3C" w:rsidRDefault="00BD6600" w:rsidP="00094D3C">
      <w:pPr>
        <w:ind w:left="720" w:hanging="720"/>
        <w:rPr>
          <w:rFonts w:ascii="Arial" w:hAnsi="Arial" w:cs="Arial"/>
        </w:rPr>
      </w:pPr>
      <w:r w:rsidRPr="00094D3C">
        <w:rPr>
          <w:rFonts w:ascii="Arial" w:hAnsi="Arial" w:cs="Arial"/>
        </w:rPr>
        <w:t xml:space="preserve">Georgiana, S.L. and Lavinia-Denisia, C. (2025). The cash-flow budgeting within a company. </w:t>
      </w:r>
      <w:r w:rsidRPr="00094D3C">
        <w:rPr>
          <w:rFonts w:ascii="Arial" w:hAnsi="Arial" w:cs="Arial"/>
          <w:i/>
          <w:iCs/>
        </w:rPr>
        <w:t>Idsi.md</w:t>
      </w:r>
      <w:r w:rsidRPr="00094D3C">
        <w:rPr>
          <w:rFonts w:ascii="Arial" w:hAnsi="Arial" w:cs="Arial"/>
        </w:rPr>
        <w:t>, [online] Ediția 9, pp.60–63. Available at: https://ibn.idsi.md/vizualizare_articol/231257.</w:t>
      </w:r>
    </w:p>
    <w:p w14:paraId="7AEA8AF7" w14:textId="77777777" w:rsidR="00BD6600" w:rsidRPr="00094D3C" w:rsidRDefault="00BD6600" w:rsidP="00094D3C">
      <w:pPr>
        <w:ind w:left="720" w:hanging="720"/>
        <w:rPr>
          <w:rFonts w:ascii="Arial" w:hAnsi="Arial" w:cs="Arial"/>
        </w:rPr>
      </w:pPr>
      <w:r w:rsidRPr="00094D3C">
        <w:rPr>
          <w:rFonts w:ascii="Arial" w:hAnsi="Arial" w:cs="Arial"/>
        </w:rPr>
        <w:t xml:space="preserve">Helle, G. and Roberts, J.D. (2023). Accountability for responsibility: a case study of a more intelligent enactment of accountability. </w:t>
      </w:r>
      <w:r w:rsidRPr="00094D3C">
        <w:rPr>
          <w:rFonts w:ascii="Arial" w:hAnsi="Arial" w:cs="Arial"/>
          <w:i/>
          <w:iCs/>
        </w:rPr>
        <w:t>Accounting, auditing &amp; accountability</w:t>
      </w:r>
      <w:r w:rsidRPr="00094D3C">
        <w:rPr>
          <w:rFonts w:ascii="Arial" w:hAnsi="Arial" w:cs="Arial"/>
        </w:rPr>
        <w:t>. doi:https://doi.org/10.1108/aaaj-07-2021-5369.</w:t>
      </w:r>
    </w:p>
    <w:p w14:paraId="12E21873" w14:textId="77777777" w:rsidR="00BD6600" w:rsidRPr="00094D3C" w:rsidRDefault="00BD6600" w:rsidP="00094D3C">
      <w:pPr>
        <w:ind w:left="720" w:hanging="720"/>
        <w:rPr>
          <w:rFonts w:ascii="Arial" w:hAnsi="Arial" w:cs="Arial"/>
        </w:rPr>
      </w:pPr>
      <w:r w:rsidRPr="00094D3C">
        <w:rPr>
          <w:rFonts w:ascii="Arial" w:hAnsi="Arial" w:cs="Arial"/>
        </w:rPr>
        <w:t xml:space="preserve">Klopp, R. (2023). </w:t>
      </w:r>
      <w:r w:rsidRPr="00094D3C">
        <w:rPr>
          <w:rFonts w:ascii="Arial" w:hAnsi="Arial" w:cs="Arial"/>
          <w:i/>
          <w:iCs/>
        </w:rPr>
        <w:t>Assessment and Recommendations for Company X’s Budgeting Process: Evaluating Current Practices and Identifying Further Improvements</w:t>
      </w:r>
      <w:r w:rsidRPr="00094D3C">
        <w:rPr>
          <w:rFonts w:ascii="Arial" w:hAnsi="Arial" w:cs="Arial"/>
        </w:rPr>
        <w:t>. [online] www.theseus.fi. Available at: https://www.theseus.fi/handle/10024/811362.</w:t>
      </w:r>
    </w:p>
    <w:p w14:paraId="06D0AADA" w14:textId="77777777" w:rsidR="00BD6600" w:rsidRPr="00094D3C" w:rsidRDefault="00BD6600" w:rsidP="00094D3C">
      <w:pPr>
        <w:ind w:left="720" w:hanging="720"/>
        <w:rPr>
          <w:rFonts w:ascii="Arial" w:hAnsi="Arial" w:cs="Arial"/>
        </w:rPr>
      </w:pPr>
      <w:r w:rsidRPr="00094D3C">
        <w:rPr>
          <w:rFonts w:ascii="Arial" w:hAnsi="Arial" w:cs="Arial"/>
        </w:rPr>
        <w:t xml:space="preserve">Lijuan, C., Bhaumik, A., Xinfeng, W. and Jingwen, W. (2023). The Effects of Inventory Management on Business Efficiency. [online] 5(4). Available at: </w:t>
      </w:r>
      <w:r w:rsidRPr="00094D3C">
        <w:rPr>
          <w:rFonts w:ascii="Arial" w:hAnsi="Arial" w:cs="Arial"/>
        </w:rPr>
        <w:lastRenderedPageBreak/>
        <w:t>https://pdfs.semanticscholar.org/bd22/8e26099cc02797fe92f6afd5243a71f3ef3f.pdf.</w:t>
      </w:r>
    </w:p>
    <w:p w14:paraId="0E373415" w14:textId="77777777" w:rsidR="00BD6600" w:rsidRPr="00094D3C" w:rsidRDefault="00BD6600" w:rsidP="00094D3C">
      <w:pPr>
        <w:ind w:left="720" w:hanging="720"/>
        <w:rPr>
          <w:rFonts w:ascii="Arial" w:hAnsi="Arial" w:cs="Arial"/>
        </w:rPr>
      </w:pPr>
      <w:r w:rsidRPr="00094D3C">
        <w:rPr>
          <w:rFonts w:ascii="Arial" w:hAnsi="Arial" w:cs="Arial"/>
        </w:rPr>
        <w:t xml:space="preserve">Lovita, E., Gatot Prabantoro and Karisma Devi Roswida (2024). Managing Cash Flow and Financial Efficiency in Logistics Companies: Analyzing Practices and Their Impacts. </w:t>
      </w:r>
      <w:r w:rsidRPr="00094D3C">
        <w:rPr>
          <w:rFonts w:ascii="Arial" w:hAnsi="Arial" w:cs="Arial"/>
          <w:i/>
          <w:iCs/>
        </w:rPr>
        <w:t>is The Best Accounting Information Systems and Information Technology Business Enterprise this is link for OJS us</w:t>
      </w:r>
      <w:r w:rsidRPr="00094D3C">
        <w:rPr>
          <w:rFonts w:ascii="Arial" w:hAnsi="Arial" w:cs="Arial"/>
        </w:rPr>
        <w:t>, [online] 9(2), pp.166–180. doi:https://doi.org/10.34010/aisthebest.v9i2.15057.</w:t>
      </w:r>
    </w:p>
    <w:p w14:paraId="76D5B6A8" w14:textId="77777777" w:rsidR="00BD6600" w:rsidRPr="00094D3C" w:rsidRDefault="00BD6600" w:rsidP="00094D3C">
      <w:pPr>
        <w:ind w:left="720" w:hanging="720"/>
        <w:rPr>
          <w:rFonts w:ascii="Arial" w:hAnsi="Arial" w:cs="Arial"/>
        </w:rPr>
      </w:pPr>
      <w:r w:rsidRPr="00094D3C">
        <w:rPr>
          <w:rFonts w:ascii="Arial" w:hAnsi="Arial" w:cs="Arial"/>
        </w:rPr>
        <w:t xml:space="preserve">Oriekhova, K.V. and Golovko, O.H. (2022). CASH FLOW MANAGEMENT STRATEGY. </w:t>
      </w:r>
      <w:r w:rsidRPr="00094D3C">
        <w:rPr>
          <w:rFonts w:ascii="Arial" w:hAnsi="Arial" w:cs="Arial"/>
          <w:i/>
          <w:iCs/>
        </w:rPr>
        <w:t>Economics and Law</w:t>
      </w:r>
      <w:r w:rsidRPr="00094D3C">
        <w:rPr>
          <w:rFonts w:ascii="Arial" w:hAnsi="Arial" w:cs="Arial"/>
        </w:rPr>
        <w:t>, [online] 1(64), pp.89–97. doi:https://doi.org/10.15407/econlaw.2022.01.089.</w:t>
      </w:r>
    </w:p>
    <w:p w14:paraId="7FCD5199" w14:textId="77777777" w:rsidR="00BD6600" w:rsidRPr="00094D3C" w:rsidRDefault="00BD6600" w:rsidP="00094D3C">
      <w:pPr>
        <w:ind w:left="720" w:hanging="720"/>
        <w:rPr>
          <w:rFonts w:ascii="Arial" w:hAnsi="Arial" w:cs="Arial"/>
        </w:rPr>
      </w:pPr>
      <w:r w:rsidRPr="00094D3C">
        <w:rPr>
          <w:rFonts w:ascii="Arial" w:hAnsi="Arial" w:cs="Arial"/>
        </w:rPr>
        <w:t xml:space="preserve">Silva, P., Mota, J. and Moreira, A.C. (2022). Budget participation and employee performance in real estate companies: the mediating role of budget goal commitment, trust and job satisfaction. </w:t>
      </w:r>
      <w:r w:rsidRPr="00094D3C">
        <w:rPr>
          <w:rFonts w:ascii="Arial" w:hAnsi="Arial" w:cs="Arial"/>
          <w:i/>
          <w:iCs/>
        </w:rPr>
        <w:t>Baltic Journal of Management</w:t>
      </w:r>
      <w:r w:rsidRPr="00094D3C">
        <w:rPr>
          <w:rFonts w:ascii="Arial" w:hAnsi="Arial" w:cs="Arial"/>
        </w:rPr>
        <w:t>, 18(2), pp.226–241. doi:https://doi.org/10.1108/bjm-03-2022-0118.</w:t>
      </w:r>
    </w:p>
    <w:p w14:paraId="02C0637B" w14:textId="77777777" w:rsidR="00BD6600" w:rsidRPr="00094D3C" w:rsidRDefault="00BD6600" w:rsidP="00094D3C">
      <w:pPr>
        <w:ind w:left="720" w:hanging="720"/>
        <w:rPr>
          <w:rFonts w:ascii="Arial" w:hAnsi="Arial" w:cs="Arial"/>
        </w:rPr>
      </w:pPr>
      <w:r w:rsidRPr="00094D3C">
        <w:rPr>
          <w:rFonts w:ascii="Arial" w:hAnsi="Arial" w:cs="Arial"/>
        </w:rPr>
        <w:t xml:space="preserve">Thanh, T. (2024). Toward Financial Optimization: Assessing the Influence of Budget Process on Effective Accounting Management. </w:t>
      </w:r>
      <w:r w:rsidRPr="00094D3C">
        <w:rPr>
          <w:rFonts w:ascii="Arial" w:hAnsi="Arial" w:cs="Arial"/>
          <w:i/>
          <w:iCs/>
        </w:rPr>
        <w:t>Management Dynamics in the Knowledge Economy</w:t>
      </w:r>
      <w:r w:rsidRPr="00094D3C">
        <w:rPr>
          <w:rFonts w:ascii="Arial" w:hAnsi="Arial" w:cs="Arial"/>
        </w:rPr>
        <w:t>, [online] 12(2), pp.116–132. Available at: https://www.ceeol.com/search/article-detail?id=1247534.</w:t>
      </w:r>
    </w:p>
    <w:p w14:paraId="29B513C4" w14:textId="77777777" w:rsidR="00BD6600" w:rsidRPr="00094D3C" w:rsidRDefault="00BD6600" w:rsidP="00094D3C">
      <w:pPr>
        <w:ind w:left="720" w:hanging="720"/>
        <w:rPr>
          <w:rFonts w:ascii="Arial" w:hAnsi="Arial" w:cs="Arial"/>
        </w:rPr>
      </w:pPr>
      <w:r w:rsidRPr="00094D3C">
        <w:rPr>
          <w:rFonts w:ascii="Arial" w:hAnsi="Arial" w:cs="Arial"/>
        </w:rPr>
        <w:t xml:space="preserve">Upul W.A.P, W. (2025). Optimizing Stock-out in a SME Supermarket via Improving Inventory Management. </w:t>
      </w:r>
      <w:r w:rsidRPr="00094D3C">
        <w:rPr>
          <w:rFonts w:ascii="Arial" w:hAnsi="Arial" w:cs="Arial"/>
          <w:i/>
          <w:iCs/>
        </w:rPr>
        <w:t>Theseus.fi</w:t>
      </w:r>
      <w:r w:rsidRPr="00094D3C">
        <w:rPr>
          <w:rFonts w:ascii="Arial" w:hAnsi="Arial" w:cs="Arial"/>
        </w:rPr>
        <w:t>. [online] doi:http://www.theseus.fi/handle/10024/902530.</w:t>
      </w:r>
    </w:p>
    <w:p w14:paraId="22C414E2" w14:textId="77777777" w:rsidR="00BD6600" w:rsidRPr="00094D3C" w:rsidRDefault="00BD6600" w:rsidP="00094D3C">
      <w:pPr>
        <w:ind w:left="720" w:hanging="720"/>
        <w:rPr>
          <w:rFonts w:ascii="Arial" w:hAnsi="Arial" w:cs="Arial"/>
        </w:rPr>
      </w:pPr>
      <w:r w:rsidRPr="00094D3C">
        <w:rPr>
          <w:rFonts w:ascii="Arial" w:hAnsi="Arial" w:cs="Arial"/>
        </w:rPr>
        <w:t xml:space="preserve">Vuong, T.K. (2025). Enhancing financial and non-financial performance through the balanced scorecard approach for firm’s sustainable development. </w:t>
      </w:r>
      <w:r w:rsidRPr="00094D3C">
        <w:rPr>
          <w:rFonts w:ascii="Arial" w:hAnsi="Arial" w:cs="Arial"/>
          <w:i/>
          <w:iCs/>
        </w:rPr>
        <w:t>Intangible Capital</w:t>
      </w:r>
      <w:r w:rsidRPr="00094D3C">
        <w:rPr>
          <w:rFonts w:ascii="Arial" w:hAnsi="Arial" w:cs="Arial"/>
        </w:rPr>
        <w:t>, 21(2), p.248. doi:https://doi.org/10.3926/ic.3186.</w:t>
      </w:r>
    </w:p>
    <w:p w14:paraId="5761E1F0" w14:textId="77777777" w:rsidR="00BD6600" w:rsidRPr="00094D3C" w:rsidRDefault="00BD6600" w:rsidP="00094D3C">
      <w:pPr>
        <w:ind w:left="720" w:hanging="720"/>
        <w:rPr>
          <w:rFonts w:ascii="Arial" w:hAnsi="Arial" w:cs="Arial"/>
        </w:rPr>
      </w:pPr>
      <w:r w:rsidRPr="00094D3C">
        <w:rPr>
          <w:rFonts w:ascii="Arial" w:hAnsi="Arial" w:cs="Arial"/>
        </w:rPr>
        <w:t xml:space="preserve">Zhou, F., Liu, Y., Triwannakij, S. and Triatmanto, B. (2025). Strategic Budgeting and Budgeting Evaluation Effects on China’s Manufacturing Companies’ Performance. </w:t>
      </w:r>
      <w:r w:rsidRPr="00094D3C">
        <w:rPr>
          <w:rFonts w:ascii="Arial" w:hAnsi="Arial" w:cs="Arial"/>
          <w:i/>
          <w:iCs/>
        </w:rPr>
        <w:t>Journal of risk and financial management</w:t>
      </w:r>
      <w:r w:rsidRPr="00094D3C">
        <w:rPr>
          <w:rFonts w:ascii="Arial" w:hAnsi="Arial" w:cs="Arial"/>
        </w:rPr>
        <w:t>, 18(4), pp.172–172. doi:https://doi.org/10.3390/jrfm18040172.</w:t>
      </w:r>
    </w:p>
    <w:p w14:paraId="529D8094" w14:textId="1C71B397" w:rsidR="004F6AC3" w:rsidRPr="00094D3C" w:rsidRDefault="00955B8C" w:rsidP="00094D3C">
      <w:pPr>
        <w:rPr>
          <w:rFonts w:ascii="Arial" w:hAnsi="Arial" w:cs="Arial"/>
        </w:rPr>
      </w:pPr>
      <w:r w:rsidRPr="00094D3C">
        <w:rPr>
          <w:rFonts w:ascii="Arial" w:hAnsi="Arial" w:cs="Arial"/>
        </w:rPr>
        <w:br w:type="page"/>
      </w:r>
    </w:p>
    <w:p w14:paraId="2B56311E" w14:textId="6F9C282A" w:rsidR="004C5CEC" w:rsidRPr="00094D3C" w:rsidRDefault="00355F81" w:rsidP="00094D3C">
      <w:pPr>
        <w:pStyle w:val="Heading1"/>
        <w:rPr>
          <w:rFonts w:ascii="Arial" w:hAnsi="Arial" w:cs="Arial"/>
        </w:rPr>
      </w:pPr>
      <w:bookmarkStart w:id="18" w:name="_Toc223790167"/>
      <w:r w:rsidRPr="00094D3C">
        <w:rPr>
          <w:rFonts w:ascii="Arial" w:hAnsi="Arial" w:cs="Arial"/>
        </w:rPr>
        <w:lastRenderedPageBreak/>
        <w:t>Appendix</w:t>
      </w:r>
      <w:bookmarkEnd w:id="18"/>
    </w:p>
    <w:p w14:paraId="7F729E66" w14:textId="328A32AD" w:rsidR="004C5CEC" w:rsidRPr="00094D3C" w:rsidRDefault="00A5017F" w:rsidP="00094D3C">
      <w:pPr>
        <w:pStyle w:val="Heading2"/>
        <w:rPr>
          <w:rFonts w:ascii="Arial" w:hAnsi="Arial" w:cs="Arial"/>
        </w:rPr>
      </w:pPr>
      <w:bookmarkStart w:id="19" w:name="_Toc223790168"/>
      <w:r w:rsidRPr="00094D3C">
        <w:rPr>
          <w:rFonts w:ascii="Arial" w:hAnsi="Arial" w:cs="Arial"/>
        </w:rPr>
        <w:t>Workings for cash budget</w:t>
      </w:r>
      <w:bookmarkEnd w:id="19"/>
    </w:p>
    <w:p w14:paraId="7B735765" w14:textId="65D8F41F" w:rsidR="00264B0D" w:rsidRPr="00094D3C" w:rsidRDefault="00264B0D" w:rsidP="00094D3C">
      <w:pPr>
        <w:pStyle w:val="Caption"/>
        <w:spacing w:line="360" w:lineRule="auto"/>
        <w:jc w:val="center"/>
        <w:rPr>
          <w:rFonts w:ascii="Arial" w:hAnsi="Arial" w:cs="Arial"/>
          <w:i w:val="0"/>
          <w:iCs w:val="0"/>
          <w:color w:val="auto"/>
          <w:sz w:val="24"/>
          <w:szCs w:val="24"/>
        </w:rPr>
      </w:pPr>
      <w:bookmarkStart w:id="20" w:name="_Toc223788264"/>
      <w:r w:rsidRPr="00094D3C">
        <w:rPr>
          <w:rFonts w:ascii="Arial" w:hAnsi="Arial" w:cs="Arial"/>
          <w:b/>
          <w:bCs/>
          <w:i w:val="0"/>
          <w:iCs w:val="0"/>
          <w:color w:val="auto"/>
          <w:sz w:val="24"/>
          <w:szCs w:val="24"/>
        </w:rPr>
        <w:t xml:space="preserve">Table </w:t>
      </w:r>
      <w:r w:rsidRPr="00094D3C">
        <w:rPr>
          <w:rFonts w:ascii="Arial" w:hAnsi="Arial" w:cs="Arial"/>
          <w:b/>
          <w:bCs/>
          <w:i w:val="0"/>
          <w:iCs w:val="0"/>
          <w:color w:val="auto"/>
          <w:sz w:val="24"/>
          <w:szCs w:val="24"/>
        </w:rPr>
        <w:fldChar w:fldCharType="begin"/>
      </w:r>
      <w:r w:rsidRPr="00094D3C">
        <w:rPr>
          <w:rFonts w:ascii="Arial" w:hAnsi="Arial" w:cs="Arial"/>
          <w:b/>
          <w:bCs/>
          <w:i w:val="0"/>
          <w:iCs w:val="0"/>
          <w:color w:val="auto"/>
          <w:sz w:val="24"/>
          <w:szCs w:val="24"/>
        </w:rPr>
        <w:instrText xml:space="preserve"> SEQ Table \* ARABIC </w:instrText>
      </w:r>
      <w:r w:rsidRPr="00094D3C">
        <w:rPr>
          <w:rFonts w:ascii="Arial" w:hAnsi="Arial" w:cs="Arial"/>
          <w:b/>
          <w:bCs/>
          <w:i w:val="0"/>
          <w:iCs w:val="0"/>
          <w:color w:val="auto"/>
          <w:sz w:val="24"/>
          <w:szCs w:val="24"/>
        </w:rPr>
        <w:fldChar w:fldCharType="separate"/>
      </w:r>
      <w:r w:rsidR="00B14BF9" w:rsidRPr="00094D3C">
        <w:rPr>
          <w:rFonts w:ascii="Arial" w:hAnsi="Arial" w:cs="Arial"/>
          <w:b/>
          <w:bCs/>
          <w:i w:val="0"/>
          <w:iCs w:val="0"/>
          <w:noProof/>
          <w:color w:val="auto"/>
          <w:sz w:val="24"/>
          <w:szCs w:val="24"/>
        </w:rPr>
        <w:t>4</w:t>
      </w:r>
      <w:r w:rsidRPr="00094D3C">
        <w:rPr>
          <w:rFonts w:ascii="Arial" w:hAnsi="Arial" w:cs="Arial"/>
          <w:b/>
          <w:bCs/>
          <w:i w:val="0"/>
          <w:iCs w:val="0"/>
          <w:color w:val="auto"/>
          <w:sz w:val="24"/>
          <w:szCs w:val="24"/>
        </w:rPr>
        <w:fldChar w:fldCharType="end"/>
      </w:r>
      <w:r w:rsidRPr="00094D3C">
        <w:rPr>
          <w:rFonts w:ascii="Arial" w:hAnsi="Arial" w:cs="Arial"/>
          <w:b/>
          <w:bCs/>
          <w:i w:val="0"/>
          <w:iCs w:val="0"/>
          <w:color w:val="auto"/>
          <w:sz w:val="24"/>
          <w:szCs w:val="24"/>
        </w:rPr>
        <w:t>:</w:t>
      </w:r>
      <w:r w:rsidRPr="00094D3C">
        <w:rPr>
          <w:rFonts w:ascii="Arial" w:hAnsi="Arial" w:cs="Arial"/>
          <w:i w:val="0"/>
          <w:iCs w:val="0"/>
          <w:color w:val="auto"/>
          <w:sz w:val="24"/>
          <w:szCs w:val="24"/>
        </w:rPr>
        <w:t xml:space="preserve"> Payment to suppliers (Workings for cash budget)</w:t>
      </w:r>
      <w:bookmarkEnd w:id="20"/>
    </w:p>
    <w:tbl>
      <w:tblPr>
        <w:tblW w:w="0" w:type="auto"/>
        <w:tblLook w:val="04A0" w:firstRow="1" w:lastRow="0" w:firstColumn="1" w:lastColumn="0" w:noHBand="0" w:noVBand="1"/>
      </w:tblPr>
      <w:tblGrid>
        <w:gridCol w:w="2254"/>
        <w:gridCol w:w="966"/>
        <w:gridCol w:w="966"/>
        <w:gridCol w:w="966"/>
        <w:gridCol w:w="966"/>
        <w:gridCol w:w="966"/>
        <w:gridCol w:w="966"/>
        <w:gridCol w:w="966"/>
      </w:tblGrid>
      <w:tr w:rsidR="00A5017F" w:rsidRPr="00094D3C" w14:paraId="7ABCBDE9" w14:textId="77777777" w:rsidTr="00A5017F">
        <w:trPr>
          <w:trHeight w:val="300"/>
        </w:trPr>
        <w:tc>
          <w:tcPr>
            <w:tcW w:w="0" w:type="auto"/>
            <w:gridSpan w:val="8"/>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4F57EA1A" w14:textId="77777777" w:rsidR="00A5017F" w:rsidRPr="00094D3C" w:rsidRDefault="00A5017F"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W.N. 1 Payment to suppliers</w:t>
            </w:r>
          </w:p>
        </w:tc>
      </w:tr>
      <w:tr w:rsidR="00A5017F" w:rsidRPr="00094D3C" w14:paraId="325BD738" w14:textId="77777777" w:rsidTr="00A5017F">
        <w:trPr>
          <w:trHeight w:val="300"/>
        </w:trPr>
        <w:tc>
          <w:tcPr>
            <w:tcW w:w="0" w:type="auto"/>
            <w:tcBorders>
              <w:top w:val="nil"/>
              <w:left w:val="single" w:sz="4" w:space="0" w:color="auto"/>
              <w:bottom w:val="single" w:sz="4" w:space="0" w:color="auto"/>
              <w:right w:val="single" w:sz="4" w:space="0" w:color="auto"/>
            </w:tcBorders>
            <w:shd w:val="clear" w:color="000000" w:fill="D9E1F2"/>
            <w:noWrap/>
            <w:vAlign w:val="bottom"/>
            <w:hideMark/>
          </w:tcPr>
          <w:p w14:paraId="35CE8503" w14:textId="77777777" w:rsidR="00A5017F" w:rsidRPr="00094D3C" w:rsidRDefault="00A5017F"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c>
          <w:tcPr>
            <w:tcW w:w="0" w:type="auto"/>
            <w:tcBorders>
              <w:top w:val="nil"/>
              <w:left w:val="nil"/>
              <w:bottom w:val="single" w:sz="4" w:space="0" w:color="auto"/>
              <w:right w:val="single" w:sz="4" w:space="0" w:color="auto"/>
            </w:tcBorders>
            <w:shd w:val="clear" w:color="000000" w:fill="D9E1F2"/>
            <w:noWrap/>
            <w:vAlign w:val="bottom"/>
            <w:hideMark/>
          </w:tcPr>
          <w:p w14:paraId="4ED1972F"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June</w:t>
            </w:r>
          </w:p>
        </w:tc>
        <w:tc>
          <w:tcPr>
            <w:tcW w:w="0" w:type="auto"/>
            <w:tcBorders>
              <w:top w:val="nil"/>
              <w:left w:val="nil"/>
              <w:bottom w:val="single" w:sz="4" w:space="0" w:color="auto"/>
              <w:right w:val="single" w:sz="4" w:space="0" w:color="auto"/>
            </w:tcBorders>
            <w:shd w:val="clear" w:color="000000" w:fill="D9E1F2"/>
            <w:noWrap/>
            <w:vAlign w:val="bottom"/>
            <w:hideMark/>
          </w:tcPr>
          <w:p w14:paraId="59A1D0C5"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July</w:t>
            </w:r>
          </w:p>
        </w:tc>
        <w:tc>
          <w:tcPr>
            <w:tcW w:w="0" w:type="auto"/>
            <w:tcBorders>
              <w:top w:val="nil"/>
              <w:left w:val="nil"/>
              <w:bottom w:val="single" w:sz="4" w:space="0" w:color="auto"/>
              <w:right w:val="single" w:sz="4" w:space="0" w:color="auto"/>
            </w:tcBorders>
            <w:shd w:val="clear" w:color="000000" w:fill="D9E1F2"/>
            <w:noWrap/>
            <w:vAlign w:val="bottom"/>
            <w:hideMark/>
          </w:tcPr>
          <w:p w14:paraId="2FD30895"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Aug</w:t>
            </w:r>
          </w:p>
        </w:tc>
        <w:tc>
          <w:tcPr>
            <w:tcW w:w="0" w:type="auto"/>
            <w:tcBorders>
              <w:top w:val="nil"/>
              <w:left w:val="nil"/>
              <w:bottom w:val="single" w:sz="4" w:space="0" w:color="auto"/>
              <w:right w:val="single" w:sz="4" w:space="0" w:color="auto"/>
            </w:tcBorders>
            <w:shd w:val="clear" w:color="000000" w:fill="D9E1F2"/>
            <w:noWrap/>
            <w:vAlign w:val="bottom"/>
            <w:hideMark/>
          </w:tcPr>
          <w:p w14:paraId="4DFD0F00"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Sept</w:t>
            </w:r>
          </w:p>
        </w:tc>
        <w:tc>
          <w:tcPr>
            <w:tcW w:w="0" w:type="auto"/>
            <w:tcBorders>
              <w:top w:val="nil"/>
              <w:left w:val="nil"/>
              <w:bottom w:val="single" w:sz="4" w:space="0" w:color="auto"/>
              <w:right w:val="single" w:sz="4" w:space="0" w:color="auto"/>
            </w:tcBorders>
            <w:shd w:val="clear" w:color="000000" w:fill="D9E1F2"/>
            <w:noWrap/>
            <w:vAlign w:val="bottom"/>
            <w:hideMark/>
          </w:tcPr>
          <w:p w14:paraId="003548CC"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Oct</w:t>
            </w:r>
          </w:p>
        </w:tc>
        <w:tc>
          <w:tcPr>
            <w:tcW w:w="0" w:type="auto"/>
            <w:tcBorders>
              <w:top w:val="nil"/>
              <w:left w:val="nil"/>
              <w:bottom w:val="single" w:sz="4" w:space="0" w:color="auto"/>
              <w:right w:val="single" w:sz="4" w:space="0" w:color="auto"/>
            </w:tcBorders>
            <w:shd w:val="clear" w:color="000000" w:fill="D9E1F2"/>
            <w:noWrap/>
            <w:vAlign w:val="bottom"/>
            <w:hideMark/>
          </w:tcPr>
          <w:p w14:paraId="17366CC4"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Nov</w:t>
            </w:r>
          </w:p>
        </w:tc>
        <w:tc>
          <w:tcPr>
            <w:tcW w:w="0" w:type="auto"/>
            <w:tcBorders>
              <w:top w:val="nil"/>
              <w:left w:val="nil"/>
              <w:bottom w:val="single" w:sz="4" w:space="0" w:color="auto"/>
              <w:right w:val="single" w:sz="4" w:space="0" w:color="auto"/>
            </w:tcBorders>
            <w:shd w:val="clear" w:color="000000" w:fill="D9E1F2"/>
            <w:noWrap/>
            <w:vAlign w:val="bottom"/>
            <w:hideMark/>
          </w:tcPr>
          <w:p w14:paraId="1DF74697"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Dec</w:t>
            </w:r>
          </w:p>
        </w:tc>
      </w:tr>
      <w:tr w:rsidR="00A5017F" w:rsidRPr="00094D3C" w14:paraId="3861CF27"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085C4C86"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Purchases of stock </w:t>
            </w:r>
          </w:p>
        </w:tc>
        <w:tc>
          <w:tcPr>
            <w:tcW w:w="0" w:type="auto"/>
            <w:tcBorders>
              <w:top w:val="nil"/>
              <w:left w:val="nil"/>
              <w:bottom w:val="single" w:sz="4" w:space="0" w:color="auto"/>
              <w:right w:val="single" w:sz="4" w:space="0" w:color="auto"/>
            </w:tcBorders>
            <w:noWrap/>
            <w:vAlign w:val="bottom"/>
            <w:hideMark/>
          </w:tcPr>
          <w:p w14:paraId="57F0679A"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150,000.00 </w:t>
            </w:r>
          </w:p>
        </w:tc>
        <w:tc>
          <w:tcPr>
            <w:tcW w:w="0" w:type="auto"/>
            <w:tcBorders>
              <w:top w:val="nil"/>
              <w:left w:val="nil"/>
              <w:bottom w:val="single" w:sz="4" w:space="0" w:color="auto"/>
              <w:right w:val="single" w:sz="4" w:space="0" w:color="auto"/>
            </w:tcBorders>
            <w:noWrap/>
            <w:vAlign w:val="bottom"/>
            <w:hideMark/>
          </w:tcPr>
          <w:p w14:paraId="3CC35E41"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180,000.00 </w:t>
            </w:r>
          </w:p>
        </w:tc>
        <w:tc>
          <w:tcPr>
            <w:tcW w:w="0" w:type="auto"/>
            <w:tcBorders>
              <w:top w:val="nil"/>
              <w:left w:val="nil"/>
              <w:bottom w:val="single" w:sz="4" w:space="0" w:color="auto"/>
              <w:right w:val="single" w:sz="4" w:space="0" w:color="auto"/>
            </w:tcBorders>
            <w:noWrap/>
            <w:vAlign w:val="bottom"/>
            <w:hideMark/>
          </w:tcPr>
          <w:p w14:paraId="2E03BF41"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170,000.00 </w:t>
            </w:r>
          </w:p>
        </w:tc>
        <w:tc>
          <w:tcPr>
            <w:tcW w:w="0" w:type="auto"/>
            <w:tcBorders>
              <w:top w:val="nil"/>
              <w:left w:val="nil"/>
              <w:bottom w:val="single" w:sz="4" w:space="0" w:color="auto"/>
              <w:right w:val="single" w:sz="4" w:space="0" w:color="auto"/>
            </w:tcBorders>
            <w:noWrap/>
            <w:vAlign w:val="bottom"/>
            <w:hideMark/>
          </w:tcPr>
          <w:p w14:paraId="60CCD9B5"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200,000.00 </w:t>
            </w:r>
          </w:p>
        </w:tc>
        <w:tc>
          <w:tcPr>
            <w:tcW w:w="0" w:type="auto"/>
            <w:tcBorders>
              <w:top w:val="nil"/>
              <w:left w:val="nil"/>
              <w:bottom w:val="single" w:sz="4" w:space="0" w:color="auto"/>
              <w:right w:val="single" w:sz="4" w:space="0" w:color="auto"/>
            </w:tcBorders>
            <w:noWrap/>
            <w:vAlign w:val="bottom"/>
            <w:hideMark/>
          </w:tcPr>
          <w:p w14:paraId="2DC8DE54"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210,000.00 </w:t>
            </w:r>
          </w:p>
        </w:tc>
        <w:tc>
          <w:tcPr>
            <w:tcW w:w="0" w:type="auto"/>
            <w:tcBorders>
              <w:top w:val="nil"/>
              <w:left w:val="nil"/>
              <w:bottom w:val="single" w:sz="4" w:space="0" w:color="auto"/>
              <w:right w:val="single" w:sz="4" w:space="0" w:color="auto"/>
            </w:tcBorders>
            <w:noWrap/>
            <w:vAlign w:val="bottom"/>
            <w:hideMark/>
          </w:tcPr>
          <w:p w14:paraId="0E0613BC"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250,000.00 </w:t>
            </w:r>
          </w:p>
        </w:tc>
        <w:tc>
          <w:tcPr>
            <w:tcW w:w="0" w:type="auto"/>
            <w:tcBorders>
              <w:top w:val="nil"/>
              <w:left w:val="nil"/>
              <w:bottom w:val="single" w:sz="4" w:space="0" w:color="auto"/>
              <w:right w:val="single" w:sz="4" w:space="0" w:color="auto"/>
            </w:tcBorders>
            <w:noWrap/>
            <w:vAlign w:val="bottom"/>
            <w:hideMark/>
          </w:tcPr>
          <w:p w14:paraId="1A2FD742"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280,000.00 </w:t>
            </w:r>
          </w:p>
        </w:tc>
      </w:tr>
      <w:tr w:rsidR="00A5017F" w:rsidRPr="00094D3C" w14:paraId="339A4166"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1B54CC49"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1F2DBA14"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38485587"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4A05E1BA"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EB1738F"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8AB30BB"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3A795278"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B5DABF2"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r>
      <w:tr w:rsidR="00A5017F" w:rsidRPr="00094D3C" w14:paraId="49C71C64"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3FCBC1C4"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Payment to suppliers (after 1 month)</w:t>
            </w:r>
          </w:p>
        </w:tc>
        <w:tc>
          <w:tcPr>
            <w:tcW w:w="0" w:type="auto"/>
            <w:tcBorders>
              <w:top w:val="nil"/>
              <w:left w:val="nil"/>
              <w:bottom w:val="single" w:sz="4" w:space="0" w:color="auto"/>
              <w:right w:val="single" w:sz="4" w:space="0" w:color="auto"/>
            </w:tcBorders>
            <w:noWrap/>
            <w:vAlign w:val="bottom"/>
            <w:hideMark/>
          </w:tcPr>
          <w:p w14:paraId="06D562A2"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c>
          <w:tcPr>
            <w:tcW w:w="0" w:type="auto"/>
            <w:tcBorders>
              <w:top w:val="nil"/>
              <w:left w:val="nil"/>
              <w:bottom w:val="single" w:sz="4" w:space="0" w:color="auto"/>
              <w:right w:val="single" w:sz="4" w:space="0" w:color="auto"/>
            </w:tcBorders>
            <w:shd w:val="clear" w:color="000000" w:fill="EDEDED"/>
            <w:noWrap/>
            <w:vAlign w:val="bottom"/>
            <w:hideMark/>
          </w:tcPr>
          <w:p w14:paraId="43359FF1"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150,000.00 </w:t>
            </w:r>
          </w:p>
        </w:tc>
        <w:tc>
          <w:tcPr>
            <w:tcW w:w="0" w:type="auto"/>
            <w:tcBorders>
              <w:top w:val="nil"/>
              <w:left w:val="nil"/>
              <w:bottom w:val="single" w:sz="4" w:space="0" w:color="auto"/>
              <w:right w:val="single" w:sz="4" w:space="0" w:color="auto"/>
            </w:tcBorders>
            <w:shd w:val="clear" w:color="000000" w:fill="EDEDED"/>
            <w:noWrap/>
            <w:vAlign w:val="bottom"/>
            <w:hideMark/>
          </w:tcPr>
          <w:p w14:paraId="7B45B823"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180,000.00 </w:t>
            </w:r>
          </w:p>
        </w:tc>
        <w:tc>
          <w:tcPr>
            <w:tcW w:w="0" w:type="auto"/>
            <w:tcBorders>
              <w:top w:val="nil"/>
              <w:left w:val="nil"/>
              <w:bottom w:val="single" w:sz="4" w:space="0" w:color="auto"/>
              <w:right w:val="single" w:sz="4" w:space="0" w:color="auto"/>
            </w:tcBorders>
            <w:shd w:val="clear" w:color="000000" w:fill="EDEDED"/>
            <w:noWrap/>
            <w:vAlign w:val="bottom"/>
            <w:hideMark/>
          </w:tcPr>
          <w:p w14:paraId="3CB623E1"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170,000.00 </w:t>
            </w:r>
          </w:p>
        </w:tc>
        <w:tc>
          <w:tcPr>
            <w:tcW w:w="0" w:type="auto"/>
            <w:tcBorders>
              <w:top w:val="nil"/>
              <w:left w:val="nil"/>
              <w:bottom w:val="single" w:sz="4" w:space="0" w:color="auto"/>
              <w:right w:val="single" w:sz="4" w:space="0" w:color="auto"/>
            </w:tcBorders>
            <w:shd w:val="clear" w:color="000000" w:fill="EDEDED"/>
            <w:noWrap/>
            <w:vAlign w:val="bottom"/>
            <w:hideMark/>
          </w:tcPr>
          <w:p w14:paraId="328B50AC"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200,000.00 </w:t>
            </w:r>
          </w:p>
        </w:tc>
        <w:tc>
          <w:tcPr>
            <w:tcW w:w="0" w:type="auto"/>
            <w:tcBorders>
              <w:top w:val="nil"/>
              <w:left w:val="nil"/>
              <w:bottom w:val="single" w:sz="4" w:space="0" w:color="auto"/>
              <w:right w:val="single" w:sz="4" w:space="0" w:color="auto"/>
            </w:tcBorders>
            <w:shd w:val="clear" w:color="000000" w:fill="EDEDED"/>
            <w:noWrap/>
            <w:vAlign w:val="bottom"/>
            <w:hideMark/>
          </w:tcPr>
          <w:p w14:paraId="25A29979"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210,000.00 </w:t>
            </w:r>
          </w:p>
        </w:tc>
        <w:tc>
          <w:tcPr>
            <w:tcW w:w="0" w:type="auto"/>
            <w:tcBorders>
              <w:top w:val="nil"/>
              <w:left w:val="nil"/>
              <w:bottom w:val="single" w:sz="4" w:space="0" w:color="auto"/>
              <w:right w:val="single" w:sz="4" w:space="0" w:color="auto"/>
            </w:tcBorders>
            <w:shd w:val="clear" w:color="000000" w:fill="EDEDED"/>
            <w:noWrap/>
            <w:vAlign w:val="bottom"/>
            <w:hideMark/>
          </w:tcPr>
          <w:p w14:paraId="69E67944"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250,000.00 </w:t>
            </w:r>
          </w:p>
        </w:tc>
      </w:tr>
    </w:tbl>
    <w:p w14:paraId="0026E0F5" w14:textId="77777777" w:rsidR="00A5017F" w:rsidRPr="00094D3C" w:rsidRDefault="00A5017F" w:rsidP="00094D3C">
      <w:pPr>
        <w:rPr>
          <w:rFonts w:ascii="Arial" w:hAnsi="Arial" w:cs="Arial"/>
        </w:rPr>
      </w:pPr>
    </w:p>
    <w:p w14:paraId="1D6A05C9" w14:textId="2758951F" w:rsidR="00264B0D" w:rsidRPr="00094D3C" w:rsidRDefault="00264B0D" w:rsidP="00094D3C">
      <w:pPr>
        <w:pStyle w:val="Caption"/>
        <w:spacing w:line="360" w:lineRule="auto"/>
        <w:jc w:val="center"/>
        <w:rPr>
          <w:rFonts w:ascii="Arial" w:hAnsi="Arial" w:cs="Arial"/>
          <w:i w:val="0"/>
          <w:iCs w:val="0"/>
          <w:color w:val="auto"/>
          <w:sz w:val="24"/>
          <w:szCs w:val="24"/>
        </w:rPr>
      </w:pPr>
      <w:bookmarkStart w:id="21" w:name="_Toc223788265"/>
      <w:r w:rsidRPr="00094D3C">
        <w:rPr>
          <w:rFonts w:ascii="Arial" w:hAnsi="Arial" w:cs="Arial"/>
          <w:b/>
          <w:bCs/>
          <w:i w:val="0"/>
          <w:iCs w:val="0"/>
          <w:color w:val="auto"/>
          <w:sz w:val="24"/>
          <w:szCs w:val="24"/>
        </w:rPr>
        <w:t xml:space="preserve">Table </w:t>
      </w:r>
      <w:r w:rsidRPr="00094D3C">
        <w:rPr>
          <w:rFonts w:ascii="Arial" w:hAnsi="Arial" w:cs="Arial"/>
          <w:b/>
          <w:bCs/>
          <w:i w:val="0"/>
          <w:iCs w:val="0"/>
          <w:color w:val="auto"/>
          <w:sz w:val="24"/>
          <w:szCs w:val="24"/>
        </w:rPr>
        <w:fldChar w:fldCharType="begin"/>
      </w:r>
      <w:r w:rsidRPr="00094D3C">
        <w:rPr>
          <w:rFonts w:ascii="Arial" w:hAnsi="Arial" w:cs="Arial"/>
          <w:b/>
          <w:bCs/>
          <w:i w:val="0"/>
          <w:iCs w:val="0"/>
          <w:color w:val="auto"/>
          <w:sz w:val="24"/>
          <w:szCs w:val="24"/>
        </w:rPr>
        <w:instrText xml:space="preserve"> SEQ Table \* ARABIC </w:instrText>
      </w:r>
      <w:r w:rsidRPr="00094D3C">
        <w:rPr>
          <w:rFonts w:ascii="Arial" w:hAnsi="Arial" w:cs="Arial"/>
          <w:b/>
          <w:bCs/>
          <w:i w:val="0"/>
          <w:iCs w:val="0"/>
          <w:color w:val="auto"/>
          <w:sz w:val="24"/>
          <w:szCs w:val="24"/>
        </w:rPr>
        <w:fldChar w:fldCharType="separate"/>
      </w:r>
      <w:r w:rsidR="00B14BF9" w:rsidRPr="00094D3C">
        <w:rPr>
          <w:rFonts w:ascii="Arial" w:hAnsi="Arial" w:cs="Arial"/>
          <w:b/>
          <w:bCs/>
          <w:i w:val="0"/>
          <w:iCs w:val="0"/>
          <w:noProof/>
          <w:color w:val="auto"/>
          <w:sz w:val="24"/>
          <w:szCs w:val="24"/>
        </w:rPr>
        <w:t>5</w:t>
      </w:r>
      <w:r w:rsidRPr="00094D3C">
        <w:rPr>
          <w:rFonts w:ascii="Arial" w:hAnsi="Arial" w:cs="Arial"/>
          <w:b/>
          <w:bCs/>
          <w:i w:val="0"/>
          <w:iCs w:val="0"/>
          <w:color w:val="auto"/>
          <w:sz w:val="24"/>
          <w:szCs w:val="24"/>
        </w:rPr>
        <w:fldChar w:fldCharType="end"/>
      </w:r>
      <w:r w:rsidRPr="00094D3C">
        <w:rPr>
          <w:rFonts w:ascii="Arial" w:hAnsi="Arial" w:cs="Arial"/>
          <w:b/>
          <w:bCs/>
          <w:i w:val="0"/>
          <w:iCs w:val="0"/>
          <w:color w:val="auto"/>
          <w:sz w:val="24"/>
          <w:szCs w:val="24"/>
        </w:rPr>
        <w:t>:</w:t>
      </w:r>
      <w:r w:rsidRPr="00094D3C">
        <w:rPr>
          <w:rFonts w:ascii="Arial" w:hAnsi="Arial" w:cs="Arial"/>
          <w:i w:val="0"/>
          <w:iCs w:val="0"/>
          <w:color w:val="auto"/>
          <w:sz w:val="24"/>
          <w:szCs w:val="24"/>
        </w:rPr>
        <w:t xml:space="preserve"> Calculation of interest charges (Workings for cash budget)</w:t>
      </w:r>
      <w:bookmarkEnd w:id="21"/>
    </w:p>
    <w:tbl>
      <w:tblPr>
        <w:tblW w:w="0" w:type="auto"/>
        <w:tblLook w:val="04A0" w:firstRow="1" w:lastRow="0" w:firstColumn="1" w:lastColumn="0" w:noHBand="0" w:noVBand="1"/>
      </w:tblPr>
      <w:tblGrid>
        <w:gridCol w:w="2324"/>
        <w:gridCol w:w="956"/>
        <w:gridCol w:w="956"/>
        <w:gridCol w:w="956"/>
        <w:gridCol w:w="956"/>
        <w:gridCol w:w="956"/>
        <w:gridCol w:w="956"/>
        <w:gridCol w:w="956"/>
      </w:tblGrid>
      <w:tr w:rsidR="00A5017F" w:rsidRPr="00094D3C" w14:paraId="4811870D" w14:textId="77777777" w:rsidTr="00A5017F">
        <w:trPr>
          <w:trHeight w:val="300"/>
        </w:trPr>
        <w:tc>
          <w:tcPr>
            <w:tcW w:w="0" w:type="auto"/>
            <w:gridSpan w:val="8"/>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14101565" w14:textId="77777777" w:rsidR="00A5017F" w:rsidRPr="00094D3C" w:rsidRDefault="00A5017F"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W.N 2) Calculation of interest charges</w:t>
            </w:r>
          </w:p>
        </w:tc>
      </w:tr>
      <w:tr w:rsidR="00A5017F" w:rsidRPr="00094D3C" w14:paraId="081E0D55" w14:textId="77777777" w:rsidTr="00A5017F">
        <w:trPr>
          <w:trHeight w:val="300"/>
        </w:trPr>
        <w:tc>
          <w:tcPr>
            <w:tcW w:w="0" w:type="auto"/>
            <w:tcBorders>
              <w:top w:val="nil"/>
              <w:left w:val="single" w:sz="4" w:space="0" w:color="auto"/>
              <w:bottom w:val="single" w:sz="4" w:space="0" w:color="auto"/>
              <w:right w:val="single" w:sz="4" w:space="0" w:color="auto"/>
            </w:tcBorders>
            <w:shd w:val="clear" w:color="000000" w:fill="D9E1F2"/>
            <w:noWrap/>
            <w:vAlign w:val="bottom"/>
            <w:hideMark/>
          </w:tcPr>
          <w:p w14:paraId="6376E2E0"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Particulars</w:t>
            </w:r>
          </w:p>
        </w:tc>
        <w:tc>
          <w:tcPr>
            <w:tcW w:w="0" w:type="auto"/>
            <w:tcBorders>
              <w:top w:val="nil"/>
              <w:left w:val="nil"/>
              <w:bottom w:val="single" w:sz="4" w:space="0" w:color="auto"/>
              <w:right w:val="single" w:sz="4" w:space="0" w:color="auto"/>
            </w:tcBorders>
            <w:shd w:val="clear" w:color="000000" w:fill="D9E1F2"/>
            <w:noWrap/>
            <w:vAlign w:val="bottom"/>
            <w:hideMark/>
          </w:tcPr>
          <w:p w14:paraId="62EA8D74"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June</w:t>
            </w:r>
          </w:p>
        </w:tc>
        <w:tc>
          <w:tcPr>
            <w:tcW w:w="0" w:type="auto"/>
            <w:tcBorders>
              <w:top w:val="nil"/>
              <w:left w:val="nil"/>
              <w:bottom w:val="single" w:sz="4" w:space="0" w:color="auto"/>
              <w:right w:val="single" w:sz="4" w:space="0" w:color="auto"/>
            </w:tcBorders>
            <w:shd w:val="clear" w:color="000000" w:fill="D9E1F2"/>
            <w:noWrap/>
            <w:vAlign w:val="bottom"/>
            <w:hideMark/>
          </w:tcPr>
          <w:p w14:paraId="5B41926D"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July</w:t>
            </w:r>
          </w:p>
        </w:tc>
        <w:tc>
          <w:tcPr>
            <w:tcW w:w="0" w:type="auto"/>
            <w:tcBorders>
              <w:top w:val="nil"/>
              <w:left w:val="nil"/>
              <w:bottom w:val="single" w:sz="4" w:space="0" w:color="auto"/>
              <w:right w:val="single" w:sz="4" w:space="0" w:color="auto"/>
            </w:tcBorders>
            <w:shd w:val="clear" w:color="000000" w:fill="D9E1F2"/>
            <w:noWrap/>
            <w:vAlign w:val="bottom"/>
            <w:hideMark/>
          </w:tcPr>
          <w:p w14:paraId="7D9B4007"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Aug</w:t>
            </w:r>
          </w:p>
        </w:tc>
        <w:tc>
          <w:tcPr>
            <w:tcW w:w="0" w:type="auto"/>
            <w:tcBorders>
              <w:top w:val="nil"/>
              <w:left w:val="nil"/>
              <w:bottom w:val="single" w:sz="4" w:space="0" w:color="auto"/>
              <w:right w:val="single" w:sz="4" w:space="0" w:color="auto"/>
            </w:tcBorders>
            <w:shd w:val="clear" w:color="000000" w:fill="D9E1F2"/>
            <w:noWrap/>
            <w:vAlign w:val="bottom"/>
            <w:hideMark/>
          </w:tcPr>
          <w:p w14:paraId="47F443FB"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Sept</w:t>
            </w:r>
          </w:p>
        </w:tc>
        <w:tc>
          <w:tcPr>
            <w:tcW w:w="0" w:type="auto"/>
            <w:tcBorders>
              <w:top w:val="nil"/>
              <w:left w:val="nil"/>
              <w:bottom w:val="single" w:sz="4" w:space="0" w:color="auto"/>
              <w:right w:val="single" w:sz="4" w:space="0" w:color="auto"/>
            </w:tcBorders>
            <w:shd w:val="clear" w:color="000000" w:fill="D9E1F2"/>
            <w:noWrap/>
            <w:vAlign w:val="bottom"/>
            <w:hideMark/>
          </w:tcPr>
          <w:p w14:paraId="00E0BC58"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Oct</w:t>
            </w:r>
          </w:p>
        </w:tc>
        <w:tc>
          <w:tcPr>
            <w:tcW w:w="0" w:type="auto"/>
            <w:tcBorders>
              <w:top w:val="nil"/>
              <w:left w:val="nil"/>
              <w:bottom w:val="single" w:sz="4" w:space="0" w:color="auto"/>
              <w:right w:val="single" w:sz="4" w:space="0" w:color="auto"/>
            </w:tcBorders>
            <w:shd w:val="clear" w:color="000000" w:fill="D9E1F2"/>
            <w:noWrap/>
            <w:vAlign w:val="bottom"/>
            <w:hideMark/>
          </w:tcPr>
          <w:p w14:paraId="48A62C5F"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Nov</w:t>
            </w:r>
          </w:p>
        </w:tc>
        <w:tc>
          <w:tcPr>
            <w:tcW w:w="0" w:type="auto"/>
            <w:tcBorders>
              <w:top w:val="nil"/>
              <w:left w:val="nil"/>
              <w:bottom w:val="single" w:sz="4" w:space="0" w:color="auto"/>
              <w:right w:val="single" w:sz="4" w:space="0" w:color="auto"/>
            </w:tcBorders>
            <w:shd w:val="clear" w:color="000000" w:fill="D9E1F2"/>
            <w:noWrap/>
            <w:vAlign w:val="bottom"/>
            <w:hideMark/>
          </w:tcPr>
          <w:p w14:paraId="2A011F64"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Dec</w:t>
            </w:r>
          </w:p>
        </w:tc>
      </w:tr>
      <w:tr w:rsidR="00A5017F" w:rsidRPr="00094D3C" w14:paraId="7AFF7971"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03F22CBB"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Sales income </w:t>
            </w:r>
          </w:p>
        </w:tc>
        <w:tc>
          <w:tcPr>
            <w:tcW w:w="0" w:type="auto"/>
            <w:tcBorders>
              <w:top w:val="nil"/>
              <w:left w:val="nil"/>
              <w:bottom w:val="single" w:sz="4" w:space="0" w:color="auto"/>
              <w:right w:val="single" w:sz="4" w:space="0" w:color="auto"/>
            </w:tcBorders>
            <w:noWrap/>
            <w:vAlign w:val="bottom"/>
            <w:hideMark/>
          </w:tcPr>
          <w:p w14:paraId="7CAAB3E8"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180,000.00 </w:t>
            </w:r>
          </w:p>
        </w:tc>
        <w:tc>
          <w:tcPr>
            <w:tcW w:w="0" w:type="auto"/>
            <w:tcBorders>
              <w:top w:val="nil"/>
              <w:left w:val="nil"/>
              <w:bottom w:val="single" w:sz="4" w:space="0" w:color="auto"/>
              <w:right w:val="single" w:sz="4" w:space="0" w:color="auto"/>
            </w:tcBorders>
            <w:noWrap/>
            <w:vAlign w:val="bottom"/>
            <w:hideMark/>
          </w:tcPr>
          <w:p w14:paraId="3BC4D167"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210,000.00 </w:t>
            </w:r>
          </w:p>
        </w:tc>
        <w:tc>
          <w:tcPr>
            <w:tcW w:w="0" w:type="auto"/>
            <w:tcBorders>
              <w:top w:val="nil"/>
              <w:left w:val="nil"/>
              <w:bottom w:val="single" w:sz="4" w:space="0" w:color="auto"/>
              <w:right w:val="single" w:sz="4" w:space="0" w:color="auto"/>
            </w:tcBorders>
            <w:noWrap/>
            <w:vAlign w:val="bottom"/>
            <w:hideMark/>
          </w:tcPr>
          <w:p w14:paraId="08A23BA8"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230,000.00 </w:t>
            </w:r>
          </w:p>
        </w:tc>
        <w:tc>
          <w:tcPr>
            <w:tcW w:w="0" w:type="auto"/>
            <w:tcBorders>
              <w:top w:val="nil"/>
              <w:left w:val="nil"/>
              <w:bottom w:val="single" w:sz="4" w:space="0" w:color="auto"/>
              <w:right w:val="single" w:sz="4" w:space="0" w:color="auto"/>
            </w:tcBorders>
            <w:noWrap/>
            <w:vAlign w:val="bottom"/>
            <w:hideMark/>
          </w:tcPr>
          <w:p w14:paraId="52D74A56"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260,000.00 </w:t>
            </w:r>
          </w:p>
        </w:tc>
        <w:tc>
          <w:tcPr>
            <w:tcW w:w="0" w:type="auto"/>
            <w:tcBorders>
              <w:top w:val="nil"/>
              <w:left w:val="nil"/>
              <w:bottom w:val="single" w:sz="4" w:space="0" w:color="auto"/>
              <w:right w:val="single" w:sz="4" w:space="0" w:color="auto"/>
            </w:tcBorders>
            <w:noWrap/>
            <w:vAlign w:val="bottom"/>
            <w:hideMark/>
          </w:tcPr>
          <w:p w14:paraId="284BA8D3"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240,000.00 </w:t>
            </w:r>
          </w:p>
        </w:tc>
        <w:tc>
          <w:tcPr>
            <w:tcW w:w="0" w:type="auto"/>
            <w:tcBorders>
              <w:top w:val="nil"/>
              <w:left w:val="nil"/>
              <w:bottom w:val="single" w:sz="4" w:space="0" w:color="auto"/>
              <w:right w:val="single" w:sz="4" w:space="0" w:color="auto"/>
            </w:tcBorders>
            <w:noWrap/>
            <w:vAlign w:val="bottom"/>
            <w:hideMark/>
          </w:tcPr>
          <w:p w14:paraId="7998697C"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250,000.00 </w:t>
            </w:r>
          </w:p>
        </w:tc>
        <w:tc>
          <w:tcPr>
            <w:tcW w:w="0" w:type="auto"/>
            <w:tcBorders>
              <w:top w:val="nil"/>
              <w:left w:val="nil"/>
              <w:bottom w:val="single" w:sz="4" w:space="0" w:color="auto"/>
              <w:right w:val="single" w:sz="4" w:space="0" w:color="auto"/>
            </w:tcBorders>
            <w:noWrap/>
            <w:vAlign w:val="bottom"/>
            <w:hideMark/>
          </w:tcPr>
          <w:p w14:paraId="6713BB25"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280,000.00 </w:t>
            </w:r>
          </w:p>
        </w:tc>
      </w:tr>
      <w:tr w:rsidR="00A5017F" w:rsidRPr="00094D3C" w14:paraId="4A8998DA"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35E2DFAF"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Amount of sales using credit cards (35%)</w:t>
            </w:r>
          </w:p>
        </w:tc>
        <w:tc>
          <w:tcPr>
            <w:tcW w:w="0" w:type="auto"/>
            <w:tcBorders>
              <w:top w:val="nil"/>
              <w:left w:val="nil"/>
              <w:bottom w:val="single" w:sz="4" w:space="0" w:color="auto"/>
              <w:right w:val="single" w:sz="4" w:space="0" w:color="auto"/>
            </w:tcBorders>
            <w:noWrap/>
            <w:vAlign w:val="bottom"/>
            <w:hideMark/>
          </w:tcPr>
          <w:p w14:paraId="5BAC0B53"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63,000.00 </w:t>
            </w:r>
          </w:p>
        </w:tc>
        <w:tc>
          <w:tcPr>
            <w:tcW w:w="0" w:type="auto"/>
            <w:tcBorders>
              <w:top w:val="nil"/>
              <w:left w:val="nil"/>
              <w:bottom w:val="single" w:sz="4" w:space="0" w:color="auto"/>
              <w:right w:val="single" w:sz="4" w:space="0" w:color="auto"/>
            </w:tcBorders>
            <w:noWrap/>
            <w:vAlign w:val="bottom"/>
            <w:hideMark/>
          </w:tcPr>
          <w:p w14:paraId="723B4551"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73,500.00 </w:t>
            </w:r>
          </w:p>
        </w:tc>
        <w:tc>
          <w:tcPr>
            <w:tcW w:w="0" w:type="auto"/>
            <w:tcBorders>
              <w:top w:val="nil"/>
              <w:left w:val="nil"/>
              <w:bottom w:val="single" w:sz="4" w:space="0" w:color="auto"/>
              <w:right w:val="single" w:sz="4" w:space="0" w:color="auto"/>
            </w:tcBorders>
            <w:noWrap/>
            <w:vAlign w:val="bottom"/>
            <w:hideMark/>
          </w:tcPr>
          <w:p w14:paraId="66DF3048"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80,500.00 </w:t>
            </w:r>
          </w:p>
        </w:tc>
        <w:tc>
          <w:tcPr>
            <w:tcW w:w="0" w:type="auto"/>
            <w:tcBorders>
              <w:top w:val="nil"/>
              <w:left w:val="nil"/>
              <w:bottom w:val="single" w:sz="4" w:space="0" w:color="auto"/>
              <w:right w:val="single" w:sz="4" w:space="0" w:color="auto"/>
            </w:tcBorders>
            <w:noWrap/>
            <w:vAlign w:val="bottom"/>
            <w:hideMark/>
          </w:tcPr>
          <w:p w14:paraId="1B4C1DBD"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91,000.00 </w:t>
            </w:r>
          </w:p>
        </w:tc>
        <w:tc>
          <w:tcPr>
            <w:tcW w:w="0" w:type="auto"/>
            <w:tcBorders>
              <w:top w:val="nil"/>
              <w:left w:val="nil"/>
              <w:bottom w:val="single" w:sz="4" w:space="0" w:color="auto"/>
              <w:right w:val="single" w:sz="4" w:space="0" w:color="auto"/>
            </w:tcBorders>
            <w:noWrap/>
            <w:vAlign w:val="bottom"/>
            <w:hideMark/>
          </w:tcPr>
          <w:p w14:paraId="521D9E7F"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84,000.00 </w:t>
            </w:r>
          </w:p>
        </w:tc>
        <w:tc>
          <w:tcPr>
            <w:tcW w:w="0" w:type="auto"/>
            <w:tcBorders>
              <w:top w:val="nil"/>
              <w:left w:val="nil"/>
              <w:bottom w:val="single" w:sz="4" w:space="0" w:color="auto"/>
              <w:right w:val="single" w:sz="4" w:space="0" w:color="auto"/>
            </w:tcBorders>
            <w:noWrap/>
            <w:vAlign w:val="bottom"/>
            <w:hideMark/>
          </w:tcPr>
          <w:p w14:paraId="555648E0"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87,500.00 </w:t>
            </w:r>
          </w:p>
        </w:tc>
        <w:tc>
          <w:tcPr>
            <w:tcW w:w="0" w:type="auto"/>
            <w:tcBorders>
              <w:top w:val="nil"/>
              <w:left w:val="nil"/>
              <w:bottom w:val="single" w:sz="4" w:space="0" w:color="auto"/>
              <w:right w:val="single" w:sz="4" w:space="0" w:color="auto"/>
            </w:tcBorders>
            <w:noWrap/>
            <w:vAlign w:val="bottom"/>
            <w:hideMark/>
          </w:tcPr>
          <w:p w14:paraId="6A3691F0"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98,000.00 </w:t>
            </w:r>
          </w:p>
        </w:tc>
      </w:tr>
      <w:tr w:rsidR="00A5017F" w:rsidRPr="00094D3C" w14:paraId="5A01F85D"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1BB9B5EB"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3E84C03A"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05CF5255"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7D963182"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05F655FF"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64DBE39"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7F877F73"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0C314A74"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r>
      <w:tr w:rsidR="00A5017F" w:rsidRPr="00094D3C" w14:paraId="3AFFC952"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18A1F8C8"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Interest Charges (2.5%)</w:t>
            </w:r>
          </w:p>
        </w:tc>
        <w:tc>
          <w:tcPr>
            <w:tcW w:w="0" w:type="auto"/>
            <w:tcBorders>
              <w:top w:val="nil"/>
              <w:left w:val="nil"/>
              <w:bottom w:val="single" w:sz="4" w:space="0" w:color="auto"/>
              <w:right w:val="single" w:sz="4" w:space="0" w:color="auto"/>
            </w:tcBorders>
            <w:noWrap/>
            <w:vAlign w:val="bottom"/>
            <w:hideMark/>
          </w:tcPr>
          <w:p w14:paraId="18D1C0D6"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1,575.00 </w:t>
            </w:r>
          </w:p>
        </w:tc>
        <w:tc>
          <w:tcPr>
            <w:tcW w:w="0" w:type="auto"/>
            <w:tcBorders>
              <w:top w:val="nil"/>
              <w:left w:val="nil"/>
              <w:bottom w:val="single" w:sz="4" w:space="0" w:color="auto"/>
              <w:right w:val="single" w:sz="4" w:space="0" w:color="auto"/>
            </w:tcBorders>
            <w:shd w:val="clear" w:color="000000" w:fill="EDEDED"/>
            <w:noWrap/>
            <w:vAlign w:val="bottom"/>
            <w:hideMark/>
          </w:tcPr>
          <w:p w14:paraId="41DFA3B7"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1,837.50 </w:t>
            </w:r>
          </w:p>
        </w:tc>
        <w:tc>
          <w:tcPr>
            <w:tcW w:w="0" w:type="auto"/>
            <w:tcBorders>
              <w:top w:val="nil"/>
              <w:left w:val="nil"/>
              <w:bottom w:val="single" w:sz="4" w:space="0" w:color="auto"/>
              <w:right w:val="single" w:sz="4" w:space="0" w:color="auto"/>
            </w:tcBorders>
            <w:shd w:val="clear" w:color="000000" w:fill="EDEDED"/>
            <w:noWrap/>
            <w:vAlign w:val="bottom"/>
            <w:hideMark/>
          </w:tcPr>
          <w:p w14:paraId="3B987261"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2,012.50 </w:t>
            </w:r>
          </w:p>
        </w:tc>
        <w:tc>
          <w:tcPr>
            <w:tcW w:w="0" w:type="auto"/>
            <w:tcBorders>
              <w:top w:val="nil"/>
              <w:left w:val="nil"/>
              <w:bottom w:val="single" w:sz="4" w:space="0" w:color="auto"/>
              <w:right w:val="single" w:sz="4" w:space="0" w:color="auto"/>
            </w:tcBorders>
            <w:shd w:val="clear" w:color="000000" w:fill="EDEDED"/>
            <w:noWrap/>
            <w:vAlign w:val="bottom"/>
            <w:hideMark/>
          </w:tcPr>
          <w:p w14:paraId="6268D757"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2,275.00 </w:t>
            </w:r>
          </w:p>
        </w:tc>
        <w:tc>
          <w:tcPr>
            <w:tcW w:w="0" w:type="auto"/>
            <w:tcBorders>
              <w:top w:val="nil"/>
              <w:left w:val="nil"/>
              <w:bottom w:val="single" w:sz="4" w:space="0" w:color="auto"/>
              <w:right w:val="single" w:sz="4" w:space="0" w:color="auto"/>
            </w:tcBorders>
            <w:shd w:val="clear" w:color="000000" w:fill="EDEDED"/>
            <w:noWrap/>
            <w:vAlign w:val="bottom"/>
            <w:hideMark/>
          </w:tcPr>
          <w:p w14:paraId="6B1A1838"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2,100.00 </w:t>
            </w:r>
          </w:p>
        </w:tc>
        <w:tc>
          <w:tcPr>
            <w:tcW w:w="0" w:type="auto"/>
            <w:tcBorders>
              <w:top w:val="nil"/>
              <w:left w:val="nil"/>
              <w:bottom w:val="single" w:sz="4" w:space="0" w:color="auto"/>
              <w:right w:val="single" w:sz="4" w:space="0" w:color="auto"/>
            </w:tcBorders>
            <w:shd w:val="clear" w:color="000000" w:fill="EDEDED"/>
            <w:noWrap/>
            <w:vAlign w:val="bottom"/>
            <w:hideMark/>
          </w:tcPr>
          <w:p w14:paraId="63200099"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2,187.50 </w:t>
            </w:r>
          </w:p>
        </w:tc>
        <w:tc>
          <w:tcPr>
            <w:tcW w:w="0" w:type="auto"/>
            <w:tcBorders>
              <w:top w:val="nil"/>
              <w:left w:val="nil"/>
              <w:bottom w:val="single" w:sz="4" w:space="0" w:color="auto"/>
              <w:right w:val="single" w:sz="4" w:space="0" w:color="auto"/>
            </w:tcBorders>
            <w:shd w:val="clear" w:color="000000" w:fill="EDEDED"/>
            <w:noWrap/>
            <w:vAlign w:val="bottom"/>
            <w:hideMark/>
          </w:tcPr>
          <w:p w14:paraId="5DC3C8EB"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2,450.00 </w:t>
            </w:r>
          </w:p>
        </w:tc>
      </w:tr>
    </w:tbl>
    <w:p w14:paraId="236580FC" w14:textId="1866C662" w:rsidR="00A5017F" w:rsidRPr="00094D3C" w:rsidRDefault="00264B0D" w:rsidP="00094D3C">
      <w:pPr>
        <w:rPr>
          <w:rFonts w:ascii="Arial" w:hAnsi="Arial" w:cs="Arial"/>
        </w:rPr>
      </w:pPr>
      <w:r w:rsidRPr="00094D3C">
        <w:rPr>
          <w:rFonts w:ascii="Arial" w:hAnsi="Arial" w:cs="Arial"/>
        </w:rPr>
        <w:t xml:space="preserve"> </w:t>
      </w:r>
    </w:p>
    <w:p w14:paraId="5FC8C220" w14:textId="2443A1A0" w:rsidR="00264B0D" w:rsidRPr="00094D3C" w:rsidRDefault="00264B0D" w:rsidP="00094D3C">
      <w:pPr>
        <w:pStyle w:val="Caption"/>
        <w:spacing w:line="360" w:lineRule="auto"/>
        <w:jc w:val="center"/>
        <w:rPr>
          <w:rFonts w:ascii="Arial" w:hAnsi="Arial" w:cs="Arial"/>
          <w:i w:val="0"/>
          <w:iCs w:val="0"/>
          <w:color w:val="auto"/>
          <w:sz w:val="24"/>
          <w:szCs w:val="24"/>
        </w:rPr>
      </w:pPr>
      <w:bookmarkStart w:id="22" w:name="_Toc223788266"/>
      <w:r w:rsidRPr="00094D3C">
        <w:rPr>
          <w:rFonts w:ascii="Arial" w:hAnsi="Arial" w:cs="Arial"/>
          <w:b/>
          <w:bCs/>
          <w:i w:val="0"/>
          <w:iCs w:val="0"/>
          <w:color w:val="auto"/>
          <w:sz w:val="24"/>
          <w:szCs w:val="24"/>
        </w:rPr>
        <w:t xml:space="preserve">Table </w:t>
      </w:r>
      <w:r w:rsidRPr="00094D3C">
        <w:rPr>
          <w:rFonts w:ascii="Arial" w:hAnsi="Arial" w:cs="Arial"/>
          <w:b/>
          <w:bCs/>
          <w:i w:val="0"/>
          <w:iCs w:val="0"/>
          <w:color w:val="auto"/>
          <w:sz w:val="24"/>
          <w:szCs w:val="24"/>
        </w:rPr>
        <w:fldChar w:fldCharType="begin"/>
      </w:r>
      <w:r w:rsidRPr="00094D3C">
        <w:rPr>
          <w:rFonts w:ascii="Arial" w:hAnsi="Arial" w:cs="Arial"/>
          <w:b/>
          <w:bCs/>
          <w:i w:val="0"/>
          <w:iCs w:val="0"/>
          <w:color w:val="auto"/>
          <w:sz w:val="24"/>
          <w:szCs w:val="24"/>
        </w:rPr>
        <w:instrText xml:space="preserve"> SEQ Table \* ARABIC </w:instrText>
      </w:r>
      <w:r w:rsidRPr="00094D3C">
        <w:rPr>
          <w:rFonts w:ascii="Arial" w:hAnsi="Arial" w:cs="Arial"/>
          <w:b/>
          <w:bCs/>
          <w:i w:val="0"/>
          <w:iCs w:val="0"/>
          <w:color w:val="auto"/>
          <w:sz w:val="24"/>
          <w:szCs w:val="24"/>
        </w:rPr>
        <w:fldChar w:fldCharType="separate"/>
      </w:r>
      <w:r w:rsidR="00B14BF9" w:rsidRPr="00094D3C">
        <w:rPr>
          <w:rFonts w:ascii="Arial" w:hAnsi="Arial" w:cs="Arial"/>
          <w:b/>
          <w:bCs/>
          <w:i w:val="0"/>
          <w:iCs w:val="0"/>
          <w:noProof/>
          <w:color w:val="auto"/>
          <w:sz w:val="24"/>
          <w:szCs w:val="24"/>
        </w:rPr>
        <w:t>6</w:t>
      </w:r>
      <w:r w:rsidRPr="00094D3C">
        <w:rPr>
          <w:rFonts w:ascii="Arial" w:hAnsi="Arial" w:cs="Arial"/>
          <w:b/>
          <w:bCs/>
          <w:i w:val="0"/>
          <w:iCs w:val="0"/>
          <w:color w:val="auto"/>
          <w:sz w:val="24"/>
          <w:szCs w:val="24"/>
        </w:rPr>
        <w:fldChar w:fldCharType="end"/>
      </w:r>
      <w:r w:rsidRPr="00094D3C">
        <w:rPr>
          <w:rFonts w:ascii="Arial" w:hAnsi="Arial" w:cs="Arial"/>
          <w:b/>
          <w:bCs/>
          <w:i w:val="0"/>
          <w:iCs w:val="0"/>
          <w:color w:val="auto"/>
          <w:sz w:val="24"/>
          <w:szCs w:val="24"/>
        </w:rPr>
        <w:t>:</w:t>
      </w:r>
      <w:r w:rsidRPr="00094D3C">
        <w:rPr>
          <w:rFonts w:ascii="Arial" w:hAnsi="Arial" w:cs="Arial"/>
          <w:i w:val="0"/>
          <w:iCs w:val="0"/>
          <w:color w:val="auto"/>
          <w:sz w:val="24"/>
          <w:szCs w:val="24"/>
        </w:rPr>
        <w:t xml:space="preserve"> Calculation of administration exp (Workings for cash budget)</w:t>
      </w:r>
      <w:bookmarkEnd w:id="22"/>
    </w:p>
    <w:tbl>
      <w:tblPr>
        <w:tblW w:w="0" w:type="auto"/>
        <w:tblLook w:val="04A0" w:firstRow="1" w:lastRow="0" w:firstColumn="1" w:lastColumn="0" w:noHBand="0" w:noVBand="1"/>
      </w:tblPr>
      <w:tblGrid>
        <w:gridCol w:w="1717"/>
        <w:gridCol w:w="1042"/>
        <w:gridCol w:w="1042"/>
        <w:gridCol w:w="1043"/>
        <w:gridCol w:w="1043"/>
        <w:gridCol w:w="1043"/>
        <w:gridCol w:w="1043"/>
        <w:gridCol w:w="1043"/>
      </w:tblGrid>
      <w:tr w:rsidR="00A5017F" w:rsidRPr="00094D3C" w14:paraId="49A0DE04" w14:textId="77777777" w:rsidTr="00A5017F">
        <w:trPr>
          <w:trHeight w:val="300"/>
        </w:trPr>
        <w:tc>
          <w:tcPr>
            <w:tcW w:w="0" w:type="auto"/>
            <w:gridSpan w:val="8"/>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206E7C3C" w14:textId="77777777" w:rsidR="00A5017F" w:rsidRPr="00094D3C" w:rsidRDefault="00A5017F"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W.N. 3) Calculation of administration exp after depreciation</w:t>
            </w:r>
          </w:p>
        </w:tc>
      </w:tr>
      <w:tr w:rsidR="00A5017F" w:rsidRPr="00094D3C" w14:paraId="74B25B9B" w14:textId="77777777" w:rsidTr="00A5017F">
        <w:trPr>
          <w:trHeight w:val="300"/>
        </w:trPr>
        <w:tc>
          <w:tcPr>
            <w:tcW w:w="0" w:type="auto"/>
            <w:tcBorders>
              <w:top w:val="nil"/>
              <w:left w:val="single" w:sz="4" w:space="0" w:color="auto"/>
              <w:bottom w:val="single" w:sz="4" w:space="0" w:color="auto"/>
              <w:right w:val="single" w:sz="4" w:space="0" w:color="auto"/>
            </w:tcBorders>
            <w:shd w:val="clear" w:color="000000" w:fill="D9E1F2"/>
            <w:noWrap/>
            <w:vAlign w:val="bottom"/>
            <w:hideMark/>
          </w:tcPr>
          <w:p w14:paraId="3B721F96" w14:textId="77777777" w:rsidR="00A5017F" w:rsidRPr="00094D3C" w:rsidRDefault="00A5017F"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c>
          <w:tcPr>
            <w:tcW w:w="0" w:type="auto"/>
            <w:tcBorders>
              <w:top w:val="nil"/>
              <w:left w:val="nil"/>
              <w:bottom w:val="single" w:sz="4" w:space="0" w:color="auto"/>
              <w:right w:val="single" w:sz="4" w:space="0" w:color="auto"/>
            </w:tcBorders>
            <w:shd w:val="clear" w:color="000000" w:fill="D9E1F2"/>
            <w:noWrap/>
            <w:vAlign w:val="bottom"/>
            <w:hideMark/>
          </w:tcPr>
          <w:p w14:paraId="2432990E"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June</w:t>
            </w:r>
          </w:p>
        </w:tc>
        <w:tc>
          <w:tcPr>
            <w:tcW w:w="0" w:type="auto"/>
            <w:tcBorders>
              <w:top w:val="nil"/>
              <w:left w:val="nil"/>
              <w:bottom w:val="single" w:sz="4" w:space="0" w:color="auto"/>
              <w:right w:val="single" w:sz="4" w:space="0" w:color="auto"/>
            </w:tcBorders>
            <w:shd w:val="clear" w:color="000000" w:fill="D9E1F2"/>
            <w:noWrap/>
            <w:vAlign w:val="bottom"/>
            <w:hideMark/>
          </w:tcPr>
          <w:p w14:paraId="44268694"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July</w:t>
            </w:r>
          </w:p>
        </w:tc>
        <w:tc>
          <w:tcPr>
            <w:tcW w:w="0" w:type="auto"/>
            <w:tcBorders>
              <w:top w:val="nil"/>
              <w:left w:val="nil"/>
              <w:bottom w:val="single" w:sz="4" w:space="0" w:color="auto"/>
              <w:right w:val="single" w:sz="4" w:space="0" w:color="auto"/>
            </w:tcBorders>
            <w:shd w:val="clear" w:color="000000" w:fill="D9E1F2"/>
            <w:noWrap/>
            <w:vAlign w:val="bottom"/>
            <w:hideMark/>
          </w:tcPr>
          <w:p w14:paraId="1505A31A"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Aug</w:t>
            </w:r>
          </w:p>
        </w:tc>
        <w:tc>
          <w:tcPr>
            <w:tcW w:w="0" w:type="auto"/>
            <w:tcBorders>
              <w:top w:val="nil"/>
              <w:left w:val="nil"/>
              <w:bottom w:val="single" w:sz="4" w:space="0" w:color="auto"/>
              <w:right w:val="single" w:sz="4" w:space="0" w:color="auto"/>
            </w:tcBorders>
            <w:shd w:val="clear" w:color="000000" w:fill="D9E1F2"/>
            <w:noWrap/>
            <w:vAlign w:val="bottom"/>
            <w:hideMark/>
          </w:tcPr>
          <w:p w14:paraId="144ECCED"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Sept</w:t>
            </w:r>
          </w:p>
        </w:tc>
        <w:tc>
          <w:tcPr>
            <w:tcW w:w="0" w:type="auto"/>
            <w:tcBorders>
              <w:top w:val="nil"/>
              <w:left w:val="nil"/>
              <w:bottom w:val="single" w:sz="4" w:space="0" w:color="auto"/>
              <w:right w:val="single" w:sz="4" w:space="0" w:color="auto"/>
            </w:tcBorders>
            <w:shd w:val="clear" w:color="000000" w:fill="D9E1F2"/>
            <w:noWrap/>
            <w:vAlign w:val="bottom"/>
            <w:hideMark/>
          </w:tcPr>
          <w:p w14:paraId="2E186795"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Oct</w:t>
            </w:r>
          </w:p>
        </w:tc>
        <w:tc>
          <w:tcPr>
            <w:tcW w:w="0" w:type="auto"/>
            <w:tcBorders>
              <w:top w:val="nil"/>
              <w:left w:val="nil"/>
              <w:bottom w:val="single" w:sz="4" w:space="0" w:color="auto"/>
              <w:right w:val="single" w:sz="4" w:space="0" w:color="auto"/>
            </w:tcBorders>
            <w:shd w:val="clear" w:color="000000" w:fill="D9E1F2"/>
            <w:noWrap/>
            <w:vAlign w:val="bottom"/>
            <w:hideMark/>
          </w:tcPr>
          <w:p w14:paraId="794A7D8A"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Nov</w:t>
            </w:r>
          </w:p>
        </w:tc>
        <w:tc>
          <w:tcPr>
            <w:tcW w:w="0" w:type="auto"/>
            <w:tcBorders>
              <w:top w:val="nil"/>
              <w:left w:val="nil"/>
              <w:bottom w:val="single" w:sz="4" w:space="0" w:color="auto"/>
              <w:right w:val="single" w:sz="4" w:space="0" w:color="auto"/>
            </w:tcBorders>
            <w:shd w:val="clear" w:color="000000" w:fill="D9E1F2"/>
            <w:noWrap/>
            <w:vAlign w:val="bottom"/>
            <w:hideMark/>
          </w:tcPr>
          <w:p w14:paraId="39BF2319"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Dec</w:t>
            </w:r>
          </w:p>
        </w:tc>
      </w:tr>
      <w:tr w:rsidR="00A5017F" w:rsidRPr="00094D3C" w14:paraId="5FEC2F13"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79714E3A"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lastRenderedPageBreak/>
              <w:t>Admin exp including dep</w:t>
            </w:r>
          </w:p>
        </w:tc>
        <w:tc>
          <w:tcPr>
            <w:tcW w:w="0" w:type="auto"/>
            <w:tcBorders>
              <w:top w:val="nil"/>
              <w:left w:val="nil"/>
              <w:bottom w:val="single" w:sz="4" w:space="0" w:color="auto"/>
              <w:right w:val="single" w:sz="4" w:space="0" w:color="auto"/>
            </w:tcBorders>
            <w:noWrap/>
            <w:vAlign w:val="bottom"/>
            <w:hideMark/>
          </w:tcPr>
          <w:p w14:paraId="0AD31045"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22,000.00 </w:t>
            </w:r>
          </w:p>
        </w:tc>
        <w:tc>
          <w:tcPr>
            <w:tcW w:w="0" w:type="auto"/>
            <w:tcBorders>
              <w:top w:val="nil"/>
              <w:left w:val="nil"/>
              <w:bottom w:val="single" w:sz="4" w:space="0" w:color="auto"/>
              <w:right w:val="single" w:sz="4" w:space="0" w:color="auto"/>
            </w:tcBorders>
            <w:noWrap/>
            <w:vAlign w:val="bottom"/>
            <w:hideMark/>
          </w:tcPr>
          <w:p w14:paraId="5E23CAA8"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24,000.00 </w:t>
            </w:r>
          </w:p>
        </w:tc>
        <w:tc>
          <w:tcPr>
            <w:tcW w:w="0" w:type="auto"/>
            <w:tcBorders>
              <w:top w:val="nil"/>
              <w:left w:val="nil"/>
              <w:bottom w:val="single" w:sz="4" w:space="0" w:color="auto"/>
              <w:right w:val="single" w:sz="4" w:space="0" w:color="auto"/>
            </w:tcBorders>
            <w:noWrap/>
            <w:vAlign w:val="bottom"/>
            <w:hideMark/>
          </w:tcPr>
          <w:p w14:paraId="1E227396"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25,000.00 </w:t>
            </w:r>
          </w:p>
        </w:tc>
        <w:tc>
          <w:tcPr>
            <w:tcW w:w="0" w:type="auto"/>
            <w:tcBorders>
              <w:top w:val="nil"/>
              <w:left w:val="nil"/>
              <w:bottom w:val="single" w:sz="4" w:space="0" w:color="auto"/>
              <w:right w:val="single" w:sz="4" w:space="0" w:color="auto"/>
            </w:tcBorders>
            <w:noWrap/>
            <w:vAlign w:val="bottom"/>
            <w:hideMark/>
          </w:tcPr>
          <w:p w14:paraId="2AB91231"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26,000.00 </w:t>
            </w:r>
          </w:p>
        </w:tc>
        <w:tc>
          <w:tcPr>
            <w:tcW w:w="0" w:type="auto"/>
            <w:tcBorders>
              <w:top w:val="nil"/>
              <w:left w:val="nil"/>
              <w:bottom w:val="single" w:sz="4" w:space="0" w:color="auto"/>
              <w:right w:val="single" w:sz="4" w:space="0" w:color="auto"/>
            </w:tcBorders>
            <w:noWrap/>
            <w:vAlign w:val="bottom"/>
            <w:hideMark/>
          </w:tcPr>
          <w:p w14:paraId="18FBAD55"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27,000.00 </w:t>
            </w:r>
          </w:p>
        </w:tc>
        <w:tc>
          <w:tcPr>
            <w:tcW w:w="0" w:type="auto"/>
            <w:tcBorders>
              <w:top w:val="nil"/>
              <w:left w:val="nil"/>
              <w:bottom w:val="single" w:sz="4" w:space="0" w:color="auto"/>
              <w:right w:val="single" w:sz="4" w:space="0" w:color="auto"/>
            </w:tcBorders>
            <w:noWrap/>
            <w:vAlign w:val="bottom"/>
            <w:hideMark/>
          </w:tcPr>
          <w:p w14:paraId="0A354CF4"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28,000.00 </w:t>
            </w:r>
          </w:p>
        </w:tc>
        <w:tc>
          <w:tcPr>
            <w:tcW w:w="0" w:type="auto"/>
            <w:tcBorders>
              <w:top w:val="nil"/>
              <w:left w:val="nil"/>
              <w:bottom w:val="single" w:sz="4" w:space="0" w:color="auto"/>
              <w:right w:val="single" w:sz="4" w:space="0" w:color="auto"/>
            </w:tcBorders>
            <w:noWrap/>
            <w:vAlign w:val="bottom"/>
            <w:hideMark/>
          </w:tcPr>
          <w:p w14:paraId="39D5F386"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29,000.00 </w:t>
            </w:r>
          </w:p>
        </w:tc>
      </w:tr>
      <w:tr w:rsidR="00A5017F" w:rsidRPr="00094D3C" w14:paraId="5A368F9F"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02D6CC1D"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Depreciation </w:t>
            </w:r>
          </w:p>
        </w:tc>
        <w:tc>
          <w:tcPr>
            <w:tcW w:w="0" w:type="auto"/>
            <w:tcBorders>
              <w:top w:val="nil"/>
              <w:left w:val="nil"/>
              <w:bottom w:val="single" w:sz="4" w:space="0" w:color="auto"/>
              <w:right w:val="single" w:sz="4" w:space="0" w:color="auto"/>
            </w:tcBorders>
            <w:noWrap/>
            <w:vAlign w:val="bottom"/>
            <w:hideMark/>
          </w:tcPr>
          <w:p w14:paraId="056130B5"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7C963DC2"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2ACC408B"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78D4CF9D"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172D9FF1"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4C5D953A"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3D32A025"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r>
      <w:tr w:rsidR="00A5017F" w:rsidRPr="00094D3C" w14:paraId="21892298" w14:textId="77777777" w:rsidTr="00A5017F">
        <w:trPr>
          <w:trHeight w:val="600"/>
        </w:trPr>
        <w:tc>
          <w:tcPr>
            <w:tcW w:w="0" w:type="auto"/>
            <w:tcBorders>
              <w:top w:val="nil"/>
              <w:left w:val="single" w:sz="4" w:space="0" w:color="auto"/>
              <w:bottom w:val="single" w:sz="4" w:space="0" w:color="auto"/>
              <w:right w:val="single" w:sz="4" w:space="0" w:color="auto"/>
            </w:tcBorders>
            <w:noWrap/>
            <w:vAlign w:val="bottom"/>
            <w:hideMark/>
          </w:tcPr>
          <w:p w14:paraId="7A309AFA"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Admin expenses after dep</w:t>
            </w:r>
          </w:p>
        </w:tc>
        <w:tc>
          <w:tcPr>
            <w:tcW w:w="0" w:type="auto"/>
            <w:tcBorders>
              <w:top w:val="nil"/>
              <w:left w:val="nil"/>
              <w:bottom w:val="single" w:sz="4" w:space="0" w:color="auto"/>
              <w:right w:val="single" w:sz="4" w:space="0" w:color="auto"/>
            </w:tcBorders>
            <w:noWrap/>
            <w:vAlign w:val="bottom"/>
            <w:hideMark/>
          </w:tcPr>
          <w:p w14:paraId="35B66F51"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15,000.00 </w:t>
            </w:r>
          </w:p>
        </w:tc>
        <w:tc>
          <w:tcPr>
            <w:tcW w:w="0" w:type="auto"/>
            <w:tcBorders>
              <w:top w:val="nil"/>
              <w:left w:val="nil"/>
              <w:bottom w:val="single" w:sz="4" w:space="0" w:color="auto"/>
              <w:right w:val="single" w:sz="4" w:space="0" w:color="auto"/>
            </w:tcBorders>
            <w:shd w:val="clear" w:color="000000" w:fill="EDEDED"/>
            <w:noWrap/>
            <w:vAlign w:val="bottom"/>
            <w:hideMark/>
          </w:tcPr>
          <w:p w14:paraId="32D95210"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17,000.00 </w:t>
            </w:r>
          </w:p>
        </w:tc>
        <w:tc>
          <w:tcPr>
            <w:tcW w:w="0" w:type="auto"/>
            <w:tcBorders>
              <w:top w:val="nil"/>
              <w:left w:val="nil"/>
              <w:bottom w:val="single" w:sz="4" w:space="0" w:color="auto"/>
              <w:right w:val="single" w:sz="4" w:space="0" w:color="auto"/>
            </w:tcBorders>
            <w:shd w:val="clear" w:color="000000" w:fill="EDEDED"/>
            <w:noWrap/>
            <w:vAlign w:val="bottom"/>
            <w:hideMark/>
          </w:tcPr>
          <w:p w14:paraId="562E0F45"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18,000.00 </w:t>
            </w:r>
          </w:p>
        </w:tc>
        <w:tc>
          <w:tcPr>
            <w:tcW w:w="0" w:type="auto"/>
            <w:tcBorders>
              <w:top w:val="nil"/>
              <w:left w:val="nil"/>
              <w:bottom w:val="single" w:sz="4" w:space="0" w:color="auto"/>
              <w:right w:val="single" w:sz="4" w:space="0" w:color="auto"/>
            </w:tcBorders>
            <w:shd w:val="clear" w:color="000000" w:fill="EDEDED"/>
            <w:noWrap/>
            <w:vAlign w:val="bottom"/>
            <w:hideMark/>
          </w:tcPr>
          <w:p w14:paraId="400CB3A4"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19,000.00 </w:t>
            </w:r>
          </w:p>
        </w:tc>
        <w:tc>
          <w:tcPr>
            <w:tcW w:w="0" w:type="auto"/>
            <w:tcBorders>
              <w:top w:val="nil"/>
              <w:left w:val="nil"/>
              <w:bottom w:val="single" w:sz="4" w:space="0" w:color="auto"/>
              <w:right w:val="single" w:sz="4" w:space="0" w:color="auto"/>
            </w:tcBorders>
            <w:shd w:val="clear" w:color="000000" w:fill="EDEDED"/>
            <w:noWrap/>
            <w:vAlign w:val="bottom"/>
            <w:hideMark/>
          </w:tcPr>
          <w:p w14:paraId="425471CB"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20,000.00 </w:t>
            </w:r>
          </w:p>
        </w:tc>
        <w:tc>
          <w:tcPr>
            <w:tcW w:w="0" w:type="auto"/>
            <w:tcBorders>
              <w:top w:val="nil"/>
              <w:left w:val="nil"/>
              <w:bottom w:val="single" w:sz="4" w:space="0" w:color="auto"/>
              <w:right w:val="single" w:sz="4" w:space="0" w:color="auto"/>
            </w:tcBorders>
            <w:shd w:val="clear" w:color="000000" w:fill="EDEDED"/>
            <w:noWrap/>
            <w:vAlign w:val="bottom"/>
            <w:hideMark/>
          </w:tcPr>
          <w:p w14:paraId="3C9E6312"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21,000.00 </w:t>
            </w:r>
          </w:p>
        </w:tc>
        <w:tc>
          <w:tcPr>
            <w:tcW w:w="0" w:type="auto"/>
            <w:tcBorders>
              <w:top w:val="nil"/>
              <w:left w:val="nil"/>
              <w:bottom w:val="single" w:sz="4" w:space="0" w:color="auto"/>
              <w:right w:val="single" w:sz="4" w:space="0" w:color="auto"/>
            </w:tcBorders>
            <w:shd w:val="clear" w:color="000000" w:fill="EDEDED"/>
            <w:noWrap/>
            <w:vAlign w:val="bottom"/>
            <w:hideMark/>
          </w:tcPr>
          <w:p w14:paraId="234B79B7"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22,000.00 </w:t>
            </w:r>
          </w:p>
        </w:tc>
      </w:tr>
    </w:tbl>
    <w:p w14:paraId="11743520" w14:textId="77777777" w:rsidR="00A5017F" w:rsidRPr="00094D3C" w:rsidRDefault="00A5017F" w:rsidP="00094D3C">
      <w:pPr>
        <w:rPr>
          <w:rFonts w:ascii="Arial" w:hAnsi="Arial" w:cs="Arial"/>
        </w:rPr>
      </w:pPr>
    </w:p>
    <w:p w14:paraId="16E7D8F6" w14:textId="75E913A6" w:rsidR="00264B0D" w:rsidRPr="00094D3C" w:rsidRDefault="00264B0D" w:rsidP="00094D3C">
      <w:pPr>
        <w:pStyle w:val="Caption"/>
        <w:spacing w:line="360" w:lineRule="auto"/>
        <w:jc w:val="center"/>
        <w:rPr>
          <w:rFonts w:ascii="Arial" w:hAnsi="Arial" w:cs="Arial"/>
          <w:i w:val="0"/>
          <w:iCs w:val="0"/>
          <w:color w:val="auto"/>
          <w:sz w:val="24"/>
          <w:szCs w:val="24"/>
        </w:rPr>
      </w:pPr>
      <w:bookmarkStart w:id="23" w:name="_Toc223788267"/>
      <w:r w:rsidRPr="00094D3C">
        <w:rPr>
          <w:rFonts w:ascii="Arial" w:hAnsi="Arial" w:cs="Arial"/>
          <w:b/>
          <w:bCs/>
          <w:i w:val="0"/>
          <w:iCs w:val="0"/>
          <w:color w:val="auto"/>
          <w:sz w:val="24"/>
          <w:szCs w:val="24"/>
        </w:rPr>
        <w:t xml:space="preserve">Table </w:t>
      </w:r>
      <w:r w:rsidRPr="00094D3C">
        <w:rPr>
          <w:rFonts w:ascii="Arial" w:hAnsi="Arial" w:cs="Arial"/>
          <w:b/>
          <w:bCs/>
          <w:i w:val="0"/>
          <w:iCs w:val="0"/>
          <w:color w:val="auto"/>
          <w:sz w:val="24"/>
          <w:szCs w:val="24"/>
        </w:rPr>
        <w:fldChar w:fldCharType="begin"/>
      </w:r>
      <w:r w:rsidRPr="00094D3C">
        <w:rPr>
          <w:rFonts w:ascii="Arial" w:hAnsi="Arial" w:cs="Arial"/>
          <w:b/>
          <w:bCs/>
          <w:i w:val="0"/>
          <w:iCs w:val="0"/>
          <w:color w:val="auto"/>
          <w:sz w:val="24"/>
          <w:szCs w:val="24"/>
        </w:rPr>
        <w:instrText xml:space="preserve"> SEQ Table \* ARABIC </w:instrText>
      </w:r>
      <w:r w:rsidRPr="00094D3C">
        <w:rPr>
          <w:rFonts w:ascii="Arial" w:hAnsi="Arial" w:cs="Arial"/>
          <w:b/>
          <w:bCs/>
          <w:i w:val="0"/>
          <w:iCs w:val="0"/>
          <w:color w:val="auto"/>
          <w:sz w:val="24"/>
          <w:szCs w:val="24"/>
        </w:rPr>
        <w:fldChar w:fldCharType="separate"/>
      </w:r>
      <w:r w:rsidR="00B14BF9" w:rsidRPr="00094D3C">
        <w:rPr>
          <w:rFonts w:ascii="Arial" w:hAnsi="Arial" w:cs="Arial"/>
          <w:b/>
          <w:bCs/>
          <w:i w:val="0"/>
          <w:iCs w:val="0"/>
          <w:noProof/>
          <w:color w:val="auto"/>
          <w:sz w:val="24"/>
          <w:szCs w:val="24"/>
        </w:rPr>
        <w:t>7</w:t>
      </w:r>
      <w:r w:rsidRPr="00094D3C">
        <w:rPr>
          <w:rFonts w:ascii="Arial" w:hAnsi="Arial" w:cs="Arial"/>
          <w:b/>
          <w:bCs/>
          <w:i w:val="0"/>
          <w:iCs w:val="0"/>
          <w:color w:val="auto"/>
          <w:sz w:val="24"/>
          <w:szCs w:val="24"/>
        </w:rPr>
        <w:fldChar w:fldCharType="end"/>
      </w:r>
      <w:r w:rsidRPr="00094D3C">
        <w:rPr>
          <w:rFonts w:ascii="Arial" w:hAnsi="Arial" w:cs="Arial"/>
          <w:b/>
          <w:bCs/>
          <w:i w:val="0"/>
          <w:iCs w:val="0"/>
          <w:color w:val="auto"/>
          <w:sz w:val="24"/>
          <w:szCs w:val="24"/>
        </w:rPr>
        <w:t>:</w:t>
      </w:r>
      <w:r w:rsidRPr="00094D3C">
        <w:rPr>
          <w:rFonts w:ascii="Arial" w:hAnsi="Arial" w:cs="Arial"/>
          <w:i w:val="0"/>
          <w:iCs w:val="0"/>
          <w:color w:val="auto"/>
          <w:sz w:val="24"/>
          <w:szCs w:val="24"/>
        </w:rPr>
        <w:t xml:space="preserve"> Payment of selling expenses (Workings for cash budget)</w:t>
      </w:r>
      <w:bookmarkEnd w:id="23"/>
    </w:p>
    <w:tbl>
      <w:tblPr>
        <w:tblW w:w="0" w:type="auto"/>
        <w:tblLook w:val="04A0" w:firstRow="1" w:lastRow="0" w:firstColumn="1" w:lastColumn="0" w:noHBand="0" w:noVBand="1"/>
      </w:tblPr>
      <w:tblGrid>
        <w:gridCol w:w="2254"/>
        <w:gridCol w:w="966"/>
        <w:gridCol w:w="966"/>
        <w:gridCol w:w="966"/>
        <w:gridCol w:w="966"/>
        <w:gridCol w:w="966"/>
        <w:gridCol w:w="966"/>
        <w:gridCol w:w="966"/>
      </w:tblGrid>
      <w:tr w:rsidR="00A5017F" w:rsidRPr="00094D3C" w14:paraId="2384C394" w14:textId="77777777" w:rsidTr="00A5017F">
        <w:trPr>
          <w:trHeight w:val="600"/>
        </w:trPr>
        <w:tc>
          <w:tcPr>
            <w:tcW w:w="0" w:type="auto"/>
            <w:gridSpan w:val="8"/>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6AB7AD6B" w14:textId="77777777" w:rsidR="00A5017F" w:rsidRPr="00094D3C" w:rsidRDefault="00A5017F"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W.N. 4) Payment of selling expenses</w:t>
            </w:r>
          </w:p>
        </w:tc>
      </w:tr>
      <w:tr w:rsidR="00A5017F" w:rsidRPr="00094D3C" w14:paraId="69DAEA75" w14:textId="77777777" w:rsidTr="00A5017F">
        <w:trPr>
          <w:trHeight w:val="300"/>
        </w:trPr>
        <w:tc>
          <w:tcPr>
            <w:tcW w:w="0" w:type="auto"/>
            <w:tcBorders>
              <w:top w:val="nil"/>
              <w:left w:val="single" w:sz="4" w:space="0" w:color="auto"/>
              <w:bottom w:val="single" w:sz="4" w:space="0" w:color="auto"/>
              <w:right w:val="single" w:sz="4" w:space="0" w:color="auto"/>
            </w:tcBorders>
            <w:shd w:val="clear" w:color="000000" w:fill="D9E1F2"/>
            <w:noWrap/>
            <w:vAlign w:val="bottom"/>
            <w:hideMark/>
          </w:tcPr>
          <w:p w14:paraId="374FD936" w14:textId="77777777" w:rsidR="00A5017F" w:rsidRPr="00094D3C" w:rsidRDefault="00A5017F" w:rsidP="00094D3C">
            <w:pPr>
              <w:jc w:val="center"/>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c>
          <w:tcPr>
            <w:tcW w:w="0" w:type="auto"/>
            <w:tcBorders>
              <w:top w:val="nil"/>
              <w:left w:val="nil"/>
              <w:bottom w:val="single" w:sz="4" w:space="0" w:color="auto"/>
              <w:right w:val="single" w:sz="4" w:space="0" w:color="auto"/>
            </w:tcBorders>
            <w:shd w:val="clear" w:color="000000" w:fill="D9E1F2"/>
            <w:noWrap/>
            <w:vAlign w:val="bottom"/>
            <w:hideMark/>
          </w:tcPr>
          <w:p w14:paraId="0D4CBB4C"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June</w:t>
            </w:r>
          </w:p>
        </w:tc>
        <w:tc>
          <w:tcPr>
            <w:tcW w:w="0" w:type="auto"/>
            <w:tcBorders>
              <w:top w:val="nil"/>
              <w:left w:val="nil"/>
              <w:bottom w:val="single" w:sz="4" w:space="0" w:color="auto"/>
              <w:right w:val="single" w:sz="4" w:space="0" w:color="auto"/>
            </w:tcBorders>
            <w:shd w:val="clear" w:color="000000" w:fill="D9E1F2"/>
            <w:noWrap/>
            <w:vAlign w:val="bottom"/>
            <w:hideMark/>
          </w:tcPr>
          <w:p w14:paraId="53B9FB72"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July</w:t>
            </w:r>
          </w:p>
        </w:tc>
        <w:tc>
          <w:tcPr>
            <w:tcW w:w="0" w:type="auto"/>
            <w:tcBorders>
              <w:top w:val="nil"/>
              <w:left w:val="nil"/>
              <w:bottom w:val="single" w:sz="4" w:space="0" w:color="auto"/>
              <w:right w:val="single" w:sz="4" w:space="0" w:color="auto"/>
            </w:tcBorders>
            <w:shd w:val="clear" w:color="000000" w:fill="D9E1F2"/>
            <w:noWrap/>
            <w:vAlign w:val="bottom"/>
            <w:hideMark/>
          </w:tcPr>
          <w:p w14:paraId="20F01E08"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Aug</w:t>
            </w:r>
          </w:p>
        </w:tc>
        <w:tc>
          <w:tcPr>
            <w:tcW w:w="0" w:type="auto"/>
            <w:tcBorders>
              <w:top w:val="nil"/>
              <w:left w:val="nil"/>
              <w:bottom w:val="single" w:sz="4" w:space="0" w:color="auto"/>
              <w:right w:val="single" w:sz="4" w:space="0" w:color="auto"/>
            </w:tcBorders>
            <w:shd w:val="clear" w:color="000000" w:fill="D9E1F2"/>
            <w:noWrap/>
            <w:vAlign w:val="bottom"/>
            <w:hideMark/>
          </w:tcPr>
          <w:p w14:paraId="36BCD5AD"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Sept</w:t>
            </w:r>
          </w:p>
        </w:tc>
        <w:tc>
          <w:tcPr>
            <w:tcW w:w="0" w:type="auto"/>
            <w:tcBorders>
              <w:top w:val="nil"/>
              <w:left w:val="nil"/>
              <w:bottom w:val="single" w:sz="4" w:space="0" w:color="auto"/>
              <w:right w:val="single" w:sz="4" w:space="0" w:color="auto"/>
            </w:tcBorders>
            <w:shd w:val="clear" w:color="000000" w:fill="D9E1F2"/>
            <w:noWrap/>
            <w:vAlign w:val="bottom"/>
            <w:hideMark/>
          </w:tcPr>
          <w:p w14:paraId="055E0D3E"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Oct</w:t>
            </w:r>
          </w:p>
        </w:tc>
        <w:tc>
          <w:tcPr>
            <w:tcW w:w="0" w:type="auto"/>
            <w:tcBorders>
              <w:top w:val="nil"/>
              <w:left w:val="nil"/>
              <w:bottom w:val="single" w:sz="4" w:space="0" w:color="auto"/>
              <w:right w:val="single" w:sz="4" w:space="0" w:color="auto"/>
            </w:tcBorders>
            <w:shd w:val="clear" w:color="000000" w:fill="D9E1F2"/>
            <w:noWrap/>
            <w:vAlign w:val="bottom"/>
            <w:hideMark/>
          </w:tcPr>
          <w:p w14:paraId="042EAA44"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Nov</w:t>
            </w:r>
          </w:p>
        </w:tc>
        <w:tc>
          <w:tcPr>
            <w:tcW w:w="0" w:type="auto"/>
            <w:tcBorders>
              <w:top w:val="nil"/>
              <w:left w:val="nil"/>
              <w:bottom w:val="single" w:sz="4" w:space="0" w:color="auto"/>
              <w:right w:val="single" w:sz="4" w:space="0" w:color="auto"/>
            </w:tcBorders>
            <w:shd w:val="clear" w:color="000000" w:fill="D9E1F2"/>
            <w:noWrap/>
            <w:vAlign w:val="bottom"/>
            <w:hideMark/>
          </w:tcPr>
          <w:p w14:paraId="0D46A2A9"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Dec</w:t>
            </w:r>
          </w:p>
        </w:tc>
      </w:tr>
      <w:tr w:rsidR="00A5017F" w:rsidRPr="00094D3C" w14:paraId="393DC66A"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0E618C22"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Selling expenses</w:t>
            </w:r>
          </w:p>
        </w:tc>
        <w:tc>
          <w:tcPr>
            <w:tcW w:w="0" w:type="auto"/>
            <w:tcBorders>
              <w:top w:val="nil"/>
              <w:left w:val="nil"/>
              <w:bottom w:val="single" w:sz="4" w:space="0" w:color="auto"/>
              <w:right w:val="single" w:sz="4" w:space="0" w:color="auto"/>
            </w:tcBorders>
            <w:noWrap/>
            <w:vAlign w:val="bottom"/>
            <w:hideMark/>
          </w:tcPr>
          <w:p w14:paraId="4F49B0F8"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5,000.00 </w:t>
            </w:r>
          </w:p>
        </w:tc>
        <w:tc>
          <w:tcPr>
            <w:tcW w:w="0" w:type="auto"/>
            <w:tcBorders>
              <w:top w:val="nil"/>
              <w:left w:val="nil"/>
              <w:bottom w:val="single" w:sz="4" w:space="0" w:color="auto"/>
              <w:right w:val="single" w:sz="4" w:space="0" w:color="auto"/>
            </w:tcBorders>
            <w:noWrap/>
            <w:vAlign w:val="bottom"/>
            <w:hideMark/>
          </w:tcPr>
          <w:p w14:paraId="5916F1E9"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6,000.00 </w:t>
            </w:r>
          </w:p>
        </w:tc>
        <w:tc>
          <w:tcPr>
            <w:tcW w:w="0" w:type="auto"/>
            <w:tcBorders>
              <w:top w:val="nil"/>
              <w:left w:val="nil"/>
              <w:bottom w:val="single" w:sz="4" w:space="0" w:color="auto"/>
              <w:right w:val="single" w:sz="4" w:space="0" w:color="auto"/>
            </w:tcBorders>
            <w:noWrap/>
            <w:vAlign w:val="bottom"/>
            <w:hideMark/>
          </w:tcPr>
          <w:p w14:paraId="604B4CFC"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43D55B7A"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8,000.00 </w:t>
            </w:r>
          </w:p>
        </w:tc>
        <w:tc>
          <w:tcPr>
            <w:tcW w:w="0" w:type="auto"/>
            <w:tcBorders>
              <w:top w:val="nil"/>
              <w:left w:val="nil"/>
              <w:bottom w:val="single" w:sz="4" w:space="0" w:color="auto"/>
              <w:right w:val="single" w:sz="4" w:space="0" w:color="auto"/>
            </w:tcBorders>
            <w:noWrap/>
            <w:vAlign w:val="bottom"/>
            <w:hideMark/>
          </w:tcPr>
          <w:p w14:paraId="6B2341CB"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9,000.00 </w:t>
            </w:r>
          </w:p>
        </w:tc>
        <w:tc>
          <w:tcPr>
            <w:tcW w:w="0" w:type="auto"/>
            <w:tcBorders>
              <w:top w:val="nil"/>
              <w:left w:val="nil"/>
              <w:bottom w:val="single" w:sz="4" w:space="0" w:color="auto"/>
              <w:right w:val="single" w:sz="4" w:space="0" w:color="auto"/>
            </w:tcBorders>
            <w:noWrap/>
            <w:vAlign w:val="bottom"/>
            <w:hideMark/>
          </w:tcPr>
          <w:p w14:paraId="429FE6DB"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7,000.00 </w:t>
            </w:r>
          </w:p>
        </w:tc>
        <w:tc>
          <w:tcPr>
            <w:tcW w:w="0" w:type="auto"/>
            <w:tcBorders>
              <w:top w:val="nil"/>
              <w:left w:val="nil"/>
              <w:bottom w:val="single" w:sz="4" w:space="0" w:color="auto"/>
              <w:right w:val="single" w:sz="4" w:space="0" w:color="auto"/>
            </w:tcBorders>
            <w:noWrap/>
            <w:vAlign w:val="bottom"/>
            <w:hideMark/>
          </w:tcPr>
          <w:p w14:paraId="0B683ECC"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xml:space="preserve"> £      8,000.00 </w:t>
            </w:r>
          </w:p>
        </w:tc>
      </w:tr>
      <w:tr w:rsidR="00A5017F" w:rsidRPr="00094D3C" w14:paraId="38F6FB5C"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11F1B417"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00969932"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2C7FC78A"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3D16D1B3"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2F7799D5"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1A553B6D"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52D57D2B"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c>
          <w:tcPr>
            <w:tcW w:w="0" w:type="auto"/>
            <w:tcBorders>
              <w:top w:val="nil"/>
              <w:left w:val="nil"/>
              <w:bottom w:val="single" w:sz="4" w:space="0" w:color="auto"/>
              <w:right w:val="single" w:sz="4" w:space="0" w:color="auto"/>
            </w:tcBorders>
            <w:noWrap/>
            <w:vAlign w:val="bottom"/>
            <w:hideMark/>
          </w:tcPr>
          <w:p w14:paraId="632FB9C7" w14:textId="77777777" w:rsidR="00A5017F" w:rsidRPr="00094D3C" w:rsidRDefault="00A5017F" w:rsidP="00094D3C">
            <w:pPr>
              <w:jc w:val="left"/>
              <w:rPr>
                <w:rFonts w:ascii="Arial" w:eastAsia="Times New Roman" w:hAnsi="Arial" w:cs="Arial"/>
                <w:color w:val="000000"/>
                <w:kern w:val="0"/>
                <w14:ligatures w14:val="none"/>
              </w:rPr>
            </w:pPr>
            <w:r w:rsidRPr="00094D3C">
              <w:rPr>
                <w:rFonts w:ascii="Arial" w:eastAsia="Times New Roman" w:hAnsi="Arial" w:cs="Arial"/>
                <w:color w:val="000000"/>
                <w:kern w:val="0"/>
                <w14:ligatures w14:val="none"/>
              </w:rPr>
              <w:t> </w:t>
            </w:r>
          </w:p>
        </w:tc>
      </w:tr>
      <w:tr w:rsidR="00A5017F" w:rsidRPr="00094D3C" w14:paraId="2CB729A9" w14:textId="77777777" w:rsidTr="00A5017F">
        <w:trPr>
          <w:trHeight w:val="300"/>
        </w:trPr>
        <w:tc>
          <w:tcPr>
            <w:tcW w:w="0" w:type="auto"/>
            <w:tcBorders>
              <w:top w:val="nil"/>
              <w:left w:val="single" w:sz="4" w:space="0" w:color="auto"/>
              <w:bottom w:val="single" w:sz="4" w:space="0" w:color="auto"/>
              <w:right w:val="single" w:sz="4" w:space="0" w:color="auto"/>
            </w:tcBorders>
            <w:noWrap/>
            <w:vAlign w:val="bottom"/>
            <w:hideMark/>
          </w:tcPr>
          <w:p w14:paraId="7615B9C2"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Payment to suppliers (after 1 month)</w:t>
            </w:r>
          </w:p>
        </w:tc>
        <w:tc>
          <w:tcPr>
            <w:tcW w:w="0" w:type="auto"/>
            <w:tcBorders>
              <w:top w:val="nil"/>
              <w:left w:val="nil"/>
              <w:bottom w:val="single" w:sz="4" w:space="0" w:color="auto"/>
              <w:right w:val="single" w:sz="4" w:space="0" w:color="auto"/>
            </w:tcBorders>
            <w:noWrap/>
            <w:vAlign w:val="bottom"/>
            <w:hideMark/>
          </w:tcPr>
          <w:p w14:paraId="3A84304D"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w:t>
            </w:r>
          </w:p>
        </w:tc>
        <w:tc>
          <w:tcPr>
            <w:tcW w:w="0" w:type="auto"/>
            <w:tcBorders>
              <w:top w:val="nil"/>
              <w:left w:val="nil"/>
              <w:bottom w:val="single" w:sz="4" w:space="0" w:color="auto"/>
              <w:right w:val="single" w:sz="4" w:space="0" w:color="auto"/>
            </w:tcBorders>
            <w:shd w:val="clear" w:color="000000" w:fill="EDEDED"/>
            <w:noWrap/>
            <w:vAlign w:val="bottom"/>
            <w:hideMark/>
          </w:tcPr>
          <w:p w14:paraId="7C3DD84E"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5,000.00 </w:t>
            </w:r>
          </w:p>
        </w:tc>
        <w:tc>
          <w:tcPr>
            <w:tcW w:w="0" w:type="auto"/>
            <w:tcBorders>
              <w:top w:val="nil"/>
              <w:left w:val="nil"/>
              <w:bottom w:val="single" w:sz="4" w:space="0" w:color="auto"/>
              <w:right w:val="single" w:sz="4" w:space="0" w:color="auto"/>
            </w:tcBorders>
            <w:shd w:val="clear" w:color="000000" w:fill="EDEDED"/>
            <w:noWrap/>
            <w:vAlign w:val="bottom"/>
            <w:hideMark/>
          </w:tcPr>
          <w:p w14:paraId="6BA01C79"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6,000.00 </w:t>
            </w:r>
          </w:p>
        </w:tc>
        <w:tc>
          <w:tcPr>
            <w:tcW w:w="0" w:type="auto"/>
            <w:tcBorders>
              <w:top w:val="nil"/>
              <w:left w:val="nil"/>
              <w:bottom w:val="single" w:sz="4" w:space="0" w:color="auto"/>
              <w:right w:val="single" w:sz="4" w:space="0" w:color="auto"/>
            </w:tcBorders>
            <w:shd w:val="clear" w:color="000000" w:fill="EDEDED"/>
            <w:noWrap/>
            <w:vAlign w:val="bottom"/>
            <w:hideMark/>
          </w:tcPr>
          <w:p w14:paraId="78713CC6"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7,000.00 </w:t>
            </w:r>
          </w:p>
        </w:tc>
        <w:tc>
          <w:tcPr>
            <w:tcW w:w="0" w:type="auto"/>
            <w:tcBorders>
              <w:top w:val="nil"/>
              <w:left w:val="nil"/>
              <w:bottom w:val="single" w:sz="4" w:space="0" w:color="auto"/>
              <w:right w:val="single" w:sz="4" w:space="0" w:color="auto"/>
            </w:tcBorders>
            <w:shd w:val="clear" w:color="000000" w:fill="EDEDED"/>
            <w:noWrap/>
            <w:vAlign w:val="bottom"/>
            <w:hideMark/>
          </w:tcPr>
          <w:p w14:paraId="2B356AA6"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8,000.00 </w:t>
            </w:r>
          </w:p>
        </w:tc>
        <w:tc>
          <w:tcPr>
            <w:tcW w:w="0" w:type="auto"/>
            <w:tcBorders>
              <w:top w:val="nil"/>
              <w:left w:val="nil"/>
              <w:bottom w:val="single" w:sz="4" w:space="0" w:color="auto"/>
              <w:right w:val="single" w:sz="4" w:space="0" w:color="auto"/>
            </w:tcBorders>
            <w:shd w:val="clear" w:color="000000" w:fill="EDEDED"/>
            <w:noWrap/>
            <w:vAlign w:val="bottom"/>
            <w:hideMark/>
          </w:tcPr>
          <w:p w14:paraId="3B491961"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9,000.00 </w:t>
            </w:r>
          </w:p>
        </w:tc>
        <w:tc>
          <w:tcPr>
            <w:tcW w:w="0" w:type="auto"/>
            <w:tcBorders>
              <w:top w:val="nil"/>
              <w:left w:val="nil"/>
              <w:bottom w:val="single" w:sz="4" w:space="0" w:color="auto"/>
              <w:right w:val="single" w:sz="4" w:space="0" w:color="auto"/>
            </w:tcBorders>
            <w:shd w:val="clear" w:color="000000" w:fill="EDEDED"/>
            <w:noWrap/>
            <w:vAlign w:val="bottom"/>
            <w:hideMark/>
          </w:tcPr>
          <w:p w14:paraId="7E5F651E" w14:textId="77777777" w:rsidR="00A5017F" w:rsidRPr="00094D3C" w:rsidRDefault="00A5017F" w:rsidP="00094D3C">
            <w:pPr>
              <w:jc w:val="left"/>
              <w:rPr>
                <w:rFonts w:ascii="Arial" w:eastAsia="Times New Roman" w:hAnsi="Arial" w:cs="Arial"/>
                <w:b/>
                <w:bCs/>
                <w:color w:val="000000"/>
                <w:kern w:val="0"/>
                <w14:ligatures w14:val="none"/>
              </w:rPr>
            </w:pPr>
            <w:r w:rsidRPr="00094D3C">
              <w:rPr>
                <w:rFonts w:ascii="Arial" w:eastAsia="Times New Roman" w:hAnsi="Arial" w:cs="Arial"/>
                <w:b/>
                <w:bCs/>
                <w:color w:val="000000"/>
                <w:kern w:val="0"/>
                <w14:ligatures w14:val="none"/>
              </w:rPr>
              <w:t xml:space="preserve"> £      7,000.00 </w:t>
            </w:r>
          </w:p>
        </w:tc>
      </w:tr>
    </w:tbl>
    <w:p w14:paraId="70261ADF" w14:textId="77777777" w:rsidR="00A5017F" w:rsidRPr="00094D3C" w:rsidRDefault="00A5017F" w:rsidP="00094D3C">
      <w:pPr>
        <w:rPr>
          <w:rFonts w:ascii="Arial" w:hAnsi="Arial" w:cs="Arial"/>
        </w:rPr>
      </w:pPr>
    </w:p>
    <w:p w14:paraId="7917BDA6" w14:textId="5F7E7AEA" w:rsidR="004C6E0C" w:rsidRPr="00094D3C" w:rsidRDefault="005F3FB0" w:rsidP="00094D3C">
      <w:pPr>
        <w:pStyle w:val="Heading2"/>
        <w:rPr>
          <w:rFonts w:ascii="Arial" w:hAnsi="Arial" w:cs="Arial"/>
          <w:b w:val="0"/>
          <w:bCs w:val="0"/>
          <w:u w:val="none"/>
        </w:rPr>
      </w:pPr>
      <w:bookmarkStart w:id="24" w:name="_Toc223790169"/>
      <w:r w:rsidRPr="00094D3C">
        <w:rPr>
          <w:rFonts w:ascii="Arial" w:hAnsi="Arial" w:cs="Arial"/>
        </w:rPr>
        <w:t>Profit and loss workings</w:t>
      </w:r>
      <w:bookmarkEnd w:id="24"/>
    </w:p>
    <w:p w14:paraId="7562AC62" w14:textId="59836138" w:rsidR="00B14BF9" w:rsidRPr="00094D3C" w:rsidRDefault="00B14BF9" w:rsidP="00094D3C">
      <w:pPr>
        <w:pStyle w:val="Caption"/>
        <w:spacing w:line="360" w:lineRule="auto"/>
        <w:jc w:val="center"/>
        <w:rPr>
          <w:rFonts w:ascii="Arial" w:hAnsi="Arial" w:cs="Arial"/>
          <w:i w:val="0"/>
          <w:iCs w:val="0"/>
          <w:color w:val="auto"/>
          <w:sz w:val="24"/>
          <w:szCs w:val="24"/>
        </w:rPr>
      </w:pPr>
      <w:bookmarkStart w:id="25" w:name="_Toc223788268"/>
      <w:r w:rsidRPr="00094D3C">
        <w:rPr>
          <w:rFonts w:ascii="Arial" w:hAnsi="Arial" w:cs="Arial"/>
          <w:b/>
          <w:bCs/>
          <w:i w:val="0"/>
          <w:iCs w:val="0"/>
          <w:color w:val="auto"/>
          <w:sz w:val="24"/>
          <w:szCs w:val="24"/>
        </w:rPr>
        <w:t xml:space="preserve">Table </w:t>
      </w:r>
      <w:r w:rsidRPr="00094D3C">
        <w:rPr>
          <w:rFonts w:ascii="Arial" w:hAnsi="Arial" w:cs="Arial"/>
          <w:b/>
          <w:bCs/>
          <w:i w:val="0"/>
          <w:iCs w:val="0"/>
          <w:color w:val="auto"/>
          <w:sz w:val="24"/>
          <w:szCs w:val="24"/>
        </w:rPr>
        <w:fldChar w:fldCharType="begin"/>
      </w:r>
      <w:r w:rsidRPr="00094D3C">
        <w:rPr>
          <w:rFonts w:ascii="Arial" w:hAnsi="Arial" w:cs="Arial"/>
          <w:b/>
          <w:bCs/>
          <w:i w:val="0"/>
          <w:iCs w:val="0"/>
          <w:color w:val="auto"/>
          <w:sz w:val="24"/>
          <w:szCs w:val="24"/>
        </w:rPr>
        <w:instrText xml:space="preserve"> SEQ Table \* ARABIC </w:instrText>
      </w:r>
      <w:r w:rsidRPr="00094D3C">
        <w:rPr>
          <w:rFonts w:ascii="Arial" w:hAnsi="Arial" w:cs="Arial"/>
          <w:b/>
          <w:bCs/>
          <w:i w:val="0"/>
          <w:iCs w:val="0"/>
          <w:color w:val="auto"/>
          <w:sz w:val="24"/>
          <w:szCs w:val="24"/>
        </w:rPr>
        <w:fldChar w:fldCharType="separate"/>
      </w:r>
      <w:r w:rsidRPr="00094D3C">
        <w:rPr>
          <w:rFonts w:ascii="Arial" w:hAnsi="Arial" w:cs="Arial"/>
          <w:b/>
          <w:bCs/>
          <w:i w:val="0"/>
          <w:iCs w:val="0"/>
          <w:noProof/>
          <w:color w:val="auto"/>
          <w:sz w:val="24"/>
          <w:szCs w:val="24"/>
        </w:rPr>
        <w:t>8</w:t>
      </w:r>
      <w:r w:rsidRPr="00094D3C">
        <w:rPr>
          <w:rFonts w:ascii="Arial" w:hAnsi="Arial" w:cs="Arial"/>
          <w:b/>
          <w:bCs/>
          <w:i w:val="0"/>
          <w:iCs w:val="0"/>
          <w:color w:val="auto"/>
          <w:sz w:val="24"/>
          <w:szCs w:val="24"/>
        </w:rPr>
        <w:fldChar w:fldCharType="end"/>
      </w:r>
      <w:r w:rsidRPr="00094D3C">
        <w:rPr>
          <w:rFonts w:ascii="Arial" w:hAnsi="Arial" w:cs="Arial"/>
          <w:b/>
          <w:bCs/>
          <w:i w:val="0"/>
          <w:iCs w:val="0"/>
          <w:color w:val="auto"/>
          <w:sz w:val="24"/>
          <w:szCs w:val="24"/>
        </w:rPr>
        <w:t>:</w:t>
      </w:r>
      <w:r w:rsidRPr="00094D3C">
        <w:rPr>
          <w:rFonts w:ascii="Arial" w:hAnsi="Arial" w:cs="Arial"/>
          <w:i w:val="0"/>
          <w:iCs w:val="0"/>
          <w:color w:val="auto"/>
          <w:sz w:val="24"/>
          <w:szCs w:val="24"/>
        </w:rPr>
        <w:t xml:space="preserve"> Calculation of expenses (Workings for profit and loss)</w:t>
      </w:r>
      <w:bookmarkEnd w:id="25"/>
    </w:p>
    <w:tbl>
      <w:tblPr>
        <w:tblW w:w="0" w:type="auto"/>
        <w:tblInd w:w="-38" w:type="dxa"/>
        <w:tblLook w:val="0000" w:firstRow="0" w:lastRow="0" w:firstColumn="0" w:lastColumn="0" w:noHBand="0" w:noVBand="0"/>
      </w:tblPr>
      <w:tblGrid>
        <w:gridCol w:w="2727"/>
        <w:gridCol w:w="884"/>
        <w:gridCol w:w="884"/>
        <w:gridCol w:w="884"/>
        <w:gridCol w:w="884"/>
        <w:gridCol w:w="884"/>
        <w:gridCol w:w="884"/>
        <w:gridCol w:w="1017"/>
      </w:tblGrid>
      <w:tr w:rsidR="00432FDC" w:rsidRPr="00094D3C" w14:paraId="3FFC350E" w14:textId="77777777" w:rsidTr="00DC2639">
        <w:trPr>
          <w:trHeight w:val="290"/>
        </w:trPr>
        <w:tc>
          <w:tcPr>
            <w:tcW w:w="0" w:type="auto"/>
            <w:gridSpan w:val="8"/>
            <w:tcBorders>
              <w:top w:val="single" w:sz="6" w:space="0" w:color="auto"/>
              <w:left w:val="single" w:sz="6" w:space="0" w:color="auto"/>
              <w:bottom w:val="single" w:sz="6" w:space="0" w:color="auto"/>
              <w:right w:val="single" w:sz="6" w:space="0" w:color="auto"/>
            </w:tcBorders>
          </w:tcPr>
          <w:p w14:paraId="7E0C7BF4" w14:textId="7C5B8D06" w:rsidR="00432FDC" w:rsidRPr="00094D3C" w:rsidRDefault="00432FDC" w:rsidP="00094D3C">
            <w:pPr>
              <w:autoSpaceDE w:val="0"/>
              <w:autoSpaceDN w:val="0"/>
              <w:adjustRightInd w:val="0"/>
              <w:jc w:val="center"/>
              <w:rPr>
                <w:rFonts w:ascii="Arial" w:hAnsi="Arial" w:cs="Arial"/>
                <w:b/>
                <w:bCs/>
                <w:color w:val="000000"/>
                <w:kern w:val="0"/>
              </w:rPr>
            </w:pPr>
            <w:r w:rsidRPr="00094D3C">
              <w:rPr>
                <w:rFonts w:ascii="Arial" w:hAnsi="Arial" w:cs="Arial"/>
                <w:b/>
                <w:bCs/>
                <w:color w:val="000000"/>
                <w:kern w:val="0"/>
              </w:rPr>
              <w:t>Calculation of expenses</w:t>
            </w:r>
          </w:p>
        </w:tc>
      </w:tr>
      <w:tr w:rsidR="004C6E0C" w:rsidRPr="00094D3C" w14:paraId="5733A27B" w14:textId="77777777" w:rsidTr="00432FDC">
        <w:trPr>
          <w:trHeight w:val="290"/>
        </w:trPr>
        <w:tc>
          <w:tcPr>
            <w:tcW w:w="0" w:type="auto"/>
            <w:tcBorders>
              <w:top w:val="single" w:sz="6" w:space="0" w:color="auto"/>
              <w:left w:val="single" w:sz="6" w:space="0" w:color="auto"/>
              <w:bottom w:val="single" w:sz="6" w:space="0" w:color="auto"/>
              <w:right w:val="single" w:sz="6" w:space="0" w:color="auto"/>
            </w:tcBorders>
          </w:tcPr>
          <w:p w14:paraId="498C25D7" w14:textId="77777777" w:rsidR="004C6E0C" w:rsidRPr="00094D3C" w:rsidRDefault="004C6E0C" w:rsidP="00094D3C">
            <w:pPr>
              <w:autoSpaceDE w:val="0"/>
              <w:autoSpaceDN w:val="0"/>
              <w:adjustRightInd w:val="0"/>
              <w:jc w:val="center"/>
              <w:rPr>
                <w:rFonts w:ascii="Arial" w:hAnsi="Arial" w:cs="Arial"/>
                <w:b/>
                <w:bCs/>
                <w:color w:val="000000"/>
                <w:kern w:val="0"/>
              </w:rPr>
            </w:pPr>
            <w:r w:rsidRPr="00094D3C">
              <w:rPr>
                <w:rFonts w:ascii="Arial" w:hAnsi="Arial" w:cs="Arial"/>
                <w:b/>
                <w:bCs/>
                <w:color w:val="000000"/>
                <w:kern w:val="0"/>
              </w:rPr>
              <w:t>Particulars</w:t>
            </w:r>
          </w:p>
        </w:tc>
        <w:tc>
          <w:tcPr>
            <w:tcW w:w="0" w:type="auto"/>
            <w:tcBorders>
              <w:top w:val="single" w:sz="6" w:space="0" w:color="auto"/>
              <w:left w:val="single" w:sz="6" w:space="0" w:color="auto"/>
              <w:bottom w:val="single" w:sz="6" w:space="0" w:color="auto"/>
              <w:right w:val="single" w:sz="6" w:space="0" w:color="auto"/>
            </w:tcBorders>
          </w:tcPr>
          <w:p w14:paraId="20947516" w14:textId="77777777" w:rsidR="004C6E0C" w:rsidRPr="00094D3C" w:rsidRDefault="004C6E0C" w:rsidP="00094D3C">
            <w:pPr>
              <w:autoSpaceDE w:val="0"/>
              <w:autoSpaceDN w:val="0"/>
              <w:adjustRightInd w:val="0"/>
              <w:jc w:val="left"/>
              <w:rPr>
                <w:rFonts w:ascii="Arial" w:hAnsi="Arial" w:cs="Arial"/>
                <w:b/>
                <w:bCs/>
                <w:color w:val="000000"/>
                <w:kern w:val="0"/>
              </w:rPr>
            </w:pPr>
            <w:r w:rsidRPr="00094D3C">
              <w:rPr>
                <w:rFonts w:ascii="Arial" w:hAnsi="Arial" w:cs="Arial"/>
                <w:b/>
                <w:bCs/>
                <w:color w:val="000000"/>
                <w:kern w:val="0"/>
              </w:rPr>
              <w:t>July</w:t>
            </w:r>
          </w:p>
        </w:tc>
        <w:tc>
          <w:tcPr>
            <w:tcW w:w="0" w:type="auto"/>
            <w:tcBorders>
              <w:top w:val="single" w:sz="6" w:space="0" w:color="auto"/>
              <w:left w:val="single" w:sz="6" w:space="0" w:color="auto"/>
              <w:bottom w:val="single" w:sz="6" w:space="0" w:color="auto"/>
              <w:right w:val="single" w:sz="6" w:space="0" w:color="auto"/>
            </w:tcBorders>
          </w:tcPr>
          <w:p w14:paraId="7A5C8782" w14:textId="77777777" w:rsidR="004C6E0C" w:rsidRPr="00094D3C" w:rsidRDefault="004C6E0C" w:rsidP="00094D3C">
            <w:pPr>
              <w:autoSpaceDE w:val="0"/>
              <w:autoSpaceDN w:val="0"/>
              <w:adjustRightInd w:val="0"/>
              <w:jc w:val="left"/>
              <w:rPr>
                <w:rFonts w:ascii="Arial" w:hAnsi="Arial" w:cs="Arial"/>
                <w:b/>
                <w:bCs/>
                <w:color w:val="000000"/>
                <w:kern w:val="0"/>
              </w:rPr>
            </w:pPr>
            <w:r w:rsidRPr="00094D3C">
              <w:rPr>
                <w:rFonts w:ascii="Arial" w:hAnsi="Arial" w:cs="Arial"/>
                <w:b/>
                <w:bCs/>
                <w:color w:val="000000"/>
                <w:kern w:val="0"/>
              </w:rPr>
              <w:t>Aug</w:t>
            </w:r>
          </w:p>
        </w:tc>
        <w:tc>
          <w:tcPr>
            <w:tcW w:w="0" w:type="auto"/>
            <w:tcBorders>
              <w:top w:val="single" w:sz="6" w:space="0" w:color="auto"/>
              <w:left w:val="single" w:sz="6" w:space="0" w:color="auto"/>
              <w:bottom w:val="single" w:sz="6" w:space="0" w:color="auto"/>
              <w:right w:val="single" w:sz="6" w:space="0" w:color="auto"/>
            </w:tcBorders>
          </w:tcPr>
          <w:p w14:paraId="4AC7811C" w14:textId="77777777" w:rsidR="004C6E0C" w:rsidRPr="00094D3C" w:rsidRDefault="004C6E0C" w:rsidP="00094D3C">
            <w:pPr>
              <w:autoSpaceDE w:val="0"/>
              <w:autoSpaceDN w:val="0"/>
              <w:adjustRightInd w:val="0"/>
              <w:jc w:val="left"/>
              <w:rPr>
                <w:rFonts w:ascii="Arial" w:hAnsi="Arial" w:cs="Arial"/>
                <w:b/>
                <w:bCs/>
                <w:color w:val="000000"/>
                <w:kern w:val="0"/>
              </w:rPr>
            </w:pPr>
            <w:r w:rsidRPr="00094D3C">
              <w:rPr>
                <w:rFonts w:ascii="Arial" w:hAnsi="Arial" w:cs="Arial"/>
                <w:b/>
                <w:bCs/>
                <w:color w:val="000000"/>
                <w:kern w:val="0"/>
              </w:rPr>
              <w:t>Sept</w:t>
            </w:r>
          </w:p>
        </w:tc>
        <w:tc>
          <w:tcPr>
            <w:tcW w:w="0" w:type="auto"/>
            <w:tcBorders>
              <w:top w:val="single" w:sz="6" w:space="0" w:color="auto"/>
              <w:left w:val="single" w:sz="6" w:space="0" w:color="auto"/>
              <w:bottom w:val="single" w:sz="6" w:space="0" w:color="auto"/>
              <w:right w:val="single" w:sz="6" w:space="0" w:color="auto"/>
            </w:tcBorders>
          </w:tcPr>
          <w:p w14:paraId="62B0E4D0" w14:textId="77777777" w:rsidR="004C6E0C" w:rsidRPr="00094D3C" w:rsidRDefault="004C6E0C" w:rsidP="00094D3C">
            <w:pPr>
              <w:autoSpaceDE w:val="0"/>
              <w:autoSpaceDN w:val="0"/>
              <w:adjustRightInd w:val="0"/>
              <w:jc w:val="left"/>
              <w:rPr>
                <w:rFonts w:ascii="Arial" w:hAnsi="Arial" w:cs="Arial"/>
                <w:b/>
                <w:bCs/>
                <w:color w:val="000000"/>
                <w:kern w:val="0"/>
              </w:rPr>
            </w:pPr>
            <w:r w:rsidRPr="00094D3C">
              <w:rPr>
                <w:rFonts w:ascii="Arial" w:hAnsi="Arial" w:cs="Arial"/>
                <w:b/>
                <w:bCs/>
                <w:color w:val="000000"/>
                <w:kern w:val="0"/>
              </w:rPr>
              <w:t>Oct</w:t>
            </w:r>
          </w:p>
        </w:tc>
        <w:tc>
          <w:tcPr>
            <w:tcW w:w="0" w:type="auto"/>
            <w:tcBorders>
              <w:top w:val="single" w:sz="6" w:space="0" w:color="auto"/>
              <w:left w:val="single" w:sz="6" w:space="0" w:color="auto"/>
              <w:bottom w:val="single" w:sz="6" w:space="0" w:color="auto"/>
              <w:right w:val="single" w:sz="6" w:space="0" w:color="auto"/>
            </w:tcBorders>
          </w:tcPr>
          <w:p w14:paraId="3746F101" w14:textId="77777777" w:rsidR="004C6E0C" w:rsidRPr="00094D3C" w:rsidRDefault="004C6E0C" w:rsidP="00094D3C">
            <w:pPr>
              <w:autoSpaceDE w:val="0"/>
              <w:autoSpaceDN w:val="0"/>
              <w:adjustRightInd w:val="0"/>
              <w:jc w:val="left"/>
              <w:rPr>
                <w:rFonts w:ascii="Arial" w:hAnsi="Arial" w:cs="Arial"/>
                <w:b/>
                <w:bCs/>
                <w:color w:val="000000"/>
                <w:kern w:val="0"/>
              </w:rPr>
            </w:pPr>
            <w:r w:rsidRPr="00094D3C">
              <w:rPr>
                <w:rFonts w:ascii="Arial" w:hAnsi="Arial" w:cs="Arial"/>
                <w:b/>
                <w:bCs/>
                <w:color w:val="000000"/>
                <w:kern w:val="0"/>
              </w:rPr>
              <w:t>Nov</w:t>
            </w:r>
          </w:p>
        </w:tc>
        <w:tc>
          <w:tcPr>
            <w:tcW w:w="0" w:type="auto"/>
            <w:tcBorders>
              <w:top w:val="single" w:sz="6" w:space="0" w:color="auto"/>
              <w:left w:val="single" w:sz="6" w:space="0" w:color="auto"/>
              <w:bottom w:val="single" w:sz="6" w:space="0" w:color="auto"/>
              <w:right w:val="single" w:sz="6" w:space="0" w:color="auto"/>
            </w:tcBorders>
          </w:tcPr>
          <w:p w14:paraId="37988D5A" w14:textId="77777777" w:rsidR="004C6E0C" w:rsidRPr="00094D3C" w:rsidRDefault="004C6E0C" w:rsidP="00094D3C">
            <w:pPr>
              <w:autoSpaceDE w:val="0"/>
              <w:autoSpaceDN w:val="0"/>
              <w:adjustRightInd w:val="0"/>
              <w:jc w:val="left"/>
              <w:rPr>
                <w:rFonts w:ascii="Arial" w:hAnsi="Arial" w:cs="Arial"/>
                <w:b/>
                <w:bCs/>
                <w:color w:val="000000"/>
                <w:kern w:val="0"/>
              </w:rPr>
            </w:pPr>
            <w:r w:rsidRPr="00094D3C">
              <w:rPr>
                <w:rFonts w:ascii="Arial" w:hAnsi="Arial" w:cs="Arial"/>
                <w:b/>
                <w:bCs/>
                <w:color w:val="000000"/>
                <w:kern w:val="0"/>
              </w:rPr>
              <w:t>Dec</w:t>
            </w:r>
          </w:p>
        </w:tc>
        <w:tc>
          <w:tcPr>
            <w:tcW w:w="0" w:type="auto"/>
            <w:tcBorders>
              <w:top w:val="single" w:sz="6" w:space="0" w:color="auto"/>
              <w:left w:val="single" w:sz="6" w:space="0" w:color="auto"/>
              <w:bottom w:val="single" w:sz="6" w:space="0" w:color="auto"/>
              <w:right w:val="single" w:sz="6" w:space="0" w:color="auto"/>
            </w:tcBorders>
          </w:tcPr>
          <w:p w14:paraId="7273954D" w14:textId="77777777" w:rsidR="004C6E0C" w:rsidRPr="00094D3C" w:rsidRDefault="004C6E0C" w:rsidP="00094D3C">
            <w:pPr>
              <w:autoSpaceDE w:val="0"/>
              <w:autoSpaceDN w:val="0"/>
              <w:adjustRightInd w:val="0"/>
              <w:jc w:val="center"/>
              <w:rPr>
                <w:rFonts w:ascii="Arial" w:hAnsi="Arial" w:cs="Arial"/>
                <w:b/>
                <w:bCs/>
                <w:color w:val="000000"/>
                <w:kern w:val="0"/>
              </w:rPr>
            </w:pPr>
            <w:r w:rsidRPr="00094D3C">
              <w:rPr>
                <w:rFonts w:ascii="Arial" w:hAnsi="Arial" w:cs="Arial"/>
                <w:b/>
                <w:bCs/>
                <w:color w:val="000000"/>
                <w:kern w:val="0"/>
              </w:rPr>
              <w:t>Total</w:t>
            </w:r>
          </w:p>
        </w:tc>
      </w:tr>
      <w:tr w:rsidR="004C6E0C" w:rsidRPr="00094D3C" w14:paraId="009B407C" w14:textId="77777777" w:rsidTr="00432FDC">
        <w:trPr>
          <w:trHeight w:val="290"/>
        </w:trPr>
        <w:tc>
          <w:tcPr>
            <w:tcW w:w="0" w:type="auto"/>
            <w:tcBorders>
              <w:top w:val="single" w:sz="6" w:space="0" w:color="auto"/>
              <w:left w:val="single" w:sz="6" w:space="0" w:color="auto"/>
              <w:bottom w:val="single" w:sz="6" w:space="0" w:color="auto"/>
              <w:right w:val="single" w:sz="6" w:space="0" w:color="auto"/>
            </w:tcBorders>
          </w:tcPr>
          <w:p w14:paraId="72ED3E18" w14:textId="77777777" w:rsidR="004C6E0C" w:rsidRPr="00094D3C" w:rsidRDefault="004C6E0C" w:rsidP="00094D3C">
            <w:pPr>
              <w:autoSpaceDE w:val="0"/>
              <w:autoSpaceDN w:val="0"/>
              <w:adjustRightInd w:val="0"/>
              <w:jc w:val="left"/>
              <w:rPr>
                <w:rFonts w:ascii="Arial" w:hAnsi="Arial" w:cs="Arial"/>
                <w:color w:val="000000"/>
                <w:kern w:val="0"/>
              </w:rPr>
            </w:pPr>
            <w:r w:rsidRPr="00094D3C">
              <w:rPr>
                <w:rFonts w:ascii="Arial" w:hAnsi="Arial" w:cs="Arial"/>
                <w:color w:val="000000"/>
                <w:kern w:val="0"/>
              </w:rPr>
              <w:t>Admin expenses (less dep)</w:t>
            </w:r>
          </w:p>
        </w:tc>
        <w:tc>
          <w:tcPr>
            <w:tcW w:w="0" w:type="auto"/>
            <w:tcBorders>
              <w:top w:val="single" w:sz="6" w:space="0" w:color="auto"/>
              <w:left w:val="single" w:sz="6" w:space="0" w:color="auto"/>
              <w:bottom w:val="single" w:sz="6" w:space="0" w:color="auto"/>
              <w:right w:val="single" w:sz="6" w:space="0" w:color="auto"/>
            </w:tcBorders>
          </w:tcPr>
          <w:p w14:paraId="127410C3"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17000</w:t>
            </w:r>
          </w:p>
        </w:tc>
        <w:tc>
          <w:tcPr>
            <w:tcW w:w="0" w:type="auto"/>
            <w:tcBorders>
              <w:top w:val="single" w:sz="6" w:space="0" w:color="auto"/>
              <w:left w:val="single" w:sz="6" w:space="0" w:color="auto"/>
              <w:bottom w:val="single" w:sz="6" w:space="0" w:color="auto"/>
              <w:right w:val="single" w:sz="6" w:space="0" w:color="auto"/>
            </w:tcBorders>
          </w:tcPr>
          <w:p w14:paraId="09B3CE01"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18000</w:t>
            </w:r>
          </w:p>
        </w:tc>
        <w:tc>
          <w:tcPr>
            <w:tcW w:w="0" w:type="auto"/>
            <w:tcBorders>
              <w:top w:val="single" w:sz="6" w:space="0" w:color="auto"/>
              <w:left w:val="single" w:sz="6" w:space="0" w:color="auto"/>
              <w:bottom w:val="single" w:sz="6" w:space="0" w:color="auto"/>
              <w:right w:val="single" w:sz="6" w:space="0" w:color="auto"/>
            </w:tcBorders>
          </w:tcPr>
          <w:p w14:paraId="51F2A293"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19000</w:t>
            </w:r>
          </w:p>
        </w:tc>
        <w:tc>
          <w:tcPr>
            <w:tcW w:w="0" w:type="auto"/>
            <w:tcBorders>
              <w:top w:val="single" w:sz="6" w:space="0" w:color="auto"/>
              <w:left w:val="single" w:sz="6" w:space="0" w:color="auto"/>
              <w:bottom w:val="single" w:sz="6" w:space="0" w:color="auto"/>
              <w:right w:val="single" w:sz="6" w:space="0" w:color="auto"/>
            </w:tcBorders>
          </w:tcPr>
          <w:p w14:paraId="6453D3AB"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20000</w:t>
            </w:r>
          </w:p>
        </w:tc>
        <w:tc>
          <w:tcPr>
            <w:tcW w:w="0" w:type="auto"/>
            <w:tcBorders>
              <w:top w:val="single" w:sz="6" w:space="0" w:color="auto"/>
              <w:left w:val="single" w:sz="6" w:space="0" w:color="auto"/>
              <w:bottom w:val="single" w:sz="6" w:space="0" w:color="auto"/>
              <w:right w:val="single" w:sz="6" w:space="0" w:color="auto"/>
            </w:tcBorders>
          </w:tcPr>
          <w:p w14:paraId="7EEC2108"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21000</w:t>
            </w:r>
          </w:p>
        </w:tc>
        <w:tc>
          <w:tcPr>
            <w:tcW w:w="0" w:type="auto"/>
            <w:tcBorders>
              <w:top w:val="single" w:sz="6" w:space="0" w:color="auto"/>
              <w:left w:val="single" w:sz="6" w:space="0" w:color="auto"/>
              <w:bottom w:val="single" w:sz="6" w:space="0" w:color="auto"/>
              <w:right w:val="single" w:sz="6" w:space="0" w:color="auto"/>
            </w:tcBorders>
          </w:tcPr>
          <w:p w14:paraId="43BC2EE9"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22000</w:t>
            </w:r>
          </w:p>
        </w:tc>
        <w:tc>
          <w:tcPr>
            <w:tcW w:w="0" w:type="auto"/>
            <w:tcBorders>
              <w:top w:val="single" w:sz="6" w:space="0" w:color="auto"/>
              <w:left w:val="single" w:sz="6" w:space="0" w:color="auto"/>
              <w:bottom w:val="single" w:sz="6" w:space="0" w:color="auto"/>
              <w:right w:val="single" w:sz="6" w:space="0" w:color="auto"/>
            </w:tcBorders>
          </w:tcPr>
          <w:p w14:paraId="256075FD"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117000</w:t>
            </w:r>
          </w:p>
        </w:tc>
      </w:tr>
      <w:tr w:rsidR="004C6E0C" w:rsidRPr="00094D3C" w14:paraId="027736F7" w14:textId="77777777" w:rsidTr="00432FDC">
        <w:trPr>
          <w:trHeight w:val="290"/>
        </w:trPr>
        <w:tc>
          <w:tcPr>
            <w:tcW w:w="0" w:type="auto"/>
            <w:tcBorders>
              <w:top w:val="single" w:sz="6" w:space="0" w:color="auto"/>
              <w:left w:val="single" w:sz="6" w:space="0" w:color="auto"/>
              <w:bottom w:val="single" w:sz="6" w:space="0" w:color="auto"/>
              <w:right w:val="single" w:sz="6" w:space="0" w:color="auto"/>
            </w:tcBorders>
          </w:tcPr>
          <w:p w14:paraId="5F0572CB" w14:textId="77777777" w:rsidR="004C6E0C" w:rsidRPr="00094D3C" w:rsidRDefault="004C6E0C" w:rsidP="00094D3C">
            <w:pPr>
              <w:autoSpaceDE w:val="0"/>
              <w:autoSpaceDN w:val="0"/>
              <w:adjustRightInd w:val="0"/>
              <w:jc w:val="left"/>
              <w:rPr>
                <w:rFonts w:ascii="Arial" w:hAnsi="Arial" w:cs="Arial"/>
                <w:color w:val="000000"/>
                <w:kern w:val="0"/>
              </w:rPr>
            </w:pPr>
            <w:r w:rsidRPr="00094D3C">
              <w:rPr>
                <w:rFonts w:ascii="Arial" w:hAnsi="Arial" w:cs="Arial"/>
                <w:color w:val="000000"/>
                <w:kern w:val="0"/>
              </w:rPr>
              <w:t xml:space="preserve">Selling expenses </w:t>
            </w:r>
          </w:p>
        </w:tc>
        <w:tc>
          <w:tcPr>
            <w:tcW w:w="0" w:type="auto"/>
            <w:tcBorders>
              <w:top w:val="single" w:sz="6" w:space="0" w:color="auto"/>
              <w:left w:val="single" w:sz="6" w:space="0" w:color="auto"/>
              <w:bottom w:val="single" w:sz="6" w:space="0" w:color="auto"/>
              <w:right w:val="single" w:sz="6" w:space="0" w:color="auto"/>
            </w:tcBorders>
          </w:tcPr>
          <w:p w14:paraId="6F11B3DB"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6000</w:t>
            </w:r>
          </w:p>
        </w:tc>
        <w:tc>
          <w:tcPr>
            <w:tcW w:w="0" w:type="auto"/>
            <w:tcBorders>
              <w:top w:val="single" w:sz="6" w:space="0" w:color="auto"/>
              <w:left w:val="single" w:sz="6" w:space="0" w:color="auto"/>
              <w:bottom w:val="single" w:sz="6" w:space="0" w:color="auto"/>
              <w:right w:val="single" w:sz="6" w:space="0" w:color="auto"/>
            </w:tcBorders>
          </w:tcPr>
          <w:p w14:paraId="152DC342"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7000</w:t>
            </w:r>
          </w:p>
        </w:tc>
        <w:tc>
          <w:tcPr>
            <w:tcW w:w="0" w:type="auto"/>
            <w:tcBorders>
              <w:top w:val="single" w:sz="6" w:space="0" w:color="auto"/>
              <w:left w:val="single" w:sz="6" w:space="0" w:color="auto"/>
              <w:bottom w:val="single" w:sz="6" w:space="0" w:color="auto"/>
              <w:right w:val="single" w:sz="6" w:space="0" w:color="auto"/>
            </w:tcBorders>
          </w:tcPr>
          <w:p w14:paraId="17A887A2"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8000</w:t>
            </w:r>
          </w:p>
        </w:tc>
        <w:tc>
          <w:tcPr>
            <w:tcW w:w="0" w:type="auto"/>
            <w:tcBorders>
              <w:top w:val="single" w:sz="6" w:space="0" w:color="auto"/>
              <w:left w:val="single" w:sz="6" w:space="0" w:color="auto"/>
              <w:bottom w:val="single" w:sz="6" w:space="0" w:color="auto"/>
              <w:right w:val="single" w:sz="6" w:space="0" w:color="auto"/>
            </w:tcBorders>
          </w:tcPr>
          <w:p w14:paraId="3767FE5C"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9000</w:t>
            </w:r>
          </w:p>
        </w:tc>
        <w:tc>
          <w:tcPr>
            <w:tcW w:w="0" w:type="auto"/>
            <w:tcBorders>
              <w:top w:val="single" w:sz="6" w:space="0" w:color="auto"/>
              <w:left w:val="single" w:sz="6" w:space="0" w:color="auto"/>
              <w:bottom w:val="single" w:sz="6" w:space="0" w:color="auto"/>
              <w:right w:val="single" w:sz="6" w:space="0" w:color="auto"/>
            </w:tcBorders>
          </w:tcPr>
          <w:p w14:paraId="2B95E537"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7000</w:t>
            </w:r>
          </w:p>
        </w:tc>
        <w:tc>
          <w:tcPr>
            <w:tcW w:w="0" w:type="auto"/>
            <w:tcBorders>
              <w:top w:val="single" w:sz="6" w:space="0" w:color="auto"/>
              <w:left w:val="single" w:sz="6" w:space="0" w:color="auto"/>
              <w:bottom w:val="single" w:sz="6" w:space="0" w:color="auto"/>
              <w:right w:val="single" w:sz="6" w:space="0" w:color="auto"/>
            </w:tcBorders>
          </w:tcPr>
          <w:p w14:paraId="308747FF"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8000</w:t>
            </w:r>
          </w:p>
        </w:tc>
        <w:tc>
          <w:tcPr>
            <w:tcW w:w="0" w:type="auto"/>
            <w:tcBorders>
              <w:top w:val="single" w:sz="6" w:space="0" w:color="auto"/>
              <w:left w:val="single" w:sz="6" w:space="0" w:color="auto"/>
              <w:bottom w:val="single" w:sz="6" w:space="0" w:color="auto"/>
              <w:right w:val="single" w:sz="6" w:space="0" w:color="auto"/>
            </w:tcBorders>
          </w:tcPr>
          <w:p w14:paraId="50E1D362"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45000</w:t>
            </w:r>
          </w:p>
        </w:tc>
      </w:tr>
      <w:tr w:rsidR="004C6E0C" w:rsidRPr="00094D3C" w14:paraId="034400A2" w14:textId="77777777" w:rsidTr="00432FDC">
        <w:trPr>
          <w:trHeight w:val="290"/>
        </w:trPr>
        <w:tc>
          <w:tcPr>
            <w:tcW w:w="0" w:type="auto"/>
            <w:tcBorders>
              <w:top w:val="single" w:sz="6" w:space="0" w:color="auto"/>
              <w:left w:val="single" w:sz="6" w:space="0" w:color="auto"/>
              <w:bottom w:val="single" w:sz="6" w:space="0" w:color="auto"/>
              <w:right w:val="single" w:sz="6" w:space="0" w:color="auto"/>
            </w:tcBorders>
          </w:tcPr>
          <w:p w14:paraId="32844579" w14:textId="77777777" w:rsidR="004C6E0C" w:rsidRPr="00094D3C" w:rsidRDefault="004C6E0C" w:rsidP="00094D3C">
            <w:pPr>
              <w:autoSpaceDE w:val="0"/>
              <w:autoSpaceDN w:val="0"/>
              <w:adjustRightInd w:val="0"/>
              <w:jc w:val="left"/>
              <w:rPr>
                <w:rFonts w:ascii="Arial" w:hAnsi="Arial" w:cs="Arial"/>
                <w:color w:val="000000"/>
                <w:kern w:val="0"/>
              </w:rPr>
            </w:pPr>
            <w:r w:rsidRPr="00094D3C">
              <w:rPr>
                <w:rFonts w:ascii="Arial" w:hAnsi="Arial" w:cs="Arial"/>
                <w:color w:val="000000"/>
                <w:kern w:val="0"/>
              </w:rPr>
              <w:t xml:space="preserve">Taxation payments </w:t>
            </w:r>
          </w:p>
        </w:tc>
        <w:tc>
          <w:tcPr>
            <w:tcW w:w="0" w:type="auto"/>
            <w:tcBorders>
              <w:top w:val="single" w:sz="6" w:space="0" w:color="auto"/>
              <w:left w:val="single" w:sz="6" w:space="0" w:color="auto"/>
              <w:bottom w:val="single" w:sz="6" w:space="0" w:color="auto"/>
              <w:right w:val="single" w:sz="6" w:space="0" w:color="auto"/>
            </w:tcBorders>
          </w:tcPr>
          <w:p w14:paraId="1769FF17"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0</w:t>
            </w:r>
          </w:p>
        </w:tc>
        <w:tc>
          <w:tcPr>
            <w:tcW w:w="0" w:type="auto"/>
            <w:tcBorders>
              <w:top w:val="single" w:sz="6" w:space="0" w:color="auto"/>
              <w:left w:val="single" w:sz="6" w:space="0" w:color="auto"/>
              <w:bottom w:val="single" w:sz="6" w:space="0" w:color="auto"/>
              <w:right w:val="single" w:sz="6" w:space="0" w:color="auto"/>
            </w:tcBorders>
          </w:tcPr>
          <w:p w14:paraId="586BCE73"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0</w:t>
            </w:r>
          </w:p>
        </w:tc>
        <w:tc>
          <w:tcPr>
            <w:tcW w:w="0" w:type="auto"/>
            <w:tcBorders>
              <w:top w:val="single" w:sz="6" w:space="0" w:color="auto"/>
              <w:left w:val="single" w:sz="6" w:space="0" w:color="auto"/>
              <w:bottom w:val="single" w:sz="6" w:space="0" w:color="auto"/>
              <w:right w:val="single" w:sz="6" w:space="0" w:color="auto"/>
            </w:tcBorders>
          </w:tcPr>
          <w:p w14:paraId="3ADBFB5A"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18000</w:t>
            </w:r>
          </w:p>
        </w:tc>
        <w:tc>
          <w:tcPr>
            <w:tcW w:w="0" w:type="auto"/>
            <w:tcBorders>
              <w:top w:val="single" w:sz="6" w:space="0" w:color="auto"/>
              <w:left w:val="single" w:sz="6" w:space="0" w:color="auto"/>
              <w:bottom w:val="single" w:sz="6" w:space="0" w:color="auto"/>
              <w:right w:val="single" w:sz="6" w:space="0" w:color="auto"/>
            </w:tcBorders>
          </w:tcPr>
          <w:p w14:paraId="244682EA"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0</w:t>
            </w:r>
          </w:p>
        </w:tc>
        <w:tc>
          <w:tcPr>
            <w:tcW w:w="0" w:type="auto"/>
            <w:tcBorders>
              <w:top w:val="single" w:sz="6" w:space="0" w:color="auto"/>
              <w:left w:val="single" w:sz="6" w:space="0" w:color="auto"/>
              <w:bottom w:val="single" w:sz="6" w:space="0" w:color="auto"/>
              <w:right w:val="single" w:sz="6" w:space="0" w:color="auto"/>
            </w:tcBorders>
          </w:tcPr>
          <w:p w14:paraId="40190EF8"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0</w:t>
            </w:r>
          </w:p>
        </w:tc>
        <w:tc>
          <w:tcPr>
            <w:tcW w:w="0" w:type="auto"/>
            <w:tcBorders>
              <w:top w:val="single" w:sz="6" w:space="0" w:color="auto"/>
              <w:left w:val="single" w:sz="6" w:space="0" w:color="auto"/>
              <w:bottom w:val="single" w:sz="6" w:space="0" w:color="auto"/>
              <w:right w:val="single" w:sz="6" w:space="0" w:color="auto"/>
            </w:tcBorders>
          </w:tcPr>
          <w:p w14:paraId="1C601045"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0</w:t>
            </w:r>
          </w:p>
        </w:tc>
        <w:tc>
          <w:tcPr>
            <w:tcW w:w="0" w:type="auto"/>
            <w:tcBorders>
              <w:top w:val="single" w:sz="6" w:space="0" w:color="auto"/>
              <w:left w:val="single" w:sz="6" w:space="0" w:color="auto"/>
              <w:bottom w:val="single" w:sz="6" w:space="0" w:color="auto"/>
              <w:right w:val="single" w:sz="6" w:space="0" w:color="auto"/>
            </w:tcBorders>
          </w:tcPr>
          <w:p w14:paraId="2C5CE82E"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18000</w:t>
            </w:r>
          </w:p>
        </w:tc>
      </w:tr>
      <w:tr w:rsidR="004C6E0C" w:rsidRPr="00094D3C" w14:paraId="3EF87F8D" w14:textId="77777777" w:rsidTr="00432FDC">
        <w:trPr>
          <w:trHeight w:val="290"/>
        </w:trPr>
        <w:tc>
          <w:tcPr>
            <w:tcW w:w="0" w:type="auto"/>
            <w:tcBorders>
              <w:top w:val="single" w:sz="6" w:space="0" w:color="auto"/>
              <w:left w:val="single" w:sz="6" w:space="0" w:color="auto"/>
              <w:bottom w:val="single" w:sz="6" w:space="0" w:color="auto"/>
              <w:right w:val="single" w:sz="6" w:space="0" w:color="auto"/>
            </w:tcBorders>
          </w:tcPr>
          <w:p w14:paraId="62D90B1C" w14:textId="084F6389" w:rsidR="004C6E0C" w:rsidRPr="00094D3C" w:rsidRDefault="00094D3C" w:rsidP="00094D3C">
            <w:pPr>
              <w:autoSpaceDE w:val="0"/>
              <w:autoSpaceDN w:val="0"/>
              <w:adjustRightInd w:val="0"/>
              <w:jc w:val="left"/>
              <w:rPr>
                <w:rFonts w:ascii="Arial" w:hAnsi="Arial" w:cs="Arial"/>
                <w:color w:val="000000"/>
                <w:kern w:val="0"/>
              </w:rPr>
            </w:pPr>
            <w:r w:rsidRPr="00094D3C">
              <w:rPr>
                <w:rFonts w:ascii="Arial" w:hAnsi="Arial" w:cs="Arial"/>
                <w:color w:val="000000"/>
                <w:kern w:val="0"/>
              </w:rPr>
              <w:t>Instalments</w:t>
            </w:r>
            <w:r w:rsidR="004C6E0C" w:rsidRPr="00094D3C">
              <w:rPr>
                <w:rFonts w:ascii="Arial" w:hAnsi="Arial" w:cs="Arial"/>
                <w:color w:val="000000"/>
                <w:kern w:val="0"/>
              </w:rPr>
              <w:t xml:space="preserve"> (including interest)</w:t>
            </w:r>
          </w:p>
        </w:tc>
        <w:tc>
          <w:tcPr>
            <w:tcW w:w="0" w:type="auto"/>
            <w:tcBorders>
              <w:top w:val="single" w:sz="6" w:space="0" w:color="auto"/>
              <w:left w:val="single" w:sz="6" w:space="0" w:color="auto"/>
              <w:bottom w:val="single" w:sz="6" w:space="0" w:color="auto"/>
              <w:right w:val="single" w:sz="6" w:space="0" w:color="auto"/>
            </w:tcBorders>
          </w:tcPr>
          <w:p w14:paraId="3B8C1D39"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5000</w:t>
            </w:r>
          </w:p>
        </w:tc>
        <w:tc>
          <w:tcPr>
            <w:tcW w:w="0" w:type="auto"/>
            <w:tcBorders>
              <w:top w:val="single" w:sz="6" w:space="0" w:color="auto"/>
              <w:left w:val="single" w:sz="6" w:space="0" w:color="auto"/>
              <w:bottom w:val="single" w:sz="6" w:space="0" w:color="auto"/>
              <w:right w:val="single" w:sz="6" w:space="0" w:color="auto"/>
            </w:tcBorders>
          </w:tcPr>
          <w:p w14:paraId="0949DB58"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5000</w:t>
            </w:r>
          </w:p>
        </w:tc>
        <w:tc>
          <w:tcPr>
            <w:tcW w:w="0" w:type="auto"/>
            <w:tcBorders>
              <w:top w:val="single" w:sz="6" w:space="0" w:color="auto"/>
              <w:left w:val="single" w:sz="6" w:space="0" w:color="auto"/>
              <w:bottom w:val="single" w:sz="6" w:space="0" w:color="auto"/>
              <w:right w:val="single" w:sz="6" w:space="0" w:color="auto"/>
            </w:tcBorders>
          </w:tcPr>
          <w:p w14:paraId="717064F4"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5000</w:t>
            </w:r>
          </w:p>
        </w:tc>
        <w:tc>
          <w:tcPr>
            <w:tcW w:w="0" w:type="auto"/>
            <w:tcBorders>
              <w:top w:val="single" w:sz="6" w:space="0" w:color="auto"/>
              <w:left w:val="single" w:sz="6" w:space="0" w:color="auto"/>
              <w:bottom w:val="single" w:sz="6" w:space="0" w:color="auto"/>
              <w:right w:val="single" w:sz="6" w:space="0" w:color="auto"/>
            </w:tcBorders>
          </w:tcPr>
          <w:p w14:paraId="7FDDE85C"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5000</w:t>
            </w:r>
          </w:p>
        </w:tc>
        <w:tc>
          <w:tcPr>
            <w:tcW w:w="0" w:type="auto"/>
            <w:tcBorders>
              <w:top w:val="single" w:sz="6" w:space="0" w:color="auto"/>
              <w:left w:val="single" w:sz="6" w:space="0" w:color="auto"/>
              <w:bottom w:val="single" w:sz="6" w:space="0" w:color="auto"/>
              <w:right w:val="single" w:sz="6" w:space="0" w:color="auto"/>
            </w:tcBorders>
          </w:tcPr>
          <w:p w14:paraId="7F281E35"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5000</w:t>
            </w:r>
          </w:p>
        </w:tc>
        <w:tc>
          <w:tcPr>
            <w:tcW w:w="0" w:type="auto"/>
            <w:tcBorders>
              <w:top w:val="single" w:sz="6" w:space="0" w:color="auto"/>
              <w:left w:val="single" w:sz="6" w:space="0" w:color="auto"/>
              <w:bottom w:val="single" w:sz="6" w:space="0" w:color="auto"/>
              <w:right w:val="single" w:sz="6" w:space="0" w:color="auto"/>
            </w:tcBorders>
          </w:tcPr>
          <w:p w14:paraId="411BE325"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5000</w:t>
            </w:r>
          </w:p>
        </w:tc>
        <w:tc>
          <w:tcPr>
            <w:tcW w:w="0" w:type="auto"/>
            <w:tcBorders>
              <w:top w:val="single" w:sz="6" w:space="0" w:color="auto"/>
              <w:left w:val="single" w:sz="6" w:space="0" w:color="auto"/>
              <w:bottom w:val="single" w:sz="6" w:space="0" w:color="auto"/>
              <w:right w:val="single" w:sz="6" w:space="0" w:color="auto"/>
            </w:tcBorders>
          </w:tcPr>
          <w:p w14:paraId="65E5E113"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30000</w:t>
            </w:r>
          </w:p>
        </w:tc>
      </w:tr>
      <w:tr w:rsidR="004C6E0C" w:rsidRPr="00094D3C" w14:paraId="67993CC2" w14:textId="77777777" w:rsidTr="00432FDC">
        <w:trPr>
          <w:trHeight w:val="290"/>
        </w:trPr>
        <w:tc>
          <w:tcPr>
            <w:tcW w:w="0" w:type="auto"/>
            <w:tcBorders>
              <w:top w:val="single" w:sz="6" w:space="0" w:color="auto"/>
              <w:left w:val="single" w:sz="6" w:space="0" w:color="auto"/>
              <w:bottom w:val="single" w:sz="6" w:space="0" w:color="auto"/>
              <w:right w:val="single" w:sz="6" w:space="0" w:color="auto"/>
            </w:tcBorders>
          </w:tcPr>
          <w:p w14:paraId="5E422268" w14:textId="77777777" w:rsidR="004C6E0C" w:rsidRPr="00094D3C" w:rsidRDefault="004C6E0C" w:rsidP="00094D3C">
            <w:pPr>
              <w:autoSpaceDE w:val="0"/>
              <w:autoSpaceDN w:val="0"/>
              <w:adjustRightInd w:val="0"/>
              <w:jc w:val="left"/>
              <w:rPr>
                <w:rFonts w:ascii="Arial" w:hAnsi="Arial" w:cs="Arial"/>
                <w:color w:val="000000"/>
                <w:kern w:val="0"/>
              </w:rPr>
            </w:pPr>
            <w:r w:rsidRPr="00094D3C">
              <w:rPr>
                <w:rFonts w:ascii="Arial" w:hAnsi="Arial" w:cs="Arial"/>
                <w:color w:val="000000"/>
                <w:kern w:val="0"/>
              </w:rPr>
              <w:lastRenderedPageBreak/>
              <w:t xml:space="preserve">Store refurbishment </w:t>
            </w:r>
          </w:p>
        </w:tc>
        <w:tc>
          <w:tcPr>
            <w:tcW w:w="0" w:type="auto"/>
            <w:tcBorders>
              <w:top w:val="single" w:sz="6" w:space="0" w:color="auto"/>
              <w:left w:val="single" w:sz="6" w:space="0" w:color="auto"/>
              <w:bottom w:val="single" w:sz="6" w:space="0" w:color="auto"/>
              <w:right w:val="single" w:sz="6" w:space="0" w:color="auto"/>
            </w:tcBorders>
          </w:tcPr>
          <w:p w14:paraId="2A2ED5FC"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15000</w:t>
            </w:r>
          </w:p>
        </w:tc>
        <w:tc>
          <w:tcPr>
            <w:tcW w:w="0" w:type="auto"/>
            <w:tcBorders>
              <w:top w:val="single" w:sz="6" w:space="0" w:color="auto"/>
              <w:left w:val="single" w:sz="6" w:space="0" w:color="auto"/>
              <w:bottom w:val="single" w:sz="6" w:space="0" w:color="auto"/>
              <w:right w:val="single" w:sz="6" w:space="0" w:color="auto"/>
            </w:tcBorders>
          </w:tcPr>
          <w:p w14:paraId="61D3F518"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12000</w:t>
            </w:r>
          </w:p>
        </w:tc>
        <w:tc>
          <w:tcPr>
            <w:tcW w:w="0" w:type="auto"/>
            <w:tcBorders>
              <w:top w:val="single" w:sz="6" w:space="0" w:color="auto"/>
              <w:left w:val="single" w:sz="6" w:space="0" w:color="auto"/>
              <w:bottom w:val="single" w:sz="6" w:space="0" w:color="auto"/>
              <w:right w:val="single" w:sz="6" w:space="0" w:color="auto"/>
            </w:tcBorders>
          </w:tcPr>
          <w:p w14:paraId="1B6E7DAD"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10000</w:t>
            </w:r>
          </w:p>
        </w:tc>
        <w:tc>
          <w:tcPr>
            <w:tcW w:w="0" w:type="auto"/>
            <w:tcBorders>
              <w:top w:val="single" w:sz="6" w:space="0" w:color="auto"/>
              <w:left w:val="single" w:sz="6" w:space="0" w:color="auto"/>
              <w:bottom w:val="single" w:sz="6" w:space="0" w:color="auto"/>
              <w:right w:val="single" w:sz="6" w:space="0" w:color="auto"/>
            </w:tcBorders>
          </w:tcPr>
          <w:p w14:paraId="78D81529"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0</w:t>
            </w:r>
          </w:p>
        </w:tc>
        <w:tc>
          <w:tcPr>
            <w:tcW w:w="0" w:type="auto"/>
            <w:tcBorders>
              <w:top w:val="single" w:sz="6" w:space="0" w:color="auto"/>
              <w:left w:val="single" w:sz="6" w:space="0" w:color="auto"/>
              <w:bottom w:val="single" w:sz="6" w:space="0" w:color="auto"/>
              <w:right w:val="single" w:sz="6" w:space="0" w:color="auto"/>
            </w:tcBorders>
          </w:tcPr>
          <w:p w14:paraId="14B0B265"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0</w:t>
            </w:r>
          </w:p>
        </w:tc>
        <w:tc>
          <w:tcPr>
            <w:tcW w:w="0" w:type="auto"/>
            <w:tcBorders>
              <w:top w:val="single" w:sz="6" w:space="0" w:color="auto"/>
              <w:left w:val="single" w:sz="6" w:space="0" w:color="auto"/>
              <w:bottom w:val="single" w:sz="6" w:space="0" w:color="auto"/>
              <w:right w:val="single" w:sz="6" w:space="0" w:color="auto"/>
            </w:tcBorders>
          </w:tcPr>
          <w:p w14:paraId="59B880C4"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0</w:t>
            </w:r>
          </w:p>
        </w:tc>
        <w:tc>
          <w:tcPr>
            <w:tcW w:w="0" w:type="auto"/>
            <w:tcBorders>
              <w:top w:val="single" w:sz="6" w:space="0" w:color="auto"/>
              <w:left w:val="single" w:sz="6" w:space="0" w:color="auto"/>
              <w:bottom w:val="single" w:sz="6" w:space="0" w:color="auto"/>
              <w:right w:val="single" w:sz="6" w:space="0" w:color="auto"/>
            </w:tcBorders>
          </w:tcPr>
          <w:p w14:paraId="1630C243" w14:textId="77777777" w:rsidR="004C6E0C" w:rsidRPr="00094D3C" w:rsidRDefault="004C6E0C" w:rsidP="00094D3C">
            <w:pPr>
              <w:autoSpaceDE w:val="0"/>
              <w:autoSpaceDN w:val="0"/>
              <w:adjustRightInd w:val="0"/>
              <w:jc w:val="right"/>
              <w:rPr>
                <w:rFonts w:ascii="Arial" w:hAnsi="Arial" w:cs="Arial"/>
                <w:color w:val="000000"/>
                <w:kern w:val="0"/>
              </w:rPr>
            </w:pPr>
            <w:r w:rsidRPr="00094D3C">
              <w:rPr>
                <w:rFonts w:ascii="Arial" w:hAnsi="Arial" w:cs="Arial"/>
                <w:color w:val="000000"/>
                <w:kern w:val="0"/>
              </w:rPr>
              <w:t>37000</w:t>
            </w:r>
          </w:p>
        </w:tc>
      </w:tr>
    </w:tbl>
    <w:p w14:paraId="48C92B7A" w14:textId="77777777" w:rsidR="004C6E0C" w:rsidRPr="00094D3C" w:rsidRDefault="004C6E0C" w:rsidP="00094D3C">
      <w:pPr>
        <w:rPr>
          <w:rFonts w:ascii="Arial" w:hAnsi="Arial" w:cs="Arial"/>
        </w:rPr>
      </w:pPr>
    </w:p>
    <w:sectPr w:rsidR="004C6E0C" w:rsidRPr="00094D3C" w:rsidSect="00094D3C">
      <w:footerReference w:type="default" r:id="rId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A0A60" w14:textId="77777777" w:rsidR="00EF0321" w:rsidRDefault="00EF0321" w:rsidP="00C31558">
      <w:pPr>
        <w:spacing w:line="240" w:lineRule="auto"/>
      </w:pPr>
      <w:r>
        <w:separator/>
      </w:r>
    </w:p>
  </w:endnote>
  <w:endnote w:type="continuationSeparator" w:id="0">
    <w:p w14:paraId="75E8CD98" w14:textId="77777777" w:rsidR="00EF0321" w:rsidRDefault="00EF0321" w:rsidP="00C315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9146197"/>
      <w:docPartObj>
        <w:docPartGallery w:val="Page Numbers (Bottom of Page)"/>
        <w:docPartUnique/>
      </w:docPartObj>
    </w:sdtPr>
    <w:sdtEndPr>
      <w:rPr>
        <w:noProof/>
      </w:rPr>
    </w:sdtEndPr>
    <w:sdtContent>
      <w:p w14:paraId="56FD1A31" w14:textId="01A6857E" w:rsidR="00C31558" w:rsidRDefault="00C315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57E115" w14:textId="77777777" w:rsidR="00C31558" w:rsidRDefault="00C31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B8A0E" w14:textId="77777777" w:rsidR="00EF0321" w:rsidRDefault="00EF0321" w:rsidP="00C31558">
      <w:pPr>
        <w:spacing w:line="240" w:lineRule="auto"/>
      </w:pPr>
      <w:r>
        <w:separator/>
      </w:r>
    </w:p>
  </w:footnote>
  <w:footnote w:type="continuationSeparator" w:id="0">
    <w:p w14:paraId="7785C585" w14:textId="77777777" w:rsidR="00EF0321" w:rsidRDefault="00EF0321" w:rsidP="00C315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222BDC"/>
    <w:multiLevelType w:val="hybridMultilevel"/>
    <w:tmpl w:val="80FA7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2615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393"/>
    <w:rsid w:val="00006F7D"/>
    <w:rsid w:val="00023389"/>
    <w:rsid w:val="00094D3C"/>
    <w:rsid w:val="00096E61"/>
    <w:rsid w:val="000B69AC"/>
    <w:rsid w:val="000D2E17"/>
    <w:rsid w:val="000E5186"/>
    <w:rsid w:val="000E7D21"/>
    <w:rsid w:val="00114F0A"/>
    <w:rsid w:val="00132E9E"/>
    <w:rsid w:val="001757F8"/>
    <w:rsid w:val="001832EE"/>
    <w:rsid w:val="001A6395"/>
    <w:rsid w:val="001B7D5E"/>
    <w:rsid w:val="001D4C11"/>
    <w:rsid w:val="001E7C8B"/>
    <w:rsid w:val="002242A2"/>
    <w:rsid w:val="0024560A"/>
    <w:rsid w:val="00264B0D"/>
    <w:rsid w:val="00274496"/>
    <w:rsid w:val="00283CC9"/>
    <w:rsid w:val="002A1D99"/>
    <w:rsid w:val="002C210B"/>
    <w:rsid w:val="002E1897"/>
    <w:rsid w:val="002E7445"/>
    <w:rsid w:val="002F0C2E"/>
    <w:rsid w:val="002F69B3"/>
    <w:rsid w:val="00300259"/>
    <w:rsid w:val="00313565"/>
    <w:rsid w:val="003162C0"/>
    <w:rsid w:val="00316666"/>
    <w:rsid w:val="00355F81"/>
    <w:rsid w:val="00356225"/>
    <w:rsid w:val="00371993"/>
    <w:rsid w:val="0038439B"/>
    <w:rsid w:val="00391D6D"/>
    <w:rsid w:val="00392349"/>
    <w:rsid w:val="003E01C2"/>
    <w:rsid w:val="003F5C27"/>
    <w:rsid w:val="0040162C"/>
    <w:rsid w:val="004254C8"/>
    <w:rsid w:val="00432FDC"/>
    <w:rsid w:val="0044091A"/>
    <w:rsid w:val="004822AF"/>
    <w:rsid w:val="004937A6"/>
    <w:rsid w:val="00495570"/>
    <w:rsid w:val="00496393"/>
    <w:rsid w:val="004964F8"/>
    <w:rsid w:val="004C5CEC"/>
    <w:rsid w:val="004C6E0C"/>
    <w:rsid w:val="004E73A3"/>
    <w:rsid w:val="004F575D"/>
    <w:rsid w:val="004F6AC3"/>
    <w:rsid w:val="00514BA1"/>
    <w:rsid w:val="00555409"/>
    <w:rsid w:val="00555677"/>
    <w:rsid w:val="00555C71"/>
    <w:rsid w:val="0057574A"/>
    <w:rsid w:val="00590464"/>
    <w:rsid w:val="005C14A0"/>
    <w:rsid w:val="005F3FB0"/>
    <w:rsid w:val="005F5D3E"/>
    <w:rsid w:val="00635701"/>
    <w:rsid w:val="006C4A87"/>
    <w:rsid w:val="00732C92"/>
    <w:rsid w:val="007375D9"/>
    <w:rsid w:val="007458AF"/>
    <w:rsid w:val="00751177"/>
    <w:rsid w:val="00761A7A"/>
    <w:rsid w:val="00790B27"/>
    <w:rsid w:val="00790E14"/>
    <w:rsid w:val="007924F7"/>
    <w:rsid w:val="008170F8"/>
    <w:rsid w:val="00823B68"/>
    <w:rsid w:val="008371AC"/>
    <w:rsid w:val="0084603D"/>
    <w:rsid w:val="00857AE1"/>
    <w:rsid w:val="008818A7"/>
    <w:rsid w:val="008A03DA"/>
    <w:rsid w:val="008A1F59"/>
    <w:rsid w:val="008C1566"/>
    <w:rsid w:val="008F4BF3"/>
    <w:rsid w:val="00926B24"/>
    <w:rsid w:val="00955B8C"/>
    <w:rsid w:val="0096589E"/>
    <w:rsid w:val="009730FA"/>
    <w:rsid w:val="00975DD3"/>
    <w:rsid w:val="00981079"/>
    <w:rsid w:val="009C0D5B"/>
    <w:rsid w:val="009C7C07"/>
    <w:rsid w:val="009E10C4"/>
    <w:rsid w:val="00A0086E"/>
    <w:rsid w:val="00A02EE9"/>
    <w:rsid w:val="00A04BDB"/>
    <w:rsid w:val="00A06C4C"/>
    <w:rsid w:val="00A219B8"/>
    <w:rsid w:val="00A21C1C"/>
    <w:rsid w:val="00A47B7C"/>
    <w:rsid w:val="00A5017F"/>
    <w:rsid w:val="00A955DD"/>
    <w:rsid w:val="00AC42EC"/>
    <w:rsid w:val="00AC453F"/>
    <w:rsid w:val="00AC7AA8"/>
    <w:rsid w:val="00AD48CF"/>
    <w:rsid w:val="00AD5BDA"/>
    <w:rsid w:val="00AF3607"/>
    <w:rsid w:val="00B14BF9"/>
    <w:rsid w:val="00B37090"/>
    <w:rsid w:val="00B97AE9"/>
    <w:rsid w:val="00BC5D52"/>
    <w:rsid w:val="00BD05A5"/>
    <w:rsid w:val="00BD6600"/>
    <w:rsid w:val="00BE6462"/>
    <w:rsid w:val="00BE6ABC"/>
    <w:rsid w:val="00BE75AC"/>
    <w:rsid w:val="00BF7B1B"/>
    <w:rsid w:val="00C14644"/>
    <w:rsid w:val="00C31558"/>
    <w:rsid w:val="00C6561C"/>
    <w:rsid w:val="00C83A2E"/>
    <w:rsid w:val="00C83E92"/>
    <w:rsid w:val="00CA6132"/>
    <w:rsid w:val="00CC0A71"/>
    <w:rsid w:val="00CE4A92"/>
    <w:rsid w:val="00D017DA"/>
    <w:rsid w:val="00D02789"/>
    <w:rsid w:val="00D474A5"/>
    <w:rsid w:val="00D671C1"/>
    <w:rsid w:val="00D70DD0"/>
    <w:rsid w:val="00D808FA"/>
    <w:rsid w:val="00DA01A3"/>
    <w:rsid w:val="00DA6C54"/>
    <w:rsid w:val="00DB6E9C"/>
    <w:rsid w:val="00DC2639"/>
    <w:rsid w:val="00DF4E89"/>
    <w:rsid w:val="00E13243"/>
    <w:rsid w:val="00E1472B"/>
    <w:rsid w:val="00E22DD1"/>
    <w:rsid w:val="00E30F92"/>
    <w:rsid w:val="00E34ABF"/>
    <w:rsid w:val="00E43186"/>
    <w:rsid w:val="00EE76C8"/>
    <w:rsid w:val="00EF0321"/>
    <w:rsid w:val="00EF262F"/>
    <w:rsid w:val="00EF6459"/>
    <w:rsid w:val="00F13598"/>
    <w:rsid w:val="00F40597"/>
    <w:rsid w:val="00F434AE"/>
    <w:rsid w:val="00F45E50"/>
    <w:rsid w:val="00F73D9E"/>
    <w:rsid w:val="00F85FC8"/>
    <w:rsid w:val="00F94438"/>
    <w:rsid w:val="00F9489C"/>
    <w:rsid w:val="00FC3AA3"/>
    <w:rsid w:val="00FD4501"/>
    <w:rsid w:val="00FE5A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144E7"/>
  <w15:chartTrackingRefBased/>
  <w15:docId w15:val="{D72667E1-0B8C-4708-B863-052117548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7F8"/>
    <w:pPr>
      <w:spacing w:after="0" w:line="36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1757F8"/>
    <w:pPr>
      <w:outlineLvl w:val="0"/>
    </w:pPr>
    <w:rPr>
      <w:b/>
      <w:bCs/>
      <w:sz w:val="28"/>
      <w:szCs w:val="28"/>
    </w:rPr>
  </w:style>
  <w:style w:type="paragraph" w:styleId="Heading2">
    <w:name w:val="heading 2"/>
    <w:basedOn w:val="Normal"/>
    <w:next w:val="Normal"/>
    <w:link w:val="Heading2Char"/>
    <w:uiPriority w:val="9"/>
    <w:unhideWhenUsed/>
    <w:qFormat/>
    <w:rsid w:val="00555677"/>
    <w:pPr>
      <w:outlineLvl w:val="1"/>
    </w:pPr>
    <w:rPr>
      <w:b/>
      <w:bCs/>
      <w:u w:val="single"/>
    </w:rPr>
  </w:style>
  <w:style w:type="paragraph" w:styleId="Heading3">
    <w:name w:val="heading 3"/>
    <w:basedOn w:val="Heading2"/>
    <w:next w:val="Normal"/>
    <w:link w:val="Heading3Char"/>
    <w:uiPriority w:val="9"/>
    <w:unhideWhenUsed/>
    <w:qFormat/>
    <w:rsid w:val="00AF3607"/>
    <w:pPr>
      <w:outlineLvl w:val="2"/>
    </w:pPr>
    <w:rPr>
      <w:u w:val="none"/>
    </w:rPr>
  </w:style>
  <w:style w:type="paragraph" w:styleId="Heading4">
    <w:name w:val="heading 4"/>
    <w:basedOn w:val="Normal"/>
    <w:next w:val="Normal"/>
    <w:link w:val="Heading4Char"/>
    <w:uiPriority w:val="9"/>
    <w:semiHidden/>
    <w:unhideWhenUsed/>
    <w:qFormat/>
    <w:rsid w:val="004963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63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639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39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39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39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7F8"/>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555677"/>
    <w:rPr>
      <w:rFonts w:ascii="Times New Roman" w:hAnsi="Times New Roman" w:cs="Times New Roman"/>
      <w:b/>
      <w:bCs/>
      <w:u w:val="single"/>
      <w:lang w:val="en-GB"/>
    </w:rPr>
  </w:style>
  <w:style w:type="character" w:customStyle="1" w:styleId="Heading3Char">
    <w:name w:val="Heading 3 Char"/>
    <w:basedOn w:val="DefaultParagraphFont"/>
    <w:link w:val="Heading3"/>
    <w:uiPriority w:val="9"/>
    <w:rsid w:val="00AF3607"/>
    <w:rPr>
      <w:rFonts w:ascii="Times New Roman" w:hAnsi="Times New Roman" w:cs="Times New Roman"/>
      <w:b/>
      <w:bCs/>
      <w:lang w:val="en-GB"/>
    </w:rPr>
  </w:style>
  <w:style w:type="character" w:customStyle="1" w:styleId="Heading4Char">
    <w:name w:val="Heading 4 Char"/>
    <w:basedOn w:val="DefaultParagraphFont"/>
    <w:link w:val="Heading4"/>
    <w:uiPriority w:val="9"/>
    <w:semiHidden/>
    <w:rsid w:val="004963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63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63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3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3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393"/>
    <w:rPr>
      <w:rFonts w:eastAsiaTheme="majorEastAsia" w:cstheme="majorBidi"/>
      <w:color w:val="272727" w:themeColor="text1" w:themeTint="D8"/>
    </w:rPr>
  </w:style>
  <w:style w:type="paragraph" w:styleId="Title">
    <w:name w:val="Title"/>
    <w:basedOn w:val="Normal"/>
    <w:next w:val="Normal"/>
    <w:link w:val="TitleChar"/>
    <w:uiPriority w:val="10"/>
    <w:qFormat/>
    <w:rsid w:val="004963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3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3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3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393"/>
    <w:pPr>
      <w:spacing w:before="160"/>
      <w:jc w:val="center"/>
    </w:pPr>
    <w:rPr>
      <w:i/>
      <w:iCs/>
      <w:color w:val="404040" w:themeColor="text1" w:themeTint="BF"/>
    </w:rPr>
  </w:style>
  <w:style w:type="character" w:customStyle="1" w:styleId="QuoteChar">
    <w:name w:val="Quote Char"/>
    <w:basedOn w:val="DefaultParagraphFont"/>
    <w:link w:val="Quote"/>
    <w:uiPriority w:val="29"/>
    <w:rsid w:val="00496393"/>
    <w:rPr>
      <w:i/>
      <w:iCs/>
      <w:color w:val="404040" w:themeColor="text1" w:themeTint="BF"/>
    </w:rPr>
  </w:style>
  <w:style w:type="paragraph" w:styleId="ListParagraph">
    <w:name w:val="List Paragraph"/>
    <w:basedOn w:val="Normal"/>
    <w:uiPriority w:val="34"/>
    <w:qFormat/>
    <w:rsid w:val="00496393"/>
    <w:pPr>
      <w:ind w:left="720"/>
      <w:contextualSpacing/>
    </w:pPr>
  </w:style>
  <w:style w:type="character" w:styleId="IntenseEmphasis">
    <w:name w:val="Intense Emphasis"/>
    <w:basedOn w:val="DefaultParagraphFont"/>
    <w:uiPriority w:val="21"/>
    <w:qFormat/>
    <w:rsid w:val="00496393"/>
    <w:rPr>
      <w:i/>
      <w:iCs/>
      <w:color w:val="2F5496" w:themeColor="accent1" w:themeShade="BF"/>
    </w:rPr>
  </w:style>
  <w:style w:type="paragraph" w:styleId="IntenseQuote">
    <w:name w:val="Intense Quote"/>
    <w:basedOn w:val="Normal"/>
    <w:next w:val="Normal"/>
    <w:link w:val="IntenseQuoteChar"/>
    <w:uiPriority w:val="30"/>
    <w:qFormat/>
    <w:rsid w:val="004963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6393"/>
    <w:rPr>
      <w:i/>
      <w:iCs/>
      <w:color w:val="2F5496" w:themeColor="accent1" w:themeShade="BF"/>
    </w:rPr>
  </w:style>
  <w:style w:type="character" w:styleId="IntenseReference">
    <w:name w:val="Intense Reference"/>
    <w:basedOn w:val="DefaultParagraphFont"/>
    <w:uiPriority w:val="32"/>
    <w:qFormat/>
    <w:rsid w:val="00496393"/>
    <w:rPr>
      <w:b/>
      <w:bCs/>
      <w:smallCaps/>
      <w:color w:val="2F5496" w:themeColor="accent1" w:themeShade="BF"/>
      <w:spacing w:val="5"/>
    </w:rPr>
  </w:style>
  <w:style w:type="table" w:styleId="TableGrid">
    <w:name w:val="Table Grid"/>
    <w:basedOn w:val="TableNormal"/>
    <w:uiPriority w:val="39"/>
    <w:rsid w:val="00A50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8439B"/>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8439B"/>
    <w:pPr>
      <w:spacing w:after="100"/>
    </w:pPr>
  </w:style>
  <w:style w:type="paragraph" w:styleId="TOC2">
    <w:name w:val="toc 2"/>
    <w:basedOn w:val="Normal"/>
    <w:next w:val="Normal"/>
    <w:autoRedefine/>
    <w:uiPriority w:val="39"/>
    <w:unhideWhenUsed/>
    <w:rsid w:val="0038439B"/>
    <w:pPr>
      <w:spacing w:after="100"/>
      <w:ind w:left="240"/>
    </w:pPr>
  </w:style>
  <w:style w:type="paragraph" w:styleId="TOC3">
    <w:name w:val="toc 3"/>
    <w:basedOn w:val="Normal"/>
    <w:next w:val="Normal"/>
    <w:autoRedefine/>
    <w:uiPriority w:val="39"/>
    <w:unhideWhenUsed/>
    <w:rsid w:val="0038439B"/>
    <w:pPr>
      <w:spacing w:after="100"/>
      <w:ind w:left="480"/>
    </w:pPr>
  </w:style>
  <w:style w:type="character" w:styleId="Hyperlink">
    <w:name w:val="Hyperlink"/>
    <w:basedOn w:val="DefaultParagraphFont"/>
    <w:uiPriority w:val="99"/>
    <w:unhideWhenUsed/>
    <w:rsid w:val="0038439B"/>
    <w:rPr>
      <w:color w:val="0563C1" w:themeColor="hyperlink"/>
      <w:u w:val="single"/>
    </w:rPr>
  </w:style>
  <w:style w:type="paragraph" w:styleId="Header">
    <w:name w:val="header"/>
    <w:basedOn w:val="Normal"/>
    <w:link w:val="HeaderChar"/>
    <w:uiPriority w:val="99"/>
    <w:unhideWhenUsed/>
    <w:rsid w:val="00C31558"/>
    <w:pPr>
      <w:tabs>
        <w:tab w:val="center" w:pos="4680"/>
        <w:tab w:val="right" w:pos="9360"/>
      </w:tabs>
      <w:spacing w:line="240" w:lineRule="auto"/>
    </w:pPr>
  </w:style>
  <w:style w:type="character" w:customStyle="1" w:styleId="HeaderChar">
    <w:name w:val="Header Char"/>
    <w:basedOn w:val="DefaultParagraphFont"/>
    <w:link w:val="Header"/>
    <w:uiPriority w:val="99"/>
    <w:rsid w:val="00C31558"/>
    <w:rPr>
      <w:rFonts w:ascii="Times New Roman" w:hAnsi="Times New Roman" w:cs="Times New Roman"/>
      <w:lang w:val="en-GB"/>
    </w:rPr>
  </w:style>
  <w:style w:type="paragraph" w:styleId="Footer">
    <w:name w:val="footer"/>
    <w:basedOn w:val="Normal"/>
    <w:link w:val="FooterChar"/>
    <w:uiPriority w:val="99"/>
    <w:unhideWhenUsed/>
    <w:rsid w:val="00C31558"/>
    <w:pPr>
      <w:tabs>
        <w:tab w:val="center" w:pos="4680"/>
        <w:tab w:val="right" w:pos="9360"/>
      </w:tabs>
      <w:spacing w:line="240" w:lineRule="auto"/>
    </w:pPr>
  </w:style>
  <w:style w:type="character" w:customStyle="1" w:styleId="FooterChar">
    <w:name w:val="Footer Char"/>
    <w:basedOn w:val="DefaultParagraphFont"/>
    <w:link w:val="Footer"/>
    <w:uiPriority w:val="99"/>
    <w:rsid w:val="00C31558"/>
    <w:rPr>
      <w:rFonts w:ascii="Times New Roman" w:hAnsi="Times New Roman" w:cs="Times New Roman"/>
      <w:lang w:val="en-GB"/>
    </w:rPr>
  </w:style>
  <w:style w:type="paragraph" w:styleId="Caption">
    <w:name w:val="caption"/>
    <w:basedOn w:val="Normal"/>
    <w:next w:val="Normal"/>
    <w:uiPriority w:val="35"/>
    <w:unhideWhenUsed/>
    <w:qFormat/>
    <w:rsid w:val="00E1324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14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4E562-8B4E-4EAD-83B9-89C80D96E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5205</Words>
  <Characters>29147</Characters>
  <Application>Microsoft Office Word</Application>
  <DocSecurity>0</DocSecurity>
  <Lines>1329</Lines>
  <Paragraphs>508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 Tudorie</cp:lastModifiedBy>
  <cp:revision>3</cp:revision>
  <dcterms:created xsi:type="dcterms:W3CDTF">2026-03-12T12:50:00Z</dcterms:created>
  <dcterms:modified xsi:type="dcterms:W3CDTF">2026-03-20T18:27:00Z</dcterms:modified>
</cp:coreProperties>
</file>