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5D1EDA" w14:textId="1C019E96" w:rsidR="001C4270" w:rsidRPr="0025312A" w:rsidRDefault="001C4270" w:rsidP="0025312A">
      <w:pPr>
        <w:ind w:firstLine="0"/>
        <w:rPr>
          <w:rFonts w:asciiTheme="minorHAnsi" w:hAnsiTheme="minorHAnsi" w:cstheme="minorHAnsi"/>
          <w:color w:val="000000" w:themeColor="text1"/>
          <w:szCs w:val="24"/>
        </w:rPr>
      </w:pPr>
      <w:r w:rsidRPr="0025312A">
        <w:rPr>
          <w:rFonts w:asciiTheme="minorHAnsi" w:hAnsiTheme="minorHAnsi" w:cstheme="minorHAnsi"/>
          <w:color w:val="000000" w:themeColor="text1"/>
          <w:szCs w:val="24"/>
        </w:rPr>
        <w:t>Th</w:t>
      </w:r>
      <w:r w:rsidR="00E63AC6" w:rsidRPr="0025312A">
        <w:rPr>
          <w:rFonts w:asciiTheme="minorHAnsi" w:hAnsiTheme="minorHAnsi" w:cstheme="minorHAnsi"/>
          <w:color w:val="000000" w:themeColor="text1"/>
          <w:szCs w:val="24"/>
        </w:rPr>
        <w:t>is</w:t>
      </w:r>
      <w:r w:rsidRPr="0025312A">
        <w:rPr>
          <w:rFonts w:asciiTheme="minorHAnsi" w:hAnsiTheme="minorHAnsi" w:cstheme="minorHAnsi"/>
          <w:color w:val="000000" w:themeColor="text1"/>
          <w:szCs w:val="24"/>
        </w:rPr>
        <w:t xml:space="preserve"> essay aims to provide information about the </w:t>
      </w:r>
      <w:r w:rsidRPr="0025312A">
        <w:rPr>
          <w:rFonts w:asciiTheme="minorHAnsi" w:hAnsiTheme="minorHAnsi" w:cstheme="minorHAnsi"/>
          <w:color w:val="000000" w:themeColor="text1"/>
          <w:szCs w:val="24"/>
          <w:lang w:val="en-GB"/>
        </w:rPr>
        <w:t>the historical development of the European Communities and the EU. It provides information about the institutions of the EU and the acts of the EU and its various sources of law and of the general principles of EU law. Moreover, it provides insightful information about the principles of Direct Effect</w:t>
      </w:r>
      <w:r w:rsidR="00E63AC6" w:rsidRPr="0025312A">
        <w:rPr>
          <w:rFonts w:asciiTheme="minorHAnsi" w:hAnsiTheme="minorHAnsi" w:cstheme="minorHAnsi"/>
          <w:color w:val="000000" w:themeColor="text1"/>
          <w:szCs w:val="24"/>
          <w:lang w:val="en-GB"/>
        </w:rPr>
        <w:t xml:space="preserve">, </w:t>
      </w:r>
      <w:r w:rsidRPr="0025312A">
        <w:rPr>
          <w:rFonts w:asciiTheme="minorHAnsi" w:hAnsiTheme="minorHAnsi" w:cstheme="minorHAnsi"/>
          <w:color w:val="000000" w:themeColor="text1"/>
          <w:szCs w:val="24"/>
          <w:lang w:val="en-GB"/>
        </w:rPr>
        <w:t>Indirect Effect and Member State Liability to the ‘new legal order of international law’.</w:t>
      </w:r>
      <w:r w:rsidRPr="0025312A">
        <w:rPr>
          <w:rFonts w:asciiTheme="minorHAnsi" w:hAnsiTheme="minorHAnsi" w:cstheme="minorHAnsi"/>
          <w:color w:val="000000" w:themeColor="text1"/>
          <w:szCs w:val="24"/>
        </w:rPr>
        <w:t xml:space="preserve"> Furthermore, it also includes several case laws and legislation related to the current topic.</w:t>
      </w:r>
    </w:p>
    <w:p w14:paraId="1FDB5807" w14:textId="45FE819B" w:rsidR="001C4270" w:rsidRPr="0025312A" w:rsidRDefault="001C4270" w:rsidP="0025312A">
      <w:pPr>
        <w:ind w:firstLine="0"/>
        <w:rPr>
          <w:rFonts w:asciiTheme="minorHAnsi" w:hAnsiTheme="minorHAnsi" w:cstheme="minorHAnsi"/>
          <w:color w:val="000000" w:themeColor="text1"/>
          <w:szCs w:val="24"/>
        </w:rPr>
      </w:pPr>
      <w:r w:rsidRPr="0025312A">
        <w:rPr>
          <w:rFonts w:asciiTheme="minorHAnsi" w:hAnsiTheme="minorHAnsi" w:cstheme="minorHAnsi"/>
          <w:color w:val="000000" w:themeColor="text1"/>
          <w:szCs w:val="24"/>
        </w:rPr>
        <w:t>European Law has one of the most effective principle which is known as Direct Effect. The seminal case of Van Gend en Loos v Nederlandse Administratie der Belastingen (1963) describes direct effect as “the Community constitutes a new legal order of international law for the benefit of which the states have limited their sovereign rights, albeit within limited fields, and the subjects of which compromise not only Member States but also their nationals.” This case is responsible for changing the legal status of Treaty Articles (</w:t>
      </w:r>
      <w:r w:rsidR="001F7A1C" w:rsidRPr="0025312A">
        <w:rPr>
          <w:rFonts w:asciiTheme="minorHAnsi" w:hAnsiTheme="minorHAnsi" w:cstheme="minorHAnsi"/>
          <w:color w:val="000000" w:themeColor="text1"/>
          <w:szCs w:val="24"/>
        </w:rPr>
        <w:t>and</w:t>
      </w:r>
      <w:r w:rsidRPr="0025312A">
        <w:rPr>
          <w:rFonts w:asciiTheme="minorHAnsi" w:hAnsiTheme="minorHAnsi" w:cstheme="minorHAnsi"/>
          <w:color w:val="000000" w:themeColor="text1"/>
          <w:szCs w:val="24"/>
        </w:rPr>
        <w:t xml:space="preserve"> other provisions as well such as regulations) from a conventional method of invoking treaty articles by way of regular international rules to “sui generis” new legal rules through which Treaty will operate directly in Member States. </w:t>
      </w:r>
      <w:r w:rsidR="009E0D28" w:rsidRPr="0025312A">
        <w:rPr>
          <w:rFonts w:asciiTheme="minorHAnsi" w:hAnsiTheme="minorHAnsi" w:cstheme="minorHAnsi"/>
          <w:color w:val="000000" w:themeColor="text1"/>
          <w:szCs w:val="24"/>
        </w:rPr>
        <w:t>B</w:t>
      </w:r>
      <w:r w:rsidRPr="0025312A">
        <w:rPr>
          <w:rFonts w:asciiTheme="minorHAnsi" w:hAnsiTheme="minorHAnsi" w:cstheme="minorHAnsi"/>
          <w:color w:val="000000" w:themeColor="text1"/>
          <w:szCs w:val="24"/>
        </w:rPr>
        <w:t xml:space="preserve">y the help of direct effect, it provides authority to the individual and citizens of member states of the European Union to invoke the EU law before their national and domestic law. Therefore, European provision has more importance in a national court (Pescatore, 2015). It is mostly associated with directives, effective decision and mostly for treaty provision. With the introduction of direct effect, the Court then set out rules of its application. A provision will have direct effect if “contains a clear and unconditional prohibition… it is ideally adapted to produce direct effects between member states and their subjects.” (Ven Gend En Loos).  The first and foremost is that the provision needs to be clear and precise (Defrenne). Secondly, it has to be unconditional (Van </w:t>
      </w:r>
      <w:r w:rsidRPr="0025312A">
        <w:rPr>
          <w:rFonts w:asciiTheme="minorHAnsi" w:hAnsiTheme="minorHAnsi" w:cstheme="minorHAnsi"/>
          <w:color w:val="000000" w:themeColor="text1"/>
          <w:szCs w:val="24"/>
        </w:rPr>
        <w:lastRenderedPageBreak/>
        <w:t xml:space="preserve">Duyn v Home Office C-41/74, Benvenisti and Downs, 2014). The third requirement is that the provision is such that it requires no further legislative implementation measure (Francovich v Italy C-6/90). </w:t>
      </w:r>
      <w:r w:rsidR="009C339C" w:rsidRPr="0025312A">
        <w:rPr>
          <w:rFonts w:asciiTheme="minorHAnsi" w:hAnsiTheme="minorHAnsi" w:cstheme="minorHAnsi"/>
          <w:color w:val="000000" w:themeColor="text1"/>
          <w:szCs w:val="24"/>
        </w:rPr>
        <w:t>In</w:t>
      </w:r>
      <w:r w:rsidRPr="0025312A">
        <w:rPr>
          <w:rFonts w:asciiTheme="minorHAnsi" w:hAnsiTheme="minorHAnsi" w:cstheme="minorHAnsi"/>
          <w:color w:val="000000" w:themeColor="text1"/>
          <w:szCs w:val="24"/>
        </w:rPr>
        <w:t xml:space="preserve"> order to invoke direct effect of treaty articles, the three conditions have to be met. Application of this “new legal order of international law” in respect of treaty articles is seen in De Danske Bilimportører v Skatteministeriet (Case C-98/05) [2010] where the scope of direct effect was extended to free movement of goods (article 34 and 35). Direct effect in treaty articles applies horizontally as well as vertically. In Vend Gend En Loos, it was applied vertically while in Defrenne, it was applied horizontally. For the purposes of direct effect of regulations, they are defined as ‘generally applicable’ and ‘directly applicable’ as per Article 288 which means that they become part of the nation’s law by default. However, the Court held that for regulations to have direct effect, it must comply with the conditions laid down in Ven Gend En Loos. According to the Article 288 of TFEU, it is necessary for institutions to accept and implement the laws and regulations, important directives and recommendation of EU in order to exercise its competences (Barnard, 2020). The most important aspect related to the regulation is that it should be applicable in all EU member states. The extension of direct effect was directly affected by the case of Van Gend en Loos and it is necessary for to provide legislation associated with employment and other industrial relations. For this reason, this case has helped in the extension for employees and workers so that they can freely move across the member states of EU.</w:t>
      </w:r>
      <w:r w:rsidR="009C339C" w:rsidRPr="0025312A">
        <w:rPr>
          <w:rFonts w:asciiTheme="minorHAnsi" w:hAnsiTheme="minorHAnsi" w:cstheme="minorHAnsi"/>
          <w:color w:val="000000" w:themeColor="text1"/>
          <w:szCs w:val="24"/>
        </w:rPr>
        <w:t xml:space="preserve"> I</w:t>
      </w:r>
      <w:r w:rsidRPr="0025312A">
        <w:rPr>
          <w:rFonts w:asciiTheme="minorHAnsi" w:hAnsiTheme="minorHAnsi" w:cstheme="minorHAnsi"/>
          <w:color w:val="000000" w:themeColor="text1"/>
          <w:szCs w:val="24"/>
        </w:rPr>
        <w:t xml:space="preserve">n order to provide protection to the citizen, direct effect of regulations is applied horizontally as well as vertically. This is done in order to aid the citizen from every angle possible. Application of direct effect of regulation is seen in Sardegna 2001 and Leonesio 1972. Judicial decisions also have direct effect even though such is not mentioned in Article </w:t>
      </w:r>
      <w:r w:rsidR="001F7A1C" w:rsidRPr="0025312A">
        <w:rPr>
          <w:rFonts w:asciiTheme="minorHAnsi" w:hAnsiTheme="minorHAnsi" w:cstheme="minorHAnsi"/>
          <w:color w:val="000000" w:themeColor="text1"/>
          <w:szCs w:val="24"/>
        </w:rPr>
        <w:t>288,</w:t>
      </w:r>
      <w:r w:rsidRPr="0025312A">
        <w:rPr>
          <w:rFonts w:asciiTheme="minorHAnsi" w:hAnsiTheme="minorHAnsi" w:cstheme="minorHAnsi"/>
          <w:color w:val="000000" w:themeColor="text1"/>
          <w:szCs w:val="24"/>
        </w:rPr>
        <w:t xml:space="preserve"> but the courts have concluded so (Case 9/70 Grad v Finanzamt </w:t>
      </w:r>
      <w:r w:rsidRPr="0025312A">
        <w:rPr>
          <w:rFonts w:asciiTheme="minorHAnsi" w:hAnsiTheme="minorHAnsi" w:cstheme="minorHAnsi"/>
          <w:color w:val="000000" w:themeColor="text1"/>
          <w:szCs w:val="24"/>
        </w:rPr>
        <w:lastRenderedPageBreak/>
        <w:t xml:space="preserve">Traunstein [1970] ECR 825). While the rules surrounding treaty articles, regulations and decisions are clear, direct effect of directives fall into a grey area. Directives have proven to be complex as well as problematic due to their unique and distinctive legal nature. This is due the fact that they require further legislative implementation which means that directives do not comply with the conditions of Ven Gend En Loos. If the Courts decide to allow direct effect for directives then differentiating directives and regulations would become immensely difficult. Nonetheless, in Case 41/74 van Duyn v Home Office [1974] ECR I-337 the Court held that directives </w:t>
      </w:r>
      <w:r w:rsidR="001F7A1C" w:rsidRPr="0025312A">
        <w:rPr>
          <w:rFonts w:asciiTheme="minorHAnsi" w:hAnsiTheme="minorHAnsi" w:cstheme="minorHAnsi"/>
          <w:color w:val="000000" w:themeColor="text1"/>
          <w:szCs w:val="24"/>
        </w:rPr>
        <w:t>could</w:t>
      </w:r>
      <w:r w:rsidRPr="0025312A">
        <w:rPr>
          <w:rFonts w:asciiTheme="minorHAnsi" w:hAnsiTheme="minorHAnsi" w:cstheme="minorHAnsi"/>
          <w:color w:val="000000" w:themeColor="text1"/>
          <w:szCs w:val="24"/>
        </w:rPr>
        <w:t xml:space="preserve"> have direct effect. This is done in order to utilize and exhaust binding effect </w:t>
      </w:r>
      <w:r w:rsidR="001F7A1C" w:rsidRPr="0025312A">
        <w:rPr>
          <w:rFonts w:asciiTheme="minorHAnsi" w:hAnsiTheme="minorHAnsi" w:cstheme="minorHAnsi"/>
          <w:color w:val="000000" w:themeColor="text1"/>
          <w:szCs w:val="24"/>
        </w:rPr>
        <w:t>fully;</w:t>
      </w:r>
      <w:r w:rsidRPr="0025312A">
        <w:rPr>
          <w:rFonts w:asciiTheme="minorHAnsi" w:hAnsiTheme="minorHAnsi" w:cstheme="minorHAnsi"/>
          <w:color w:val="000000" w:themeColor="text1"/>
          <w:szCs w:val="24"/>
        </w:rPr>
        <w:t xml:space="preserve"> it should be given direct effect. Moreover, the “useful effect” (l’effet utile) would be weakened if direct effect is not given to directives. It should be noted that direct effect will only be given if the directive has been implemented incorrectly or not at all. In Case 148/78 Pubblico Ministero v Ratti [1979] ECR I-629, it was held that where the deadline for implementation has passed, then the directive will be given direct effect in order to accommodate the citizen. While it seems that the Courts are open to providing remedies to the citizen, it must be noted that direct effect for directives only operated vertically. This is evident from Case 152/84 Marshall v Southampton and South West Hampshire AHA [1986] ECR 723 where it was held that directives can have direct effect only against the state and emanations of the state but not horizontally against another individual, “the binding nature of directives exists only in relation to each member state it addressed.”</w:t>
      </w:r>
    </w:p>
    <w:p w14:paraId="18CFDA8C" w14:textId="6206AC0D" w:rsidR="001C4270" w:rsidRPr="0025312A" w:rsidRDefault="001C4270" w:rsidP="0025312A">
      <w:pPr>
        <w:ind w:firstLine="0"/>
        <w:rPr>
          <w:rFonts w:asciiTheme="minorHAnsi" w:hAnsiTheme="minorHAnsi" w:cstheme="minorHAnsi"/>
          <w:color w:val="000000" w:themeColor="text1"/>
          <w:szCs w:val="24"/>
        </w:rPr>
      </w:pPr>
      <w:r w:rsidRPr="0025312A">
        <w:rPr>
          <w:rFonts w:asciiTheme="minorHAnsi" w:hAnsiTheme="minorHAnsi" w:cstheme="minorHAnsi"/>
          <w:color w:val="000000" w:themeColor="text1"/>
          <w:szCs w:val="24"/>
        </w:rPr>
        <w:t xml:space="preserve">According to the policy of indirect effect, it is necessary for national courts to fulfil the EU obligation </w:t>
      </w:r>
      <w:r w:rsidRPr="0025312A">
        <w:rPr>
          <w:rFonts w:asciiTheme="minorHAnsi" w:hAnsiTheme="minorHAnsi" w:cstheme="minorHAnsi"/>
          <w:color w:val="000000" w:themeColor="text1"/>
          <w:szCs w:val="24"/>
          <w:lang w:val="en-GB"/>
        </w:rPr>
        <w:t>so</w:t>
      </w:r>
      <w:r w:rsidRPr="0025312A">
        <w:rPr>
          <w:rFonts w:asciiTheme="minorHAnsi" w:hAnsiTheme="minorHAnsi" w:cstheme="minorHAnsi"/>
          <w:color w:val="000000" w:themeColor="text1"/>
          <w:szCs w:val="24"/>
        </w:rPr>
        <w:t xml:space="preserve"> that they can make effective interpretation of national law with respect to directives. According to the Article 4(3) of TEU it demonstrated that the obligations should be legally accepted by both EU and member states in mutual manner (Roes, 2016). Indirect </w:t>
      </w:r>
      <w:r w:rsidRPr="0025312A">
        <w:rPr>
          <w:rFonts w:asciiTheme="minorHAnsi" w:hAnsiTheme="minorHAnsi" w:cstheme="minorHAnsi"/>
          <w:color w:val="000000" w:themeColor="text1"/>
          <w:szCs w:val="24"/>
        </w:rPr>
        <w:lastRenderedPageBreak/>
        <w:t xml:space="preserve">effect was introduced in the case of [Von Colson v Land Nordrhein-Westfalen 1984] where it was found that social worker was rejected on the basis of women so therefore they appealed at Labour Tribunal (Spisiak, 2013). Here, it was stated that the directive was insufficiently precise hence the ECJ held that the courts had a duty to interpret the law “so far as possible” to achieve the outcome the directive had intended to achieve (Article 4.3). It indicated that member states have to follow the legislation and directives which is provided by EU. It is effective enough to protect the citizens of member states and give them judicial protection (de Freitas, 2015). In the case of Von </w:t>
      </w:r>
      <w:r w:rsidR="00143691" w:rsidRPr="0025312A">
        <w:rPr>
          <w:rFonts w:asciiTheme="minorHAnsi" w:hAnsiTheme="minorHAnsi" w:cstheme="minorHAnsi"/>
          <w:color w:val="000000" w:themeColor="text1"/>
          <w:szCs w:val="24"/>
        </w:rPr>
        <w:t>Colson,</w:t>
      </w:r>
      <w:r w:rsidRPr="0025312A">
        <w:rPr>
          <w:rFonts w:asciiTheme="minorHAnsi" w:hAnsiTheme="minorHAnsi" w:cstheme="minorHAnsi"/>
          <w:color w:val="000000" w:themeColor="text1"/>
          <w:szCs w:val="24"/>
        </w:rPr>
        <w:t xml:space="preserve"> it was used to deal with a condition in which member state of the EU has failed to provide rights to their citizen according to the directives of EU and failed to implement it.</w:t>
      </w:r>
      <w:r w:rsidR="00F300A1" w:rsidRPr="0025312A">
        <w:rPr>
          <w:rFonts w:asciiTheme="minorHAnsi" w:hAnsiTheme="minorHAnsi" w:cstheme="minorHAnsi"/>
          <w:color w:val="000000" w:themeColor="text1"/>
          <w:szCs w:val="24"/>
        </w:rPr>
        <w:t xml:space="preserve"> I</w:t>
      </w:r>
      <w:r w:rsidRPr="0025312A">
        <w:rPr>
          <w:rFonts w:asciiTheme="minorHAnsi" w:hAnsiTheme="minorHAnsi" w:cstheme="minorHAnsi"/>
          <w:color w:val="000000" w:themeColor="text1"/>
          <w:szCs w:val="24"/>
        </w:rPr>
        <w:t xml:space="preserve">t is argued in the case of [Marleasing SA v La Comercial Internacional de Alimentación SA 1990] that members states have to interpret their national laws and legislation by the help of EU directives (Nosova, 2015). This means that the national courts are to “…interpret their national law in the light of the wording and purpose of the Directive in order to achieve the (required) result.” (Marsleasing). Such is also known as harmonious interpretation. This case puts light on the indirect effect and is evident for the fact that indirect effect is available for horizontal </w:t>
      </w:r>
      <w:r w:rsidRPr="0025312A">
        <w:rPr>
          <w:rFonts w:asciiTheme="minorHAnsi" w:hAnsiTheme="minorHAnsi" w:cstheme="minorHAnsi"/>
          <w:color w:val="000000" w:themeColor="text1"/>
          <w:szCs w:val="24"/>
          <w:lang w:val="en-GB"/>
        </w:rPr>
        <w:t>and</w:t>
      </w:r>
      <w:r w:rsidRPr="0025312A">
        <w:rPr>
          <w:rFonts w:asciiTheme="minorHAnsi" w:hAnsiTheme="minorHAnsi" w:cstheme="minorHAnsi"/>
          <w:color w:val="000000" w:themeColor="text1"/>
          <w:szCs w:val="24"/>
        </w:rPr>
        <w:t xml:space="preserve"> vertical actions in order to give maximum protection to the citizen (Unlocking EU Law Tony Storey, Chris Turner</w:t>
      </w:r>
      <w:r w:rsidR="00143691" w:rsidRPr="0025312A">
        <w:rPr>
          <w:rFonts w:asciiTheme="minorHAnsi" w:hAnsiTheme="minorHAnsi" w:cstheme="minorHAnsi"/>
          <w:color w:val="000000" w:themeColor="text1"/>
          <w:szCs w:val="24"/>
        </w:rPr>
        <w:t>).</w:t>
      </w:r>
    </w:p>
    <w:p w14:paraId="78FFE01B" w14:textId="510BCCF7" w:rsidR="001C4270" w:rsidRPr="0025312A" w:rsidRDefault="001C4270" w:rsidP="0025312A">
      <w:pPr>
        <w:ind w:firstLine="0"/>
        <w:rPr>
          <w:rFonts w:asciiTheme="minorHAnsi" w:hAnsiTheme="minorHAnsi" w:cstheme="minorHAnsi"/>
          <w:color w:val="000000" w:themeColor="text1"/>
          <w:szCs w:val="24"/>
        </w:rPr>
      </w:pPr>
      <w:r w:rsidRPr="0025312A">
        <w:rPr>
          <w:rFonts w:asciiTheme="minorHAnsi" w:hAnsiTheme="minorHAnsi" w:cstheme="minorHAnsi"/>
          <w:color w:val="000000" w:themeColor="text1"/>
          <w:szCs w:val="24"/>
        </w:rPr>
        <w:t xml:space="preserve">It is important to understand that indirect effect has greatly impacted on the UK parliament. Because UK is a dualist nation, this means that the Union law is to be incorporated and then interpreted in light of Article 4.3. UK had to move from its usual ‘literal interpretation approach’ to ‘purposive approach’ in order to cater to Article 4.3 and be in line with community law. The UK passed European Communities Act 1972 in order to allow itself to be a part of the union and ensure that there is uniform application of community law as per </w:t>
      </w:r>
      <w:r w:rsidRPr="0025312A">
        <w:rPr>
          <w:rFonts w:asciiTheme="minorHAnsi" w:hAnsiTheme="minorHAnsi" w:cstheme="minorHAnsi"/>
          <w:color w:val="000000" w:themeColor="text1"/>
          <w:szCs w:val="24"/>
        </w:rPr>
        <w:lastRenderedPageBreak/>
        <w:t>Section 3. Factortame (No 2) stands tall for this principle since EU law prevailed by way of purposive interpretation. There are number of cases which has indirect effect and are related to discrimination law (Bammens, 2012). Likewise, in the case of Marleasing in which it is required from UK parliament to design their legislation and implement the EU directives. On the other hand, the effect of the doctrine of the indirect effect has been very limited in the employment and other industrial relations. It is important to understand that both men and women should be paid equally as it is incorporated by the help of Treaty of Lisbon into the EU law (Muse, 2020) and this is relevant as such equality can only be provided if laws are interpreted in line with community law (or, so to say that indirect effect is given). In Mangold v Helm 2005, indirect effect was used to overcome the discrimination in employment.</w:t>
      </w:r>
    </w:p>
    <w:p w14:paraId="02B1F0CE" w14:textId="7DB08D99" w:rsidR="001C4270" w:rsidRPr="0025312A" w:rsidRDefault="001C4270" w:rsidP="0025312A">
      <w:pPr>
        <w:ind w:firstLine="0"/>
        <w:rPr>
          <w:rFonts w:asciiTheme="minorHAnsi" w:hAnsiTheme="minorHAnsi" w:cstheme="minorHAnsi"/>
          <w:color w:val="000000" w:themeColor="text1"/>
          <w:szCs w:val="24"/>
        </w:rPr>
      </w:pPr>
      <w:r w:rsidRPr="0025312A">
        <w:rPr>
          <w:rFonts w:asciiTheme="minorHAnsi" w:hAnsiTheme="minorHAnsi" w:cstheme="minorHAnsi"/>
          <w:color w:val="000000" w:themeColor="text1"/>
          <w:szCs w:val="24"/>
        </w:rPr>
        <w:t xml:space="preserve">By the help of case law [Francovich and Bonifaci v Italy 1991] it is easy to understand state liability. This case law provided information about the state liability to the court so that they can address about the breaching of community law which is according to the European Community not belonged to domestic law (Schäfer, 2012). According to the principle of Community law it is indicated that member states have to make sure that they compensate the loss of their members and damaged they faced due to breaching of the community law. Therefore, Article 4(3) of TEU has cleared that member states have to mutually adopt the EU law, </w:t>
      </w:r>
      <w:r w:rsidR="001F7A1C" w:rsidRPr="0025312A">
        <w:rPr>
          <w:rFonts w:asciiTheme="minorHAnsi" w:hAnsiTheme="minorHAnsi" w:cstheme="minorHAnsi"/>
          <w:color w:val="000000" w:themeColor="text1"/>
          <w:szCs w:val="24"/>
        </w:rPr>
        <w:t>i</w:t>
      </w:r>
      <w:r w:rsidRPr="0025312A">
        <w:rPr>
          <w:rFonts w:asciiTheme="minorHAnsi" w:hAnsiTheme="minorHAnsi" w:cstheme="minorHAnsi"/>
          <w:color w:val="000000" w:themeColor="text1"/>
          <w:szCs w:val="24"/>
        </w:rPr>
        <w:t xml:space="preserve">n the case of any loss a state is liable. It is important to understand that both direct and indirect effect are not applicable in the case of Francovich as the member state failed to implement the directives. </w:t>
      </w:r>
      <w:r w:rsidR="001F7A1C" w:rsidRPr="0025312A">
        <w:rPr>
          <w:rFonts w:asciiTheme="minorHAnsi" w:hAnsiTheme="minorHAnsi" w:cstheme="minorHAnsi"/>
          <w:color w:val="000000" w:themeColor="text1"/>
          <w:szCs w:val="24"/>
        </w:rPr>
        <w:t>So</w:t>
      </w:r>
      <w:r w:rsidRPr="0025312A">
        <w:rPr>
          <w:rFonts w:asciiTheme="minorHAnsi" w:hAnsiTheme="minorHAnsi" w:cstheme="minorHAnsi"/>
          <w:color w:val="000000" w:themeColor="text1"/>
          <w:szCs w:val="24"/>
        </w:rPr>
        <w:t xml:space="preserve">, they are responsible for their actions and it forced state liability. </w:t>
      </w:r>
      <w:r w:rsidR="00F91A20" w:rsidRPr="0025312A">
        <w:rPr>
          <w:rFonts w:asciiTheme="minorHAnsi" w:hAnsiTheme="minorHAnsi" w:cstheme="minorHAnsi"/>
          <w:color w:val="000000" w:themeColor="text1"/>
          <w:szCs w:val="24"/>
        </w:rPr>
        <w:t>Hence</w:t>
      </w:r>
      <w:r w:rsidRPr="0025312A">
        <w:rPr>
          <w:rFonts w:asciiTheme="minorHAnsi" w:hAnsiTheme="minorHAnsi" w:cstheme="minorHAnsi"/>
          <w:color w:val="000000" w:themeColor="text1"/>
          <w:szCs w:val="24"/>
        </w:rPr>
        <w:t xml:space="preserve">, Italy was permitted to compensate the damage of their citizen as they failed to transpose EU directives in their domestic law (Haba, 2015, a). It is argued in the case of [Brasserie du Pêcheur v Germany 1996] which invoked state liability due to breach of the EU </w:t>
      </w:r>
      <w:r w:rsidRPr="0025312A">
        <w:rPr>
          <w:rFonts w:asciiTheme="minorHAnsi" w:hAnsiTheme="minorHAnsi" w:cstheme="minorHAnsi"/>
          <w:color w:val="000000" w:themeColor="text1"/>
          <w:szCs w:val="24"/>
        </w:rPr>
        <w:lastRenderedPageBreak/>
        <w:t xml:space="preserve">law (Popescu, 2012). There are three conditions which have been found in the case of Brasserie du Pêcheur. </w:t>
      </w:r>
      <w:r w:rsidR="001F7A1C" w:rsidRPr="0025312A">
        <w:rPr>
          <w:rFonts w:asciiTheme="minorHAnsi" w:hAnsiTheme="minorHAnsi" w:cstheme="minorHAnsi"/>
          <w:color w:val="000000" w:themeColor="text1"/>
          <w:szCs w:val="24"/>
        </w:rPr>
        <w:t>Firstly,</w:t>
      </w:r>
      <w:r w:rsidRPr="0025312A">
        <w:rPr>
          <w:rFonts w:asciiTheme="minorHAnsi" w:hAnsiTheme="minorHAnsi" w:cstheme="minorHAnsi"/>
          <w:color w:val="000000" w:themeColor="text1"/>
          <w:szCs w:val="24"/>
        </w:rPr>
        <w:t xml:space="preserve"> that the member state has failed to implement a directive. Secondly, it should be sufficiently serious and thirdly</w:t>
      </w:r>
      <w:r w:rsidR="00F91A20" w:rsidRPr="0025312A">
        <w:rPr>
          <w:rFonts w:asciiTheme="minorHAnsi" w:hAnsiTheme="minorHAnsi" w:cstheme="minorHAnsi"/>
          <w:color w:val="000000" w:themeColor="text1"/>
          <w:szCs w:val="24"/>
        </w:rPr>
        <w:t>,</w:t>
      </w:r>
      <w:r w:rsidRPr="0025312A">
        <w:rPr>
          <w:rFonts w:asciiTheme="minorHAnsi" w:hAnsiTheme="minorHAnsi" w:cstheme="minorHAnsi"/>
          <w:color w:val="000000" w:themeColor="text1"/>
          <w:szCs w:val="24"/>
        </w:rPr>
        <w:t xml:space="preserve"> it should have an interlinked between the damage due to breach of the law (Haba, 2015, b).</w:t>
      </w:r>
      <w:r w:rsidR="00D032B0" w:rsidRPr="0025312A">
        <w:rPr>
          <w:rFonts w:asciiTheme="minorHAnsi" w:hAnsiTheme="minorHAnsi" w:cstheme="minorHAnsi"/>
          <w:color w:val="000000" w:themeColor="text1"/>
          <w:szCs w:val="24"/>
        </w:rPr>
        <w:t>T</w:t>
      </w:r>
      <w:r w:rsidRPr="0025312A">
        <w:rPr>
          <w:rFonts w:asciiTheme="minorHAnsi" w:hAnsiTheme="minorHAnsi" w:cstheme="minorHAnsi"/>
          <w:color w:val="000000" w:themeColor="text1"/>
          <w:szCs w:val="24"/>
        </w:rPr>
        <w:t>hese three conditions are connected with the case of Van Gend en Loos.</w:t>
      </w:r>
    </w:p>
    <w:p w14:paraId="7F6FBC8A" w14:textId="7746484D" w:rsidR="001C4270" w:rsidRPr="0025312A" w:rsidRDefault="001C4270" w:rsidP="0025312A">
      <w:pPr>
        <w:ind w:firstLine="0"/>
        <w:rPr>
          <w:rFonts w:asciiTheme="minorHAnsi" w:hAnsiTheme="minorHAnsi" w:cstheme="minorHAnsi"/>
          <w:color w:val="000000" w:themeColor="text1"/>
          <w:szCs w:val="24"/>
        </w:rPr>
      </w:pPr>
      <w:r w:rsidRPr="0025312A">
        <w:rPr>
          <w:rFonts w:asciiTheme="minorHAnsi" w:hAnsiTheme="minorHAnsi" w:cstheme="minorHAnsi"/>
          <w:color w:val="000000" w:themeColor="text1"/>
          <w:szCs w:val="24"/>
        </w:rPr>
        <w:t xml:space="preserve">However, the breach has to be substantially serious in order to invoke state liability. It is argued in Dillenkofer and others v Federal Republic of Germany 1996 that the German government had made serious breach which was inexcusable and for this reason they were held liable for their actions (Machnikowski, 2014). Such a rule leans in favour of citizens since they are given relief and </w:t>
      </w:r>
      <w:r w:rsidR="001F7A1C" w:rsidRPr="0025312A">
        <w:rPr>
          <w:rFonts w:asciiTheme="minorHAnsi" w:hAnsiTheme="minorHAnsi" w:cstheme="minorHAnsi"/>
          <w:color w:val="000000" w:themeColor="text1"/>
          <w:szCs w:val="24"/>
        </w:rPr>
        <w:t>protection,</w:t>
      </w:r>
      <w:r w:rsidRPr="0025312A">
        <w:rPr>
          <w:rFonts w:asciiTheme="minorHAnsi" w:hAnsiTheme="minorHAnsi" w:cstheme="minorHAnsi"/>
          <w:color w:val="000000" w:themeColor="text1"/>
          <w:szCs w:val="24"/>
        </w:rPr>
        <w:t xml:space="preserve"> it also protects the state since it will only be invoked upon serious breach.</w:t>
      </w:r>
    </w:p>
    <w:p w14:paraId="7CA0F2B1" w14:textId="2F6F114B" w:rsidR="001C4270" w:rsidRPr="0025312A" w:rsidRDefault="001C4270" w:rsidP="0025312A">
      <w:pPr>
        <w:ind w:firstLine="0"/>
        <w:rPr>
          <w:rFonts w:asciiTheme="minorHAnsi" w:hAnsiTheme="minorHAnsi" w:cstheme="minorHAnsi"/>
          <w:szCs w:val="24"/>
        </w:rPr>
      </w:pPr>
      <w:r w:rsidRPr="0025312A">
        <w:rPr>
          <w:rFonts w:asciiTheme="minorHAnsi" w:hAnsiTheme="minorHAnsi" w:cstheme="minorHAnsi"/>
          <w:szCs w:val="24"/>
        </w:rPr>
        <w:t>Another method by which citizens can challenge national law is by way of EU supremacy. It is analysed in the case of [Flaminio Costa v ENEL 1964] which EU labour laws have taken precedence over domestic labour laws (Arena, 2019). Here, the ECJ held that once the Treaty is signed, the member has agreed to limit its sovereignty and EU law ‘cannot be…overridden by domestic legal provisions.’ Therefore, treaty provision has gained importance over domestic courts as it used both direct effect and also supremacy to override the national law of member states. Leading case for this is [Defrenne v Sabena (No 2) 1976]. In the case of Van Gend en Loos, the member can enforce their rights which is provided by the EC laws against their country, however, it failed to address about the rights to enforced against another citizen (Muse, 2020). Defrenne (No 2) case provide</w:t>
      </w:r>
      <w:r w:rsidR="00D032B0" w:rsidRPr="0025312A">
        <w:rPr>
          <w:rFonts w:asciiTheme="minorHAnsi" w:hAnsiTheme="minorHAnsi" w:cstheme="minorHAnsi"/>
          <w:szCs w:val="24"/>
        </w:rPr>
        <w:t>s</w:t>
      </w:r>
      <w:r w:rsidRPr="0025312A">
        <w:rPr>
          <w:rFonts w:asciiTheme="minorHAnsi" w:hAnsiTheme="minorHAnsi" w:cstheme="minorHAnsi"/>
          <w:szCs w:val="24"/>
        </w:rPr>
        <w:t xml:space="preserve"> insightful information about the horizontal direct effect. It indicated that if there are specific provisions related to EU law then citizens can use their power and rights against each other.</w:t>
      </w:r>
    </w:p>
    <w:p w14:paraId="458B6B1C" w14:textId="375D7F82" w:rsidR="001C4270" w:rsidRPr="0025312A" w:rsidRDefault="001C4270" w:rsidP="0025312A">
      <w:pPr>
        <w:ind w:firstLine="0"/>
        <w:rPr>
          <w:rFonts w:asciiTheme="minorHAnsi" w:hAnsiTheme="minorHAnsi" w:cstheme="minorHAnsi"/>
          <w:szCs w:val="24"/>
        </w:rPr>
      </w:pPr>
      <w:r w:rsidRPr="0025312A">
        <w:rPr>
          <w:rFonts w:asciiTheme="minorHAnsi" w:hAnsiTheme="minorHAnsi" w:cstheme="minorHAnsi"/>
          <w:szCs w:val="24"/>
        </w:rPr>
        <w:lastRenderedPageBreak/>
        <w:t>Supremacy of the EU has been applied differently in each member state. In Germany, EU Law comfortably took precedence over German law as seen in Case 11/70 Internationale Handelsgesellschaft GmbH [1970] ECR I-125. Here it was stated  “validity of EU measures could only be judged according to Community criteria, not according to principles enshrined in the German Constitution”</w:t>
      </w:r>
      <w:r w:rsidR="00D032B0" w:rsidRPr="0025312A">
        <w:rPr>
          <w:rFonts w:asciiTheme="minorHAnsi" w:hAnsiTheme="minorHAnsi" w:cstheme="minorHAnsi"/>
          <w:szCs w:val="24"/>
        </w:rPr>
        <w:t>.</w:t>
      </w:r>
      <w:r w:rsidRPr="0025312A">
        <w:rPr>
          <w:rFonts w:asciiTheme="minorHAnsi" w:hAnsiTheme="minorHAnsi" w:cstheme="minorHAnsi"/>
          <w:szCs w:val="24"/>
        </w:rPr>
        <w:t xml:space="preserve"> Moreover, in Case 106/77 Simmenthal SpA (No.2) [1978] ECR 629, it was held that where domestic law was in conflict with community law, it must be set aside immediately. Such shows the impact of EU’s supremacy on Germany. In France, Supremacy was accepted as evident from Cour De case and Varde case. Nonetheless, there has been some hesitation to accept this entirely since in Semoules, the court rejected EU law principles and held that national law was no incompatible. However, again, supremacy was accepted in Boisdet. This to and fro approach shows that nations are willing to accept EU supremacy. Italy has also limited its sovereignty by making EU supreme. It is argued in the case of [Paola Faccini Dori v Recreb Srl 1994] which represented that there are still conflicts between the national law and European Union law (Squintani and Vedder, 2014). This case portrayed that Italy has not taken effective steps in order to transpose the orders and directives in their domestic law.</w:t>
      </w:r>
    </w:p>
    <w:p w14:paraId="1098DFED" w14:textId="6B981638" w:rsidR="001C4270" w:rsidRPr="0025312A" w:rsidRDefault="001C4270" w:rsidP="0025312A">
      <w:pPr>
        <w:ind w:firstLine="0"/>
        <w:rPr>
          <w:rFonts w:asciiTheme="minorHAnsi" w:hAnsiTheme="minorHAnsi" w:cstheme="minorHAnsi"/>
          <w:szCs w:val="24"/>
        </w:rPr>
      </w:pPr>
      <w:r w:rsidRPr="0025312A">
        <w:rPr>
          <w:rFonts w:asciiTheme="minorHAnsi" w:hAnsiTheme="minorHAnsi" w:cstheme="minorHAnsi"/>
          <w:szCs w:val="24"/>
        </w:rPr>
        <w:t xml:space="preserve">UK is the most complex nation due to its dualist nature. </w:t>
      </w:r>
      <w:r w:rsidR="00D032B0" w:rsidRPr="0025312A">
        <w:rPr>
          <w:rFonts w:asciiTheme="minorHAnsi" w:hAnsiTheme="minorHAnsi" w:cstheme="minorHAnsi"/>
          <w:szCs w:val="24"/>
        </w:rPr>
        <w:t>T</w:t>
      </w:r>
      <w:r w:rsidRPr="0025312A">
        <w:rPr>
          <w:rFonts w:asciiTheme="minorHAnsi" w:hAnsiTheme="minorHAnsi" w:cstheme="minorHAnsi"/>
          <w:szCs w:val="24"/>
        </w:rPr>
        <w:t xml:space="preserve">he UK has to incorporate laws into the state in order for them to be applied. UK has accepted supremacy by way of interpretation of national laws (Article 4(3) and evident from Lister Case and Pickstone Case.) According to Paul Craig, this is one of the most significant changes the UK had to make. In Factortame, it was held that all Acts of Parliament must be such that they comply with community law and if not, they must be repealed. Lord Bridge noted that if domestic law and EU law were in conflict, the latter would prevail regardless of the fact that EU law is going against the domestic law. However, contradictory view was taken by Lord Denning in </w:t>
      </w:r>
      <w:r w:rsidRPr="0025312A">
        <w:rPr>
          <w:rFonts w:asciiTheme="minorHAnsi" w:hAnsiTheme="minorHAnsi" w:cstheme="minorHAnsi"/>
          <w:szCs w:val="24"/>
        </w:rPr>
        <w:lastRenderedPageBreak/>
        <w:t>Macarthys and Lord Diplock in Garland. The judges stated that if the courts were to choose between the wishes of the parliament of it repudiating its EU obligations and the principles of EU law, then the courts have a duty to choose the former.</w:t>
      </w:r>
    </w:p>
    <w:p w14:paraId="53D336E7" w14:textId="6F08391F" w:rsidR="001C4270" w:rsidRPr="0025312A" w:rsidRDefault="001C4270" w:rsidP="0025312A">
      <w:pPr>
        <w:ind w:firstLine="0"/>
        <w:rPr>
          <w:rFonts w:asciiTheme="minorHAnsi" w:hAnsiTheme="minorHAnsi" w:cstheme="minorHAnsi"/>
          <w:szCs w:val="24"/>
        </w:rPr>
      </w:pPr>
      <w:r w:rsidRPr="0025312A">
        <w:rPr>
          <w:rFonts w:asciiTheme="minorHAnsi" w:hAnsiTheme="minorHAnsi" w:cstheme="minorHAnsi"/>
          <w:szCs w:val="24"/>
        </w:rPr>
        <w:t xml:space="preserve">The question now arises whether the position of EU would remain the same due to Brexit. It is no longer likely that effect will be given to EU law as it was before. (Assessing the impact of the UK’s withdrawal from the EU written by François Levarlet, Paolo Seri, available at &lt; </w:t>
      </w:r>
      <w:hyperlink r:id="rId4" w:history="1">
        <w:r w:rsidRPr="0025312A">
          <w:rPr>
            <w:rStyle w:val="Hyperlink"/>
            <w:rFonts w:asciiTheme="minorHAnsi" w:hAnsiTheme="minorHAnsi" w:cstheme="minorHAnsi"/>
            <w:szCs w:val="24"/>
          </w:rPr>
          <w:t>https://cor.europa.eu/Documents/Migrated/news/imp</w:t>
        </w:r>
        <w:r w:rsidRPr="0025312A">
          <w:rPr>
            <w:rStyle w:val="Hyperlink"/>
            <w:rFonts w:asciiTheme="minorHAnsi" w:hAnsiTheme="minorHAnsi" w:cstheme="minorHAnsi"/>
            <w:szCs w:val="24"/>
          </w:rPr>
          <w:t>a</w:t>
        </w:r>
        <w:r w:rsidRPr="0025312A">
          <w:rPr>
            <w:rStyle w:val="Hyperlink"/>
            <w:rFonts w:asciiTheme="minorHAnsi" w:hAnsiTheme="minorHAnsi" w:cstheme="minorHAnsi"/>
            <w:szCs w:val="24"/>
          </w:rPr>
          <w:t>ct-brexit.pd</w:t>
        </w:r>
        <w:r w:rsidRPr="0025312A">
          <w:rPr>
            <w:rStyle w:val="Hyperlink"/>
            <w:rFonts w:asciiTheme="minorHAnsi" w:hAnsiTheme="minorHAnsi" w:cstheme="minorHAnsi"/>
            <w:szCs w:val="24"/>
          </w:rPr>
          <w:t>f</w:t>
        </w:r>
      </w:hyperlink>
      <w:r w:rsidRPr="0025312A">
        <w:rPr>
          <w:rFonts w:asciiTheme="minorHAnsi" w:hAnsiTheme="minorHAnsi" w:cstheme="minorHAnsi"/>
          <w:szCs w:val="24"/>
        </w:rPr>
        <w:t>&gt;)</w:t>
      </w:r>
    </w:p>
    <w:p w14:paraId="68E729EE" w14:textId="4E559495" w:rsidR="00ED2804" w:rsidRPr="0025312A" w:rsidRDefault="001C4270" w:rsidP="0025312A">
      <w:pPr>
        <w:ind w:firstLine="0"/>
        <w:rPr>
          <w:rFonts w:asciiTheme="minorHAnsi" w:hAnsiTheme="minorHAnsi" w:cstheme="minorHAnsi"/>
          <w:szCs w:val="24"/>
        </w:rPr>
      </w:pPr>
      <w:r w:rsidRPr="0025312A">
        <w:rPr>
          <w:rFonts w:asciiTheme="minorHAnsi" w:hAnsiTheme="minorHAnsi" w:cstheme="minorHAnsi"/>
          <w:szCs w:val="24"/>
        </w:rPr>
        <w:t xml:space="preserve">Lastly, it worthwhile to think whether EU really is supreme if member states can withdraw anytime (Article 50 – right to withdraw from EU). The question arises as to where the real supremacy lies. Unfortunately, there is no single answer to </w:t>
      </w:r>
      <w:r w:rsidR="001F7A1C" w:rsidRPr="0025312A">
        <w:rPr>
          <w:rFonts w:asciiTheme="minorHAnsi" w:hAnsiTheme="minorHAnsi" w:cstheme="minorHAnsi"/>
          <w:szCs w:val="24"/>
        </w:rPr>
        <w:t>this,</w:t>
      </w:r>
      <w:r w:rsidRPr="0025312A">
        <w:rPr>
          <w:rFonts w:asciiTheme="minorHAnsi" w:hAnsiTheme="minorHAnsi" w:cstheme="minorHAnsi"/>
          <w:szCs w:val="24"/>
        </w:rPr>
        <w:t xml:space="preserve"> and it remains debatable to this day. </w:t>
      </w:r>
    </w:p>
    <w:p w14:paraId="089DDE8A" w14:textId="61D31C34" w:rsidR="001C4270" w:rsidRPr="0025312A" w:rsidRDefault="006247B9" w:rsidP="0025312A">
      <w:pPr>
        <w:ind w:firstLine="0"/>
        <w:rPr>
          <w:rFonts w:asciiTheme="minorHAnsi" w:hAnsiTheme="minorHAnsi" w:cstheme="minorHAnsi"/>
          <w:szCs w:val="24"/>
        </w:rPr>
      </w:pPr>
      <w:r w:rsidRPr="0025312A">
        <w:rPr>
          <w:rFonts w:asciiTheme="minorHAnsi" w:hAnsiTheme="minorHAnsi" w:cstheme="minorHAnsi"/>
          <w:szCs w:val="24"/>
        </w:rPr>
        <w:t>T</w:t>
      </w:r>
      <w:r w:rsidR="001C4270" w:rsidRPr="0025312A">
        <w:rPr>
          <w:rFonts w:asciiTheme="minorHAnsi" w:hAnsiTheme="minorHAnsi" w:cstheme="minorHAnsi"/>
          <w:szCs w:val="24"/>
        </w:rPr>
        <w:t>his essay demonstrates about the Defrenne (No 2) and its comment regarding horizontal and vertical direct effect. Moreover, it is concluded that the case of Van Duyn is quite helpful for improving the direct effect as it can be applicable against the citizen as well. Furthermore, it provides information about the concept of emanation of the state and its relevancy with the direct effect. Th</w:t>
      </w:r>
      <w:r w:rsidR="00F300A1" w:rsidRPr="0025312A">
        <w:rPr>
          <w:rFonts w:asciiTheme="minorHAnsi" w:hAnsiTheme="minorHAnsi" w:cstheme="minorHAnsi"/>
          <w:szCs w:val="24"/>
        </w:rPr>
        <w:t>is</w:t>
      </w:r>
      <w:r w:rsidR="001C4270" w:rsidRPr="0025312A">
        <w:rPr>
          <w:rFonts w:asciiTheme="minorHAnsi" w:hAnsiTheme="minorHAnsi" w:cstheme="minorHAnsi"/>
          <w:szCs w:val="24"/>
        </w:rPr>
        <w:t xml:space="preserve"> essay also discusses about the principle of indirect effect and its usage in Von Colson. However, more information regarding indirect effect is obtained by the case of Marleasing. It also describes the effects on employment and limitation of this principle. </w:t>
      </w:r>
      <w:r w:rsidR="00F300A1" w:rsidRPr="0025312A">
        <w:rPr>
          <w:rFonts w:asciiTheme="minorHAnsi" w:hAnsiTheme="minorHAnsi" w:cstheme="minorHAnsi"/>
          <w:szCs w:val="24"/>
        </w:rPr>
        <w:t>T</w:t>
      </w:r>
      <w:r w:rsidR="001C4270" w:rsidRPr="0025312A">
        <w:rPr>
          <w:rFonts w:asciiTheme="minorHAnsi" w:hAnsiTheme="minorHAnsi" w:cstheme="minorHAnsi"/>
          <w:szCs w:val="24"/>
        </w:rPr>
        <w:t>he third principle which is state liability is also discuss</w:t>
      </w:r>
      <w:r w:rsidR="00F300A1" w:rsidRPr="0025312A">
        <w:rPr>
          <w:rFonts w:asciiTheme="minorHAnsi" w:hAnsiTheme="minorHAnsi" w:cstheme="minorHAnsi"/>
          <w:szCs w:val="24"/>
        </w:rPr>
        <w:t>ed</w:t>
      </w:r>
      <w:r w:rsidR="001C4270" w:rsidRPr="0025312A">
        <w:rPr>
          <w:rFonts w:asciiTheme="minorHAnsi" w:hAnsiTheme="minorHAnsi" w:cstheme="minorHAnsi"/>
          <w:szCs w:val="24"/>
        </w:rPr>
        <w:t xml:space="preserve"> in this essay. For this reason, the case of Francovich which reference to 4.3 Act of Treaty of European Union (TEU). </w:t>
      </w:r>
      <w:r w:rsidR="00C704EA" w:rsidRPr="0025312A">
        <w:rPr>
          <w:rFonts w:asciiTheme="minorHAnsi" w:hAnsiTheme="minorHAnsi" w:cstheme="minorHAnsi"/>
          <w:szCs w:val="24"/>
        </w:rPr>
        <w:t>T</w:t>
      </w:r>
      <w:r w:rsidR="001C4270" w:rsidRPr="0025312A">
        <w:rPr>
          <w:rFonts w:asciiTheme="minorHAnsi" w:hAnsiTheme="minorHAnsi" w:cstheme="minorHAnsi"/>
          <w:szCs w:val="24"/>
        </w:rPr>
        <w:t>he Brasserie du Pecheur provided three conditions that are helpful for international law. It gives detailed information about seriousness and its contribution to international law as states have to compensate for their state liability.</w:t>
      </w:r>
    </w:p>
    <w:p w14:paraId="10F0FDC5" w14:textId="17C16ED6" w:rsidR="0025312A" w:rsidRPr="0025312A" w:rsidRDefault="001C4270" w:rsidP="0025312A">
      <w:pPr>
        <w:spacing w:before="0" w:after="160"/>
        <w:ind w:firstLine="0"/>
        <w:rPr>
          <w:rFonts w:asciiTheme="minorHAnsi" w:eastAsiaTheme="majorEastAsia" w:hAnsiTheme="minorHAnsi" w:cstheme="minorHAnsi"/>
          <w:b/>
          <w:bCs/>
          <w:i/>
          <w:szCs w:val="24"/>
          <w:u w:val="single"/>
        </w:rPr>
      </w:pPr>
      <w:r w:rsidRPr="0025312A">
        <w:rPr>
          <w:rFonts w:asciiTheme="minorHAnsi" w:hAnsiTheme="minorHAnsi" w:cstheme="minorHAnsi"/>
          <w:szCs w:val="24"/>
        </w:rPr>
        <w:br w:type="page"/>
      </w:r>
      <w:bookmarkStart w:id="0" w:name="_Toc65613920"/>
      <w:r w:rsidR="0025312A" w:rsidRPr="0025312A">
        <w:rPr>
          <w:rFonts w:asciiTheme="minorHAnsi" w:hAnsiTheme="minorHAnsi" w:cstheme="minorHAnsi"/>
          <w:b/>
          <w:bCs/>
          <w:sz w:val="28"/>
          <w:szCs w:val="28"/>
          <w:u w:val="single"/>
        </w:rPr>
        <w:lastRenderedPageBreak/>
        <w:t>References</w:t>
      </w:r>
      <w:bookmarkEnd w:id="0"/>
    </w:p>
    <w:p w14:paraId="0844221F"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Arena, A., 2019. From an Unpaid Electricity Bill to the Primacy of EU Law: Gian Galeazzo Stendardi and the Making of Costa v. ENEL. European Journal of International Law, 30(3), pp.1017-1037.</w:t>
      </w:r>
    </w:p>
    <w:p w14:paraId="38DDB18A"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Article 157 of the Treaty on the Functioning of the European Union (TFEU)</w:t>
      </w:r>
    </w:p>
    <w:p w14:paraId="2BF0D067"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Article 288 of the Treaty on the Functioning of the European Union (TFEU)</w:t>
      </w:r>
    </w:p>
    <w:p w14:paraId="5077CE04"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 xml:space="preserve">Article 4(3) of the Treaty of European Union (TEU) </w:t>
      </w:r>
    </w:p>
    <w:p w14:paraId="1F275E0D"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Article 45 of the Treaty on the Functioning of the European Union (TFEU)</w:t>
      </w:r>
    </w:p>
    <w:p w14:paraId="444FD018"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Bammens, N., 2012. The principle of non-discrimination in international and European tax law (Vol. 24). IBFD.</w:t>
      </w:r>
    </w:p>
    <w:p w14:paraId="44EF0B79"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Barnard, C., 2020. European Union law. Oxford University Press.</w:t>
      </w:r>
    </w:p>
    <w:p w14:paraId="21980A3C"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Benvenisti, E. and Downs, G.W., 2014. The premises, assumptions, and implications of Van Gend en Loos: Viewed from the perspectives of democracy and legitimacy of international institutions. European Journal of International Law, 25(1), pp.85-102.</w:t>
      </w:r>
    </w:p>
    <w:p w14:paraId="60CD5B23"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Brasserie du Pêcheur v Germany 1996</w:t>
      </w:r>
    </w:p>
    <w:p w14:paraId="412E4886"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Caserta, S. and Madsen, M.R., 2016. Between community law and common law: the rise of the Caribbean Court of Justice at the intersection of regional integration and post-colonial legacies. Law &amp; Contemp. Probs., 79, p.89.</w:t>
      </w:r>
    </w:p>
    <w:p w14:paraId="27A10B5B"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Croquet, N.A., 2013. The Import of International Customary Law into the EU Legal Order: The Adequacy of a Direct Effect Analysis. Cambridge Yearbook of European Legal Studies, 15, pp.47-81.</w:t>
      </w:r>
    </w:p>
    <w:p w14:paraId="683D7141"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lastRenderedPageBreak/>
        <w:t>de Freitas, L.V., 2015. The Judicial Activism of the European Court of Justice. In Judicial Activism (pp. 173-180). Springer, Cham.</w:t>
      </w:r>
    </w:p>
    <w:p w14:paraId="182ECA98"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de Vries, S., 2018. Securing private actors’ respect for civil rights within the EU: actual and potential horizontal effects of instruments. In Civil Rights and EU Citizenship. Edward Elgar Publishing.</w:t>
      </w:r>
    </w:p>
    <w:p w14:paraId="561EE5FC"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Defrenne v Sabena (No 2) 1976</w:t>
      </w:r>
    </w:p>
    <w:p w14:paraId="7A69DA4C"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Dillenkofer and others v Federal Republic of Germany 1996</w:t>
      </w:r>
    </w:p>
    <w:p w14:paraId="49E88913"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Flaminio Costa v ENEL 1964</w:t>
      </w:r>
    </w:p>
    <w:p w14:paraId="78DF744B"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Foster v British Gas plc 1990</w:t>
      </w:r>
    </w:p>
    <w:p w14:paraId="2F7D4BA5"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Francovich and Bonifaci v Italy 1991</w:t>
      </w:r>
    </w:p>
    <w:p w14:paraId="74CBD015"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Geiger, R., Kotzur, M. and Khan, D.E. eds., 2015. European Union Treaties. Beck.</w:t>
      </w:r>
    </w:p>
    <w:p w14:paraId="49FA98FC"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Haba, M., 2014. The case of state liability: 20 years after Francovich. Springer.</w:t>
      </w:r>
    </w:p>
    <w:p w14:paraId="2DCBCFFE"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Haba, M., 2015,a. The Seminal Francovich Judgment on State Liability. In The Case of State Liability (pp. 22-32). Springer Gabler, Wiesbaden.</w:t>
      </w:r>
    </w:p>
    <w:p w14:paraId="7EF711F2"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Haba, M., 2015,b Conditions for Implementing State Liability: Brasserie du Pêcheur/Factortame III. In The Case of State Liability (pp. 33-49). Springer Gabler, Wiesbaden.</w:t>
      </w:r>
    </w:p>
    <w:p w14:paraId="67786679"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Herlin-Karnell, E., 2014. Effectiveness and constitutional limits in European criminal law. New Journal of European Criminal Law, 5(3), pp.267-273.</w:t>
      </w:r>
    </w:p>
    <w:p w14:paraId="11003003"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Horspool, M. and Humphreys, M., 2012. European Union Law. Oxford University Press.</w:t>
      </w:r>
    </w:p>
    <w:p w14:paraId="4F3EA6D3"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lastRenderedPageBreak/>
        <w:t>Locher, B., 2012. Gendering the EU policy process and constructing the gender acquis. In Gendering the European Union (pp. 63-84). Palgrave Macmillan, London.</w:t>
      </w:r>
    </w:p>
    <w:p w14:paraId="3192CE49"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Machnikowski, P., 2014. Sufficiently Serious Breach of a Rule of Law Intended to Confer Rights on Individuals: A Commentary on the Decision of the Court of Justice of the European Union in Case C-221/10 P, Artegodan GmbH v European Commission et Federal Republic of Germany, 19 April 2012. Journal of European Tort Law, 5(1), pp.98-104.</w:t>
      </w:r>
    </w:p>
    <w:p w14:paraId="680093FE"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 xml:space="preserve">Mangold v Helm 2005 </w:t>
      </w:r>
    </w:p>
    <w:p w14:paraId="793A706E"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Marleasing SA v La Comercial Internacional de Alimentación SA 1990</w:t>
      </w:r>
    </w:p>
    <w:p w14:paraId="51F82126"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Muse, H.M., 2020. The Supremacy Doctrine, Direct, and Indirect Effects and State Liability Under EU Law. Direct, and Indirect Effects and State Liability Under EU Law (August 18, 2020).</w:t>
      </w:r>
    </w:p>
    <w:p w14:paraId="371C8BF1"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Nosova, E.S., 2015. The Impact of the Court of Justice Decisions on the Development of the European Tax Law. Taxes and Taxation, (9), pp.716-724.</w:t>
      </w:r>
    </w:p>
    <w:p w14:paraId="5D316DEC"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Paola Faccini Dori v Recreb Srl 1994</w:t>
      </w:r>
    </w:p>
    <w:p w14:paraId="4C52DA9D"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Patakyova, M.T., 2016. Is There a Distinction Between Vertical and Horizontal Direct Effect of Directives?. Paneurópske právnické fórum. Bratislava: Paneurópska vysoká škola, pp.343-352.</w:t>
      </w:r>
    </w:p>
    <w:p w14:paraId="219997BF"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Pescatore, P., 2015. The Doctrine of" Direct Effect": An Infant Disease of Community Law. European Law Review, (2), pp.135-153.</w:t>
      </w:r>
    </w:p>
    <w:p w14:paraId="1C5F44A5"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lastRenderedPageBreak/>
        <w:t>Popescu, R.M., 2012. Case-law aspects concerning the regulation of states obligation to make good the damage caused to individuals, by infringements of European Union law. LESIJ-Lex ET Scientia International Journal, 19(1), pp.41-51.</w:t>
      </w:r>
    </w:p>
    <w:p w14:paraId="0DD921A5"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Roes, T., 2016. Limits to loyalty: The relevance of Article 4 (3) TEU. Cahiers de droit européen, (1), pp.253-284.</w:t>
      </w:r>
    </w:p>
    <w:p w14:paraId="5DEC7727"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Schäfer, H.B., 2012. Can member state liability for the infringement of European law deter national legislators?. In Research handbook on the economics of European Union Law. Edward Elgar Publishing.</w:t>
      </w:r>
    </w:p>
    <w:p w14:paraId="53A4068F"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Spisiak, D., 2013. Court of Justice Fostering the Integration of Europe. Southampton Student L. Rev., 3, p.44.</w:t>
      </w:r>
    </w:p>
    <w:p w14:paraId="569C6B4C"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Sprungk, C., 2013. Legislative transposition of directives: exploring the other role of national parliaments in the European Union. JCMS: Journal of Common Market Studies, 51(2), pp.298-315.</w:t>
      </w:r>
    </w:p>
    <w:p w14:paraId="49CD2A29"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Squintani, L. and Vedder, H.H., 2014. Towards Inverse Direct Effect? A Silent Development of a Core European Law Doctrine. Review of European, Comparative &amp; International Environmental Law, 23(1), pp.144-149.</w:t>
      </w:r>
    </w:p>
    <w:p w14:paraId="5ED741C8"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Squintani, L. and Vedder, H.H., 2014. Towards Inverse Direct Effect? A Silent Development of a Core European Law Doctrine. Review of European, Comparative &amp; International Environmental Law, 23(1), pp.144-149.</w:t>
      </w:r>
    </w:p>
    <w:p w14:paraId="03037C2A"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 xml:space="preserve">Tamm, D., 2013. The history of the Court of Justice of the European Union since its origin. In The Court of Justice and the Construction of Europe: Analyses and Perspectives on Sixty Years of Case-law-La Cour de Justice et la Construction de l'Europe: Analyses et </w:t>
      </w:r>
      <w:r w:rsidRPr="0025312A">
        <w:rPr>
          <w:rFonts w:asciiTheme="minorHAnsi" w:hAnsiTheme="minorHAnsi" w:cstheme="minorHAnsi"/>
          <w:szCs w:val="24"/>
        </w:rPr>
        <w:lastRenderedPageBreak/>
        <w:t>Perspectives de Soixante Ans de Jurisprudence (pp. 9-35). TMC Asser Press, The Hague, The Netherlands.</w:t>
      </w:r>
    </w:p>
    <w:p w14:paraId="37BEF6F4"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Van Duyn v Home Office 1974</w:t>
      </w:r>
    </w:p>
    <w:p w14:paraId="3414C21D"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Van Gend en Loos v Nederlandse Administratie der Belastingen 1963</w:t>
      </w:r>
    </w:p>
    <w:p w14:paraId="1B67AA5B"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Von Colson v Land Nordrhein-Westfalen 1984</w:t>
      </w:r>
    </w:p>
    <w:p w14:paraId="72FF1409" w14:textId="77777777" w:rsidR="0025312A" w:rsidRPr="0025312A" w:rsidRDefault="0025312A" w:rsidP="0025312A">
      <w:pPr>
        <w:ind w:left="720" w:hanging="720"/>
        <w:rPr>
          <w:rFonts w:asciiTheme="minorHAnsi" w:hAnsiTheme="minorHAnsi" w:cstheme="minorHAnsi"/>
          <w:szCs w:val="24"/>
        </w:rPr>
      </w:pPr>
      <w:r w:rsidRPr="0025312A">
        <w:rPr>
          <w:rFonts w:asciiTheme="minorHAnsi" w:hAnsiTheme="minorHAnsi" w:cstheme="minorHAnsi"/>
          <w:szCs w:val="24"/>
        </w:rPr>
        <w:t>Weiler, J.H., 2014. Van Gend en Loos: The individual as subject and object and the dilemma of European legitimacy. International Journal of Constitutional Law, 12(1), pp.94-103.</w:t>
      </w:r>
    </w:p>
    <w:p w14:paraId="736834F1" w14:textId="77777777" w:rsidR="00543858" w:rsidRDefault="00543858"/>
    <w:sectPr w:rsidR="00543858" w:rsidSect="007A5E7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270"/>
    <w:rsid w:val="000A3B29"/>
    <w:rsid w:val="000F382D"/>
    <w:rsid w:val="00143691"/>
    <w:rsid w:val="001C4270"/>
    <w:rsid w:val="001F7A1C"/>
    <w:rsid w:val="0022122B"/>
    <w:rsid w:val="0025312A"/>
    <w:rsid w:val="002F333A"/>
    <w:rsid w:val="00497379"/>
    <w:rsid w:val="00543858"/>
    <w:rsid w:val="006247B9"/>
    <w:rsid w:val="007A5E7E"/>
    <w:rsid w:val="008E6961"/>
    <w:rsid w:val="009C339C"/>
    <w:rsid w:val="009E0D28"/>
    <w:rsid w:val="00A6776A"/>
    <w:rsid w:val="00AE6167"/>
    <w:rsid w:val="00C704EA"/>
    <w:rsid w:val="00D032B0"/>
    <w:rsid w:val="00DF0EF8"/>
    <w:rsid w:val="00DF5EE6"/>
    <w:rsid w:val="00E63AC6"/>
    <w:rsid w:val="00ED2804"/>
    <w:rsid w:val="00F300A1"/>
    <w:rsid w:val="00F91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CCA598"/>
  <w15:chartTrackingRefBased/>
  <w15:docId w15:val="{2E5D0B1A-FA57-B540-8C4C-7652CCC0B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270"/>
    <w:pPr>
      <w:spacing w:before="120" w:after="120" w:line="480" w:lineRule="auto"/>
      <w:ind w:firstLine="720"/>
    </w:pPr>
    <w:rPr>
      <w:rFonts w:ascii="Times New Roman" w:hAnsi="Times New Roman"/>
      <w:szCs w:val="22"/>
      <w:lang w:val="en-US"/>
    </w:rPr>
  </w:style>
  <w:style w:type="paragraph" w:styleId="Heading1">
    <w:name w:val="heading 1"/>
    <w:basedOn w:val="Normal"/>
    <w:next w:val="Normal"/>
    <w:link w:val="Heading1Char"/>
    <w:uiPriority w:val="9"/>
    <w:qFormat/>
    <w:rsid w:val="001C4270"/>
    <w:pPr>
      <w:keepNext/>
      <w:keepLines/>
      <w:ind w:firstLine="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C4270"/>
    <w:pPr>
      <w:keepNext/>
      <w:keepLines/>
      <w:ind w:firstLine="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270"/>
    <w:rPr>
      <w:rFonts w:ascii="Times New Roman" w:eastAsiaTheme="majorEastAsia" w:hAnsi="Times New Roman" w:cstheme="majorBidi"/>
      <w:b/>
      <w:i/>
      <w:szCs w:val="32"/>
      <w:lang w:val="en-US"/>
    </w:rPr>
  </w:style>
  <w:style w:type="character" w:customStyle="1" w:styleId="Heading2Char">
    <w:name w:val="Heading 2 Char"/>
    <w:basedOn w:val="DefaultParagraphFont"/>
    <w:link w:val="Heading2"/>
    <w:uiPriority w:val="9"/>
    <w:rsid w:val="001C4270"/>
    <w:rPr>
      <w:rFonts w:ascii="Times New Roman" w:eastAsiaTheme="majorEastAsia" w:hAnsi="Times New Roman" w:cstheme="majorBidi"/>
      <w:i/>
      <w:szCs w:val="26"/>
      <w:lang w:val="en-US"/>
    </w:rPr>
  </w:style>
  <w:style w:type="character" w:styleId="Emphasis">
    <w:name w:val="Emphasis"/>
    <w:basedOn w:val="DefaultParagraphFont"/>
    <w:uiPriority w:val="20"/>
    <w:qFormat/>
    <w:rsid w:val="001C4270"/>
    <w:rPr>
      <w:i/>
      <w:iCs/>
    </w:rPr>
  </w:style>
  <w:style w:type="character" w:styleId="Hyperlink">
    <w:name w:val="Hyperlink"/>
    <w:basedOn w:val="DefaultParagraphFont"/>
    <w:uiPriority w:val="99"/>
    <w:unhideWhenUsed/>
    <w:rsid w:val="001C4270"/>
    <w:rPr>
      <w:color w:val="0000FF"/>
      <w:u w:val="single"/>
    </w:rPr>
  </w:style>
  <w:style w:type="character" w:styleId="FollowedHyperlink">
    <w:name w:val="FollowedHyperlink"/>
    <w:basedOn w:val="DefaultParagraphFont"/>
    <w:uiPriority w:val="99"/>
    <w:semiHidden/>
    <w:unhideWhenUsed/>
    <w:rsid w:val="000A3B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cor.europa.eu/Documents/Migrated/news/impact-brexi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295</TotalTime>
  <Pages>13</Pages>
  <Words>3345</Words>
  <Characters>19069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Kadir</dc:creator>
  <cp:keywords/>
  <dc:description/>
  <cp:lastModifiedBy>Naima Kadir</cp:lastModifiedBy>
  <cp:revision>10</cp:revision>
  <dcterms:created xsi:type="dcterms:W3CDTF">2021-03-04T14:53:00Z</dcterms:created>
  <dcterms:modified xsi:type="dcterms:W3CDTF">2021-03-05T19:31:00Z</dcterms:modified>
</cp:coreProperties>
</file>