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066A2" w14:textId="2DFAD373" w:rsidR="002E0B5C" w:rsidRDefault="00531295">
      <w:r>
        <w:t xml:space="preserve">                                                                 </w:t>
      </w:r>
      <w:r w:rsidR="002E0B5C">
        <w:rPr>
          <w:noProof/>
        </w:rPr>
        <w:drawing>
          <wp:inline distT="0" distB="0" distL="0" distR="0" wp14:anchorId="471DE77A" wp14:editId="3E3DED19">
            <wp:extent cx="1562100" cy="723900"/>
            <wp:effectExtent l="0" t="0" r="0" b="0"/>
            <wp:docPr id="1800110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110364" name="Picture 1800110364"/>
                    <pic:cNvPicPr/>
                  </pic:nvPicPr>
                  <pic:blipFill>
                    <a:blip r:embed="rId8">
                      <a:extLst>
                        <a:ext uri="{28A0092B-C50C-407E-A947-70E740481C1C}">
                          <a14:useLocalDpi xmlns:a14="http://schemas.microsoft.com/office/drawing/2010/main" val="0"/>
                        </a:ext>
                      </a:extLst>
                    </a:blip>
                    <a:stretch>
                      <a:fillRect/>
                    </a:stretch>
                  </pic:blipFill>
                  <pic:spPr>
                    <a:xfrm>
                      <a:off x="0" y="0"/>
                      <a:ext cx="1562330" cy="724007"/>
                    </a:xfrm>
                    <a:prstGeom prst="rect">
                      <a:avLst/>
                    </a:prstGeom>
                  </pic:spPr>
                </pic:pic>
              </a:graphicData>
            </a:graphic>
          </wp:inline>
        </w:drawing>
      </w:r>
    </w:p>
    <w:p w14:paraId="371F5827" w14:textId="77777777" w:rsidR="002E0B5C" w:rsidRDefault="002E0B5C"/>
    <w:p w14:paraId="47CA0393" w14:textId="3C506B53" w:rsidR="002E0B5C" w:rsidRPr="00297A4C" w:rsidRDefault="002E0B5C" w:rsidP="00FF42C5">
      <w:pPr>
        <w:jc w:val="center"/>
        <w:rPr>
          <w:rFonts w:ascii="Arial" w:hAnsi="Arial" w:cs="Arial"/>
        </w:rPr>
      </w:pPr>
      <w:r w:rsidRPr="00297A4C">
        <w:rPr>
          <w:rFonts w:ascii="Arial" w:hAnsi="Arial" w:cs="Arial"/>
        </w:rPr>
        <w:t>Module Name: Developing Emotional Intelligence Skills</w:t>
      </w:r>
    </w:p>
    <w:p w14:paraId="1FF34E73" w14:textId="7869EA30" w:rsidR="002E0B5C" w:rsidRPr="00297A4C" w:rsidRDefault="002E0B5C" w:rsidP="00FF42C5">
      <w:pPr>
        <w:jc w:val="center"/>
        <w:rPr>
          <w:rFonts w:ascii="Arial" w:hAnsi="Arial" w:cs="Arial"/>
        </w:rPr>
      </w:pPr>
      <w:r w:rsidRPr="00297A4C">
        <w:rPr>
          <w:rFonts w:ascii="Arial" w:hAnsi="Arial" w:cs="Arial"/>
        </w:rPr>
        <w:t>Module Code: LCLM500</w:t>
      </w:r>
      <w:r w:rsidR="00C30094">
        <w:rPr>
          <w:rFonts w:ascii="Arial" w:hAnsi="Arial" w:cs="Arial"/>
        </w:rPr>
        <w:t>6</w:t>
      </w:r>
    </w:p>
    <w:p w14:paraId="1ACC7FB0" w14:textId="23F20CB7" w:rsidR="002E0B5C" w:rsidRPr="00297A4C" w:rsidRDefault="002E0B5C" w:rsidP="00FF42C5">
      <w:pPr>
        <w:jc w:val="center"/>
        <w:rPr>
          <w:rFonts w:ascii="Arial" w:hAnsi="Arial" w:cs="Arial"/>
        </w:rPr>
      </w:pPr>
      <w:r w:rsidRPr="00297A4C">
        <w:rPr>
          <w:rFonts w:ascii="Arial" w:hAnsi="Arial" w:cs="Arial"/>
        </w:rPr>
        <w:t>Lecturer Name: Nishi Ramsurrun</w:t>
      </w:r>
    </w:p>
    <w:p w14:paraId="4E93C58C" w14:textId="160E6002" w:rsidR="002E0B5C" w:rsidRPr="00297A4C" w:rsidRDefault="002E0B5C" w:rsidP="00FF42C5">
      <w:pPr>
        <w:jc w:val="center"/>
        <w:rPr>
          <w:rFonts w:ascii="Arial" w:hAnsi="Arial" w:cs="Arial"/>
        </w:rPr>
      </w:pPr>
      <w:r w:rsidRPr="00297A4C">
        <w:rPr>
          <w:rFonts w:ascii="Arial" w:hAnsi="Arial" w:cs="Arial"/>
        </w:rPr>
        <w:t>Student Name: Alexandru Florin Paun</w:t>
      </w:r>
    </w:p>
    <w:p w14:paraId="5D9408C2" w14:textId="3F91694F" w:rsidR="002E0B5C" w:rsidRPr="00297A4C" w:rsidRDefault="002E0B5C" w:rsidP="00FF42C5">
      <w:pPr>
        <w:jc w:val="center"/>
        <w:rPr>
          <w:rFonts w:ascii="Arial" w:hAnsi="Arial" w:cs="Arial"/>
        </w:rPr>
      </w:pPr>
      <w:r w:rsidRPr="00297A4C">
        <w:rPr>
          <w:rFonts w:ascii="Arial" w:hAnsi="Arial" w:cs="Arial"/>
        </w:rPr>
        <w:t>Student ID: 2411677</w:t>
      </w:r>
    </w:p>
    <w:p w14:paraId="38B037E2" w14:textId="77777777" w:rsidR="002E0B5C" w:rsidRDefault="002E0B5C"/>
    <w:p w14:paraId="0BD9D54A" w14:textId="77777777" w:rsidR="002E0B5C" w:rsidRDefault="002E0B5C"/>
    <w:p w14:paraId="04795EA6" w14:textId="77777777" w:rsidR="00444CA2" w:rsidRDefault="00444CA2" w:rsidP="00A74D43">
      <w:pPr>
        <w:spacing w:line="360" w:lineRule="auto"/>
        <w:rPr>
          <w:rFonts w:ascii="Arial" w:hAnsi="Arial" w:cs="Arial"/>
          <w:sz w:val="22"/>
          <w:szCs w:val="22"/>
        </w:rPr>
      </w:pPr>
    </w:p>
    <w:p w14:paraId="49DE5024" w14:textId="77777777" w:rsidR="00444CA2" w:rsidRDefault="00444CA2" w:rsidP="00A74D43">
      <w:pPr>
        <w:spacing w:line="360" w:lineRule="auto"/>
        <w:rPr>
          <w:rFonts w:ascii="Arial" w:hAnsi="Arial" w:cs="Arial"/>
          <w:sz w:val="22"/>
          <w:szCs w:val="22"/>
        </w:rPr>
      </w:pPr>
    </w:p>
    <w:p w14:paraId="0CCD6A97" w14:textId="77777777" w:rsidR="00B74D9E" w:rsidRDefault="00453CA5" w:rsidP="00453CA5">
      <w:pPr>
        <w:pStyle w:val="Heading1"/>
        <w:rPr>
          <w:rFonts w:ascii="Arial" w:hAnsi="Arial" w:cs="Arial"/>
          <w:sz w:val="44"/>
          <w:szCs w:val="44"/>
        </w:rPr>
      </w:pPr>
      <w:r w:rsidRPr="00453CA5">
        <w:rPr>
          <w:rFonts w:ascii="Arial" w:hAnsi="Arial" w:cs="Arial"/>
          <w:sz w:val="44"/>
          <w:szCs w:val="44"/>
        </w:rPr>
        <w:t xml:space="preserve"> </w:t>
      </w:r>
      <w:r w:rsidR="00951B32" w:rsidRPr="00453CA5">
        <w:rPr>
          <w:rFonts w:ascii="Arial" w:hAnsi="Arial" w:cs="Arial"/>
          <w:sz w:val="44"/>
          <w:szCs w:val="44"/>
        </w:rPr>
        <w:t xml:space="preserve"> </w:t>
      </w:r>
      <w:r>
        <w:rPr>
          <w:rFonts w:ascii="Arial" w:hAnsi="Arial" w:cs="Arial"/>
          <w:sz w:val="44"/>
          <w:szCs w:val="44"/>
        </w:rPr>
        <w:t xml:space="preserve">  </w:t>
      </w:r>
    </w:p>
    <w:p w14:paraId="022A72F3" w14:textId="77777777" w:rsidR="00B74D9E" w:rsidRDefault="00B74D9E" w:rsidP="00453CA5">
      <w:pPr>
        <w:pStyle w:val="Heading1"/>
        <w:rPr>
          <w:rFonts w:ascii="Arial" w:hAnsi="Arial" w:cs="Arial"/>
          <w:sz w:val="44"/>
          <w:szCs w:val="44"/>
        </w:rPr>
      </w:pPr>
    </w:p>
    <w:sdt>
      <w:sdtPr>
        <w:id w:val="-95441104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57B10A1" w14:textId="09D5A102" w:rsidR="005B18F7" w:rsidRDefault="005B18F7">
          <w:pPr>
            <w:pStyle w:val="TOCHeading"/>
          </w:pPr>
          <w:r>
            <w:t>Contents</w:t>
          </w:r>
        </w:p>
        <w:p w14:paraId="0C389A30" w14:textId="5A74FD65" w:rsidR="005B18F7" w:rsidRDefault="005B18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8166482" w:history="1">
            <w:r w:rsidRPr="002D14A9">
              <w:rPr>
                <w:rStyle w:val="Hyperlink"/>
                <w:rFonts w:ascii="Arial" w:hAnsi="Arial" w:cs="Arial"/>
                <w:noProof/>
              </w:rPr>
              <w:t>Emotional Intelligence in the Workplace</w:t>
            </w:r>
            <w:r>
              <w:rPr>
                <w:noProof/>
                <w:webHidden/>
              </w:rPr>
              <w:tab/>
            </w:r>
            <w:r>
              <w:rPr>
                <w:noProof/>
                <w:webHidden/>
              </w:rPr>
              <w:fldChar w:fldCharType="begin"/>
            </w:r>
            <w:r>
              <w:rPr>
                <w:noProof/>
                <w:webHidden/>
              </w:rPr>
              <w:instrText xml:space="preserve"> PAGEREF _Toc238166482 \h </w:instrText>
            </w:r>
            <w:r>
              <w:rPr>
                <w:noProof/>
                <w:webHidden/>
              </w:rPr>
            </w:r>
            <w:r>
              <w:rPr>
                <w:noProof/>
                <w:webHidden/>
              </w:rPr>
              <w:fldChar w:fldCharType="separate"/>
            </w:r>
            <w:r>
              <w:rPr>
                <w:noProof/>
                <w:webHidden/>
              </w:rPr>
              <w:t>2</w:t>
            </w:r>
            <w:r>
              <w:rPr>
                <w:noProof/>
                <w:webHidden/>
              </w:rPr>
              <w:fldChar w:fldCharType="end"/>
            </w:r>
          </w:hyperlink>
        </w:p>
        <w:p w14:paraId="727FCB39" w14:textId="45DE26FB" w:rsidR="005B18F7" w:rsidRDefault="005B18F7">
          <w:pPr>
            <w:pStyle w:val="TOC1"/>
            <w:tabs>
              <w:tab w:val="right" w:leader="dot" w:pos="9016"/>
            </w:tabs>
            <w:rPr>
              <w:rFonts w:eastAsiaTheme="minorEastAsia"/>
              <w:noProof/>
              <w:lang w:eastAsia="en-GB"/>
            </w:rPr>
          </w:pPr>
          <w:hyperlink w:anchor="_Toc238166483" w:history="1">
            <w:r w:rsidRPr="002D14A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_Toc238166483 \h </w:instrText>
            </w:r>
            <w:r>
              <w:rPr>
                <w:noProof/>
                <w:webHidden/>
              </w:rPr>
            </w:r>
            <w:r>
              <w:rPr>
                <w:noProof/>
                <w:webHidden/>
              </w:rPr>
              <w:fldChar w:fldCharType="separate"/>
            </w:r>
            <w:r>
              <w:rPr>
                <w:noProof/>
                <w:webHidden/>
              </w:rPr>
              <w:t>2</w:t>
            </w:r>
            <w:r>
              <w:rPr>
                <w:noProof/>
                <w:webHidden/>
              </w:rPr>
              <w:fldChar w:fldCharType="end"/>
            </w:r>
          </w:hyperlink>
        </w:p>
        <w:p w14:paraId="2BA434DB" w14:textId="307B74E1" w:rsidR="005B18F7" w:rsidRDefault="005B18F7">
          <w:pPr>
            <w:pStyle w:val="TOC2"/>
            <w:tabs>
              <w:tab w:val="right" w:leader="dot" w:pos="9016"/>
            </w:tabs>
            <w:rPr>
              <w:rFonts w:eastAsiaTheme="minorEastAsia"/>
              <w:noProof/>
              <w:lang w:eastAsia="en-GB"/>
            </w:rPr>
          </w:pPr>
          <w:hyperlink w:anchor="_Toc238166484" w:history="1">
            <w:r w:rsidRPr="002D14A9">
              <w:rPr>
                <w:rStyle w:val="Hyperlink"/>
                <w:rFonts w:ascii="Arial" w:hAnsi="Arial" w:cs="Arial"/>
                <w:noProof/>
              </w:rPr>
              <w:t>Emotional Intelligence in the Workplace</w:t>
            </w:r>
            <w:r>
              <w:rPr>
                <w:noProof/>
                <w:webHidden/>
              </w:rPr>
              <w:tab/>
            </w:r>
            <w:r>
              <w:rPr>
                <w:noProof/>
                <w:webHidden/>
              </w:rPr>
              <w:fldChar w:fldCharType="begin"/>
            </w:r>
            <w:r>
              <w:rPr>
                <w:noProof/>
                <w:webHidden/>
              </w:rPr>
              <w:instrText xml:space="preserve"> PAGEREF _Toc238166484 \h </w:instrText>
            </w:r>
            <w:r>
              <w:rPr>
                <w:noProof/>
                <w:webHidden/>
              </w:rPr>
            </w:r>
            <w:r>
              <w:rPr>
                <w:noProof/>
                <w:webHidden/>
              </w:rPr>
              <w:fldChar w:fldCharType="separate"/>
            </w:r>
            <w:r>
              <w:rPr>
                <w:noProof/>
                <w:webHidden/>
              </w:rPr>
              <w:t>3</w:t>
            </w:r>
            <w:r>
              <w:rPr>
                <w:noProof/>
                <w:webHidden/>
              </w:rPr>
              <w:fldChar w:fldCharType="end"/>
            </w:r>
          </w:hyperlink>
        </w:p>
        <w:p w14:paraId="558C85CE" w14:textId="260901BC" w:rsidR="005B18F7" w:rsidRDefault="005B18F7">
          <w:pPr>
            <w:pStyle w:val="TOC2"/>
            <w:tabs>
              <w:tab w:val="right" w:leader="dot" w:pos="9016"/>
            </w:tabs>
            <w:rPr>
              <w:rFonts w:eastAsiaTheme="minorEastAsia"/>
              <w:noProof/>
              <w:lang w:eastAsia="en-GB"/>
            </w:rPr>
          </w:pPr>
          <w:hyperlink w:anchor="_Toc238166485" w:history="1">
            <w:r w:rsidRPr="002D14A9">
              <w:rPr>
                <w:rStyle w:val="Hyperlink"/>
                <w:rFonts w:ascii="Arial" w:hAnsi="Arial" w:cs="Arial"/>
                <w:noProof/>
              </w:rPr>
              <w:t>Managing a Multigenerational Workforce</w:t>
            </w:r>
            <w:r>
              <w:rPr>
                <w:noProof/>
                <w:webHidden/>
              </w:rPr>
              <w:tab/>
            </w:r>
            <w:r>
              <w:rPr>
                <w:noProof/>
                <w:webHidden/>
              </w:rPr>
              <w:fldChar w:fldCharType="begin"/>
            </w:r>
            <w:r>
              <w:rPr>
                <w:noProof/>
                <w:webHidden/>
              </w:rPr>
              <w:instrText xml:space="preserve"> PAGEREF _Toc238166485 \h </w:instrText>
            </w:r>
            <w:r>
              <w:rPr>
                <w:noProof/>
                <w:webHidden/>
              </w:rPr>
            </w:r>
            <w:r>
              <w:rPr>
                <w:noProof/>
                <w:webHidden/>
              </w:rPr>
              <w:fldChar w:fldCharType="separate"/>
            </w:r>
            <w:r>
              <w:rPr>
                <w:noProof/>
                <w:webHidden/>
              </w:rPr>
              <w:t>7</w:t>
            </w:r>
            <w:r>
              <w:rPr>
                <w:noProof/>
                <w:webHidden/>
              </w:rPr>
              <w:fldChar w:fldCharType="end"/>
            </w:r>
          </w:hyperlink>
        </w:p>
        <w:p w14:paraId="0AF61E49" w14:textId="4C484576" w:rsidR="005B18F7" w:rsidRDefault="005B18F7">
          <w:pPr>
            <w:pStyle w:val="TOC2"/>
            <w:tabs>
              <w:tab w:val="right" w:leader="dot" w:pos="9016"/>
            </w:tabs>
            <w:rPr>
              <w:rFonts w:eastAsiaTheme="minorEastAsia"/>
              <w:noProof/>
              <w:lang w:eastAsia="en-GB"/>
            </w:rPr>
          </w:pPr>
          <w:hyperlink w:anchor="_Toc238166486" w:history="1">
            <w:r w:rsidRPr="002D14A9">
              <w:rPr>
                <w:rStyle w:val="Hyperlink"/>
                <w:rFonts w:ascii="Arial" w:hAnsi="Arial" w:cs="Arial"/>
                <w:noProof/>
              </w:rPr>
              <w:t>Critical evaluation and recommendations</w:t>
            </w:r>
            <w:r>
              <w:rPr>
                <w:noProof/>
                <w:webHidden/>
              </w:rPr>
              <w:tab/>
            </w:r>
            <w:r>
              <w:rPr>
                <w:noProof/>
                <w:webHidden/>
              </w:rPr>
              <w:fldChar w:fldCharType="begin"/>
            </w:r>
            <w:r>
              <w:rPr>
                <w:noProof/>
                <w:webHidden/>
              </w:rPr>
              <w:instrText xml:space="preserve"> PAGEREF _Toc238166486 \h </w:instrText>
            </w:r>
            <w:r>
              <w:rPr>
                <w:noProof/>
                <w:webHidden/>
              </w:rPr>
            </w:r>
            <w:r>
              <w:rPr>
                <w:noProof/>
                <w:webHidden/>
              </w:rPr>
              <w:fldChar w:fldCharType="separate"/>
            </w:r>
            <w:r>
              <w:rPr>
                <w:noProof/>
                <w:webHidden/>
              </w:rPr>
              <w:t>10</w:t>
            </w:r>
            <w:r>
              <w:rPr>
                <w:noProof/>
                <w:webHidden/>
              </w:rPr>
              <w:fldChar w:fldCharType="end"/>
            </w:r>
          </w:hyperlink>
        </w:p>
        <w:p w14:paraId="1EF47FF5" w14:textId="3B4921F5" w:rsidR="005B18F7" w:rsidRDefault="005B18F7">
          <w:pPr>
            <w:pStyle w:val="TOC2"/>
            <w:tabs>
              <w:tab w:val="right" w:leader="dot" w:pos="9016"/>
            </w:tabs>
            <w:rPr>
              <w:rFonts w:eastAsiaTheme="minorEastAsia"/>
              <w:noProof/>
              <w:lang w:eastAsia="en-GB"/>
            </w:rPr>
          </w:pPr>
          <w:hyperlink w:anchor="_Toc238166487" w:history="1">
            <w:r w:rsidRPr="002D14A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_Toc238166487 \h </w:instrText>
            </w:r>
            <w:r>
              <w:rPr>
                <w:noProof/>
                <w:webHidden/>
              </w:rPr>
            </w:r>
            <w:r>
              <w:rPr>
                <w:noProof/>
                <w:webHidden/>
              </w:rPr>
              <w:fldChar w:fldCharType="separate"/>
            </w:r>
            <w:r>
              <w:rPr>
                <w:noProof/>
                <w:webHidden/>
              </w:rPr>
              <w:t>11</w:t>
            </w:r>
            <w:r>
              <w:rPr>
                <w:noProof/>
                <w:webHidden/>
              </w:rPr>
              <w:fldChar w:fldCharType="end"/>
            </w:r>
          </w:hyperlink>
        </w:p>
        <w:p w14:paraId="24DD9EA4" w14:textId="7E95FD50" w:rsidR="005B18F7" w:rsidRDefault="005B18F7">
          <w:pPr>
            <w:pStyle w:val="TOC1"/>
            <w:tabs>
              <w:tab w:val="right" w:leader="dot" w:pos="9016"/>
            </w:tabs>
            <w:rPr>
              <w:rFonts w:eastAsiaTheme="minorEastAsia"/>
              <w:noProof/>
              <w:lang w:eastAsia="en-GB"/>
            </w:rPr>
          </w:pPr>
          <w:hyperlink w:anchor="_Toc238166488" w:history="1">
            <w:r w:rsidRPr="002D14A9">
              <w:rPr>
                <w:rStyle w:val="Hyperlink"/>
                <w:noProof/>
              </w:rPr>
              <w:t>Reference List</w:t>
            </w:r>
            <w:r>
              <w:rPr>
                <w:noProof/>
                <w:webHidden/>
              </w:rPr>
              <w:tab/>
            </w:r>
            <w:r>
              <w:rPr>
                <w:noProof/>
                <w:webHidden/>
              </w:rPr>
              <w:fldChar w:fldCharType="begin"/>
            </w:r>
            <w:r>
              <w:rPr>
                <w:noProof/>
                <w:webHidden/>
              </w:rPr>
              <w:instrText xml:space="preserve"> PAGEREF _Toc238166488 \h </w:instrText>
            </w:r>
            <w:r>
              <w:rPr>
                <w:noProof/>
                <w:webHidden/>
              </w:rPr>
            </w:r>
            <w:r>
              <w:rPr>
                <w:noProof/>
                <w:webHidden/>
              </w:rPr>
              <w:fldChar w:fldCharType="separate"/>
            </w:r>
            <w:r>
              <w:rPr>
                <w:noProof/>
                <w:webHidden/>
              </w:rPr>
              <w:t>12</w:t>
            </w:r>
            <w:r>
              <w:rPr>
                <w:noProof/>
                <w:webHidden/>
              </w:rPr>
              <w:fldChar w:fldCharType="end"/>
            </w:r>
          </w:hyperlink>
        </w:p>
        <w:p w14:paraId="5D399D72" w14:textId="5B23DCAC" w:rsidR="005B18F7" w:rsidRDefault="005B18F7">
          <w:r>
            <w:rPr>
              <w:b/>
              <w:bCs/>
              <w:noProof/>
            </w:rPr>
            <w:fldChar w:fldCharType="end"/>
          </w:r>
        </w:p>
      </w:sdtContent>
    </w:sdt>
    <w:p w14:paraId="5C2EDB69" w14:textId="77777777" w:rsidR="00B74D9E" w:rsidRDefault="00B74D9E" w:rsidP="00453CA5">
      <w:pPr>
        <w:pStyle w:val="Heading1"/>
        <w:rPr>
          <w:rFonts w:ascii="Arial" w:hAnsi="Arial" w:cs="Arial"/>
          <w:sz w:val="44"/>
          <w:szCs w:val="44"/>
        </w:rPr>
      </w:pPr>
    </w:p>
    <w:p w14:paraId="107F0579" w14:textId="77777777" w:rsidR="00B74D9E" w:rsidRDefault="00B74D9E" w:rsidP="00453CA5">
      <w:pPr>
        <w:pStyle w:val="Heading1"/>
        <w:rPr>
          <w:rFonts w:ascii="Arial" w:hAnsi="Arial" w:cs="Arial"/>
          <w:sz w:val="44"/>
          <w:szCs w:val="44"/>
        </w:rPr>
      </w:pPr>
    </w:p>
    <w:p w14:paraId="6F5BB688" w14:textId="77777777" w:rsidR="00B74D9E" w:rsidRDefault="00B74D9E" w:rsidP="00453CA5">
      <w:pPr>
        <w:pStyle w:val="Heading1"/>
        <w:rPr>
          <w:rFonts w:ascii="Arial" w:hAnsi="Arial" w:cs="Arial"/>
          <w:sz w:val="44"/>
          <w:szCs w:val="44"/>
        </w:rPr>
      </w:pPr>
    </w:p>
    <w:p w14:paraId="5313B8E1" w14:textId="77777777" w:rsidR="005B18F7" w:rsidRDefault="005B18F7" w:rsidP="00453CA5">
      <w:pPr>
        <w:pStyle w:val="Heading1"/>
        <w:rPr>
          <w:rFonts w:ascii="Arial" w:hAnsi="Arial" w:cs="Arial"/>
          <w:sz w:val="44"/>
          <w:szCs w:val="44"/>
        </w:rPr>
      </w:pPr>
    </w:p>
    <w:p w14:paraId="6FEE9923" w14:textId="67B2D7F5" w:rsidR="00444CA2" w:rsidRPr="005B18F7" w:rsidRDefault="00951B32" w:rsidP="00453CA5">
      <w:pPr>
        <w:pStyle w:val="Heading1"/>
        <w:rPr>
          <w:rFonts w:ascii="Arial" w:hAnsi="Arial" w:cs="Arial"/>
        </w:rPr>
      </w:pPr>
      <w:bookmarkStart w:id="0" w:name="_Toc238166482"/>
      <w:r w:rsidRPr="005B18F7">
        <w:rPr>
          <w:rFonts w:ascii="Arial" w:hAnsi="Arial" w:cs="Arial"/>
        </w:rPr>
        <w:t>Emotional Intelligence in the Workplace</w:t>
      </w:r>
      <w:bookmarkEnd w:id="0"/>
    </w:p>
    <w:p w14:paraId="552D5D41" w14:textId="77777777" w:rsidR="00444CA2" w:rsidRDefault="00444CA2" w:rsidP="00A74D43">
      <w:pPr>
        <w:spacing w:line="360" w:lineRule="auto"/>
        <w:rPr>
          <w:rFonts w:ascii="Arial" w:hAnsi="Arial" w:cs="Arial"/>
          <w:sz w:val="22"/>
          <w:szCs w:val="22"/>
        </w:rPr>
      </w:pPr>
    </w:p>
    <w:p w14:paraId="0F2C267F" w14:textId="77777777" w:rsidR="00444CA2" w:rsidRDefault="00444CA2" w:rsidP="00A74D43">
      <w:pPr>
        <w:spacing w:line="360" w:lineRule="auto"/>
        <w:rPr>
          <w:rFonts w:ascii="Arial" w:hAnsi="Arial" w:cs="Arial"/>
          <w:sz w:val="22"/>
          <w:szCs w:val="22"/>
        </w:rPr>
      </w:pPr>
    </w:p>
    <w:p w14:paraId="06B502C1" w14:textId="77777777" w:rsidR="00444CA2" w:rsidRDefault="00444CA2" w:rsidP="00A74D43">
      <w:pPr>
        <w:spacing w:line="360" w:lineRule="auto"/>
        <w:rPr>
          <w:rFonts w:ascii="Arial" w:hAnsi="Arial" w:cs="Arial"/>
          <w:sz w:val="22"/>
          <w:szCs w:val="22"/>
        </w:rPr>
      </w:pPr>
    </w:p>
    <w:p w14:paraId="0C7A5BC3" w14:textId="77777777" w:rsidR="00444CA2" w:rsidRDefault="00444CA2" w:rsidP="00A74D43">
      <w:pPr>
        <w:spacing w:line="360" w:lineRule="auto"/>
        <w:rPr>
          <w:rFonts w:ascii="Arial" w:hAnsi="Arial" w:cs="Arial"/>
          <w:sz w:val="22"/>
          <w:szCs w:val="22"/>
        </w:rPr>
      </w:pPr>
    </w:p>
    <w:p w14:paraId="39D57600" w14:textId="77777777" w:rsidR="00444CA2" w:rsidRDefault="00444CA2" w:rsidP="00A74D43">
      <w:pPr>
        <w:spacing w:line="360" w:lineRule="auto"/>
        <w:rPr>
          <w:rFonts w:ascii="Arial" w:hAnsi="Arial" w:cs="Arial"/>
          <w:sz w:val="22"/>
          <w:szCs w:val="22"/>
        </w:rPr>
      </w:pPr>
    </w:p>
    <w:p w14:paraId="63609248" w14:textId="77777777" w:rsidR="00444CA2" w:rsidRDefault="00444CA2" w:rsidP="00A74D43">
      <w:pPr>
        <w:spacing w:line="360" w:lineRule="auto"/>
        <w:rPr>
          <w:rFonts w:ascii="Arial" w:hAnsi="Arial" w:cs="Arial"/>
          <w:sz w:val="22"/>
          <w:szCs w:val="22"/>
        </w:rPr>
      </w:pPr>
    </w:p>
    <w:p w14:paraId="74935D16" w14:textId="65AD30DF" w:rsidR="004C011C" w:rsidRPr="00453CA5" w:rsidRDefault="004C011C" w:rsidP="00453CA5">
      <w:pPr>
        <w:pStyle w:val="Heading1"/>
        <w:rPr>
          <w:rFonts w:ascii="Arial" w:hAnsi="Arial" w:cs="Arial"/>
          <w:sz w:val="44"/>
          <w:szCs w:val="44"/>
        </w:rPr>
      </w:pPr>
      <w:bookmarkStart w:id="1" w:name="_Toc238166483"/>
      <w:r w:rsidRPr="00453CA5">
        <w:rPr>
          <w:rFonts w:ascii="Arial" w:hAnsi="Arial" w:cs="Arial"/>
          <w:sz w:val="44"/>
          <w:szCs w:val="44"/>
        </w:rPr>
        <w:t>Introduction</w:t>
      </w:r>
      <w:bookmarkEnd w:id="1"/>
    </w:p>
    <w:p w14:paraId="7AABF8EF" w14:textId="77777777" w:rsidR="00453CA5" w:rsidRDefault="00453CA5" w:rsidP="00A74D43">
      <w:pPr>
        <w:spacing w:line="360" w:lineRule="auto"/>
        <w:rPr>
          <w:rFonts w:ascii="Arial" w:hAnsi="Arial" w:cs="Arial"/>
          <w:sz w:val="22"/>
          <w:szCs w:val="22"/>
        </w:rPr>
      </w:pPr>
    </w:p>
    <w:p w14:paraId="7E6E29C7"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Organisations today operate in environments where employees are expected to work collaboratively, adapt to change, communicate effectively and manage increasing levels of pressure. Technical knowledge and qualifications remain important, but they are not always enough to achieve effective workplace performance. Employees also need to understand their own emotions, respond appropriately to the emotions of others and maintain constructive relationships. This is where emotional intelligence (EI) becomes particularly relevant. Emotional intelligence can broadly be understood as the ability to recognise, understand and manage emotions in oneself and others. Mayer and Salovey (1997) conceptualised EI as a form of ability involving the perception, use, understanding and regulation of emotions. Their model therefore treats emotional information as something that can be processed and used to support thinking and behaviour.</w:t>
      </w:r>
    </w:p>
    <w:p w14:paraId="6345A729" w14:textId="1EDFAF0F"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lastRenderedPageBreak/>
        <w:t xml:space="preserve">The importance of EI within organisations has increased because modern workplaces depend heavily on communication, teamwork, leadership and interpersonal relationships. Research has found positive relationships between EI and outcomes including job performance, job satisfaction, organisational commitment and organisational citizenship behaviour, while higher EI is associated with lower job stress (Miao, Humphrey and Qian, 2017). More recent meta-analytic research also found that EI is positively associated with career-related outcomes such as career satisfaction, career commitment and career decision-making (Ding et al., 2023). </w:t>
      </w:r>
    </w:p>
    <w:p w14:paraId="022AB115"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Mindfulness is also increasingly relevant to organisational life. It involves paying attention to present experiences in an intentional and non-judgemental way. In practical terms, mindfulness can help employees pause before reacting to difficult situations, recognise emotional responses and concentrate on the situation in front of them. A systematic review of 91 workplace studies found that mindfulness-based interventions were associated with improvements in well-being, mental health, stress and work-related outcomes (Michaelsen et al., 2023).</w:t>
      </w:r>
    </w:p>
    <w:p w14:paraId="3AD8164C" w14:textId="4B935241"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 xml:space="preserve">This report critically analyses emotional intelligence and mindfulness in contemporary organisations. The first section evaluates the application of EI through Goleman's framework, Mayer and Salovey's Ability Model and Bar-On's Emotional-Social Intelligence Model. The second section considers the management of Generation X, Generation Y (Millennials) and Generation Z. </w:t>
      </w:r>
    </w:p>
    <w:p w14:paraId="05D9E467" w14:textId="77777777" w:rsidR="005B18F7" w:rsidRDefault="005B18F7" w:rsidP="0002608D">
      <w:pPr>
        <w:pStyle w:val="Heading2"/>
        <w:rPr>
          <w:rFonts w:ascii="Arial" w:hAnsi="Arial" w:cs="Arial"/>
          <w:sz w:val="40"/>
          <w:szCs w:val="40"/>
        </w:rPr>
      </w:pPr>
    </w:p>
    <w:p w14:paraId="0EDC26C6" w14:textId="54B6DA19" w:rsidR="00866532" w:rsidRPr="0002608D" w:rsidRDefault="00866532" w:rsidP="0002608D">
      <w:pPr>
        <w:pStyle w:val="Heading2"/>
        <w:rPr>
          <w:rFonts w:ascii="Arial" w:hAnsi="Arial" w:cs="Arial"/>
          <w:sz w:val="40"/>
          <w:szCs w:val="40"/>
        </w:rPr>
      </w:pPr>
      <w:bookmarkStart w:id="2" w:name="_Toc238166484"/>
      <w:r w:rsidRPr="0002608D">
        <w:rPr>
          <w:rFonts w:ascii="Arial" w:hAnsi="Arial" w:cs="Arial"/>
          <w:sz w:val="40"/>
          <w:szCs w:val="40"/>
        </w:rPr>
        <w:t>Emotional Intelligence in the Workplace</w:t>
      </w:r>
      <w:bookmarkEnd w:id="2"/>
    </w:p>
    <w:p w14:paraId="2DEC26DC" w14:textId="77777777" w:rsidR="0002608D" w:rsidRDefault="0002608D" w:rsidP="00866532">
      <w:pPr>
        <w:spacing w:line="360" w:lineRule="auto"/>
        <w:rPr>
          <w:rFonts w:ascii="Arial" w:hAnsi="Arial" w:cs="Arial"/>
          <w:b/>
          <w:bCs/>
          <w:sz w:val="22"/>
          <w:szCs w:val="22"/>
        </w:rPr>
      </w:pPr>
    </w:p>
    <w:p w14:paraId="2EC83726" w14:textId="526CAB15"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Understanding emotional intelligence</w:t>
      </w:r>
    </w:p>
    <w:p w14:paraId="51F86FA4"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Emotional intelligence has been described through several different theoretical approaches. This is important because there is no single universally accepted definition of EI. Mayer and Salovey's Ability Model views EI as a form of intelligence, whereas Goleman's and Bar-On's approaches include broader emotional and social competencies (Mayer, Caruso and Salovey, 2016; Bar-On, 2006). This difference creates both opportunities and challenges for organisations. A broad model may be easier for managers to apply in everyday leadership, while an ability-based model provides a more clearly defined psychological construct.</w:t>
      </w:r>
    </w:p>
    <w:p w14:paraId="42DFC151"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 xml:space="preserve">Mayer and Salovey's (1997) model </w:t>
      </w:r>
      <w:proofErr w:type="gramStart"/>
      <w:r w:rsidRPr="00866532">
        <w:rPr>
          <w:rFonts w:ascii="Arial" w:hAnsi="Arial" w:cs="Arial"/>
          <w:sz w:val="22"/>
          <w:szCs w:val="22"/>
        </w:rPr>
        <w:t>consists</w:t>
      </w:r>
      <w:proofErr w:type="gramEnd"/>
      <w:r w:rsidRPr="00866532">
        <w:rPr>
          <w:rFonts w:ascii="Arial" w:hAnsi="Arial" w:cs="Arial"/>
          <w:sz w:val="22"/>
          <w:szCs w:val="22"/>
        </w:rPr>
        <w:t xml:space="preserve"> of four branches: perceiving emotions, using emotions to facilitate thinking, understanding emotions and managing emotions. The first </w:t>
      </w:r>
      <w:r w:rsidRPr="00866532">
        <w:rPr>
          <w:rFonts w:ascii="Arial" w:hAnsi="Arial" w:cs="Arial"/>
          <w:sz w:val="22"/>
          <w:szCs w:val="22"/>
        </w:rPr>
        <w:lastRenderedPageBreak/>
        <w:t>branch involves accurately recognising emotional information from facial expressions, tone of voice and behaviour. The second involves using emotions to assist cognitive processes such as problem-solving and decision-making. The third involves understanding how emotions develop and change, while the fourth concerns the regulation of emotions in oneself and others. The model is particularly useful because it does not simply suggest that employees should "control" their emotions. Instead, emotions are viewed as information that can contribute to effective thinking when interpreted appropriately (Salovey and Grewal, 2005).</w:t>
      </w:r>
    </w:p>
    <w:p w14:paraId="1D0818FE"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For example, an employee who notices that a colleague is unusually quiet during a team meeting may recognise that something is wrong rather than immediately assuming that the colleague is uninterested. The employee could then ask an open question and listen to the response. This demonstrates emotional perception and understanding, which may prevent a minor communication issue from becoming a conflict.</w:t>
      </w:r>
    </w:p>
    <w:p w14:paraId="36A45820"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Goleman's Emotional Intelligence framework</w:t>
      </w:r>
    </w:p>
    <w:p w14:paraId="59D58B7B"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Goleman's approach expanded the idea of EI into a framework that is particularly relevant to leadership and organisational behaviour. The framework is commonly associated with self-awareness, self-management, social awareness and relationship management (Goleman and Cherniss, 2024). These areas provide managers with practical ways of considering how emotions influence behaviour at work.</w:t>
      </w:r>
    </w:p>
    <w:p w14:paraId="7054CEF0"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Self-awareness involves recognising one's emotions, strengths, weaknesses and the effect that one's behaviour has on others. In a workplace context, self-awareness can prevent managers from responding impulsively to criticism or disagreement. For example, a manager who realises that they become defensive when their decisions are questioned can consciously pause before responding. This can lead to a more constructive discussion.</w:t>
      </w:r>
    </w:p>
    <w:p w14:paraId="0093C48D"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Self-management involves controlling disruptive emotional reactions and adapting behaviour to changing circumstances. This does not mean suppressing emotions. Instead, an emotionally intelligent employee can recognise frustration without allowing it to determine their behaviour. This is particularly important during periods of organisational change, where employees may experience uncertainty or resistance.</w:t>
      </w:r>
    </w:p>
    <w:p w14:paraId="3FE81656"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Social awareness, particularly empathy, is another important part of the framework. Empathy allows managers to consider the experiences and perspectives of employees. This can be useful when dealing with performance problems because a manager can investigate the reasons behind poor performance rather than immediately assuming that the employee is lazy or uncommitted.</w:t>
      </w:r>
    </w:p>
    <w:p w14:paraId="45ADB52A"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lastRenderedPageBreak/>
        <w:t>Relationship management involves communication, influence, teamwork and conflict management. A manager who uses relationship-management skills can create opportunities for employees to express disagreement without feeling personally attacked. Goleman and Cherniss (2024) argue that there is now substantial organisational evidence linking emotionally intelligent leadership with positive workplace outcomes.</w:t>
      </w:r>
    </w:p>
    <w:p w14:paraId="340BDBFC"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Nevertheless, Goleman's model has limitations. Its broad range of competencies means that the boundaries between EI, personality and general leadership skills can become unclear. Some critics therefore argue that mixed models of EI may measure characteristics that are not purely emotional intelligence. This makes comparison between EI studies difficult. Consequently, organisations should be cautious about treating a high EI score as a guaranteed predictor of leadership success.</w:t>
      </w:r>
    </w:p>
    <w:p w14:paraId="46031036"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Bar-On's Emotional-Social Intelligence Model</w:t>
      </w:r>
    </w:p>
    <w:p w14:paraId="7E91D442"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Bar-On's model provides another broad interpretation of emotional intelligence. Bar-On (2006) describes emotional-social intelligence as a collection of interconnected emotional and social competencies that influence how effectively individuals understand themselves, relate to others and cope with everyday demands.</w:t>
      </w:r>
    </w:p>
    <w:p w14:paraId="3B88F6B7"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The model includes five major areas: intrapersonal skills, interpersonal skills, adaptability, stress management and general mood. Intrapersonal skills involve understanding one's emotions and expressing them appropriately. Interpersonal skills involve empathy and maintaining relationships. Adaptability relates to flexibility, reality testing and problem-solving. Stress management includes the ability to tolerate pressure and control impulses, while general mood includes optimism and happiness.</w:t>
      </w:r>
    </w:p>
    <w:p w14:paraId="106DA55F" w14:textId="0756363B"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 xml:space="preserve">This model is particularly relevant to employee well-being because it recognises that effective workplace behaviour is not only about communication with other people. Employees also need to cope with pressure and adapt to changing demands. </w:t>
      </w:r>
    </w:p>
    <w:p w14:paraId="596DEDA6"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A strength of Bar-On's model is therefore its practical and holistic approach. It connects emotional functioning with social interaction, adaptability and well-being. However, the model can also be criticised for being broader than the traditional concept of intelligence. Some of the characteristics included in the model, such as optimism and happiness, could arguably be considered personality or psychological well-being rather than intelligence (Bar-On, 2006).</w:t>
      </w:r>
    </w:p>
    <w:p w14:paraId="6942E5B9"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Applying emotional intelligence to improve performance</w:t>
      </w:r>
    </w:p>
    <w:p w14:paraId="4673E40A"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lastRenderedPageBreak/>
        <w:t>EI can improve employee performance in several ways. First, emotionally intelligent employees may be better able to manage distractions and emotional reactions. For example, receiving negative feedback can create feelings of embarrassment or anger. An employee with stronger self-awareness may recognise the emotional response, consider the feedback objectively and identify what can be learned from it.</w:t>
      </w:r>
    </w:p>
    <w:p w14:paraId="67003ACF"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Evidence supports the relationship between EI and employee outcomes. Miao, Humphrey and Qian (2017), in a meta-analysis of employee outcomes, found positive relationships between EI and job performance, job satisfaction, organisational commitment and organisational citizenship behaviour. Similarly, O'Boyle et al. (2011) found a positive relationship between EI and job performance across different approaches to measuring EI.</w:t>
      </w:r>
    </w:p>
    <w:p w14:paraId="4DC7366A"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Emotional intelligence and communication</w:t>
      </w:r>
    </w:p>
    <w:p w14:paraId="6E7F6B0E"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Communication is one of the areas where EI has a particularly clear workplace application. Employees communicate not only through words but also through tone, facial expressions, body language and behaviour. Emotional perception can help individuals recognise when communication is becoming uncomfortable or misunderstood.</w:t>
      </w:r>
    </w:p>
    <w:p w14:paraId="52436F72"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EI can also improve listening. Rather than preparing a response while another person is speaking, an emotionally intelligent employee attempts to understand the other person's perspective. This can reduce misunderstandings and support stronger relationships.</w:t>
      </w:r>
    </w:p>
    <w:p w14:paraId="0017446E"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Emotional intelligence and conflict management</w:t>
      </w:r>
    </w:p>
    <w:p w14:paraId="17A8E58A"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Conflict is unavoidable within organisations because employees have different goals, personalities, experiences and opinions. EI can help managers distinguish between the emotional aspect of a conflict and the actual problem that needs to be solved.</w:t>
      </w:r>
    </w:p>
    <w:p w14:paraId="457A8DBD" w14:textId="01737429"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 xml:space="preserve">For example, if two employees disagree about how </w:t>
      </w:r>
      <w:r w:rsidR="00AB460D">
        <w:rPr>
          <w:rFonts w:ascii="Arial" w:hAnsi="Arial" w:cs="Arial"/>
          <w:sz w:val="22"/>
          <w:szCs w:val="22"/>
        </w:rPr>
        <w:t>to complete a task</w:t>
      </w:r>
      <w:r w:rsidRPr="00866532">
        <w:rPr>
          <w:rFonts w:ascii="Arial" w:hAnsi="Arial" w:cs="Arial"/>
          <w:sz w:val="22"/>
          <w:szCs w:val="22"/>
        </w:rPr>
        <w:t xml:space="preserve">, an emotionally unintelligent response may involve choosing one employee's side immediately. </w:t>
      </w:r>
    </w:p>
    <w:p w14:paraId="51DDD2E0"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Research supports the value of workplace mindfulness. Michaelsen et al. (2023) found that workplace mindfulness interventions were associated with improvements in stress, mental health, well-being and work-related outcomes. However, the researchers also noted variation in effects and evidence that some benefits may decline over longer follow-up periods. This suggests that mindfulness should not be introduced as a one-off training exercise. Continued practice and organisational support are more likely to produce sustainable benefits.</w:t>
      </w:r>
    </w:p>
    <w:p w14:paraId="45EFC613" w14:textId="4F10DE58"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E</w:t>
      </w:r>
      <w:r w:rsidR="00602E29">
        <w:rPr>
          <w:rFonts w:ascii="Arial" w:hAnsi="Arial" w:cs="Arial"/>
          <w:b/>
          <w:bCs/>
          <w:sz w:val="22"/>
          <w:szCs w:val="22"/>
        </w:rPr>
        <w:t xml:space="preserve">motional </w:t>
      </w:r>
      <w:r w:rsidRPr="00866532">
        <w:rPr>
          <w:rFonts w:ascii="Arial" w:hAnsi="Arial" w:cs="Arial"/>
          <w:b/>
          <w:bCs/>
          <w:sz w:val="22"/>
          <w:szCs w:val="22"/>
        </w:rPr>
        <w:t>I</w:t>
      </w:r>
      <w:r w:rsidR="00602E29">
        <w:rPr>
          <w:rFonts w:ascii="Arial" w:hAnsi="Arial" w:cs="Arial"/>
          <w:b/>
          <w:bCs/>
          <w:sz w:val="22"/>
          <w:szCs w:val="22"/>
        </w:rPr>
        <w:t>ntelligence</w:t>
      </w:r>
      <w:r w:rsidRPr="00866532">
        <w:rPr>
          <w:rFonts w:ascii="Arial" w:hAnsi="Arial" w:cs="Arial"/>
          <w:b/>
          <w:bCs/>
          <w:sz w:val="22"/>
          <w:szCs w:val="22"/>
        </w:rPr>
        <w:t>, leadership and psychological safety</w:t>
      </w:r>
    </w:p>
    <w:p w14:paraId="1A8E938E"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lastRenderedPageBreak/>
        <w:t>Emotionally intelligent leadership can contribute to psychological safety, which refers to an environment in which employees feel able to speak up, ask questions and make interpersonal contributions without excessive fear of negative consequences. This is particularly important for modern organisations because innovation often depends on employees being willing to challenge existing ideas.</w:t>
      </w:r>
    </w:p>
    <w:p w14:paraId="6ABF8174"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A manager who reacts aggressively whenever employees disagree may create a culture where employees remain silent. In contrast, a manager who responds to disagreement with curiosity can encourage constructive debate. EI therefore has a potential indirect effect on organisational learning because employees may become more willing to share information and identify problems.</w:t>
      </w:r>
    </w:p>
    <w:p w14:paraId="4FD63B4C"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Mindfulness can support leaders in achieving this behaviour. A mindful leader is more likely to notice their own emotional reaction to criticism and create a small gap between the stimulus and their response. This does not mean that every employee suggestion must be accepted. Instead, the leader can respond respectfully while still making a clear decision.</w:t>
      </w:r>
    </w:p>
    <w:p w14:paraId="36033238" w14:textId="77777777" w:rsidR="0082419E" w:rsidRDefault="0082419E" w:rsidP="00866532">
      <w:pPr>
        <w:spacing w:line="360" w:lineRule="auto"/>
        <w:rPr>
          <w:rFonts w:ascii="Arial" w:hAnsi="Arial" w:cs="Arial"/>
          <w:sz w:val="22"/>
          <w:szCs w:val="22"/>
        </w:rPr>
      </w:pPr>
    </w:p>
    <w:p w14:paraId="2A4951CF" w14:textId="77777777" w:rsidR="0082419E" w:rsidRDefault="0082419E" w:rsidP="00866532">
      <w:pPr>
        <w:spacing w:line="360" w:lineRule="auto"/>
        <w:rPr>
          <w:rFonts w:ascii="Arial" w:hAnsi="Arial" w:cs="Arial"/>
          <w:sz w:val="22"/>
          <w:szCs w:val="22"/>
        </w:rPr>
      </w:pPr>
    </w:p>
    <w:p w14:paraId="699DEADF" w14:textId="33AA609E"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E</w:t>
      </w:r>
      <w:r w:rsidR="00602E29">
        <w:rPr>
          <w:rFonts w:ascii="Arial" w:hAnsi="Arial" w:cs="Arial"/>
          <w:b/>
          <w:bCs/>
          <w:sz w:val="22"/>
          <w:szCs w:val="22"/>
        </w:rPr>
        <w:t xml:space="preserve">motional </w:t>
      </w:r>
      <w:r w:rsidRPr="00866532">
        <w:rPr>
          <w:rFonts w:ascii="Arial" w:hAnsi="Arial" w:cs="Arial"/>
          <w:b/>
          <w:bCs/>
          <w:sz w:val="22"/>
          <w:szCs w:val="22"/>
        </w:rPr>
        <w:t>I</w:t>
      </w:r>
      <w:r w:rsidR="00602E29">
        <w:rPr>
          <w:rFonts w:ascii="Arial" w:hAnsi="Arial" w:cs="Arial"/>
          <w:b/>
          <w:bCs/>
          <w:sz w:val="22"/>
          <w:szCs w:val="22"/>
        </w:rPr>
        <w:t>ntelligence</w:t>
      </w:r>
      <w:r w:rsidRPr="00866532">
        <w:rPr>
          <w:rFonts w:ascii="Arial" w:hAnsi="Arial" w:cs="Arial"/>
          <w:b/>
          <w:bCs/>
          <w:sz w:val="22"/>
          <w:szCs w:val="22"/>
        </w:rPr>
        <w:t xml:space="preserve"> and decision-making</w:t>
      </w:r>
    </w:p>
    <w:p w14:paraId="6A484D5E"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 xml:space="preserve">Emotions influence decision-making even when people attempt to remain completely rational. Emotional intelligence can help employees identify these influences and consider whether they are helping or interfering with judgement. Mayer and Salovey's (1997) model </w:t>
      </w:r>
      <w:proofErr w:type="gramStart"/>
      <w:r w:rsidRPr="00866532">
        <w:rPr>
          <w:rFonts w:ascii="Arial" w:hAnsi="Arial" w:cs="Arial"/>
          <w:sz w:val="22"/>
          <w:szCs w:val="22"/>
        </w:rPr>
        <w:t>is</w:t>
      </w:r>
      <w:proofErr w:type="gramEnd"/>
      <w:r w:rsidRPr="00866532">
        <w:rPr>
          <w:rFonts w:ascii="Arial" w:hAnsi="Arial" w:cs="Arial"/>
          <w:sz w:val="22"/>
          <w:szCs w:val="22"/>
        </w:rPr>
        <w:t xml:space="preserve"> particularly useful here because it explains how emotions can facilitate thinking rather than simply interfere with rationality.</w:t>
      </w:r>
    </w:p>
    <w:p w14:paraId="72CCFF9D"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For instance, concern about a new project may indicate that an employee has identified a genuine risk. Instead of ignoring the emotion, the employee can investigate why they feel concerned and examine the evidence. In this sense, EI supports balanced decision-making.</w:t>
      </w:r>
    </w:p>
    <w:p w14:paraId="5531BBF7" w14:textId="77777777" w:rsidR="007D4002" w:rsidRDefault="007D4002" w:rsidP="00894DE6">
      <w:pPr>
        <w:pStyle w:val="Heading2"/>
        <w:rPr>
          <w:rFonts w:ascii="Arial" w:hAnsi="Arial" w:cs="Arial"/>
          <w:sz w:val="40"/>
          <w:szCs w:val="40"/>
        </w:rPr>
      </w:pPr>
    </w:p>
    <w:p w14:paraId="05F1AEA4" w14:textId="77777777" w:rsidR="007D4002" w:rsidRDefault="007D4002" w:rsidP="00894DE6">
      <w:pPr>
        <w:pStyle w:val="Heading2"/>
        <w:rPr>
          <w:rFonts w:ascii="Arial" w:hAnsi="Arial" w:cs="Arial"/>
          <w:sz w:val="40"/>
          <w:szCs w:val="40"/>
        </w:rPr>
      </w:pPr>
    </w:p>
    <w:p w14:paraId="6C60BC7A" w14:textId="77777777" w:rsidR="007D4002" w:rsidRDefault="007D4002" w:rsidP="00894DE6">
      <w:pPr>
        <w:pStyle w:val="Heading2"/>
        <w:rPr>
          <w:rFonts w:ascii="Arial" w:hAnsi="Arial" w:cs="Arial"/>
          <w:sz w:val="40"/>
          <w:szCs w:val="40"/>
        </w:rPr>
      </w:pPr>
    </w:p>
    <w:p w14:paraId="5EEE0172" w14:textId="77777777" w:rsidR="007D4002" w:rsidRDefault="007D4002" w:rsidP="00894DE6">
      <w:pPr>
        <w:pStyle w:val="Heading2"/>
        <w:rPr>
          <w:rFonts w:ascii="Arial" w:hAnsi="Arial" w:cs="Arial"/>
          <w:sz w:val="40"/>
          <w:szCs w:val="40"/>
        </w:rPr>
      </w:pPr>
    </w:p>
    <w:p w14:paraId="1D8E2F80" w14:textId="562B872F" w:rsidR="00866532" w:rsidRPr="00894DE6" w:rsidRDefault="00866532" w:rsidP="00894DE6">
      <w:pPr>
        <w:pStyle w:val="Heading2"/>
        <w:rPr>
          <w:rFonts w:ascii="Arial" w:hAnsi="Arial" w:cs="Arial"/>
          <w:sz w:val="40"/>
          <w:szCs w:val="40"/>
        </w:rPr>
      </w:pPr>
      <w:bookmarkStart w:id="3" w:name="_Toc238166485"/>
      <w:r w:rsidRPr="00894DE6">
        <w:rPr>
          <w:rFonts w:ascii="Arial" w:hAnsi="Arial" w:cs="Arial"/>
          <w:sz w:val="40"/>
          <w:szCs w:val="40"/>
        </w:rPr>
        <w:t>Managing a Multigenerational Workforce</w:t>
      </w:r>
      <w:bookmarkEnd w:id="3"/>
    </w:p>
    <w:p w14:paraId="1C7CA725" w14:textId="77777777" w:rsidR="00894DE6" w:rsidRDefault="00894DE6" w:rsidP="00866532">
      <w:pPr>
        <w:spacing w:line="360" w:lineRule="auto"/>
        <w:rPr>
          <w:rFonts w:ascii="Arial" w:hAnsi="Arial" w:cs="Arial"/>
          <w:b/>
          <w:bCs/>
          <w:sz w:val="22"/>
          <w:szCs w:val="22"/>
        </w:rPr>
      </w:pPr>
    </w:p>
    <w:p w14:paraId="72C10DC6" w14:textId="477988A9"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Understanding generational diversity</w:t>
      </w:r>
    </w:p>
    <w:p w14:paraId="733A61AF"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Modern organisations can contain employees from several generations working alongside each other. Generation X, Millennials (Generation Y) and Generation Z may have experienced different social, economic and technological environments. These experiences can influence attitudes towards work, communication and career development.</w:t>
      </w:r>
    </w:p>
    <w:p w14:paraId="21C2610D"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However, managers need to be careful when applying generational categories. Recent research challenges the idea that employees from the same generation automatically share the same workplace characteristics. Ravid et al. (2024/2025) found relatively few systematic and meaningful differences between generations across a range of workplace outcomes. Earlier reviews similarly identified contradictory evidence and methodological problems in generational research (Lyons and Kuron, 2014). Therefore, generational differences should be used as a framework for understanding possible preferences rather than as assumptions about individual employees.</w:t>
      </w:r>
    </w:p>
    <w:p w14:paraId="3F87580A" w14:textId="77777777" w:rsidR="0082419E" w:rsidRDefault="0082419E" w:rsidP="00866532">
      <w:pPr>
        <w:spacing w:line="360" w:lineRule="auto"/>
        <w:rPr>
          <w:rFonts w:ascii="Arial" w:hAnsi="Arial" w:cs="Arial"/>
          <w:b/>
          <w:bCs/>
          <w:sz w:val="22"/>
          <w:szCs w:val="22"/>
        </w:rPr>
      </w:pPr>
    </w:p>
    <w:p w14:paraId="3911E78C" w14:textId="59D445D1"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Generation X</w:t>
      </w:r>
    </w:p>
    <w:p w14:paraId="7EECA5B2"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Generation X is generally associated with employees born from the mid-1960s to around 1980, although exact boundaries vary between sources. Many members of this generation entered employment during periods when career progression was more closely associated with organisational experience and individual responsibility.</w:t>
      </w:r>
    </w:p>
    <w:p w14:paraId="5359AF6E"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However, it would be inaccurate to assume that all Generation X employees prefer traditional communication or resist technology. Individual experience, occupation, education and personality may be more influential than birth year. A manager should therefore ask employees how they prefer to work instead of assigning expectations according to generation.</w:t>
      </w:r>
    </w:p>
    <w:p w14:paraId="32ABFB9C"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lastRenderedPageBreak/>
        <w:t>Generation Y: Millennials</w:t>
      </w:r>
    </w:p>
    <w:p w14:paraId="0AE051B0"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 xml:space="preserve">Millennials are commonly associated with a stronger preference for collaborative working, regular communication and opportunities for development. Research examining Millennials' organisational relationships has found evidence of preferences for open and frequent communication with supervisors and comfort with communication technologies (Myers and </w:t>
      </w:r>
      <w:proofErr w:type="spellStart"/>
      <w:r w:rsidRPr="00866532">
        <w:rPr>
          <w:rFonts w:ascii="Arial" w:hAnsi="Arial" w:cs="Arial"/>
          <w:sz w:val="22"/>
          <w:szCs w:val="22"/>
        </w:rPr>
        <w:t>Sadaghiani</w:t>
      </w:r>
      <w:proofErr w:type="spellEnd"/>
      <w:r w:rsidRPr="00866532">
        <w:rPr>
          <w:rFonts w:ascii="Arial" w:hAnsi="Arial" w:cs="Arial"/>
          <w:sz w:val="22"/>
          <w:szCs w:val="22"/>
        </w:rPr>
        <w:t>, 2010).</w:t>
      </w:r>
    </w:p>
    <w:p w14:paraId="5AAA8163"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For managers, this can mean providing regular feedback rather than relying entirely on annual performance reviews. Millennials may also respond positively when their work has a clear purpose and when development opportunities are available.</w:t>
      </w:r>
    </w:p>
    <w:p w14:paraId="4A12A04E"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Generation Z</w:t>
      </w:r>
    </w:p>
    <w:p w14:paraId="479CBB09"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Generation Z is increasingly entering the workforce and has grown up in an environment characterised by widespread digital technology, social media and rapid technological change. Research on workplace technology suggests that differences can occur between generations in their experiences and attitudes towards digital tools, although these differences should not be exaggerated (Choudhary et al., 2024).</w:t>
      </w:r>
    </w:p>
    <w:p w14:paraId="62C014EB"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Many Gen Z employees may expect digital communication, rapid access to information, opportunities to learn and flexibility. At the same time, they can bring useful technological confidence and new perspectives to organisations.</w:t>
      </w:r>
    </w:p>
    <w:p w14:paraId="2AE43FE6" w14:textId="77777777" w:rsidR="007E35D8" w:rsidRDefault="007E35D8" w:rsidP="00866532">
      <w:pPr>
        <w:spacing w:line="360" w:lineRule="auto"/>
        <w:rPr>
          <w:rFonts w:ascii="Arial" w:hAnsi="Arial" w:cs="Arial"/>
          <w:sz w:val="22"/>
          <w:szCs w:val="22"/>
        </w:rPr>
      </w:pPr>
    </w:p>
    <w:p w14:paraId="2EE8DC72" w14:textId="77777777" w:rsidR="007E35D8" w:rsidRDefault="007E35D8" w:rsidP="00866532">
      <w:pPr>
        <w:spacing w:line="360" w:lineRule="auto"/>
        <w:rPr>
          <w:rFonts w:ascii="Arial" w:hAnsi="Arial" w:cs="Arial"/>
          <w:sz w:val="22"/>
          <w:szCs w:val="22"/>
        </w:rPr>
      </w:pPr>
    </w:p>
    <w:p w14:paraId="4974C100" w14:textId="77777777" w:rsidR="007E35D8" w:rsidRDefault="007E35D8" w:rsidP="00866532">
      <w:pPr>
        <w:spacing w:line="360" w:lineRule="auto"/>
        <w:rPr>
          <w:rFonts w:ascii="Arial" w:hAnsi="Arial" w:cs="Arial"/>
          <w:sz w:val="22"/>
          <w:szCs w:val="22"/>
        </w:rPr>
      </w:pPr>
    </w:p>
    <w:p w14:paraId="369DB79D" w14:textId="77777777" w:rsidR="007E35D8" w:rsidRDefault="007E35D8" w:rsidP="00866532">
      <w:pPr>
        <w:spacing w:line="360" w:lineRule="auto"/>
        <w:rPr>
          <w:rFonts w:ascii="Arial" w:hAnsi="Arial" w:cs="Arial"/>
          <w:sz w:val="22"/>
          <w:szCs w:val="22"/>
        </w:rPr>
      </w:pPr>
    </w:p>
    <w:p w14:paraId="66593419"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Generational differences in communication</w:t>
      </w:r>
    </w:p>
    <w:p w14:paraId="0730A28A"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Communication differences can create workplace tensions. For example, one employee may prefer a detailed email while another may prefer a short message or conversation. One employee may view frequent digital communication as efficient, while another may consider it intrusive.</w:t>
      </w:r>
    </w:p>
    <w:p w14:paraId="6FD83A7B"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These differences can create misunderstandings if managers interpret communication preferences as personality flaws. Instead, managers can establish clear communication standards while allowing reasonable flexibility.</w:t>
      </w:r>
    </w:p>
    <w:p w14:paraId="59E15212"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Motivation and retention</w:t>
      </w:r>
    </w:p>
    <w:p w14:paraId="3416727A"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lastRenderedPageBreak/>
        <w:t xml:space="preserve">Different employees may be motivated by different combinations of salary, career progression, autonomy, recognition, flexibility, job security and meaningful work. Although generational stereotypes should be avoided, research has identified work values and motivators as areas in which generational research has attempted to identify differences (Woodward, </w:t>
      </w:r>
      <w:proofErr w:type="spellStart"/>
      <w:r w:rsidRPr="00866532">
        <w:rPr>
          <w:rFonts w:ascii="Arial" w:hAnsi="Arial" w:cs="Arial"/>
          <w:sz w:val="22"/>
          <w:szCs w:val="22"/>
        </w:rPr>
        <w:t>Vongswasdi</w:t>
      </w:r>
      <w:proofErr w:type="spellEnd"/>
      <w:r w:rsidRPr="00866532">
        <w:rPr>
          <w:rFonts w:ascii="Arial" w:hAnsi="Arial" w:cs="Arial"/>
          <w:sz w:val="22"/>
          <w:szCs w:val="22"/>
        </w:rPr>
        <w:t xml:space="preserve"> and More, 2015).</w:t>
      </w:r>
    </w:p>
    <w:p w14:paraId="19A81909"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This has implications for recruitment as well. Job advertisements and employer branding should communicate a range of benefits rather than presenting one idealised employee profile. During interviews, recruiters should focus on competencies, behaviours and potential rather than making assumptions based on age.</w:t>
      </w:r>
    </w:p>
    <w:p w14:paraId="60D52F88" w14:textId="77777777" w:rsidR="00866532" w:rsidRPr="00866532" w:rsidRDefault="00866532" w:rsidP="00866532">
      <w:pPr>
        <w:spacing w:line="360" w:lineRule="auto"/>
        <w:rPr>
          <w:rFonts w:ascii="Arial" w:hAnsi="Arial" w:cs="Arial"/>
          <w:b/>
          <w:bCs/>
          <w:sz w:val="22"/>
          <w:szCs w:val="22"/>
        </w:rPr>
      </w:pPr>
      <w:r w:rsidRPr="00866532">
        <w:rPr>
          <w:rFonts w:ascii="Arial" w:hAnsi="Arial" w:cs="Arial"/>
          <w:b/>
          <w:bCs/>
          <w:sz w:val="22"/>
          <w:szCs w:val="22"/>
        </w:rPr>
        <w:t>Using mindfulness to manage generational differences</w:t>
      </w:r>
    </w:p>
    <w:p w14:paraId="6D8D5643"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Mindfulness can contribute to intergenerational inclusion because it encourages individuals to become more aware of their automatic assumptions. In a multigenerational workplace, employees may unconsciously stereotype colleagues based on age. A mindful approach can help managers notice these assumptions before allowing them to influence decisions.</w:t>
      </w:r>
    </w:p>
    <w:p w14:paraId="62332AB8"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For example, a manager may assume that an older employee will struggle with a new digital system or that a younger employee will not value face-to-face communication. Mindfulness encourages the manager to recognise the assumption and look for actual evidence.</w:t>
      </w:r>
    </w:p>
    <w:p w14:paraId="31E66066"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However, mindfulness should not be used as a way of placing responsibility for workplace stress entirely on employees. If workloads are unreasonable or organisational practices are unfair, asking employees to meditate does not solve the underlying problem. Organisational causes of stress must also be addressed.</w:t>
      </w:r>
    </w:p>
    <w:p w14:paraId="6E0CF781" w14:textId="77777777" w:rsidR="00866532" w:rsidRPr="00894DE6" w:rsidRDefault="00866532" w:rsidP="00894DE6">
      <w:pPr>
        <w:rPr>
          <w:rFonts w:ascii="Arial" w:hAnsi="Arial" w:cs="Arial"/>
          <w:b/>
          <w:bCs/>
          <w:sz w:val="22"/>
          <w:szCs w:val="22"/>
        </w:rPr>
      </w:pPr>
      <w:r w:rsidRPr="00894DE6">
        <w:rPr>
          <w:rFonts w:ascii="Arial" w:hAnsi="Arial" w:cs="Arial"/>
          <w:b/>
          <w:bCs/>
          <w:sz w:val="22"/>
          <w:szCs w:val="22"/>
        </w:rPr>
        <w:t>Recruitment and inclusive leadership</w:t>
      </w:r>
    </w:p>
    <w:p w14:paraId="027FF086"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EI should also influence recruitment and selection. Organisations increasingly require employees who can communicate, collaborate and adapt. Recruitment processes can therefore include behavioural questions that assess how candidates have handled conflict, feedback or stressful situations.</w:t>
      </w:r>
    </w:p>
    <w:p w14:paraId="502652FF"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 xml:space="preserve">Inclusive leadership is particularly important in multigenerational teams. Managers should provide equal opportunities for training, promotion and participation rather than </w:t>
      </w:r>
      <w:proofErr w:type="gramStart"/>
      <w:r w:rsidRPr="00866532">
        <w:rPr>
          <w:rFonts w:ascii="Arial" w:hAnsi="Arial" w:cs="Arial"/>
          <w:sz w:val="22"/>
          <w:szCs w:val="22"/>
        </w:rPr>
        <w:t>assuming that</w:t>
      </w:r>
      <w:proofErr w:type="gramEnd"/>
      <w:r w:rsidRPr="00866532">
        <w:rPr>
          <w:rFonts w:ascii="Arial" w:hAnsi="Arial" w:cs="Arial"/>
          <w:sz w:val="22"/>
          <w:szCs w:val="22"/>
        </w:rPr>
        <w:t xml:space="preserve"> certain generations require more development than others.</w:t>
      </w:r>
    </w:p>
    <w:p w14:paraId="694AD958"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A useful approach is reverse mentoring and cross-generational mentoring. An experienced employee may support a younger colleague with industry knowledge, while a younger employee may share knowledge of emerging technologies. This turns generational diversity into a source of organisational learning rather than a problem that needs to be controlled.</w:t>
      </w:r>
    </w:p>
    <w:p w14:paraId="7780F475" w14:textId="77777777" w:rsidR="00866532" w:rsidRPr="00247641" w:rsidRDefault="00866532" w:rsidP="00866532">
      <w:pPr>
        <w:pStyle w:val="Heading2"/>
        <w:rPr>
          <w:rFonts w:ascii="Arial" w:hAnsi="Arial" w:cs="Arial"/>
          <w:sz w:val="40"/>
          <w:szCs w:val="40"/>
        </w:rPr>
      </w:pPr>
      <w:bookmarkStart w:id="4" w:name="_Toc238166486"/>
      <w:r w:rsidRPr="00247641">
        <w:rPr>
          <w:rFonts w:ascii="Arial" w:hAnsi="Arial" w:cs="Arial"/>
          <w:sz w:val="40"/>
          <w:szCs w:val="40"/>
        </w:rPr>
        <w:lastRenderedPageBreak/>
        <w:t>Critical evaluation and recommendations</w:t>
      </w:r>
      <w:bookmarkEnd w:id="4"/>
    </w:p>
    <w:p w14:paraId="292F377F"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Overall, EI and mindfulness have significant potential within contemporary organisations, but neither should be presented as a simple solution to every workplace problem. EI can improve communication, conflict management, leadership and employee relationships, while mindfulness can support stress management and emotional regulation. Research provides evidence for positive workplace outcomes associated with both approaches (Miao, Humphrey and Qian, 2017; Michaelsen et al., 2023).</w:t>
      </w:r>
    </w:p>
    <w:p w14:paraId="1370DAE1"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For senior management, five recommendations can be made.</w:t>
      </w:r>
    </w:p>
    <w:p w14:paraId="6B89B81C"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First, organisations should include EI development within leadership training. Managers should be trained in self-awareness, active listening, empathy, emotional regulation and constructive conflict management.</w:t>
      </w:r>
    </w:p>
    <w:p w14:paraId="1D690A3A"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Second, mindfulness should be offered as an optional and practical workplace resource. Short mindfulness exercises, reflective pauses and manager training can be incorporated into existing development programmes rather than treating mindfulness as a separate activity.</w:t>
      </w:r>
    </w:p>
    <w:p w14:paraId="61BA16E1"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Third, recruitment should assess interpersonal competencies alongside technical qualifications. Behavioural interview questions can provide evidence of candidates' communication, teamwork and conflict-management skills.</w:t>
      </w:r>
    </w:p>
    <w:p w14:paraId="3B0C9E57"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Fourth, managers should avoid making decisions based on generational stereotypes. Generation X, Millennials and Generation Z can be useful categories for discussing possible workplace trends, but individual preferences should remain the basis for management decisions. Recent evidence suggests that meaningful differences between generations are much less consistent than popular workplace discussions often suggest (Ravid et al., 2024/2025).</w:t>
      </w:r>
    </w:p>
    <w:p w14:paraId="6E2338F5" w14:textId="54DD122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 xml:space="preserve">Finally, organisations should measure the impact of EI and mindfulness initiatives. Employee surveys, retention figures, sickness absence, engagement scores, conflict reports and leadership feedback could be compared before and after interventions. </w:t>
      </w:r>
    </w:p>
    <w:p w14:paraId="584D0889" w14:textId="77777777" w:rsidR="00866532" w:rsidRPr="00247641" w:rsidRDefault="00866532" w:rsidP="00247641">
      <w:pPr>
        <w:pStyle w:val="Heading2"/>
        <w:rPr>
          <w:rFonts w:ascii="Arial" w:hAnsi="Arial" w:cs="Arial"/>
          <w:sz w:val="40"/>
          <w:szCs w:val="40"/>
        </w:rPr>
      </w:pPr>
      <w:bookmarkStart w:id="5" w:name="_Toc238166487"/>
      <w:r w:rsidRPr="00247641">
        <w:rPr>
          <w:rFonts w:ascii="Arial" w:hAnsi="Arial" w:cs="Arial"/>
          <w:sz w:val="40"/>
          <w:szCs w:val="40"/>
        </w:rPr>
        <w:t>Conclusion</w:t>
      </w:r>
      <w:bookmarkEnd w:id="5"/>
    </w:p>
    <w:p w14:paraId="1E4D6197"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 xml:space="preserve">Emotional intelligence and mindfulness have become increasingly relevant to contemporary organisational management because employees are required to manage complex relationships, changing demands and workplace pressure. The three EI models considered in this report provide different but complementary perspectives. Mayer and Salovey's Ability </w:t>
      </w:r>
      <w:r w:rsidRPr="00866532">
        <w:rPr>
          <w:rFonts w:ascii="Arial" w:hAnsi="Arial" w:cs="Arial"/>
          <w:sz w:val="22"/>
          <w:szCs w:val="22"/>
        </w:rPr>
        <w:lastRenderedPageBreak/>
        <w:t>Model presents EI as the ability to process emotional information, while Goleman's framework focuses more strongly on emotional competencies relevant to leadership and workplace relationships. Bar-On's model provides a broader emotional-social approach that includes adaptability, stress management and general well-being.</w:t>
      </w:r>
    </w:p>
    <w:p w14:paraId="19A58DF6"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The application of EI can improve communication, conflict management, leadership and decision-making when employees are able to recognise emotions and respond appropriately. Mindfulness can strengthen this process by encouraging individuals to pause, observe their reactions and respond rather than react. Nevertheless, organisations should recognise the limitations of both approaches. EI training cannot compensate for poor organisational structures, excessive workloads or unfair management practices, while mindfulness should not be used to place responsibility for organisational stress entirely on employees.</w:t>
      </w:r>
    </w:p>
    <w:p w14:paraId="7F43E15E"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The management of Generation X, Millennials and Generation Z also requires a balanced approach. Although different generations may have experienced different technological and social environments, research increasingly questions strong assumptions about fixed generational characteristics. Effective managers should therefore use EI and mindfulness to understand employees as individuals rather than relying on stereotypes.</w:t>
      </w:r>
    </w:p>
    <w:p w14:paraId="6A29CC88" w14:textId="77777777" w:rsidR="00866532" w:rsidRPr="00866532" w:rsidRDefault="00866532" w:rsidP="00866532">
      <w:pPr>
        <w:spacing w:line="360" w:lineRule="auto"/>
        <w:rPr>
          <w:rFonts w:ascii="Arial" w:hAnsi="Arial" w:cs="Arial"/>
          <w:sz w:val="22"/>
          <w:szCs w:val="22"/>
        </w:rPr>
      </w:pPr>
      <w:r w:rsidRPr="00866532">
        <w:rPr>
          <w:rFonts w:ascii="Arial" w:hAnsi="Arial" w:cs="Arial"/>
          <w:sz w:val="22"/>
          <w:szCs w:val="22"/>
        </w:rPr>
        <w:t>For the Senior Management Team, the main implication is that emotional intelligence and mindfulness should be integrated into wider leadership, recruitment and employee-development strategies. When supported by fair organisational systems, inclusive leadership and evidence-based HR practices, these approaches can contribute to stronger communication, improved well-being, more constructive conflict and a workplace where employees from different backgrounds and generations are able to contribute effectively.</w:t>
      </w:r>
    </w:p>
    <w:p w14:paraId="07022A6B" w14:textId="77777777" w:rsidR="00A6747F" w:rsidRDefault="00A6747F" w:rsidP="00A74D43">
      <w:pPr>
        <w:spacing w:line="360" w:lineRule="auto"/>
        <w:rPr>
          <w:rFonts w:ascii="Arial" w:hAnsi="Arial" w:cs="Arial"/>
          <w:sz w:val="22"/>
          <w:szCs w:val="22"/>
        </w:rPr>
      </w:pPr>
    </w:p>
    <w:p w14:paraId="275B5730" w14:textId="77777777" w:rsidR="00A6747F" w:rsidRDefault="00A6747F" w:rsidP="00A74D43">
      <w:pPr>
        <w:spacing w:line="360" w:lineRule="auto"/>
        <w:rPr>
          <w:rFonts w:ascii="Arial" w:hAnsi="Arial" w:cs="Arial"/>
          <w:sz w:val="22"/>
          <w:szCs w:val="22"/>
        </w:rPr>
      </w:pPr>
    </w:p>
    <w:p w14:paraId="7ACBD83D" w14:textId="77777777" w:rsidR="00453CA5" w:rsidRDefault="00453CA5" w:rsidP="00A74D43">
      <w:pPr>
        <w:spacing w:line="360" w:lineRule="auto"/>
        <w:rPr>
          <w:rFonts w:ascii="Arial" w:hAnsi="Arial" w:cs="Arial"/>
          <w:sz w:val="22"/>
          <w:szCs w:val="22"/>
        </w:rPr>
      </w:pPr>
    </w:p>
    <w:p w14:paraId="74F51EB7" w14:textId="77777777" w:rsidR="00937C16" w:rsidRDefault="005C1D9A" w:rsidP="005C1D9A">
      <w:pPr>
        <w:pStyle w:val="Heading1"/>
      </w:pPr>
      <w:r>
        <w:lastRenderedPageBreak/>
        <w:t xml:space="preserve">                                      </w:t>
      </w:r>
    </w:p>
    <w:p w14:paraId="26959408" w14:textId="77777777" w:rsidR="00937C16" w:rsidRDefault="00937C16" w:rsidP="005C1D9A">
      <w:pPr>
        <w:pStyle w:val="Heading1"/>
      </w:pPr>
    </w:p>
    <w:p w14:paraId="760CE338" w14:textId="0FB549F3" w:rsidR="005C1D9A" w:rsidRDefault="00937C16" w:rsidP="005C1D9A">
      <w:pPr>
        <w:pStyle w:val="Heading1"/>
      </w:pPr>
      <w:r>
        <w:t xml:space="preserve">                                             </w:t>
      </w:r>
      <w:r w:rsidR="005C1D9A">
        <w:t xml:space="preserve"> </w:t>
      </w:r>
      <w:bookmarkStart w:id="6" w:name="_Toc238166488"/>
      <w:r w:rsidR="005C1D9A">
        <w:t>Reference List</w:t>
      </w:r>
      <w:bookmarkEnd w:id="6"/>
    </w:p>
    <w:p w14:paraId="27ED63DA" w14:textId="26749619" w:rsidR="00937C16" w:rsidRDefault="000B3ED5" w:rsidP="00937C16">
      <w:r>
        <w:t xml:space="preserve"> </w:t>
      </w:r>
    </w:p>
    <w:p w14:paraId="74E24A70" w14:textId="77777777" w:rsidR="0001031A" w:rsidRPr="0001031A" w:rsidRDefault="0001031A" w:rsidP="0001031A">
      <w:pPr>
        <w:spacing w:line="360" w:lineRule="auto"/>
        <w:rPr>
          <w:rFonts w:ascii="Arial" w:hAnsi="Arial" w:cs="Arial"/>
          <w:i/>
          <w:iCs/>
        </w:rPr>
      </w:pPr>
      <w:r w:rsidRPr="0001031A">
        <w:rPr>
          <w:rFonts w:ascii="Arial" w:hAnsi="Arial" w:cs="Arial"/>
          <w:i/>
          <w:iCs/>
        </w:rPr>
        <w:t xml:space="preserve">Bar-On, R. (2006) ‘The Bar-On model of emotional-social intelligence (ESI)’, </w:t>
      </w:r>
      <w:proofErr w:type="spellStart"/>
      <w:r w:rsidRPr="0001031A">
        <w:rPr>
          <w:rFonts w:ascii="Arial" w:hAnsi="Arial" w:cs="Arial"/>
          <w:i/>
          <w:iCs/>
        </w:rPr>
        <w:t>Psicothema</w:t>
      </w:r>
      <w:proofErr w:type="spellEnd"/>
      <w:r w:rsidRPr="0001031A">
        <w:rPr>
          <w:rFonts w:ascii="Arial" w:hAnsi="Arial" w:cs="Arial"/>
          <w:i/>
          <w:iCs/>
        </w:rPr>
        <w:t>, 18(Suppl.), pp. 13–25.</w:t>
      </w:r>
    </w:p>
    <w:p w14:paraId="284EA0A0" w14:textId="77777777" w:rsidR="0001031A" w:rsidRPr="0001031A" w:rsidRDefault="0001031A" w:rsidP="0001031A">
      <w:pPr>
        <w:spacing w:line="360" w:lineRule="auto"/>
        <w:rPr>
          <w:rFonts w:ascii="Arial" w:hAnsi="Arial" w:cs="Arial"/>
          <w:i/>
          <w:iCs/>
        </w:rPr>
      </w:pPr>
      <w:r w:rsidRPr="0001031A">
        <w:rPr>
          <w:rFonts w:ascii="Arial" w:hAnsi="Arial" w:cs="Arial"/>
          <w:i/>
          <w:iCs/>
        </w:rPr>
        <w:t xml:space="preserve">Choudhary, R., Shaik, Y.A., Yadav, P. and Rashid, A. (2024) ‘Generational differences in technology </w:t>
      </w:r>
      <w:proofErr w:type="spellStart"/>
      <w:r w:rsidRPr="0001031A">
        <w:rPr>
          <w:rFonts w:ascii="Arial" w:hAnsi="Arial" w:cs="Arial"/>
          <w:i/>
          <w:iCs/>
        </w:rPr>
        <w:t>behavior</w:t>
      </w:r>
      <w:proofErr w:type="spellEnd"/>
      <w:r w:rsidRPr="0001031A">
        <w:rPr>
          <w:rFonts w:ascii="Arial" w:hAnsi="Arial" w:cs="Arial"/>
          <w:i/>
          <w:iCs/>
        </w:rPr>
        <w:t>: A systematic literature review’, Journal of Infrastructure, Policy and Development, 8(9), 6755.</w:t>
      </w:r>
    </w:p>
    <w:p w14:paraId="6B74F05D" w14:textId="77777777" w:rsidR="0001031A" w:rsidRPr="0001031A" w:rsidRDefault="0001031A" w:rsidP="0001031A">
      <w:pPr>
        <w:spacing w:line="360" w:lineRule="auto"/>
        <w:rPr>
          <w:rFonts w:ascii="Arial" w:hAnsi="Arial" w:cs="Arial"/>
          <w:i/>
          <w:iCs/>
        </w:rPr>
      </w:pPr>
      <w:r w:rsidRPr="0001031A">
        <w:rPr>
          <w:rFonts w:ascii="Arial" w:hAnsi="Arial" w:cs="Arial"/>
          <w:i/>
          <w:iCs/>
        </w:rPr>
        <w:t>Ding, C., Ramdas, M. and Mortillaro, M. (2023) ‘Emotional intelligence and career-related outcomes: A meta-analysis’, Human Resource Management Review, 33(3), 100967.</w:t>
      </w:r>
    </w:p>
    <w:p w14:paraId="0036229D" w14:textId="77777777" w:rsidR="0001031A" w:rsidRPr="0001031A" w:rsidRDefault="0001031A" w:rsidP="0001031A">
      <w:pPr>
        <w:spacing w:line="360" w:lineRule="auto"/>
        <w:rPr>
          <w:rFonts w:ascii="Arial" w:hAnsi="Arial" w:cs="Arial"/>
          <w:i/>
          <w:iCs/>
        </w:rPr>
      </w:pPr>
      <w:r w:rsidRPr="0001031A">
        <w:rPr>
          <w:rFonts w:ascii="Arial" w:hAnsi="Arial" w:cs="Arial"/>
          <w:i/>
          <w:iCs/>
        </w:rPr>
        <w:t>Goleman, D. and Cherniss, C. (2024) ‘Optimal leadership and emotional intelligence’, Leader to Leader, 2024(113), pp. 7–12.</w:t>
      </w:r>
    </w:p>
    <w:p w14:paraId="37DA9A35" w14:textId="77777777" w:rsidR="0001031A" w:rsidRPr="0001031A" w:rsidRDefault="0001031A" w:rsidP="0001031A">
      <w:pPr>
        <w:spacing w:line="360" w:lineRule="auto"/>
        <w:rPr>
          <w:rFonts w:ascii="Arial" w:hAnsi="Arial" w:cs="Arial"/>
          <w:i/>
          <w:iCs/>
        </w:rPr>
      </w:pPr>
      <w:r w:rsidRPr="0001031A">
        <w:rPr>
          <w:rFonts w:ascii="Arial" w:hAnsi="Arial" w:cs="Arial"/>
          <w:i/>
          <w:iCs/>
        </w:rPr>
        <w:t xml:space="preserve">Lyons, S. and Kuron, L. (2014) ‘Generational differences in the workplace: A review of the evidence and directions for future research’, Journal of Organizational </w:t>
      </w:r>
      <w:proofErr w:type="spellStart"/>
      <w:r w:rsidRPr="0001031A">
        <w:rPr>
          <w:rFonts w:ascii="Arial" w:hAnsi="Arial" w:cs="Arial"/>
          <w:i/>
          <w:iCs/>
        </w:rPr>
        <w:t>Behavior</w:t>
      </w:r>
      <w:proofErr w:type="spellEnd"/>
      <w:r w:rsidRPr="0001031A">
        <w:rPr>
          <w:rFonts w:ascii="Arial" w:hAnsi="Arial" w:cs="Arial"/>
          <w:i/>
          <w:iCs/>
        </w:rPr>
        <w:t>, 35(S1), pp. S139–S157.</w:t>
      </w:r>
    </w:p>
    <w:p w14:paraId="585AAD6F" w14:textId="77777777" w:rsidR="0001031A" w:rsidRPr="0001031A" w:rsidRDefault="0001031A" w:rsidP="0001031A">
      <w:pPr>
        <w:spacing w:line="360" w:lineRule="auto"/>
        <w:rPr>
          <w:rFonts w:ascii="Arial" w:hAnsi="Arial" w:cs="Arial"/>
          <w:i/>
          <w:iCs/>
        </w:rPr>
      </w:pPr>
      <w:r w:rsidRPr="0001031A">
        <w:rPr>
          <w:rFonts w:ascii="Arial" w:hAnsi="Arial" w:cs="Arial"/>
          <w:i/>
          <w:iCs/>
        </w:rPr>
        <w:t>Mayer, J.D. and Salovey, P. (1997) ‘What is emotional intelligence?’, in Salovey, P. and Sluyter, D.J. (eds.) Emotional Development and Emotional Intelligence: Educational Implications. New York: Basic Books, pp. 3–31.</w:t>
      </w:r>
    </w:p>
    <w:p w14:paraId="29BC5CCF" w14:textId="77777777" w:rsidR="0001031A" w:rsidRPr="0001031A" w:rsidRDefault="0001031A" w:rsidP="0001031A">
      <w:pPr>
        <w:spacing w:line="360" w:lineRule="auto"/>
        <w:rPr>
          <w:rFonts w:ascii="Arial" w:hAnsi="Arial" w:cs="Arial"/>
          <w:i/>
          <w:iCs/>
        </w:rPr>
      </w:pPr>
      <w:r w:rsidRPr="0001031A">
        <w:rPr>
          <w:rFonts w:ascii="Arial" w:hAnsi="Arial" w:cs="Arial"/>
          <w:i/>
          <w:iCs/>
        </w:rPr>
        <w:t>Mayer, J.D., Caruso, D.R. and Salovey, P. (2016) ‘The ability model of emotional intelligence: Principles and updates’, Emotion Review, 8(4), pp. 290–300.</w:t>
      </w:r>
    </w:p>
    <w:p w14:paraId="3A4130BD" w14:textId="77777777" w:rsidR="0001031A" w:rsidRPr="0001031A" w:rsidRDefault="0001031A" w:rsidP="0001031A">
      <w:pPr>
        <w:spacing w:line="360" w:lineRule="auto"/>
        <w:rPr>
          <w:rFonts w:ascii="Arial" w:hAnsi="Arial" w:cs="Arial"/>
          <w:i/>
          <w:iCs/>
        </w:rPr>
      </w:pPr>
      <w:r w:rsidRPr="0001031A">
        <w:rPr>
          <w:rFonts w:ascii="Arial" w:hAnsi="Arial" w:cs="Arial"/>
          <w:i/>
          <w:iCs/>
        </w:rPr>
        <w:t>Miao, C., Humphrey, R.H. and Qian, S. (2017) ‘A meta-analysis of the relationships between emotional intelligence and employee outcomes’, Human Resource Management Review, 27(1), pp. 15–32.</w:t>
      </w:r>
    </w:p>
    <w:p w14:paraId="71F79DB2" w14:textId="77777777" w:rsidR="0001031A" w:rsidRPr="0001031A" w:rsidRDefault="0001031A" w:rsidP="0001031A">
      <w:pPr>
        <w:spacing w:line="360" w:lineRule="auto"/>
        <w:rPr>
          <w:rFonts w:ascii="Arial" w:hAnsi="Arial" w:cs="Arial"/>
          <w:i/>
          <w:iCs/>
        </w:rPr>
      </w:pPr>
      <w:r w:rsidRPr="0001031A">
        <w:rPr>
          <w:rFonts w:ascii="Arial" w:hAnsi="Arial" w:cs="Arial"/>
          <w:i/>
          <w:iCs/>
        </w:rPr>
        <w:t xml:space="preserve">Michaelsen, M.M., Graser, J., </w:t>
      </w:r>
      <w:proofErr w:type="spellStart"/>
      <w:r w:rsidRPr="0001031A">
        <w:rPr>
          <w:rFonts w:ascii="Arial" w:hAnsi="Arial" w:cs="Arial"/>
          <w:i/>
          <w:iCs/>
        </w:rPr>
        <w:t>Onescheit</w:t>
      </w:r>
      <w:proofErr w:type="spellEnd"/>
      <w:r w:rsidRPr="0001031A">
        <w:rPr>
          <w:rFonts w:ascii="Arial" w:hAnsi="Arial" w:cs="Arial"/>
          <w:i/>
          <w:iCs/>
        </w:rPr>
        <w:t xml:space="preserve">, M., Tuma, M.P., Werdecker, L., Pieper, D. and Esch, T. (2023) ‘Mindfulness-based and mindfulness-informed interventions at </w:t>
      </w:r>
      <w:r w:rsidRPr="0001031A">
        <w:rPr>
          <w:rFonts w:ascii="Arial" w:hAnsi="Arial" w:cs="Arial"/>
          <w:i/>
          <w:iCs/>
        </w:rPr>
        <w:lastRenderedPageBreak/>
        <w:t>the workplace: A systematic review and meta-regression analysis of RCTs’, Mindfulness, 14, pp. 1271–1304.</w:t>
      </w:r>
    </w:p>
    <w:p w14:paraId="4369AA1A" w14:textId="77777777" w:rsidR="0001031A" w:rsidRPr="0001031A" w:rsidRDefault="0001031A" w:rsidP="0001031A">
      <w:pPr>
        <w:spacing w:line="360" w:lineRule="auto"/>
        <w:rPr>
          <w:rFonts w:ascii="Arial" w:hAnsi="Arial" w:cs="Arial"/>
          <w:i/>
          <w:iCs/>
        </w:rPr>
      </w:pPr>
      <w:r w:rsidRPr="0001031A">
        <w:rPr>
          <w:rFonts w:ascii="Arial" w:hAnsi="Arial" w:cs="Arial"/>
          <w:i/>
          <w:iCs/>
        </w:rPr>
        <w:t xml:space="preserve">Myers, K.K. and </w:t>
      </w:r>
      <w:proofErr w:type="spellStart"/>
      <w:r w:rsidRPr="0001031A">
        <w:rPr>
          <w:rFonts w:ascii="Arial" w:hAnsi="Arial" w:cs="Arial"/>
          <w:i/>
          <w:iCs/>
        </w:rPr>
        <w:t>Sadaghiani</w:t>
      </w:r>
      <w:proofErr w:type="spellEnd"/>
      <w:r w:rsidRPr="0001031A">
        <w:rPr>
          <w:rFonts w:ascii="Arial" w:hAnsi="Arial" w:cs="Arial"/>
          <w:i/>
          <w:iCs/>
        </w:rPr>
        <w:t>, K. (2010) ‘Millennials in the workplace: A communication perspective on Millennials’ organizational relationships and performance’, Journal of Business and Psychology, 25, pp. 225–238.</w:t>
      </w:r>
    </w:p>
    <w:p w14:paraId="47AF8BC6" w14:textId="77777777" w:rsidR="0001031A" w:rsidRPr="0001031A" w:rsidRDefault="0001031A" w:rsidP="0001031A">
      <w:pPr>
        <w:spacing w:line="360" w:lineRule="auto"/>
        <w:rPr>
          <w:rFonts w:ascii="Arial" w:hAnsi="Arial" w:cs="Arial"/>
          <w:i/>
          <w:iCs/>
        </w:rPr>
      </w:pPr>
      <w:r w:rsidRPr="0001031A">
        <w:rPr>
          <w:rFonts w:ascii="Arial" w:hAnsi="Arial" w:cs="Arial"/>
          <w:i/>
          <w:iCs/>
        </w:rPr>
        <w:t xml:space="preserve">O'Boyle, E.H. Jr., Humphrey, R.H., Pollack, J.M., Hawver, T.H. and Story, P.A. (2011) ‘The relation between emotional intelligence and job performance: A meta-analysis’, Journal of Organizational </w:t>
      </w:r>
      <w:proofErr w:type="spellStart"/>
      <w:r w:rsidRPr="0001031A">
        <w:rPr>
          <w:rFonts w:ascii="Arial" w:hAnsi="Arial" w:cs="Arial"/>
          <w:i/>
          <w:iCs/>
        </w:rPr>
        <w:t>Behavior</w:t>
      </w:r>
      <w:proofErr w:type="spellEnd"/>
      <w:r w:rsidRPr="0001031A">
        <w:rPr>
          <w:rFonts w:ascii="Arial" w:hAnsi="Arial" w:cs="Arial"/>
          <w:i/>
          <w:iCs/>
        </w:rPr>
        <w:t>, 32(5), pp. 788–818.</w:t>
      </w:r>
    </w:p>
    <w:p w14:paraId="34920D16" w14:textId="77777777" w:rsidR="0001031A" w:rsidRPr="0001031A" w:rsidRDefault="0001031A" w:rsidP="0001031A">
      <w:pPr>
        <w:spacing w:line="360" w:lineRule="auto"/>
        <w:rPr>
          <w:rFonts w:ascii="Arial" w:hAnsi="Arial" w:cs="Arial"/>
          <w:i/>
          <w:iCs/>
        </w:rPr>
      </w:pPr>
      <w:r w:rsidRPr="0001031A">
        <w:rPr>
          <w:rFonts w:ascii="Arial" w:hAnsi="Arial" w:cs="Arial"/>
          <w:i/>
          <w:iCs/>
        </w:rPr>
        <w:t xml:space="preserve">Ravid, D.M., Costanza, D.P., et al. (2024/2025) ‘Generational differences at work? A meta-analysis and qualitative investigation’, Journal of Organizational </w:t>
      </w:r>
      <w:proofErr w:type="spellStart"/>
      <w:r w:rsidRPr="0001031A">
        <w:rPr>
          <w:rFonts w:ascii="Arial" w:hAnsi="Arial" w:cs="Arial"/>
          <w:i/>
          <w:iCs/>
        </w:rPr>
        <w:t>Behavior</w:t>
      </w:r>
      <w:proofErr w:type="spellEnd"/>
      <w:r w:rsidRPr="0001031A">
        <w:rPr>
          <w:rFonts w:ascii="Arial" w:hAnsi="Arial" w:cs="Arial"/>
          <w:i/>
          <w:iCs/>
        </w:rPr>
        <w:t>.</w:t>
      </w:r>
    </w:p>
    <w:p w14:paraId="620CDCE2" w14:textId="77777777" w:rsidR="0001031A" w:rsidRPr="0001031A" w:rsidRDefault="0001031A" w:rsidP="0001031A">
      <w:pPr>
        <w:spacing w:line="360" w:lineRule="auto"/>
        <w:rPr>
          <w:rFonts w:ascii="Arial" w:hAnsi="Arial" w:cs="Arial"/>
          <w:i/>
          <w:iCs/>
        </w:rPr>
      </w:pPr>
      <w:r w:rsidRPr="0001031A">
        <w:rPr>
          <w:rFonts w:ascii="Arial" w:hAnsi="Arial" w:cs="Arial"/>
          <w:i/>
          <w:iCs/>
        </w:rPr>
        <w:t>Salovey, P. and Grewal, D. (2005) ‘The science of emotional intelligence’, Current Directions in Psychological Science, 14(6), pp. 281–285.</w:t>
      </w:r>
    </w:p>
    <w:p w14:paraId="2282A66A" w14:textId="77777777" w:rsidR="0001031A" w:rsidRPr="0001031A" w:rsidRDefault="0001031A" w:rsidP="0001031A">
      <w:pPr>
        <w:spacing w:line="360" w:lineRule="auto"/>
        <w:rPr>
          <w:rFonts w:ascii="Arial" w:hAnsi="Arial" w:cs="Arial"/>
          <w:i/>
          <w:iCs/>
        </w:rPr>
      </w:pPr>
      <w:r w:rsidRPr="0001031A">
        <w:rPr>
          <w:rFonts w:ascii="Arial" w:hAnsi="Arial" w:cs="Arial"/>
          <w:i/>
          <w:iCs/>
        </w:rPr>
        <w:t xml:space="preserve">Woodward, I., </w:t>
      </w:r>
      <w:proofErr w:type="spellStart"/>
      <w:r w:rsidRPr="0001031A">
        <w:rPr>
          <w:rFonts w:ascii="Arial" w:hAnsi="Arial" w:cs="Arial"/>
          <w:i/>
          <w:iCs/>
        </w:rPr>
        <w:t>Vongswasdi</w:t>
      </w:r>
      <w:proofErr w:type="spellEnd"/>
      <w:r w:rsidRPr="0001031A">
        <w:rPr>
          <w:rFonts w:ascii="Arial" w:hAnsi="Arial" w:cs="Arial"/>
          <w:i/>
          <w:iCs/>
        </w:rPr>
        <w:t>, P. and More, E. (2015) ‘Generational diversity at work: A systematic review of the research’, INSEAD Working Paper No. 2015/48/OB.</w:t>
      </w:r>
    </w:p>
    <w:p w14:paraId="093701F5" w14:textId="77777777" w:rsidR="0001031A" w:rsidRPr="0001031A" w:rsidRDefault="0001031A" w:rsidP="0001031A">
      <w:pPr>
        <w:spacing w:line="360" w:lineRule="auto"/>
        <w:rPr>
          <w:rFonts w:ascii="Arial" w:hAnsi="Arial" w:cs="Arial"/>
          <w:i/>
          <w:iCs/>
        </w:rPr>
      </w:pPr>
      <w:r w:rsidRPr="0001031A">
        <w:rPr>
          <w:rFonts w:ascii="Arial" w:hAnsi="Arial" w:cs="Arial"/>
          <w:i/>
          <w:iCs/>
        </w:rPr>
        <w:t>Goleman, D. (1998) Working with Emotional Intelligence. New York: Bantam Books.</w:t>
      </w:r>
    </w:p>
    <w:p w14:paraId="53D4B1F1" w14:textId="77777777" w:rsidR="006368F3" w:rsidRPr="006368F3" w:rsidRDefault="006368F3" w:rsidP="00A74D43">
      <w:pPr>
        <w:spacing w:line="360" w:lineRule="auto"/>
        <w:rPr>
          <w:rFonts w:ascii="Arial" w:hAnsi="Arial" w:cs="Arial"/>
          <w:i/>
          <w:iCs/>
        </w:rPr>
      </w:pPr>
    </w:p>
    <w:p w14:paraId="07BC0650" w14:textId="77777777" w:rsidR="002E0B5C" w:rsidRDefault="002E0B5C"/>
    <w:p w14:paraId="64C82DAC" w14:textId="7FCD815F" w:rsidR="002E0B5C" w:rsidRDefault="002E0B5C"/>
    <w:p w14:paraId="0FA99DA5" w14:textId="77777777" w:rsidR="00C56B9E" w:rsidRDefault="00C56B9E"/>
    <w:p w14:paraId="2F4EC928" w14:textId="77777777" w:rsidR="00C56B9E" w:rsidRDefault="00C56B9E"/>
    <w:sectPr w:rsidR="00C56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5C75B8"/>
    <w:multiLevelType w:val="hybridMultilevel"/>
    <w:tmpl w:val="C10C5B7C"/>
    <w:lvl w:ilvl="0" w:tplc="3974920A">
      <w:start w:val="1"/>
      <w:numFmt w:val="bullet"/>
      <w:lvlText w:val=""/>
      <w:lvlJc w:val="left"/>
      <w:pPr>
        <w:tabs>
          <w:tab w:val="num" w:pos="720"/>
        </w:tabs>
        <w:ind w:left="720" w:hanging="360"/>
      </w:pPr>
      <w:rPr>
        <w:rFonts w:ascii="Wingdings" w:hAnsi="Wingdings" w:hint="default"/>
      </w:rPr>
    </w:lvl>
    <w:lvl w:ilvl="1" w:tplc="34982402">
      <w:numFmt w:val="bullet"/>
      <w:lvlText w:val=""/>
      <w:lvlJc w:val="left"/>
      <w:pPr>
        <w:tabs>
          <w:tab w:val="num" w:pos="1440"/>
        </w:tabs>
        <w:ind w:left="1440" w:hanging="360"/>
      </w:pPr>
      <w:rPr>
        <w:rFonts w:ascii="Wingdings" w:hAnsi="Wingdings" w:hint="default"/>
      </w:rPr>
    </w:lvl>
    <w:lvl w:ilvl="2" w:tplc="ADD2C0E4" w:tentative="1">
      <w:start w:val="1"/>
      <w:numFmt w:val="bullet"/>
      <w:lvlText w:val=""/>
      <w:lvlJc w:val="left"/>
      <w:pPr>
        <w:tabs>
          <w:tab w:val="num" w:pos="2160"/>
        </w:tabs>
        <w:ind w:left="2160" w:hanging="360"/>
      </w:pPr>
      <w:rPr>
        <w:rFonts w:ascii="Wingdings" w:hAnsi="Wingdings" w:hint="default"/>
      </w:rPr>
    </w:lvl>
    <w:lvl w:ilvl="3" w:tplc="748EE732" w:tentative="1">
      <w:start w:val="1"/>
      <w:numFmt w:val="bullet"/>
      <w:lvlText w:val=""/>
      <w:lvlJc w:val="left"/>
      <w:pPr>
        <w:tabs>
          <w:tab w:val="num" w:pos="2880"/>
        </w:tabs>
        <w:ind w:left="2880" w:hanging="360"/>
      </w:pPr>
      <w:rPr>
        <w:rFonts w:ascii="Wingdings" w:hAnsi="Wingdings" w:hint="default"/>
      </w:rPr>
    </w:lvl>
    <w:lvl w:ilvl="4" w:tplc="F534882E" w:tentative="1">
      <w:start w:val="1"/>
      <w:numFmt w:val="bullet"/>
      <w:lvlText w:val=""/>
      <w:lvlJc w:val="left"/>
      <w:pPr>
        <w:tabs>
          <w:tab w:val="num" w:pos="3600"/>
        </w:tabs>
        <w:ind w:left="3600" w:hanging="360"/>
      </w:pPr>
      <w:rPr>
        <w:rFonts w:ascii="Wingdings" w:hAnsi="Wingdings" w:hint="default"/>
      </w:rPr>
    </w:lvl>
    <w:lvl w:ilvl="5" w:tplc="F7784FEA" w:tentative="1">
      <w:start w:val="1"/>
      <w:numFmt w:val="bullet"/>
      <w:lvlText w:val=""/>
      <w:lvlJc w:val="left"/>
      <w:pPr>
        <w:tabs>
          <w:tab w:val="num" w:pos="4320"/>
        </w:tabs>
        <w:ind w:left="4320" w:hanging="360"/>
      </w:pPr>
      <w:rPr>
        <w:rFonts w:ascii="Wingdings" w:hAnsi="Wingdings" w:hint="default"/>
      </w:rPr>
    </w:lvl>
    <w:lvl w:ilvl="6" w:tplc="1290A4CA" w:tentative="1">
      <w:start w:val="1"/>
      <w:numFmt w:val="bullet"/>
      <w:lvlText w:val=""/>
      <w:lvlJc w:val="left"/>
      <w:pPr>
        <w:tabs>
          <w:tab w:val="num" w:pos="5040"/>
        </w:tabs>
        <w:ind w:left="5040" w:hanging="360"/>
      </w:pPr>
      <w:rPr>
        <w:rFonts w:ascii="Wingdings" w:hAnsi="Wingdings" w:hint="default"/>
      </w:rPr>
    </w:lvl>
    <w:lvl w:ilvl="7" w:tplc="7DE89A28" w:tentative="1">
      <w:start w:val="1"/>
      <w:numFmt w:val="bullet"/>
      <w:lvlText w:val=""/>
      <w:lvlJc w:val="left"/>
      <w:pPr>
        <w:tabs>
          <w:tab w:val="num" w:pos="5760"/>
        </w:tabs>
        <w:ind w:left="5760" w:hanging="360"/>
      </w:pPr>
      <w:rPr>
        <w:rFonts w:ascii="Wingdings" w:hAnsi="Wingdings" w:hint="default"/>
      </w:rPr>
    </w:lvl>
    <w:lvl w:ilvl="8" w:tplc="6CAA0F18" w:tentative="1">
      <w:start w:val="1"/>
      <w:numFmt w:val="bullet"/>
      <w:lvlText w:val=""/>
      <w:lvlJc w:val="left"/>
      <w:pPr>
        <w:tabs>
          <w:tab w:val="num" w:pos="6480"/>
        </w:tabs>
        <w:ind w:left="6480" w:hanging="360"/>
      </w:pPr>
      <w:rPr>
        <w:rFonts w:ascii="Wingdings" w:hAnsi="Wingdings" w:hint="default"/>
      </w:rPr>
    </w:lvl>
  </w:abstractNum>
  <w:num w:numId="1" w16cid:durableId="872765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B5C"/>
    <w:rsid w:val="0001031A"/>
    <w:rsid w:val="0002608D"/>
    <w:rsid w:val="000B3ED5"/>
    <w:rsid w:val="000C4740"/>
    <w:rsid w:val="000D5195"/>
    <w:rsid w:val="00105384"/>
    <w:rsid w:val="00247641"/>
    <w:rsid w:val="00297A4C"/>
    <w:rsid w:val="002E0B5C"/>
    <w:rsid w:val="004019EE"/>
    <w:rsid w:val="00444CA2"/>
    <w:rsid w:val="00453CA5"/>
    <w:rsid w:val="00455C4F"/>
    <w:rsid w:val="004755A6"/>
    <w:rsid w:val="004A7D0D"/>
    <w:rsid w:val="004C011C"/>
    <w:rsid w:val="004C5678"/>
    <w:rsid w:val="00531295"/>
    <w:rsid w:val="005B18F7"/>
    <w:rsid w:val="005C1D9A"/>
    <w:rsid w:val="00602E29"/>
    <w:rsid w:val="00605F35"/>
    <w:rsid w:val="006368F3"/>
    <w:rsid w:val="00675D31"/>
    <w:rsid w:val="006B59E0"/>
    <w:rsid w:val="007D4002"/>
    <w:rsid w:val="007E35D8"/>
    <w:rsid w:val="0082419E"/>
    <w:rsid w:val="00866532"/>
    <w:rsid w:val="00894DE6"/>
    <w:rsid w:val="00937C16"/>
    <w:rsid w:val="00951B32"/>
    <w:rsid w:val="009B75C6"/>
    <w:rsid w:val="00A6747F"/>
    <w:rsid w:val="00A74D43"/>
    <w:rsid w:val="00A8019D"/>
    <w:rsid w:val="00AB460D"/>
    <w:rsid w:val="00B24943"/>
    <w:rsid w:val="00B74D9E"/>
    <w:rsid w:val="00C30094"/>
    <w:rsid w:val="00C56B9E"/>
    <w:rsid w:val="00CD2023"/>
    <w:rsid w:val="00E154E6"/>
    <w:rsid w:val="00E6297A"/>
    <w:rsid w:val="00EB23DB"/>
    <w:rsid w:val="00F7665F"/>
    <w:rsid w:val="00FF4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8D4A7"/>
  <w15:chartTrackingRefBased/>
  <w15:docId w15:val="{D059C05A-1BE0-4A0D-BB55-7DA27BEEC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B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0B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0B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B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B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B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B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B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B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B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0B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0B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B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B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B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B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B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B5C"/>
    <w:rPr>
      <w:rFonts w:eastAsiaTheme="majorEastAsia" w:cstheme="majorBidi"/>
      <w:color w:val="272727" w:themeColor="text1" w:themeTint="D8"/>
    </w:rPr>
  </w:style>
  <w:style w:type="paragraph" w:styleId="Title">
    <w:name w:val="Title"/>
    <w:basedOn w:val="Normal"/>
    <w:next w:val="Normal"/>
    <w:link w:val="TitleChar"/>
    <w:uiPriority w:val="10"/>
    <w:qFormat/>
    <w:rsid w:val="002E0B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B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B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B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B5C"/>
    <w:pPr>
      <w:spacing w:before="160"/>
      <w:jc w:val="center"/>
    </w:pPr>
    <w:rPr>
      <w:i/>
      <w:iCs/>
      <w:color w:val="404040" w:themeColor="text1" w:themeTint="BF"/>
    </w:rPr>
  </w:style>
  <w:style w:type="character" w:customStyle="1" w:styleId="QuoteChar">
    <w:name w:val="Quote Char"/>
    <w:basedOn w:val="DefaultParagraphFont"/>
    <w:link w:val="Quote"/>
    <w:uiPriority w:val="29"/>
    <w:rsid w:val="002E0B5C"/>
    <w:rPr>
      <w:i/>
      <w:iCs/>
      <w:color w:val="404040" w:themeColor="text1" w:themeTint="BF"/>
    </w:rPr>
  </w:style>
  <w:style w:type="paragraph" w:styleId="ListParagraph">
    <w:name w:val="List Paragraph"/>
    <w:basedOn w:val="Normal"/>
    <w:uiPriority w:val="34"/>
    <w:qFormat/>
    <w:rsid w:val="002E0B5C"/>
    <w:pPr>
      <w:ind w:left="720"/>
      <w:contextualSpacing/>
    </w:pPr>
  </w:style>
  <w:style w:type="character" w:styleId="IntenseEmphasis">
    <w:name w:val="Intense Emphasis"/>
    <w:basedOn w:val="DefaultParagraphFont"/>
    <w:uiPriority w:val="21"/>
    <w:qFormat/>
    <w:rsid w:val="002E0B5C"/>
    <w:rPr>
      <w:i/>
      <w:iCs/>
      <w:color w:val="0F4761" w:themeColor="accent1" w:themeShade="BF"/>
    </w:rPr>
  </w:style>
  <w:style w:type="paragraph" w:styleId="IntenseQuote">
    <w:name w:val="Intense Quote"/>
    <w:basedOn w:val="Normal"/>
    <w:next w:val="Normal"/>
    <w:link w:val="IntenseQuoteChar"/>
    <w:uiPriority w:val="30"/>
    <w:qFormat/>
    <w:rsid w:val="002E0B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B5C"/>
    <w:rPr>
      <w:i/>
      <w:iCs/>
      <w:color w:val="0F4761" w:themeColor="accent1" w:themeShade="BF"/>
    </w:rPr>
  </w:style>
  <w:style w:type="character" w:styleId="IntenseReference">
    <w:name w:val="Intense Reference"/>
    <w:basedOn w:val="DefaultParagraphFont"/>
    <w:uiPriority w:val="32"/>
    <w:qFormat/>
    <w:rsid w:val="002E0B5C"/>
    <w:rPr>
      <w:b/>
      <w:bCs/>
      <w:smallCaps/>
      <w:color w:val="0F4761" w:themeColor="accent1" w:themeShade="BF"/>
      <w:spacing w:val="5"/>
    </w:rPr>
  </w:style>
  <w:style w:type="paragraph" w:customStyle="1" w:styleId="Style1">
    <w:name w:val="Style1"/>
    <w:basedOn w:val="Normal"/>
    <w:link w:val="Style1Char"/>
    <w:qFormat/>
    <w:rsid w:val="004C011C"/>
    <w:pPr>
      <w:spacing w:line="360" w:lineRule="auto"/>
    </w:pPr>
    <w:rPr>
      <w:rFonts w:ascii="Arial" w:hAnsi="Arial" w:cs="Arial"/>
      <w:sz w:val="22"/>
      <w:szCs w:val="22"/>
    </w:rPr>
  </w:style>
  <w:style w:type="character" w:customStyle="1" w:styleId="Style1Char">
    <w:name w:val="Style1 Char"/>
    <w:basedOn w:val="DefaultParagraphFont"/>
    <w:link w:val="Style1"/>
    <w:rsid w:val="004C011C"/>
    <w:rPr>
      <w:rFonts w:ascii="Arial" w:hAnsi="Arial" w:cs="Arial"/>
      <w:sz w:val="22"/>
      <w:szCs w:val="22"/>
    </w:rPr>
  </w:style>
  <w:style w:type="paragraph" w:styleId="TOCHeading">
    <w:name w:val="TOC Heading"/>
    <w:basedOn w:val="Heading1"/>
    <w:next w:val="Normal"/>
    <w:uiPriority w:val="39"/>
    <w:unhideWhenUsed/>
    <w:qFormat/>
    <w:rsid w:val="00B74D9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74D9E"/>
    <w:pPr>
      <w:spacing w:after="100"/>
    </w:pPr>
  </w:style>
  <w:style w:type="paragraph" w:styleId="TOC2">
    <w:name w:val="toc 2"/>
    <w:basedOn w:val="Normal"/>
    <w:next w:val="Normal"/>
    <w:autoRedefine/>
    <w:uiPriority w:val="39"/>
    <w:unhideWhenUsed/>
    <w:rsid w:val="00B74D9E"/>
    <w:pPr>
      <w:spacing w:after="100"/>
      <w:ind w:left="240"/>
    </w:pPr>
  </w:style>
  <w:style w:type="character" w:styleId="Hyperlink">
    <w:name w:val="Hyperlink"/>
    <w:basedOn w:val="DefaultParagraphFont"/>
    <w:uiPriority w:val="99"/>
    <w:unhideWhenUsed/>
    <w:rsid w:val="00B74D9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7fb89771055c0976b0a6cccb6bc87fa3">
  <xsd:schema xmlns:xsd="http://www.w3.org/2001/XMLSchema" xmlns:xs="http://www.w3.org/2001/XMLSchema" xmlns:p="http://schemas.microsoft.com/office/2006/metadata/properties" xmlns:ns3="bf244c3e-e0b4-4871-bb4e-fd032a14544d" targetNamespace="http://schemas.microsoft.com/office/2006/metadata/properties" ma:root="true" ma:fieldsID="9e6f451df479fb6734fd2cf4acdfd9a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26F95D-ECA8-4376-9697-816CEA6B0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BD995D-195B-4644-887B-26A7977B2D54}">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BD95FADC-563F-413D-808B-330B7C31F7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4035</Words>
  <Characters>23006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Florin Paun (2411677)</dc:creator>
  <cp:keywords/>
  <dc:description/>
  <cp:lastModifiedBy>Alexandru Paun</cp:lastModifiedBy>
  <cp:revision>6</cp:revision>
  <dcterms:created xsi:type="dcterms:W3CDTF">2026-08-20T23:53:00Z</dcterms:created>
  <dcterms:modified xsi:type="dcterms:W3CDTF">2026-08-21T00:01:00Z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8a3935e4-08a0-4084-a351-5084ac5cbb05</vt:lpwstr>
  </property>
  <property fmtid="{D5CDD505-2E9C-101B-9397-08002B2CF9AE}" pid="3" name="ContentTypeId">
    <vt:lpwstr>0x010100885BDE7C2597694E9B52267909D130AC</vt:lpwstr>
  </property>
</Properties>
</file>