
<file path=[Content_Types].xml><?xml version="1.0" encoding="utf-8"?>
<Types xmlns="http://schemas.openxmlformats.org/package/2006/content-types">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880B22" w14:textId="1569AF9D" w:rsidR="00396B32" w:rsidRDefault="001F3EBA" w:rsidP="00DE2704">
      <w:pPr>
        <w:pStyle w:val="Title"/>
        <w:jc w:val="center"/>
      </w:pPr>
      <w:r>
        <w:rPr>
          <w:noProof/>
        </w:rPr>
        <w:drawing>
          <wp:anchor distT="0" distB="0" distL="114300" distR="114300" simplePos="0" relativeHeight="251658240" behindDoc="1" locked="0" layoutInCell="1" allowOverlap="1" wp14:anchorId="07C19B73" wp14:editId="02BCE29D">
            <wp:simplePos x="0" y="0"/>
            <wp:positionH relativeFrom="margin">
              <wp:align>left</wp:align>
            </wp:positionH>
            <wp:positionV relativeFrom="paragraph">
              <wp:posOffset>5080</wp:posOffset>
            </wp:positionV>
            <wp:extent cx="1714500" cy="595789"/>
            <wp:effectExtent l="0" t="0" r="0" b="0"/>
            <wp:wrapNone/>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1714500" cy="595789"/>
                    </a:xfrm>
                    <a:prstGeom prst="rect">
                      <a:avLst/>
                    </a:prstGeom>
                  </pic:spPr>
                </pic:pic>
              </a:graphicData>
            </a:graphic>
            <wp14:sizeRelH relativeFrom="margin">
              <wp14:pctWidth>0</wp14:pctWidth>
            </wp14:sizeRelH>
            <wp14:sizeRelV relativeFrom="margin">
              <wp14:pctHeight>0</wp14:pctHeight>
            </wp14:sizeRelV>
          </wp:anchor>
        </w:drawing>
      </w:r>
    </w:p>
    <w:p w14:paraId="5D107205" w14:textId="129C68B5" w:rsidR="00396B32" w:rsidRDefault="00396B32" w:rsidP="00DE2704">
      <w:pPr>
        <w:pStyle w:val="Title"/>
        <w:jc w:val="center"/>
      </w:pPr>
    </w:p>
    <w:p w14:paraId="68379D90" w14:textId="5AF2FEA2" w:rsidR="00914A9D" w:rsidRDefault="00396B32" w:rsidP="00DE2704">
      <w:pPr>
        <w:pStyle w:val="Title"/>
        <w:jc w:val="center"/>
      </w:pPr>
      <w:r>
        <w:t>Richard Harris</w:t>
      </w:r>
    </w:p>
    <w:p w14:paraId="6286B0FD" w14:textId="6440C7AE" w:rsidR="00396B32" w:rsidRDefault="00396B32" w:rsidP="00DE2704">
      <w:pPr>
        <w:pStyle w:val="Title"/>
        <w:jc w:val="center"/>
      </w:pPr>
    </w:p>
    <w:p w14:paraId="24395307" w14:textId="110D835E" w:rsidR="00396B32" w:rsidRDefault="00396B32" w:rsidP="00DE2704">
      <w:pPr>
        <w:pStyle w:val="Title"/>
        <w:jc w:val="center"/>
      </w:pPr>
      <w:r>
        <w:t>Data Security, Governance and Compliance</w:t>
      </w:r>
    </w:p>
    <w:p w14:paraId="5E196157" w14:textId="3AE4620D" w:rsidR="00396B32" w:rsidRDefault="00396B32" w:rsidP="00DE2704">
      <w:pPr>
        <w:pStyle w:val="Title"/>
        <w:jc w:val="center"/>
      </w:pPr>
      <w:r>
        <w:t>(ACCA7028)</w:t>
      </w:r>
    </w:p>
    <w:p w14:paraId="66926EA7" w14:textId="1AABE605" w:rsidR="00396B32" w:rsidRDefault="00396B32" w:rsidP="00DE2704">
      <w:pPr>
        <w:pStyle w:val="Title"/>
        <w:jc w:val="center"/>
      </w:pPr>
    </w:p>
    <w:p w14:paraId="0E48B77C" w14:textId="77777777" w:rsidR="00396B32" w:rsidRDefault="00396B32" w:rsidP="00DE2704">
      <w:pPr>
        <w:pStyle w:val="Title"/>
        <w:jc w:val="center"/>
      </w:pPr>
      <w:r>
        <w:t>Assignment 1:</w:t>
      </w:r>
    </w:p>
    <w:p w14:paraId="4FA41021" w14:textId="2A86BE8C" w:rsidR="00396B32" w:rsidRDefault="00396B32" w:rsidP="00DE2704">
      <w:pPr>
        <w:pStyle w:val="Title"/>
        <w:jc w:val="center"/>
      </w:pPr>
      <w:r>
        <w:br/>
        <w:t>Case Scenario:</w:t>
      </w:r>
      <w:r>
        <w:br/>
        <w:t>CoffeeBlue Security Framework</w:t>
      </w:r>
    </w:p>
    <w:p w14:paraId="5985D6F7" w14:textId="77777777" w:rsidR="00396B32" w:rsidRDefault="00396B32" w:rsidP="00DE2704">
      <w:pPr>
        <w:pStyle w:val="Title"/>
        <w:jc w:val="center"/>
      </w:pPr>
    </w:p>
    <w:p w14:paraId="1ACE2BEB" w14:textId="7277A39F" w:rsidR="00396B32" w:rsidRDefault="00396B32" w:rsidP="00DE2704">
      <w:pPr>
        <w:pStyle w:val="Title"/>
        <w:jc w:val="center"/>
      </w:pPr>
    </w:p>
    <w:p w14:paraId="0BC501CF" w14:textId="77777777" w:rsidR="00396B32" w:rsidRDefault="00396B32" w:rsidP="00DE2704">
      <w:pPr>
        <w:pStyle w:val="Title"/>
        <w:jc w:val="center"/>
      </w:pPr>
    </w:p>
    <w:p w14:paraId="66617868" w14:textId="77777777" w:rsidR="00396B32" w:rsidRDefault="00396B32" w:rsidP="00DE2704">
      <w:pPr>
        <w:pStyle w:val="Title"/>
        <w:jc w:val="center"/>
      </w:pPr>
    </w:p>
    <w:p w14:paraId="72CCEF03" w14:textId="0EF3BE31" w:rsidR="008B616A" w:rsidRDefault="00396B32" w:rsidP="00DE2704">
      <w:pPr>
        <w:pStyle w:val="Title"/>
        <w:jc w:val="center"/>
      </w:pPr>
      <w:r>
        <w:t>January 2022</w:t>
      </w:r>
    </w:p>
    <w:p w14:paraId="37D42821" w14:textId="77777777" w:rsidR="008B616A" w:rsidRDefault="008B616A">
      <w:pPr>
        <w:rPr>
          <w:rFonts w:asciiTheme="majorHAnsi" w:eastAsiaTheme="majorEastAsia" w:hAnsiTheme="majorHAnsi" w:cstheme="majorBidi"/>
          <w:spacing w:val="-10"/>
          <w:kern w:val="28"/>
          <w:sz w:val="56"/>
          <w:szCs w:val="56"/>
        </w:rPr>
      </w:pPr>
      <w:r>
        <w:br w:type="page"/>
      </w:r>
    </w:p>
    <w:p w14:paraId="4FF0AA0F" w14:textId="66301450" w:rsidR="00193871" w:rsidRDefault="00193871" w:rsidP="00DE2704">
      <w:pPr>
        <w:pStyle w:val="Title"/>
        <w:jc w:val="center"/>
      </w:pPr>
    </w:p>
    <w:sdt>
      <w:sdtPr>
        <w:rPr>
          <w:rFonts w:asciiTheme="minorHAnsi" w:eastAsiaTheme="minorHAnsi" w:hAnsiTheme="minorHAnsi" w:cstheme="minorBidi"/>
          <w:color w:val="auto"/>
          <w:sz w:val="22"/>
          <w:szCs w:val="22"/>
          <w:lang w:val="en-GB"/>
        </w:rPr>
        <w:id w:val="-2049982703"/>
        <w:docPartObj>
          <w:docPartGallery w:val="Table of Contents"/>
          <w:docPartUnique/>
        </w:docPartObj>
      </w:sdtPr>
      <w:sdtEndPr>
        <w:rPr>
          <w:b/>
          <w:bCs/>
          <w:noProof/>
        </w:rPr>
      </w:sdtEndPr>
      <w:sdtContent>
        <w:p w14:paraId="096B9270" w14:textId="3ACFD9A3" w:rsidR="009E5581" w:rsidRPr="009E5581" w:rsidRDefault="009E5581" w:rsidP="008B616A">
          <w:pPr>
            <w:pStyle w:val="TOCHeading"/>
          </w:pPr>
          <w:r>
            <w:t>Contents</w:t>
          </w:r>
        </w:p>
        <w:p w14:paraId="2C63E415" w14:textId="6A3C9120" w:rsidR="006E753D" w:rsidRDefault="009E558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312663" w:history="1">
            <w:r w:rsidR="006E753D" w:rsidRPr="000D3034">
              <w:rPr>
                <w:rStyle w:val="Hyperlink"/>
                <w:noProof/>
              </w:rPr>
              <w:t>Abbreviations and Acronyms List</w:t>
            </w:r>
            <w:r w:rsidR="006E753D">
              <w:rPr>
                <w:noProof/>
                <w:webHidden/>
              </w:rPr>
              <w:tab/>
            </w:r>
            <w:r w:rsidR="006E753D">
              <w:rPr>
                <w:noProof/>
                <w:webHidden/>
              </w:rPr>
              <w:fldChar w:fldCharType="begin"/>
            </w:r>
            <w:r w:rsidR="006E753D">
              <w:rPr>
                <w:noProof/>
                <w:webHidden/>
              </w:rPr>
              <w:instrText xml:space="preserve"> PAGEREF _Toc92312663 \h </w:instrText>
            </w:r>
            <w:r w:rsidR="006E753D">
              <w:rPr>
                <w:noProof/>
                <w:webHidden/>
              </w:rPr>
            </w:r>
            <w:r w:rsidR="006E753D">
              <w:rPr>
                <w:noProof/>
                <w:webHidden/>
              </w:rPr>
              <w:fldChar w:fldCharType="separate"/>
            </w:r>
            <w:r w:rsidR="006E753D">
              <w:rPr>
                <w:noProof/>
                <w:webHidden/>
              </w:rPr>
              <w:t>3</w:t>
            </w:r>
            <w:r w:rsidR="006E753D">
              <w:rPr>
                <w:noProof/>
                <w:webHidden/>
              </w:rPr>
              <w:fldChar w:fldCharType="end"/>
            </w:r>
          </w:hyperlink>
        </w:p>
        <w:p w14:paraId="0F31B5BA" w14:textId="3F3FD11C" w:rsidR="006E753D" w:rsidRDefault="005E54CC">
          <w:pPr>
            <w:pStyle w:val="TOC1"/>
            <w:tabs>
              <w:tab w:val="right" w:leader="dot" w:pos="9016"/>
            </w:tabs>
            <w:rPr>
              <w:rFonts w:eastAsiaTheme="minorEastAsia"/>
              <w:noProof/>
              <w:lang w:eastAsia="en-GB"/>
            </w:rPr>
          </w:pPr>
          <w:hyperlink w:anchor="_Toc92312664" w:history="1">
            <w:r w:rsidR="006E753D" w:rsidRPr="000D3034">
              <w:rPr>
                <w:rStyle w:val="Hyperlink"/>
                <w:noProof/>
              </w:rPr>
              <w:t>Task 1: Literary Review and Critical Analyses of Information Security Models and Infrastructures</w:t>
            </w:r>
            <w:r w:rsidR="006E753D">
              <w:rPr>
                <w:noProof/>
                <w:webHidden/>
              </w:rPr>
              <w:tab/>
            </w:r>
            <w:r w:rsidR="006E753D">
              <w:rPr>
                <w:noProof/>
                <w:webHidden/>
              </w:rPr>
              <w:fldChar w:fldCharType="begin"/>
            </w:r>
            <w:r w:rsidR="006E753D">
              <w:rPr>
                <w:noProof/>
                <w:webHidden/>
              </w:rPr>
              <w:instrText xml:space="preserve"> PAGEREF _Toc92312664 \h </w:instrText>
            </w:r>
            <w:r w:rsidR="006E753D">
              <w:rPr>
                <w:noProof/>
                <w:webHidden/>
              </w:rPr>
            </w:r>
            <w:r w:rsidR="006E753D">
              <w:rPr>
                <w:noProof/>
                <w:webHidden/>
              </w:rPr>
              <w:fldChar w:fldCharType="separate"/>
            </w:r>
            <w:r w:rsidR="006E753D">
              <w:rPr>
                <w:noProof/>
                <w:webHidden/>
              </w:rPr>
              <w:t>4</w:t>
            </w:r>
            <w:r w:rsidR="006E753D">
              <w:rPr>
                <w:noProof/>
                <w:webHidden/>
              </w:rPr>
              <w:fldChar w:fldCharType="end"/>
            </w:r>
          </w:hyperlink>
        </w:p>
        <w:p w14:paraId="0115479D" w14:textId="6AC81CAB" w:rsidR="006E753D" w:rsidRDefault="005E54CC">
          <w:pPr>
            <w:pStyle w:val="TOC2"/>
            <w:tabs>
              <w:tab w:val="right" w:leader="dot" w:pos="9016"/>
            </w:tabs>
            <w:rPr>
              <w:rFonts w:eastAsiaTheme="minorEastAsia"/>
              <w:noProof/>
              <w:lang w:eastAsia="en-GB"/>
            </w:rPr>
          </w:pPr>
          <w:hyperlink w:anchor="_Toc92312665" w:history="1">
            <w:r w:rsidR="006E753D" w:rsidRPr="000D3034">
              <w:rPr>
                <w:rStyle w:val="Hyperlink"/>
                <w:noProof/>
              </w:rPr>
              <w:t>National Institute of Standards(NIST) Cybersecurity Framework (NIST CSF)</w:t>
            </w:r>
            <w:r w:rsidR="006E753D">
              <w:rPr>
                <w:noProof/>
                <w:webHidden/>
              </w:rPr>
              <w:tab/>
            </w:r>
            <w:r w:rsidR="006E753D">
              <w:rPr>
                <w:noProof/>
                <w:webHidden/>
              </w:rPr>
              <w:fldChar w:fldCharType="begin"/>
            </w:r>
            <w:r w:rsidR="006E753D">
              <w:rPr>
                <w:noProof/>
                <w:webHidden/>
              </w:rPr>
              <w:instrText xml:space="preserve"> PAGEREF _Toc92312665 \h </w:instrText>
            </w:r>
            <w:r w:rsidR="006E753D">
              <w:rPr>
                <w:noProof/>
                <w:webHidden/>
              </w:rPr>
            </w:r>
            <w:r w:rsidR="006E753D">
              <w:rPr>
                <w:noProof/>
                <w:webHidden/>
              </w:rPr>
              <w:fldChar w:fldCharType="separate"/>
            </w:r>
            <w:r w:rsidR="006E753D">
              <w:rPr>
                <w:noProof/>
                <w:webHidden/>
              </w:rPr>
              <w:t>4</w:t>
            </w:r>
            <w:r w:rsidR="006E753D">
              <w:rPr>
                <w:noProof/>
                <w:webHidden/>
              </w:rPr>
              <w:fldChar w:fldCharType="end"/>
            </w:r>
          </w:hyperlink>
        </w:p>
        <w:p w14:paraId="2868F780" w14:textId="7D622FA8" w:rsidR="006E753D" w:rsidRDefault="005E54CC">
          <w:pPr>
            <w:pStyle w:val="TOC2"/>
            <w:tabs>
              <w:tab w:val="right" w:leader="dot" w:pos="9016"/>
            </w:tabs>
            <w:rPr>
              <w:rFonts w:eastAsiaTheme="minorEastAsia"/>
              <w:noProof/>
              <w:lang w:eastAsia="en-GB"/>
            </w:rPr>
          </w:pPr>
          <w:hyperlink w:anchor="_Toc92312666" w:history="1">
            <w:r w:rsidR="006E753D" w:rsidRPr="000D3034">
              <w:rPr>
                <w:rStyle w:val="Hyperlink"/>
                <w:noProof/>
              </w:rPr>
              <w:t>Control Objective for Information and Related Technologies(COBIT)</w:t>
            </w:r>
            <w:r w:rsidR="006E753D">
              <w:rPr>
                <w:noProof/>
                <w:webHidden/>
              </w:rPr>
              <w:tab/>
            </w:r>
            <w:r w:rsidR="006E753D">
              <w:rPr>
                <w:noProof/>
                <w:webHidden/>
              </w:rPr>
              <w:fldChar w:fldCharType="begin"/>
            </w:r>
            <w:r w:rsidR="006E753D">
              <w:rPr>
                <w:noProof/>
                <w:webHidden/>
              </w:rPr>
              <w:instrText xml:space="preserve"> PAGEREF _Toc92312666 \h </w:instrText>
            </w:r>
            <w:r w:rsidR="006E753D">
              <w:rPr>
                <w:noProof/>
                <w:webHidden/>
              </w:rPr>
            </w:r>
            <w:r w:rsidR="006E753D">
              <w:rPr>
                <w:noProof/>
                <w:webHidden/>
              </w:rPr>
              <w:fldChar w:fldCharType="separate"/>
            </w:r>
            <w:r w:rsidR="006E753D">
              <w:rPr>
                <w:noProof/>
                <w:webHidden/>
              </w:rPr>
              <w:t>5</w:t>
            </w:r>
            <w:r w:rsidR="006E753D">
              <w:rPr>
                <w:noProof/>
                <w:webHidden/>
              </w:rPr>
              <w:fldChar w:fldCharType="end"/>
            </w:r>
          </w:hyperlink>
        </w:p>
        <w:p w14:paraId="5DEBBC72" w14:textId="1330DD68" w:rsidR="006E753D" w:rsidRDefault="005E54CC">
          <w:pPr>
            <w:pStyle w:val="TOC2"/>
            <w:tabs>
              <w:tab w:val="right" w:leader="dot" w:pos="9016"/>
            </w:tabs>
            <w:rPr>
              <w:rFonts w:eastAsiaTheme="minorEastAsia"/>
              <w:noProof/>
              <w:lang w:eastAsia="en-GB"/>
            </w:rPr>
          </w:pPr>
          <w:hyperlink w:anchor="_Toc92312667" w:history="1">
            <w:r w:rsidR="006E753D" w:rsidRPr="000D3034">
              <w:rPr>
                <w:rStyle w:val="Hyperlink"/>
                <w:noProof/>
              </w:rPr>
              <w:t>International Organisation for Standardisation (ISO)</w:t>
            </w:r>
            <w:r w:rsidR="006E753D">
              <w:rPr>
                <w:noProof/>
                <w:webHidden/>
              </w:rPr>
              <w:tab/>
            </w:r>
            <w:r w:rsidR="006E753D">
              <w:rPr>
                <w:noProof/>
                <w:webHidden/>
              </w:rPr>
              <w:fldChar w:fldCharType="begin"/>
            </w:r>
            <w:r w:rsidR="006E753D">
              <w:rPr>
                <w:noProof/>
                <w:webHidden/>
              </w:rPr>
              <w:instrText xml:space="preserve"> PAGEREF _Toc92312667 \h </w:instrText>
            </w:r>
            <w:r w:rsidR="006E753D">
              <w:rPr>
                <w:noProof/>
                <w:webHidden/>
              </w:rPr>
            </w:r>
            <w:r w:rsidR="006E753D">
              <w:rPr>
                <w:noProof/>
                <w:webHidden/>
              </w:rPr>
              <w:fldChar w:fldCharType="separate"/>
            </w:r>
            <w:r w:rsidR="006E753D">
              <w:rPr>
                <w:noProof/>
                <w:webHidden/>
              </w:rPr>
              <w:t>8</w:t>
            </w:r>
            <w:r w:rsidR="006E753D">
              <w:rPr>
                <w:noProof/>
                <w:webHidden/>
              </w:rPr>
              <w:fldChar w:fldCharType="end"/>
            </w:r>
          </w:hyperlink>
        </w:p>
        <w:p w14:paraId="37A949AD" w14:textId="39E6AA48" w:rsidR="006E753D" w:rsidRDefault="005E54CC">
          <w:pPr>
            <w:pStyle w:val="TOC1"/>
            <w:tabs>
              <w:tab w:val="right" w:leader="dot" w:pos="9016"/>
            </w:tabs>
            <w:rPr>
              <w:rFonts w:eastAsiaTheme="minorEastAsia"/>
              <w:noProof/>
              <w:lang w:eastAsia="en-GB"/>
            </w:rPr>
          </w:pPr>
          <w:hyperlink w:anchor="_Toc92312668" w:history="1">
            <w:r w:rsidR="006E753D" w:rsidRPr="000D3034">
              <w:rPr>
                <w:rStyle w:val="Hyperlink"/>
                <w:noProof/>
              </w:rPr>
              <w:t>Conclusions</w:t>
            </w:r>
            <w:r w:rsidR="006E753D">
              <w:rPr>
                <w:noProof/>
                <w:webHidden/>
              </w:rPr>
              <w:tab/>
            </w:r>
            <w:r w:rsidR="006E753D">
              <w:rPr>
                <w:noProof/>
                <w:webHidden/>
              </w:rPr>
              <w:fldChar w:fldCharType="begin"/>
            </w:r>
            <w:r w:rsidR="006E753D">
              <w:rPr>
                <w:noProof/>
                <w:webHidden/>
              </w:rPr>
              <w:instrText xml:space="preserve"> PAGEREF _Toc92312668 \h </w:instrText>
            </w:r>
            <w:r w:rsidR="006E753D">
              <w:rPr>
                <w:noProof/>
                <w:webHidden/>
              </w:rPr>
            </w:r>
            <w:r w:rsidR="006E753D">
              <w:rPr>
                <w:noProof/>
                <w:webHidden/>
              </w:rPr>
              <w:fldChar w:fldCharType="separate"/>
            </w:r>
            <w:r w:rsidR="006E753D">
              <w:rPr>
                <w:noProof/>
                <w:webHidden/>
              </w:rPr>
              <w:t>9</w:t>
            </w:r>
            <w:r w:rsidR="006E753D">
              <w:rPr>
                <w:noProof/>
                <w:webHidden/>
              </w:rPr>
              <w:fldChar w:fldCharType="end"/>
            </w:r>
          </w:hyperlink>
        </w:p>
        <w:p w14:paraId="747C5559" w14:textId="087B18B1" w:rsidR="006E753D" w:rsidRDefault="005E54CC">
          <w:pPr>
            <w:pStyle w:val="TOC1"/>
            <w:tabs>
              <w:tab w:val="right" w:leader="dot" w:pos="9016"/>
            </w:tabs>
            <w:rPr>
              <w:rFonts w:eastAsiaTheme="minorEastAsia"/>
              <w:noProof/>
              <w:lang w:eastAsia="en-GB"/>
            </w:rPr>
          </w:pPr>
          <w:hyperlink w:anchor="_Toc92312669" w:history="1">
            <w:r w:rsidR="006E753D" w:rsidRPr="000D3034">
              <w:rPr>
                <w:rStyle w:val="Hyperlink"/>
                <w:noProof/>
              </w:rPr>
              <w:t>Task 2</w:t>
            </w:r>
            <w:r w:rsidR="006E753D">
              <w:rPr>
                <w:noProof/>
                <w:webHidden/>
              </w:rPr>
              <w:tab/>
            </w:r>
            <w:r w:rsidR="006E753D">
              <w:rPr>
                <w:noProof/>
                <w:webHidden/>
              </w:rPr>
              <w:fldChar w:fldCharType="begin"/>
            </w:r>
            <w:r w:rsidR="006E753D">
              <w:rPr>
                <w:noProof/>
                <w:webHidden/>
              </w:rPr>
              <w:instrText xml:space="preserve"> PAGEREF _Toc92312669 \h </w:instrText>
            </w:r>
            <w:r w:rsidR="006E753D">
              <w:rPr>
                <w:noProof/>
                <w:webHidden/>
              </w:rPr>
            </w:r>
            <w:r w:rsidR="006E753D">
              <w:rPr>
                <w:noProof/>
                <w:webHidden/>
              </w:rPr>
              <w:fldChar w:fldCharType="separate"/>
            </w:r>
            <w:r w:rsidR="006E753D">
              <w:rPr>
                <w:noProof/>
                <w:webHidden/>
              </w:rPr>
              <w:t>10</w:t>
            </w:r>
            <w:r w:rsidR="006E753D">
              <w:rPr>
                <w:noProof/>
                <w:webHidden/>
              </w:rPr>
              <w:fldChar w:fldCharType="end"/>
            </w:r>
          </w:hyperlink>
        </w:p>
        <w:p w14:paraId="60E33FED" w14:textId="50F7834A" w:rsidR="006E753D" w:rsidRDefault="005E54CC">
          <w:pPr>
            <w:pStyle w:val="TOC1"/>
            <w:tabs>
              <w:tab w:val="right" w:leader="dot" w:pos="9016"/>
            </w:tabs>
            <w:rPr>
              <w:rFonts w:eastAsiaTheme="minorEastAsia"/>
              <w:noProof/>
              <w:lang w:eastAsia="en-GB"/>
            </w:rPr>
          </w:pPr>
          <w:hyperlink w:anchor="_Toc92312670" w:history="1">
            <w:r w:rsidR="006E753D" w:rsidRPr="000D3034">
              <w:rPr>
                <w:rStyle w:val="Hyperlink"/>
                <w:noProof/>
              </w:rPr>
              <w:t>References</w:t>
            </w:r>
            <w:r w:rsidR="006E753D">
              <w:rPr>
                <w:noProof/>
                <w:webHidden/>
              </w:rPr>
              <w:tab/>
            </w:r>
            <w:r w:rsidR="006E753D">
              <w:rPr>
                <w:noProof/>
                <w:webHidden/>
              </w:rPr>
              <w:fldChar w:fldCharType="begin"/>
            </w:r>
            <w:r w:rsidR="006E753D">
              <w:rPr>
                <w:noProof/>
                <w:webHidden/>
              </w:rPr>
              <w:instrText xml:space="preserve"> PAGEREF _Toc92312670 \h </w:instrText>
            </w:r>
            <w:r w:rsidR="006E753D">
              <w:rPr>
                <w:noProof/>
                <w:webHidden/>
              </w:rPr>
            </w:r>
            <w:r w:rsidR="006E753D">
              <w:rPr>
                <w:noProof/>
                <w:webHidden/>
              </w:rPr>
              <w:fldChar w:fldCharType="separate"/>
            </w:r>
            <w:r w:rsidR="006E753D">
              <w:rPr>
                <w:noProof/>
                <w:webHidden/>
              </w:rPr>
              <w:t>13</w:t>
            </w:r>
            <w:r w:rsidR="006E753D">
              <w:rPr>
                <w:noProof/>
                <w:webHidden/>
              </w:rPr>
              <w:fldChar w:fldCharType="end"/>
            </w:r>
          </w:hyperlink>
        </w:p>
        <w:p w14:paraId="637FC57B" w14:textId="09184609" w:rsidR="009E5581" w:rsidRDefault="009E5581">
          <w:r>
            <w:rPr>
              <w:b/>
              <w:bCs/>
              <w:noProof/>
            </w:rPr>
            <w:fldChar w:fldCharType="end"/>
          </w:r>
        </w:p>
      </w:sdtContent>
    </w:sdt>
    <w:p w14:paraId="64E8F035" w14:textId="60E6BFCD" w:rsidR="00DE2704" w:rsidRDefault="00DE2704" w:rsidP="00DE2704">
      <w:pPr>
        <w:pStyle w:val="Heading1"/>
      </w:pPr>
    </w:p>
    <w:p w14:paraId="05A12848" w14:textId="77777777" w:rsidR="00DE2704" w:rsidRDefault="00DE2704">
      <w:pPr>
        <w:rPr>
          <w:rFonts w:asciiTheme="majorHAnsi" w:eastAsiaTheme="majorEastAsia" w:hAnsiTheme="majorHAnsi" w:cstheme="majorBidi"/>
          <w:color w:val="2F5496" w:themeColor="accent1" w:themeShade="BF"/>
          <w:sz w:val="36"/>
          <w:szCs w:val="32"/>
        </w:rPr>
      </w:pPr>
      <w:r>
        <w:br w:type="page"/>
      </w:r>
    </w:p>
    <w:p w14:paraId="1F826954" w14:textId="05F70837" w:rsidR="003A3AA0" w:rsidRDefault="003A3AA0" w:rsidP="003A3AA0">
      <w:pPr>
        <w:pStyle w:val="Heading1"/>
      </w:pPr>
      <w:bookmarkStart w:id="0" w:name="_Toc92312663"/>
      <w:r>
        <w:lastRenderedPageBreak/>
        <w:t>Abbreviations and Acronyms List</w:t>
      </w:r>
      <w:bookmarkEnd w:id="0"/>
    </w:p>
    <w:p w14:paraId="62B3ED08" w14:textId="67937014" w:rsidR="003A3AA0" w:rsidRPr="007B79F1" w:rsidRDefault="003A3AA0" w:rsidP="003A3AA0">
      <w:pPr>
        <w:rPr>
          <w:i/>
          <w:iCs/>
          <w:color w:val="3B3838" w:themeColor="background2" w:themeShade="40"/>
        </w:rPr>
      </w:pPr>
      <w:r w:rsidRPr="007B79F1">
        <w:rPr>
          <w:i/>
          <w:iCs/>
          <w:color w:val="3B3838" w:themeColor="background2" w:themeShade="40"/>
        </w:rPr>
        <w:t>Note: All</w:t>
      </w:r>
      <w:r w:rsidR="00AB06C6">
        <w:rPr>
          <w:i/>
          <w:iCs/>
          <w:color w:val="3B3838" w:themeColor="background2" w:themeShade="40"/>
        </w:rPr>
        <w:t xml:space="preserve"> initial</w:t>
      </w:r>
      <w:r w:rsidRPr="007B79F1">
        <w:rPr>
          <w:i/>
          <w:iCs/>
          <w:color w:val="3B3838" w:themeColor="background2" w:themeShade="40"/>
        </w:rPr>
        <w:t xml:space="preserve"> abbreviations and acronyms in this document have been screen tipped and linked with th</w:t>
      </w:r>
      <w:r w:rsidR="007B79F1">
        <w:rPr>
          <w:i/>
          <w:iCs/>
          <w:color w:val="3B3838" w:themeColor="background2" w:themeShade="40"/>
        </w:rPr>
        <w:t>is</w:t>
      </w:r>
      <w:r w:rsidRPr="007B79F1">
        <w:rPr>
          <w:i/>
          <w:iCs/>
          <w:color w:val="3B3838" w:themeColor="background2" w:themeShade="40"/>
        </w:rPr>
        <w:t xml:space="preserve"> table. Hovering cursor</w:t>
      </w:r>
      <w:r w:rsidR="007B79F1" w:rsidRPr="007B79F1">
        <w:rPr>
          <w:i/>
          <w:iCs/>
          <w:color w:val="3B3838" w:themeColor="background2" w:themeShade="40"/>
        </w:rPr>
        <w:t xml:space="preserve"> over a text such as this: </w:t>
      </w:r>
      <w:hyperlink w:anchor="CSF" w:tooltip="CSF: Cybersecurity Framework: Security Guidelines determined by security and legal experts" w:history="1">
        <w:r w:rsidR="007B79F1" w:rsidRPr="007B79F1">
          <w:rPr>
            <w:rStyle w:val="Hyperlink"/>
            <w:bCs/>
            <w:i/>
            <w:iCs/>
            <w:color w:val="000000" w:themeColor="text1"/>
          </w:rPr>
          <w:t>CSF</w:t>
        </w:r>
      </w:hyperlink>
      <w:r w:rsidR="007B79F1" w:rsidRPr="007B79F1">
        <w:rPr>
          <w:i/>
          <w:iCs/>
          <w:color w:val="3B3838" w:themeColor="background2" w:themeShade="40"/>
        </w:rPr>
        <w:t>,</w:t>
      </w:r>
      <w:r w:rsidRPr="007B79F1">
        <w:rPr>
          <w:i/>
          <w:iCs/>
          <w:color w:val="3B3838" w:themeColor="background2" w:themeShade="40"/>
        </w:rPr>
        <w:t xml:space="preserve"> will allow reader to see the meaning of the corresponding abbreviation and acronym.</w:t>
      </w:r>
      <w:r w:rsidR="007B79F1">
        <w:rPr>
          <w:i/>
          <w:iCs/>
          <w:color w:val="3B3838" w:themeColor="background2" w:themeShade="40"/>
        </w:rPr>
        <w:t xml:space="preserve"> Using Ctrl &amp; clicking the text will direct you to this table. </w:t>
      </w:r>
      <w:r w:rsidRPr="007B79F1">
        <w:rPr>
          <w:i/>
          <w:iCs/>
          <w:color w:val="3B3838" w:themeColor="background2" w:themeShade="40"/>
        </w:rPr>
        <w:t xml:space="preserve"> This list is in order</w:t>
      </w:r>
      <w:r w:rsidR="00504165">
        <w:rPr>
          <w:i/>
          <w:iCs/>
          <w:color w:val="3B3838" w:themeColor="background2" w:themeShade="40"/>
        </w:rPr>
        <w:t xml:space="preserve"> of appearance</w:t>
      </w:r>
      <w:r w:rsidRPr="007B79F1">
        <w:rPr>
          <w:i/>
          <w:iCs/>
          <w:color w:val="3B3838" w:themeColor="background2" w:themeShade="40"/>
        </w:rPr>
        <w:t>.</w:t>
      </w:r>
    </w:p>
    <w:p w14:paraId="352BD802" w14:textId="77777777" w:rsidR="003A3AA0" w:rsidRPr="007B79F1" w:rsidRDefault="003A3AA0" w:rsidP="003A3AA0"/>
    <w:tbl>
      <w:tblPr>
        <w:tblStyle w:val="GridTable2-Accent1"/>
        <w:tblW w:w="0" w:type="auto"/>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4A0" w:firstRow="1" w:lastRow="0" w:firstColumn="1" w:lastColumn="0" w:noHBand="0" w:noVBand="1"/>
      </w:tblPr>
      <w:tblGrid>
        <w:gridCol w:w="1114"/>
        <w:gridCol w:w="7178"/>
      </w:tblGrid>
      <w:tr w:rsidR="003A3AA0" w14:paraId="18DEB6C7" w14:textId="77777777" w:rsidTr="00E746F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4" w:type="dxa"/>
            <w:tcBorders>
              <w:top w:val="none" w:sz="0" w:space="0" w:color="auto"/>
              <w:bottom w:val="none" w:sz="0" w:space="0" w:color="auto"/>
              <w:right w:val="none" w:sz="0" w:space="0" w:color="auto"/>
            </w:tcBorders>
          </w:tcPr>
          <w:p w14:paraId="6064F215" w14:textId="4B1A125E" w:rsidR="003A3AA0" w:rsidRPr="003A3AA0" w:rsidRDefault="003A3AA0" w:rsidP="003A3AA0">
            <w:r w:rsidRPr="003A3AA0">
              <w:t>InfoSec</w:t>
            </w:r>
          </w:p>
        </w:tc>
        <w:tc>
          <w:tcPr>
            <w:tcW w:w="7178" w:type="dxa"/>
            <w:tcBorders>
              <w:top w:val="none" w:sz="0" w:space="0" w:color="auto"/>
              <w:left w:val="none" w:sz="0" w:space="0" w:color="auto"/>
              <w:bottom w:val="none" w:sz="0" w:space="0" w:color="auto"/>
            </w:tcBorders>
          </w:tcPr>
          <w:p w14:paraId="1BA80BF0" w14:textId="3C04616F" w:rsidR="003A3AA0" w:rsidRPr="00EC2D14" w:rsidRDefault="007B79F1" w:rsidP="003A3AA0">
            <w:pPr>
              <w:cnfStyle w:val="100000000000" w:firstRow="1" w:lastRow="0" w:firstColumn="0" w:lastColumn="0" w:oddVBand="0" w:evenVBand="0" w:oddHBand="0" w:evenHBand="0" w:firstRowFirstColumn="0" w:firstRowLastColumn="0" w:lastRowFirstColumn="0" w:lastRowLastColumn="0"/>
              <w:rPr>
                <w:b w:val="0"/>
                <w:bCs w:val="0"/>
                <w:i/>
                <w:iCs/>
              </w:rPr>
            </w:pPr>
            <w:r w:rsidRPr="00EC2D14">
              <w:rPr>
                <w:b w:val="0"/>
                <w:bCs w:val="0"/>
                <w:i/>
                <w:iCs/>
              </w:rPr>
              <w:t>Common Abbreviation for Information Security</w:t>
            </w:r>
          </w:p>
        </w:tc>
      </w:tr>
      <w:tr w:rsidR="003A3AA0" w14:paraId="575C2F67" w14:textId="77777777" w:rsidTr="00E746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4" w:type="dxa"/>
          </w:tcPr>
          <w:p w14:paraId="3316B9CC" w14:textId="6A6B8E61" w:rsidR="003A3AA0" w:rsidRPr="003A3AA0" w:rsidRDefault="003A3AA0" w:rsidP="003A3AA0">
            <w:bookmarkStart w:id="1" w:name="CSF"/>
            <w:r w:rsidRPr="003A3AA0">
              <w:t>CSF</w:t>
            </w:r>
            <w:bookmarkEnd w:id="1"/>
          </w:p>
        </w:tc>
        <w:tc>
          <w:tcPr>
            <w:tcW w:w="7178" w:type="dxa"/>
          </w:tcPr>
          <w:p w14:paraId="09E2A838" w14:textId="4E494CD5" w:rsidR="003A3AA0" w:rsidRPr="00EC2D14" w:rsidRDefault="007B79F1" w:rsidP="003A3AA0">
            <w:pPr>
              <w:cnfStyle w:val="000000100000" w:firstRow="0" w:lastRow="0" w:firstColumn="0" w:lastColumn="0" w:oddVBand="0" w:evenVBand="0" w:oddHBand="1" w:evenHBand="0" w:firstRowFirstColumn="0" w:firstRowLastColumn="0" w:lastRowFirstColumn="0" w:lastRowLastColumn="0"/>
              <w:rPr>
                <w:i/>
                <w:iCs/>
              </w:rPr>
            </w:pPr>
            <w:r w:rsidRPr="00EC2D14">
              <w:rPr>
                <w:i/>
                <w:iCs/>
              </w:rPr>
              <w:t>Cybersecurity Framework: Security Guidelines determined by security and legal experts</w:t>
            </w:r>
          </w:p>
        </w:tc>
      </w:tr>
      <w:tr w:rsidR="00510EDF" w14:paraId="43ED14E1" w14:textId="77777777" w:rsidTr="00E746F1">
        <w:tc>
          <w:tcPr>
            <w:cnfStyle w:val="001000000000" w:firstRow="0" w:lastRow="0" w:firstColumn="1" w:lastColumn="0" w:oddVBand="0" w:evenVBand="0" w:oddHBand="0" w:evenHBand="0" w:firstRowFirstColumn="0" w:firstRowLastColumn="0" w:lastRowFirstColumn="0" w:lastRowLastColumn="0"/>
            <w:tcW w:w="1114" w:type="dxa"/>
          </w:tcPr>
          <w:p w14:paraId="06937211" w14:textId="49062EDE" w:rsidR="00510EDF" w:rsidRPr="003A3AA0" w:rsidRDefault="00510EDF" w:rsidP="003A3AA0">
            <w:bookmarkStart w:id="2" w:name="NIST"/>
            <w:r>
              <w:t>NIST</w:t>
            </w:r>
            <w:bookmarkEnd w:id="2"/>
          </w:p>
        </w:tc>
        <w:tc>
          <w:tcPr>
            <w:tcW w:w="7178" w:type="dxa"/>
          </w:tcPr>
          <w:p w14:paraId="618B9C03" w14:textId="0CDB25E4" w:rsidR="00510EDF" w:rsidRPr="00EC2D14" w:rsidRDefault="00510EDF" w:rsidP="00510EDF">
            <w:pPr>
              <w:cnfStyle w:val="000000000000" w:firstRow="0" w:lastRow="0" w:firstColumn="0" w:lastColumn="0" w:oddVBand="0" w:evenVBand="0" w:oddHBand="0" w:evenHBand="0" w:firstRowFirstColumn="0" w:firstRowLastColumn="0" w:lastRowFirstColumn="0" w:lastRowLastColumn="0"/>
              <w:rPr>
                <w:i/>
                <w:iCs/>
              </w:rPr>
            </w:pPr>
            <w:r w:rsidRPr="00EC2D14">
              <w:rPr>
                <w:i/>
                <w:iCs/>
              </w:rPr>
              <w:t>National Institute of Standards</w:t>
            </w:r>
          </w:p>
        </w:tc>
      </w:tr>
      <w:tr w:rsidR="00510EDF" w14:paraId="6EA2E407" w14:textId="77777777" w:rsidTr="00E746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4" w:type="dxa"/>
          </w:tcPr>
          <w:p w14:paraId="7946C3E4" w14:textId="09D17759" w:rsidR="00510EDF" w:rsidRPr="003A3AA0" w:rsidRDefault="00510EDF" w:rsidP="003A3AA0">
            <w:bookmarkStart w:id="3" w:name="NIST_CSF"/>
            <w:r>
              <w:t>NIST CSF</w:t>
            </w:r>
            <w:bookmarkEnd w:id="3"/>
          </w:p>
        </w:tc>
        <w:tc>
          <w:tcPr>
            <w:tcW w:w="7178" w:type="dxa"/>
          </w:tcPr>
          <w:p w14:paraId="2AD5FEF6" w14:textId="58773B72" w:rsidR="00510EDF" w:rsidRPr="00EC2D14" w:rsidRDefault="00510EDF" w:rsidP="003A3AA0">
            <w:pPr>
              <w:cnfStyle w:val="000000100000" w:firstRow="0" w:lastRow="0" w:firstColumn="0" w:lastColumn="0" w:oddVBand="0" w:evenVBand="0" w:oddHBand="1" w:evenHBand="0" w:firstRowFirstColumn="0" w:firstRowLastColumn="0" w:lastRowFirstColumn="0" w:lastRowLastColumn="0"/>
              <w:rPr>
                <w:i/>
                <w:iCs/>
              </w:rPr>
            </w:pPr>
            <w:r w:rsidRPr="00EC2D14">
              <w:rPr>
                <w:i/>
                <w:iCs/>
              </w:rPr>
              <w:t>Full Abbreviation of National Institute of Standards Cybersecurity Framework</w:t>
            </w:r>
          </w:p>
        </w:tc>
      </w:tr>
      <w:tr w:rsidR="00306003" w14:paraId="3607F161" w14:textId="77777777" w:rsidTr="00E746F1">
        <w:tc>
          <w:tcPr>
            <w:cnfStyle w:val="001000000000" w:firstRow="0" w:lastRow="0" w:firstColumn="1" w:lastColumn="0" w:oddVBand="0" w:evenVBand="0" w:oddHBand="0" w:evenHBand="0" w:firstRowFirstColumn="0" w:firstRowLastColumn="0" w:lastRowFirstColumn="0" w:lastRowLastColumn="0"/>
            <w:tcW w:w="1114" w:type="dxa"/>
          </w:tcPr>
          <w:p w14:paraId="0A8BEEFF" w14:textId="20FD07D9" w:rsidR="00306003" w:rsidRDefault="00306003" w:rsidP="003A3AA0">
            <w:r>
              <w:t>InfoSe</w:t>
            </w:r>
            <w:bookmarkStart w:id="4" w:name="InfoSec"/>
            <w:bookmarkEnd w:id="4"/>
            <w:r>
              <w:t>c</w:t>
            </w:r>
          </w:p>
        </w:tc>
        <w:tc>
          <w:tcPr>
            <w:tcW w:w="7178" w:type="dxa"/>
          </w:tcPr>
          <w:p w14:paraId="355C6E80" w14:textId="3B110AA7" w:rsidR="00306003" w:rsidRPr="00EC2D14" w:rsidRDefault="00306003" w:rsidP="003A3AA0">
            <w:pPr>
              <w:cnfStyle w:val="000000000000" w:firstRow="0" w:lastRow="0" w:firstColumn="0" w:lastColumn="0" w:oddVBand="0" w:evenVBand="0" w:oddHBand="0" w:evenHBand="0" w:firstRowFirstColumn="0" w:firstRowLastColumn="0" w:lastRowFirstColumn="0" w:lastRowLastColumn="0"/>
              <w:rPr>
                <w:i/>
                <w:iCs/>
              </w:rPr>
            </w:pPr>
            <w:r w:rsidRPr="00EC2D14">
              <w:rPr>
                <w:i/>
                <w:iCs/>
              </w:rPr>
              <w:t>Abbreviation of the words Information Security</w:t>
            </w:r>
          </w:p>
        </w:tc>
      </w:tr>
      <w:tr w:rsidR="00510EDF" w14:paraId="2FB91153" w14:textId="77777777" w:rsidTr="00E746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4" w:type="dxa"/>
          </w:tcPr>
          <w:p w14:paraId="7A12D760" w14:textId="76BE0E8C" w:rsidR="00510EDF" w:rsidRPr="003A3AA0" w:rsidRDefault="00510EDF" w:rsidP="003A3AA0">
            <w:bookmarkStart w:id="5" w:name="COBIT"/>
            <w:r>
              <w:t>COBIT</w:t>
            </w:r>
            <w:bookmarkEnd w:id="5"/>
          </w:p>
        </w:tc>
        <w:tc>
          <w:tcPr>
            <w:tcW w:w="7178" w:type="dxa"/>
          </w:tcPr>
          <w:p w14:paraId="3FDD8160" w14:textId="696E6055" w:rsidR="00510EDF" w:rsidRPr="00EC2D14" w:rsidRDefault="00510EDF" w:rsidP="003A3AA0">
            <w:pPr>
              <w:cnfStyle w:val="000000100000" w:firstRow="0" w:lastRow="0" w:firstColumn="0" w:lastColumn="0" w:oddVBand="0" w:evenVBand="0" w:oddHBand="1" w:evenHBand="0" w:firstRowFirstColumn="0" w:firstRowLastColumn="0" w:lastRowFirstColumn="0" w:lastRowLastColumn="0"/>
              <w:rPr>
                <w:i/>
                <w:iCs/>
              </w:rPr>
            </w:pPr>
            <w:r w:rsidRPr="00EC2D14">
              <w:rPr>
                <w:i/>
                <w:iCs/>
              </w:rPr>
              <w:t>Control Objective for Information and Related Technologies</w:t>
            </w:r>
          </w:p>
        </w:tc>
      </w:tr>
      <w:tr w:rsidR="004D1C9C" w14:paraId="3F728EBE" w14:textId="77777777" w:rsidTr="00E746F1">
        <w:tc>
          <w:tcPr>
            <w:cnfStyle w:val="001000000000" w:firstRow="0" w:lastRow="0" w:firstColumn="1" w:lastColumn="0" w:oddVBand="0" w:evenVBand="0" w:oddHBand="0" w:evenHBand="0" w:firstRowFirstColumn="0" w:firstRowLastColumn="0" w:lastRowFirstColumn="0" w:lastRowLastColumn="0"/>
            <w:tcW w:w="1114" w:type="dxa"/>
          </w:tcPr>
          <w:p w14:paraId="5972FA38" w14:textId="10C37786" w:rsidR="004D1C9C" w:rsidRDefault="004D1C9C" w:rsidP="003A3AA0">
            <w:r>
              <w:t>IT</w:t>
            </w:r>
            <w:bookmarkStart w:id="6" w:name="ITIL"/>
            <w:bookmarkEnd w:id="6"/>
            <w:r>
              <w:t>IL</w:t>
            </w:r>
          </w:p>
        </w:tc>
        <w:tc>
          <w:tcPr>
            <w:tcW w:w="7178" w:type="dxa"/>
          </w:tcPr>
          <w:p w14:paraId="2AF62191" w14:textId="3D9EDB2B" w:rsidR="004D1C9C" w:rsidRPr="00EC2D14" w:rsidRDefault="004D1C9C" w:rsidP="003A3AA0">
            <w:pPr>
              <w:cnfStyle w:val="000000000000" w:firstRow="0" w:lastRow="0" w:firstColumn="0" w:lastColumn="0" w:oddVBand="0" w:evenVBand="0" w:oddHBand="0" w:evenHBand="0" w:firstRowFirstColumn="0" w:firstRowLastColumn="0" w:lastRowFirstColumn="0" w:lastRowLastColumn="0"/>
              <w:rPr>
                <w:rFonts w:cstheme="minorHAnsi"/>
                <w:i/>
                <w:iCs/>
              </w:rPr>
            </w:pPr>
            <w:r w:rsidRPr="00EC2D14">
              <w:rPr>
                <w:rFonts w:cstheme="minorHAnsi"/>
                <w:i/>
                <w:iCs/>
                <w:color w:val="202122"/>
                <w:shd w:val="clear" w:color="auto" w:fill="FFFFFF"/>
              </w:rPr>
              <w:t>Information Technology Infrastructure Library </w:t>
            </w:r>
          </w:p>
        </w:tc>
      </w:tr>
      <w:tr w:rsidR="004D1C9C" w14:paraId="323CD08B" w14:textId="77777777" w:rsidTr="00E746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4" w:type="dxa"/>
          </w:tcPr>
          <w:p w14:paraId="3ADD9BAD" w14:textId="5D40DAA2" w:rsidR="004D1C9C" w:rsidRDefault="004D1C9C" w:rsidP="003A3AA0">
            <w:r>
              <w:t>TO</w:t>
            </w:r>
            <w:bookmarkStart w:id="7" w:name="TOGAF"/>
            <w:bookmarkEnd w:id="7"/>
            <w:r>
              <w:t>GAF</w:t>
            </w:r>
          </w:p>
        </w:tc>
        <w:tc>
          <w:tcPr>
            <w:tcW w:w="7178" w:type="dxa"/>
          </w:tcPr>
          <w:p w14:paraId="62AA16E2" w14:textId="09120A6E" w:rsidR="004D1C9C" w:rsidRPr="00EC2D14" w:rsidRDefault="004D1C9C" w:rsidP="003A3AA0">
            <w:pPr>
              <w:cnfStyle w:val="000000100000" w:firstRow="0" w:lastRow="0" w:firstColumn="0" w:lastColumn="0" w:oddVBand="0" w:evenVBand="0" w:oddHBand="1" w:evenHBand="0" w:firstRowFirstColumn="0" w:firstRowLastColumn="0" w:lastRowFirstColumn="0" w:lastRowLastColumn="0"/>
              <w:rPr>
                <w:i/>
                <w:iCs/>
              </w:rPr>
            </w:pPr>
            <w:r w:rsidRPr="00EC2D14">
              <w:rPr>
                <w:i/>
                <w:iCs/>
              </w:rPr>
              <w:t>The Open Group Architecture Framework</w:t>
            </w:r>
          </w:p>
        </w:tc>
      </w:tr>
      <w:tr w:rsidR="00EC2D14" w14:paraId="08316489" w14:textId="77777777" w:rsidTr="00E746F1">
        <w:tc>
          <w:tcPr>
            <w:cnfStyle w:val="001000000000" w:firstRow="0" w:lastRow="0" w:firstColumn="1" w:lastColumn="0" w:oddVBand="0" w:evenVBand="0" w:oddHBand="0" w:evenHBand="0" w:firstRowFirstColumn="0" w:firstRowLastColumn="0" w:lastRowFirstColumn="0" w:lastRowLastColumn="0"/>
            <w:tcW w:w="1114" w:type="dxa"/>
          </w:tcPr>
          <w:p w14:paraId="663FDEE4" w14:textId="0C5C352D" w:rsidR="00EC2D14" w:rsidRDefault="00EC2D14" w:rsidP="003A3AA0">
            <w:bookmarkStart w:id="8" w:name="ISACA"/>
            <w:r>
              <w:t>ISACA</w:t>
            </w:r>
            <w:bookmarkEnd w:id="8"/>
          </w:p>
        </w:tc>
        <w:tc>
          <w:tcPr>
            <w:tcW w:w="7178" w:type="dxa"/>
          </w:tcPr>
          <w:p w14:paraId="3B56B382" w14:textId="4426AA5C" w:rsidR="00EC2D14" w:rsidRPr="00EC2D14" w:rsidRDefault="00EC2D14" w:rsidP="00EC2D14">
            <w:pPr>
              <w:tabs>
                <w:tab w:val="left" w:pos="6120"/>
              </w:tabs>
              <w:cnfStyle w:val="000000000000" w:firstRow="0" w:lastRow="0" w:firstColumn="0" w:lastColumn="0" w:oddVBand="0" w:evenVBand="0" w:oddHBand="0" w:evenHBand="0" w:firstRowFirstColumn="0" w:firstRowLastColumn="0" w:lastRowFirstColumn="0" w:lastRowLastColumn="0"/>
              <w:rPr>
                <w:rFonts w:cstheme="minorHAnsi"/>
                <w:i/>
                <w:iCs/>
              </w:rPr>
            </w:pPr>
            <w:r w:rsidRPr="00EC2D14">
              <w:rPr>
                <w:rFonts w:cstheme="minorHAnsi"/>
                <w:i/>
                <w:iCs/>
                <w:color w:val="1D252C"/>
              </w:rPr>
              <w:t>Information Systems Audit and Control Association</w:t>
            </w:r>
            <w:r w:rsidRPr="00EC2D14">
              <w:rPr>
                <w:rFonts w:cstheme="minorHAnsi"/>
                <w:i/>
                <w:iCs/>
                <w:color w:val="1D252C"/>
              </w:rPr>
              <w:tab/>
            </w:r>
          </w:p>
        </w:tc>
      </w:tr>
      <w:tr w:rsidR="00510EDF" w14:paraId="35539D77" w14:textId="77777777" w:rsidTr="003C783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4" w:type="dxa"/>
          </w:tcPr>
          <w:p w14:paraId="69DA61A2" w14:textId="7C21E80C" w:rsidR="00510EDF" w:rsidRPr="003A3AA0" w:rsidRDefault="00510EDF" w:rsidP="003A3AA0">
            <w:bookmarkStart w:id="9" w:name="ISO"/>
            <w:r>
              <w:t>ISO</w:t>
            </w:r>
            <w:bookmarkEnd w:id="9"/>
          </w:p>
        </w:tc>
        <w:tc>
          <w:tcPr>
            <w:tcW w:w="7178" w:type="dxa"/>
            <w:shd w:val="clear" w:color="auto" w:fill="FFFFFF" w:themeFill="background1"/>
          </w:tcPr>
          <w:p w14:paraId="79E084CD" w14:textId="279F9BB8" w:rsidR="00510EDF" w:rsidRPr="00EC2D14" w:rsidRDefault="00510EDF" w:rsidP="003A3AA0">
            <w:pPr>
              <w:cnfStyle w:val="000000100000" w:firstRow="0" w:lastRow="0" w:firstColumn="0" w:lastColumn="0" w:oddVBand="0" w:evenVBand="0" w:oddHBand="1" w:evenHBand="0" w:firstRowFirstColumn="0" w:firstRowLastColumn="0" w:lastRowFirstColumn="0" w:lastRowLastColumn="0"/>
              <w:rPr>
                <w:i/>
                <w:iCs/>
              </w:rPr>
            </w:pPr>
            <w:r w:rsidRPr="00EC2D14">
              <w:rPr>
                <w:i/>
                <w:iCs/>
              </w:rPr>
              <w:t>International Organisation for Standardisation</w:t>
            </w:r>
          </w:p>
        </w:tc>
      </w:tr>
      <w:tr w:rsidR="00510EDF" w14:paraId="10CA29D2" w14:textId="77777777" w:rsidTr="003C7837">
        <w:tc>
          <w:tcPr>
            <w:cnfStyle w:val="001000000000" w:firstRow="0" w:lastRow="0" w:firstColumn="1" w:lastColumn="0" w:oddVBand="0" w:evenVBand="0" w:oddHBand="0" w:evenHBand="0" w:firstRowFirstColumn="0" w:firstRowLastColumn="0" w:lastRowFirstColumn="0" w:lastRowLastColumn="0"/>
            <w:tcW w:w="1114" w:type="dxa"/>
          </w:tcPr>
          <w:p w14:paraId="63CCB4C5" w14:textId="3BD00294" w:rsidR="00510EDF" w:rsidRPr="003A3AA0" w:rsidRDefault="00510EDF" w:rsidP="003A3AA0"/>
        </w:tc>
        <w:tc>
          <w:tcPr>
            <w:tcW w:w="7178" w:type="dxa"/>
          </w:tcPr>
          <w:p w14:paraId="3F3FE1E7" w14:textId="3125B28B" w:rsidR="00510EDF" w:rsidRPr="00EC2D14" w:rsidRDefault="00510EDF" w:rsidP="003A3AA0">
            <w:pPr>
              <w:cnfStyle w:val="000000000000" w:firstRow="0" w:lastRow="0" w:firstColumn="0" w:lastColumn="0" w:oddVBand="0" w:evenVBand="0" w:oddHBand="0" w:evenHBand="0" w:firstRowFirstColumn="0" w:firstRowLastColumn="0" w:lastRowFirstColumn="0" w:lastRowLastColumn="0"/>
              <w:rPr>
                <w:i/>
                <w:iCs/>
              </w:rPr>
            </w:pPr>
          </w:p>
        </w:tc>
      </w:tr>
      <w:tr w:rsidR="00510EDF" w14:paraId="55B815C9" w14:textId="77777777" w:rsidTr="00E746F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4" w:type="dxa"/>
          </w:tcPr>
          <w:p w14:paraId="36B31B08" w14:textId="78CD4B4F" w:rsidR="00510EDF" w:rsidRPr="003A3AA0" w:rsidRDefault="00510EDF" w:rsidP="003A3AA0"/>
        </w:tc>
        <w:tc>
          <w:tcPr>
            <w:tcW w:w="7178" w:type="dxa"/>
          </w:tcPr>
          <w:p w14:paraId="1020CF29" w14:textId="77777777" w:rsidR="00510EDF" w:rsidRPr="00EC2D14" w:rsidRDefault="00510EDF" w:rsidP="003A3AA0">
            <w:pPr>
              <w:cnfStyle w:val="000000100000" w:firstRow="0" w:lastRow="0" w:firstColumn="0" w:lastColumn="0" w:oddVBand="0" w:evenVBand="0" w:oddHBand="1" w:evenHBand="0" w:firstRowFirstColumn="0" w:firstRowLastColumn="0" w:lastRowFirstColumn="0" w:lastRowLastColumn="0"/>
              <w:rPr>
                <w:i/>
                <w:iCs/>
              </w:rPr>
            </w:pPr>
          </w:p>
        </w:tc>
      </w:tr>
    </w:tbl>
    <w:p w14:paraId="1C87FD19" w14:textId="4A28DAB1" w:rsidR="003A3AA0" w:rsidRDefault="003A3AA0" w:rsidP="003A3AA0">
      <w:r>
        <w:br w:type="page"/>
      </w:r>
    </w:p>
    <w:p w14:paraId="73057E3C" w14:textId="0F514AF5" w:rsidR="00B71A6A" w:rsidRDefault="00DE2704" w:rsidP="00C91BC3">
      <w:pPr>
        <w:pStyle w:val="Heading1"/>
      </w:pPr>
      <w:bookmarkStart w:id="10" w:name="_Toc92312664"/>
      <w:r>
        <w:lastRenderedPageBreak/>
        <w:t>Task 1</w:t>
      </w:r>
      <w:r w:rsidR="008B616A">
        <w:t>: Literary Review and Critical Analyses of Information Security Models and Infrastructures</w:t>
      </w:r>
      <w:bookmarkEnd w:id="10"/>
    </w:p>
    <w:p w14:paraId="613DD554" w14:textId="374350EB" w:rsidR="007B79F1" w:rsidRDefault="007B79F1" w:rsidP="003A3AA0"/>
    <w:p w14:paraId="68C70E5E" w14:textId="21D7EFAA" w:rsidR="003A3AA0" w:rsidRDefault="003A3AA0" w:rsidP="003A3AA0">
      <w:pPr>
        <w:pStyle w:val="Heading2"/>
      </w:pPr>
      <w:bookmarkStart w:id="11" w:name="_Toc92312665"/>
      <w:r>
        <w:t>National Institute of Standards(NIST) Cybersecurity Framework</w:t>
      </w:r>
      <w:r w:rsidR="00BC124C">
        <w:t xml:space="preserve"> (NIST CSF)</w:t>
      </w:r>
      <w:bookmarkEnd w:id="11"/>
    </w:p>
    <w:p w14:paraId="38070D8F" w14:textId="6FC4181D" w:rsidR="00A9479C" w:rsidRDefault="007B79F1" w:rsidP="003A3AA0">
      <w:r>
        <w:t>A Cybersecurity Framework (</w:t>
      </w:r>
      <w:hyperlink w:anchor="CSF" w:tooltip="CSF: Cybersecurity Framework: Security Guidelines determined by security and legal experts" w:history="1">
        <w:r w:rsidRPr="007B79F1">
          <w:rPr>
            <w:rStyle w:val="Hyperlink"/>
          </w:rPr>
          <w:t>CSF</w:t>
        </w:r>
      </w:hyperlink>
      <w:r>
        <w:t>) such as one created by the National Institute of Standards(</w:t>
      </w:r>
      <w:hyperlink w:anchor="NIST" w:tooltip="NIST: National Institute of Standards" w:history="1">
        <w:r w:rsidRPr="007B79F1">
          <w:rPr>
            <w:rStyle w:val="Hyperlink"/>
          </w:rPr>
          <w:t>NIST</w:t>
        </w:r>
      </w:hyperlink>
      <w:r>
        <w:t>) called</w:t>
      </w:r>
      <w:r w:rsidR="00B115DC">
        <w:t xml:space="preserve"> </w:t>
      </w:r>
      <w:r>
        <w:t>the</w:t>
      </w:r>
      <w:r w:rsidR="00306003">
        <w:t xml:space="preserve"> NIST </w:t>
      </w:r>
      <w:r>
        <w:t xml:space="preserve">Cybersecurity Framework or </w:t>
      </w:r>
      <w:hyperlink w:anchor="NIST_CSF" w:tooltip="Full Abbreviation of National Institute of Standards Cybersecurity Framework" w:history="1">
        <w:r w:rsidRPr="007B79F1">
          <w:rPr>
            <w:rStyle w:val="Hyperlink"/>
          </w:rPr>
          <w:t>NIST CSF</w:t>
        </w:r>
      </w:hyperlink>
      <w:r>
        <w:t xml:space="preserve">, is a security framework that </w:t>
      </w:r>
      <w:r w:rsidR="00B115DC">
        <w:t xml:space="preserve">denotes itself as guidelines for </w:t>
      </w:r>
      <w:r w:rsidR="00510EDF">
        <w:t xml:space="preserve">the </w:t>
      </w:r>
      <w:r w:rsidR="00B115DC">
        <w:t>protection of information within an organization.</w:t>
      </w:r>
      <w:r w:rsidR="009F6D5E">
        <w:fldChar w:fldCharType="begin" w:fldLock="1"/>
      </w:r>
      <w:r w:rsidR="009F6D5E">
        <w:instrText>ADDIN CSL_CITATION {"citationItems":[{"id":"ITEM-1","itemData":{"DOI":"10.6028/NIST.SP.800-12r1","ISSN":"0021-7298","abstract":"In recent years, analysts have been confronted with the in- creasing availability of on-line sources of information in the form of natural-language texts. This increased accessibility of textual information has led to a corresponding interest in technology for processing this text automatically to extract task-relevant information. This demand for a technological solution to the need to deal with the often-overwhelming quantity of available information has stimulated the devel- opment of the field of Information Extraction. This article provides an overview of the problems addressed, current ap- proaches toward solutions, and assesses the state of the art and its potential for future progress.","author":[{"dropping-particle":"","family":"Nieles","given":"Michael","non-dropping-particle":"","parse-names":false,"suffix":""},{"dropping-particle":"","family":"Dempsey","given":"Kelley","non-dropping-particle":"","parse-names":false,"suffix":""},{"dropping-particle":"","family":"Pillitteri","given":"Victoria Yan","non-dropping-particle":"","parse-names":false,"suffix":""}],"container-title":"Journal of Information Processing and Management","id":"ITEM-1","issue":"6","issued":{"date-parts":[["2017","6"]]},"number-of-pages":"320-332","publisher-place":"Gaithersburg, MD","title":"An introduction to information security","type":"report","volume":"48"},"uris":["http://www.mendeley.com/documents/?uuid=b21e82f0-445f-42c4-a1e2-618e5b429d00"]},{"id":"ITEM-2","itemData":{"DOI":"10.6028/NIST.CSWP.04162018","author":[{"dropping-particle":"","family":"National Institute of Standards And Technology","given":"","non-dropping-particle":"","parse-names":false,"suffix":""},{"dropping-particle":"","family":"NIST","given":"","non-dropping-particle":"","parse-names":false,"suffix":""}],"id":"ITEM-2","issued":{"date-parts":[["2018","4","16"]]},"publisher-place":"Gaithersburg, MD","title":"Framework for Improving Critical Infrastructure Cybersecurity, Version 1.1","type":"article-journal"},"uris":["http://www.mendeley.com/documents/?uuid=dec770d7-d4db-3839-9e8e-ace7c827cd00"]}],"mendeley":{"formattedCitation":"[1], [2]","plainTextFormattedCitation":"[1], [2]","previouslyFormattedCitation":"[1], [2]"},"properties":{"noteIndex":0},"schema":"https://github.com/citation-style-language/schema/raw/master/csl-citation.json"}</w:instrText>
      </w:r>
      <w:r w:rsidR="009F6D5E">
        <w:fldChar w:fldCharType="separate"/>
      </w:r>
      <w:r w:rsidR="009F6D5E" w:rsidRPr="009F6D5E">
        <w:rPr>
          <w:noProof/>
        </w:rPr>
        <w:t>[1], [2]</w:t>
      </w:r>
      <w:r w:rsidR="009F6D5E">
        <w:fldChar w:fldCharType="end"/>
      </w:r>
      <w:r w:rsidR="00B115DC">
        <w:t xml:space="preserve"> The NIST CSF details a set of required protocols, </w:t>
      </w:r>
      <w:r w:rsidR="00051465">
        <w:t>considerations,</w:t>
      </w:r>
      <w:r w:rsidR="00B115DC">
        <w:t xml:space="preserve"> and </w:t>
      </w:r>
      <w:r w:rsidR="008128F0">
        <w:t xml:space="preserve">principles for a standard of an </w:t>
      </w:r>
      <w:hyperlink w:anchor="InfoSec" w:tooltip="InfoSec: Abbreviation of the words Information Security" w:history="1">
        <w:r w:rsidR="008128F0" w:rsidRPr="00306003">
          <w:rPr>
            <w:rStyle w:val="Hyperlink"/>
          </w:rPr>
          <w:t>InfoSec</w:t>
        </w:r>
      </w:hyperlink>
      <w:r w:rsidR="008128F0">
        <w:t xml:space="preserve"> model. The NIST CSF does not, however</w:t>
      </w:r>
      <w:r w:rsidR="006E753D">
        <w:t>,</w:t>
      </w:r>
      <w:r w:rsidR="008128F0">
        <w:t xml:space="preserve"> provide a means for </w:t>
      </w:r>
      <w:r w:rsidR="006E753D">
        <w:t>the</w:t>
      </w:r>
      <w:r w:rsidR="008128F0">
        <w:t xml:space="preserve"> measurement of cybersecurity maturity; an organisation with experience using the NIST CSF.</w:t>
      </w:r>
      <w:r w:rsidR="009F6D5E">
        <w:fldChar w:fldCharType="begin" w:fldLock="1"/>
      </w:r>
      <w:r w:rsidR="009F6D5E">
        <w:instrText>ADDIN CSL_CITATION {"citationItems":[{"id":"ITEM-1","itemData":{"DOI":"10.5121/csit.2017.70305","ISBN":"9781921987625","abstract":"The National Institute of Standards and Technology (NIST) has issued a framework to provide guidance for organizations within critical infrastructure sectors to reduce the risk associated with cyber security. The framework is called NIST Cyber Security Framework for Critical Infrastructure (CSF). Many organizations are currently implementing or aligned to different information security frameworks. The implementation of NIST CSF needs to be aligned with and complement the existing frameworks. NIST states that the NIST CSF is not a maturity framework. Therefore, there is a need to adopt an existing maturity model or create one to have a common way to measure the CSF implementation progress. This paper explores the applicability of number of maturity models to be used as a measure to the security poster of organizations implementing the NIST CSF. This paper reviews the NIST CSF and compares it to other information security related frameworks such as COBIT, ISO/IEC 27001 and the ISF Standard of Good Practice (SoGP) for Information Security. We propose a new information security maturity model (ISMM) that fills the gap in the NIST CSF.","author":[{"dropping-particle":"","family":"Almuhammadi","given":"Sultan","non-dropping-particle":"","parse-names":false,"suffix":""},{"dropping-particle":"","family":"Alsaleh","given":"Majeed","non-dropping-particle":"","parse-names":false,"suffix":""}],"container-title":"Computer Science &amp; Information Technology (CS &amp; IT)","id":"ITEM-1","issued":{"date-parts":[["2017","2","25"]]},"page":"51-62","publisher":"Academy &amp; Industry Research Collaboration Center (AIRCC)","title":"Information Security Maturity Model for Nist Cyber Security Framework","type":"paper-conference"},"uris":["http://www.mendeley.com/documents/?uuid=7c4c74d2-48f8-4c77-af3f-b10ab587cfb2"]}],"mendeley":{"formattedCitation":"[3]","plainTextFormattedCitation":"[3]","previouslyFormattedCitation":"[3]"},"properties":{"noteIndex":0},"schema":"https://github.com/citation-style-language/schema/raw/master/csl-citation.json"}</w:instrText>
      </w:r>
      <w:r w:rsidR="009F6D5E">
        <w:fldChar w:fldCharType="separate"/>
      </w:r>
      <w:r w:rsidR="009F6D5E" w:rsidRPr="009F6D5E">
        <w:rPr>
          <w:noProof/>
        </w:rPr>
        <w:t>[3]</w:t>
      </w:r>
      <w:r w:rsidR="009F6D5E">
        <w:fldChar w:fldCharType="end"/>
      </w:r>
      <w:r w:rsidR="008128F0">
        <w:t xml:space="preserve"> On the contrary</w:t>
      </w:r>
      <w:r w:rsidR="000F2370">
        <w:t>,</w:t>
      </w:r>
      <w:r w:rsidR="008128F0">
        <w:t xml:space="preserve"> </w:t>
      </w:r>
      <w:r w:rsidR="000F2370">
        <w:t xml:space="preserve">Almuhammadi and Alsaleh, </w:t>
      </w:r>
      <w:r w:rsidR="00A27CAF">
        <w:t>proposed a maturity model for the NIST CSF</w:t>
      </w:r>
      <w:r w:rsidR="008128F0">
        <w:t xml:space="preserve">, which could lend a supportive </w:t>
      </w:r>
      <w:r w:rsidR="00051465">
        <w:t>advantage</w:t>
      </w:r>
      <w:r w:rsidR="008128F0">
        <w:t xml:space="preserve"> to creat</w:t>
      </w:r>
      <w:r w:rsidR="00051465">
        <w:t>e</w:t>
      </w:r>
      <w:r w:rsidR="008128F0">
        <w:t xml:space="preserve"> effective and scalable </w:t>
      </w:r>
      <w:r w:rsidR="00CF48EE">
        <w:t>InfoSec Models</w:t>
      </w:r>
      <w:r w:rsidR="00051465">
        <w:t xml:space="preserve">. </w:t>
      </w:r>
      <w:r w:rsidR="00D22B80">
        <w:t>The proposed maturity model</w:t>
      </w:r>
      <w:r w:rsidR="006E753D">
        <w:t>,</w:t>
      </w:r>
      <w:r w:rsidR="00D22B80">
        <w:t xml:space="preserve"> </w:t>
      </w:r>
      <w:r w:rsidR="006E753D">
        <w:t xml:space="preserve">while </w:t>
      </w:r>
      <w:r w:rsidR="00D22B80">
        <w:t>stat</w:t>
      </w:r>
      <w:r w:rsidR="006E753D">
        <w:t>ing</w:t>
      </w:r>
      <w:r w:rsidR="00D22B80">
        <w:t xml:space="preserve"> that the NIST CSF does not in fact use any </w:t>
      </w:r>
      <w:r w:rsidR="008B6879">
        <w:t>type of</w:t>
      </w:r>
      <w:r w:rsidR="00D22B80">
        <w:t xml:space="preserve"> maturity model within </w:t>
      </w:r>
      <w:r w:rsidR="008B6879">
        <w:t>its</w:t>
      </w:r>
      <w:r w:rsidR="00D22B80">
        <w:t xml:space="preserve"> structure</w:t>
      </w:r>
      <w:r w:rsidR="000F2370">
        <w:t>,</w:t>
      </w:r>
      <w:r w:rsidR="00D22B80">
        <w:t xml:space="preserve"> use</w:t>
      </w:r>
      <w:r w:rsidR="008B6879">
        <w:t>s</w:t>
      </w:r>
      <w:r w:rsidR="00D22B80">
        <w:t xml:space="preserve"> comparisons of other maturity models and </w:t>
      </w:r>
      <w:r w:rsidR="000F2370">
        <w:t>compiles them</w:t>
      </w:r>
      <w:r w:rsidR="00D22B80">
        <w:t xml:space="preserve"> to be reconfigured with the NIST CSF</w:t>
      </w:r>
      <w:r w:rsidR="000F2370">
        <w:t xml:space="preserve">. The </w:t>
      </w:r>
      <w:r w:rsidR="00BD5A21">
        <w:t xml:space="preserve">evaluations </w:t>
      </w:r>
      <w:r w:rsidR="000F2370">
        <w:t>made</w:t>
      </w:r>
      <w:r w:rsidR="00D22B80">
        <w:t xml:space="preserve"> </w:t>
      </w:r>
      <w:r w:rsidR="006E753D">
        <w:t xml:space="preserve">by </w:t>
      </w:r>
      <w:r w:rsidR="00306003">
        <w:t xml:space="preserve">Almuhammadi </w:t>
      </w:r>
      <w:r w:rsidR="006E753D">
        <w:t xml:space="preserve">and Alsaleh </w:t>
      </w:r>
      <w:r w:rsidR="00D22B80">
        <w:t>did not compare the</w:t>
      </w:r>
      <w:r w:rsidR="006E753D">
        <w:t xml:space="preserve"> maturity models</w:t>
      </w:r>
      <w:r w:rsidR="00D22B80">
        <w:t xml:space="preserve"> with the NIST CSF, which renders the title of th</w:t>
      </w:r>
      <w:r w:rsidR="00BD5A21">
        <w:t>eir</w:t>
      </w:r>
      <w:r w:rsidR="00D22B80">
        <w:t xml:space="preserve"> paper misleading albeit informative. The maturity models</w:t>
      </w:r>
      <w:r w:rsidR="001F0EE6">
        <w:t xml:space="preserve"> that were</w:t>
      </w:r>
      <w:r w:rsidR="00D22B80">
        <w:t xml:space="preserve"> investigated did, however, point out the imperfections of the NIST CSF and </w:t>
      </w:r>
      <w:r w:rsidR="00AC010B">
        <w:t xml:space="preserve">allowed for an intuitive design of </w:t>
      </w:r>
      <w:r w:rsidR="001763E5">
        <w:t xml:space="preserve">a cyber security model/framework. </w:t>
      </w:r>
      <w:r w:rsidR="009F6D5E">
        <w:fldChar w:fldCharType="begin" w:fldLock="1"/>
      </w:r>
      <w:r w:rsidR="009F6D5E">
        <w:instrText>ADDIN CSL_CITATION {"citationItems":[{"id":"ITEM-1","itemData":{"DOI":"10.5121/csit.2017.70305","ISBN":"9781921987625","abstract":"The National Institute of Standards and Technology (NIST) has issued a framework to provide guidance for organizations within critical infrastructure sectors to reduce the risk associated with cyber security. The framework is called NIST Cyber Security Framework for Critical Infrastructure (CSF). Many organizations are currently implementing or aligned to different information security frameworks. The implementation of NIST CSF needs to be aligned with and complement the existing frameworks. NIST states that the NIST CSF is not a maturity framework. Therefore, there is a need to adopt an existing maturity model or create one to have a common way to measure the CSF implementation progress. This paper explores the applicability of number of maturity models to be used as a measure to the security poster of organizations implementing the NIST CSF. This paper reviews the NIST CSF and compares it to other information security related frameworks such as COBIT, ISO/IEC 27001 and the ISF Standard of Good Practice (SoGP) for Information Security. We propose a new information security maturity model (ISMM) that fills the gap in the NIST CSF.","author":[{"dropping-particle":"","family":"Almuhammadi","given":"Sultan","non-dropping-particle":"","parse-names":false,"suffix":""},{"dropping-particle":"","family":"Alsaleh","given":"Majeed","non-dropping-particle":"","parse-names":false,"suffix":""}],"container-title":"Computer Science &amp; Information Technology (CS &amp; IT)","id":"ITEM-1","issued":{"date-parts":[["2017","2","25"]]},"page":"51-62","publisher":"Academy &amp; Industry Research Collaboration Center (AIRCC)","title":"Information Security Maturity Model for Nist Cyber Security Framework","type":"paper-conference"},"uris":["http://www.mendeley.com/documents/?uuid=7c4c74d2-48f8-4c77-af3f-b10ab587cfb2"]}],"mendeley":{"formattedCitation":"[3]","plainTextFormattedCitation":"[3]","previouslyFormattedCitation":"[3]"},"properties":{"noteIndex":0},"schema":"https://github.com/citation-style-language/schema/raw/master/csl-citation.json"}</w:instrText>
      </w:r>
      <w:r w:rsidR="009F6D5E">
        <w:fldChar w:fldCharType="separate"/>
      </w:r>
      <w:r w:rsidR="009F6D5E" w:rsidRPr="009F6D5E">
        <w:rPr>
          <w:noProof/>
        </w:rPr>
        <w:t>[3]</w:t>
      </w:r>
      <w:r w:rsidR="009F6D5E">
        <w:fldChar w:fldCharType="end"/>
      </w:r>
    </w:p>
    <w:p w14:paraId="015F0242" w14:textId="012BD652" w:rsidR="00A9479C" w:rsidRDefault="00A9479C" w:rsidP="00A9479C">
      <w:r w:rsidRPr="00A9479C">
        <w:t xml:space="preserve">The NIST CSF largely builds upon use of its “Framework Core”, “Framework Implementation Tiers”, and “Framework Profile”, which are the focal point of </w:t>
      </w:r>
      <w:r w:rsidR="000F2370">
        <w:t xml:space="preserve">injecting </w:t>
      </w:r>
      <w:r w:rsidRPr="00A9479C">
        <w:t xml:space="preserve"> this framework into an organisations existing cybersecurity model. Within its “core” it uses the 5 “functions”, </w:t>
      </w:r>
      <w:r w:rsidR="00C91BC3">
        <w:rPr>
          <w:i/>
          <w:iCs/>
        </w:rPr>
        <w:t xml:space="preserve">Figure </w:t>
      </w:r>
      <w:r w:rsidRPr="00C91BC3">
        <w:rPr>
          <w:i/>
          <w:iCs/>
        </w:rPr>
        <w:t>1</w:t>
      </w:r>
      <w:r w:rsidR="00C91BC3">
        <w:t xml:space="preserve">, </w:t>
      </w:r>
      <w:r w:rsidRPr="00A9479C">
        <w:t xml:space="preserve">described as activities to achieve a cybersecurity result. The “implementation tiers” can </w:t>
      </w:r>
      <w:r w:rsidR="00BD5A21">
        <w:t xml:space="preserve">be </w:t>
      </w:r>
      <w:r w:rsidRPr="00A9479C">
        <w:t>viewed as the efficiency level of an organisation</w:t>
      </w:r>
      <w:r w:rsidR="004236D4">
        <w:t>’</w:t>
      </w:r>
      <w:r w:rsidRPr="00A9479C">
        <w:t>s cybersecurity</w:t>
      </w:r>
      <w:r w:rsidR="00C91BC3">
        <w:t>. The final</w:t>
      </w:r>
      <w:r w:rsidR="00701E5F">
        <w:t xml:space="preserve"> chapter: </w:t>
      </w:r>
      <w:r w:rsidRPr="00A9479C">
        <w:t xml:space="preserve">the </w:t>
      </w:r>
      <w:r w:rsidR="00510EDF" w:rsidRPr="00A9479C">
        <w:t>framework’s “</w:t>
      </w:r>
      <w:r w:rsidRPr="00A9479C">
        <w:t xml:space="preserve">Profile” is </w:t>
      </w:r>
      <w:r w:rsidR="00BD5A21">
        <w:t>simp</w:t>
      </w:r>
      <w:r w:rsidRPr="00A9479C">
        <w:t xml:space="preserve">ly the cybersecurity </w:t>
      </w:r>
      <w:r w:rsidRPr="00134A09">
        <w:t>current</w:t>
      </w:r>
      <w:r w:rsidR="00134A09">
        <w:t xml:space="preserve"> profile</w:t>
      </w:r>
      <w:r w:rsidRPr="00A9479C">
        <w:t xml:space="preserve"> and goal cybersecurity profile, where the organisation stands and where the organisation aims to be within its cybersecurity. </w:t>
      </w:r>
      <w:r w:rsidR="009F6D5E">
        <w:fldChar w:fldCharType="begin" w:fldLock="1"/>
      </w:r>
      <w:r w:rsidR="009F6D5E">
        <w:instrText>ADDIN CSL_CITATION {"citationItems":[{"id":"ITEM-1","itemData":{"DOI":"10.6028/NIST.CSWP.04162018","author":[{"dropping-particle":"","family":"National Institute of Standards And Technology","given":"","non-dropping-particle":"","parse-names":false,"suffix":""},{"dropping-particle":"","family":"NIST","given":"","non-dropping-particle":"","parse-names":false,"suffix":""}],"id":"ITEM-1","issued":{"date-parts":[["2018","4","16"]]},"publisher-place":"Gaithersburg, MD","title":"Framework for Improving Critical Infrastructure Cybersecurity, Version 1.1","type":"article-journal"},"uris":["http://www.mendeley.com/documents/?uuid=dec770d7-d4db-3839-9e8e-ace7c827cd00"]}],"mendeley":{"formattedCitation":"[2]","plainTextFormattedCitation":"[2]","previouslyFormattedCitation":"[2]"},"properties":{"noteIndex":0},"schema":"https://github.com/citation-style-language/schema/raw/master/csl-citation.json"}</w:instrText>
      </w:r>
      <w:r w:rsidR="009F6D5E">
        <w:fldChar w:fldCharType="separate"/>
      </w:r>
      <w:r w:rsidR="009F6D5E" w:rsidRPr="009F6D5E">
        <w:rPr>
          <w:noProof/>
        </w:rPr>
        <w:t>[2]</w:t>
      </w:r>
      <w:r w:rsidR="009F6D5E">
        <w:fldChar w:fldCharType="end"/>
      </w:r>
    </w:p>
    <w:p w14:paraId="719A3E4C" w14:textId="37F589AE" w:rsidR="00D256C0" w:rsidRDefault="00327D4B" w:rsidP="00D256C0">
      <w:pPr>
        <w:keepNext/>
        <w:jc w:val="center"/>
      </w:pPr>
      <w:r w:rsidRPr="00327D4B">
        <w:rPr>
          <w:noProof/>
        </w:rPr>
        <w:drawing>
          <wp:inline distT="0" distB="0" distL="0" distR="0" wp14:anchorId="0BEF6964" wp14:editId="5775B55B">
            <wp:extent cx="5731510" cy="2910840"/>
            <wp:effectExtent l="0" t="0" r="2540" b="3810"/>
            <wp:docPr id="3" name="Picture 3" descr="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pplication&#10;&#10;Description automatically generated with medium confidence"/>
                    <pic:cNvPicPr/>
                  </pic:nvPicPr>
                  <pic:blipFill>
                    <a:blip r:embed="rId9"/>
                    <a:stretch>
                      <a:fillRect/>
                    </a:stretch>
                  </pic:blipFill>
                  <pic:spPr>
                    <a:xfrm>
                      <a:off x="0" y="0"/>
                      <a:ext cx="5731510" cy="2910840"/>
                    </a:xfrm>
                    <a:prstGeom prst="rect">
                      <a:avLst/>
                    </a:prstGeom>
                  </pic:spPr>
                </pic:pic>
              </a:graphicData>
            </a:graphic>
          </wp:inline>
        </w:drawing>
      </w:r>
      <w:r w:rsidR="009F6D5E">
        <w:t xml:space="preserve"> </w:t>
      </w:r>
      <w:r w:rsidR="009F6D5E">
        <w:fldChar w:fldCharType="begin" w:fldLock="1"/>
      </w:r>
      <w:r w:rsidR="008244CA">
        <w:instrText>ADDIN CSL_CITATION {"citationItems":[{"id":"ITEM-1","itemData":{"DOI":"10.6028/NIST.CSWP.04162018","author":[{"dropping-particle":"","family":"National Institute of Standards And Technology","given":"","non-dropping-particle":"","parse-names":false,"suffix":""},{"dropping-particle":"","family":"NIST","given":"","non-dropping-particle":"","parse-names":false,"suffix":""}],"id":"ITEM-1","issued":{"date-parts":[["2018","4","16"]]},"publisher-place":"Gaithersburg, MD","title":"Framework for Improving Critical Infrastructure Cybersecurity, Version 1.1","type":"article-journal"},"uris":["http://www.mendeley.com/documents/?uuid=dec770d7-d4db-3839-9e8e-ace7c827cd00"]}],"mendeley":{"formattedCitation":"[2]","plainTextFormattedCitation":"[2]","previouslyFormattedCitation":"[2]"},"properties":{"noteIndex":0},"schema":"https://github.com/citation-style-language/schema/raw/master/csl-citation.json"}</w:instrText>
      </w:r>
      <w:r w:rsidR="009F6D5E">
        <w:fldChar w:fldCharType="separate"/>
      </w:r>
      <w:r w:rsidRPr="00327D4B">
        <w:rPr>
          <w:noProof/>
        </w:rPr>
        <w:t>[2]</w:t>
      </w:r>
      <w:r w:rsidR="009F6D5E">
        <w:fldChar w:fldCharType="end"/>
      </w:r>
    </w:p>
    <w:p w14:paraId="1E03275C" w14:textId="3ADA084D" w:rsidR="00D256C0" w:rsidRPr="00A9479C" w:rsidRDefault="00D256C0" w:rsidP="00D256C0">
      <w:pPr>
        <w:pStyle w:val="Caption"/>
        <w:jc w:val="center"/>
      </w:pPr>
      <w:r>
        <w:t xml:space="preserve">Figure </w:t>
      </w:r>
      <w:fldSimple w:instr=" SEQ Figure \* ARABIC ">
        <w:r w:rsidR="00027103">
          <w:rPr>
            <w:noProof/>
          </w:rPr>
          <w:t>1</w:t>
        </w:r>
      </w:fldSimple>
      <w:r>
        <w:t xml:space="preserve">: </w:t>
      </w:r>
      <w:r w:rsidRPr="00A95755">
        <w:t>The 5 Functions of the NIST CSF "Core</w:t>
      </w:r>
    </w:p>
    <w:p w14:paraId="18AC1BDD" w14:textId="77777777" w:rsidR="00701E5F" w:rsidRDefault="00701E5F" w:rsidP="003A3AA0"/>
    <w:p w14:paraId="24B35D31" w14:textId="6A8414E6" w:rsidR="00A9479C" w:rsidRDefault="00B62538" w:rsidP="003A3AA0">
      <w:r>
        <w:lastRenderedPageBreak/>
        <w:t xml:space="preserve">The NIST CSF </w:t>
      </w:r>
      <w:r w:rsidR="00BD5A21">
        <w:t>successfully lends</w:t>
      </w:r>
      <w:r>
        <w:t xml:space="preserve"> itself to guidance for organisations new in cybersecurity. In the chapter “How to Use the Framework”, the NIST CSF uses a </w:t>
      </w:r>
      <w:r w:rsidR="00510EDF">
        <w:t>7-step</w:t>
      </w:r>
      <w:r>
        <w:t xml:space="preserve"> process to help organisation</w:t>
      </w:r>
      <w:r w:rsidR="00BD5A21">
        <w:t>s</w:t>
      </w:r>
      <w:r>
        <w:t xml:space="preserve"> to scope out the current level of security and its aims and goals. The </w:t>
      </w:r>
      <w:r w:rsidR="00510EDF">
        <w:t>7-step</w:t>
      </w:r>
      <w:r>
        <w:t xml:space="preserve"> process largely folds into a</w:t>
      </w:r>
      <w:r w:rsidR="00BD5A21">
        <w:t>n</w:t>
      </w:r>
      <w:r>
        <w:t xml:space="preserve"> organisations self-review of its current cybersecurity levels and helps to determine a plan of action. </w:t>
      </w:r>
      <w:r w:rsidR="00E878B6">
        <w:fldChar w:fldCharType="begin" w:fldLock="1"/>
      </w:r>
      <w:r w:rsidR="00E878B6">
        <w:instrText>ADDIN CSL_CITATION {"citationItems":[{"id":"ITEM-1","itemData":{"DOI":"10.6028/NIST.CSWP.04162018","author":[{"dropping-particle":"","family":"National Institute of Standards And Technology","given":"","non-dropping-particle":"","parse-names":false,"suffix":""},{"dropping-particle":"","family":"NIST","given":"","non-dropping-particle":"","parse-names":false,"suffix":""}],"id":"ITEM-1","issued":{"date-parts":[["2018","4","16"]]},"publisher-place":"Gaithersburg, MD","title":"Framework for Improving Critical Infrastructure Cybersecurity, Version 1.1","type":"article-journal"},"uris":["http://www.mendeley.com/documents/?uuid=dec770d7-d4db-3839-9e8e-ace7c827cd00"]}],"mendeley":{"formattedCitation":"[2]","plainTextFormattedCitation":"[2]","previouslyFormattedCitation":"[2]"},"properties":{"noteIndex":0},"schema":"https://github.com/citation-style-language/schema/raw/master/csl-citation.json"}</w:instrText>
      </w:r>
      <w:r w:rsidR="00E878B6">
        <w:fldChar w:fldCharType="separate"/>
      </w:r>
      <w:r w:rsidR="00E878B6" w:rsidRPr="00E878B6">
        <w:rPr>
          <w:noProof/>
        </w:rPr>
        <w:t>[2]</w:t>
      </w:r>
      <w:r w:rsidR="00E878B6">
        <w:fldChar w:fldCharType="end"/>
      </w:r>
      <w:r w:rsidR="00BD5A21">
        <w:t xml:space="preserve"> The 7-step process is as such:</w:t>
      </w:r>
    </w:p>
    <w:p w14:paraId="3E04B7C7" w14:textId="43CDD1BA" w:rsidR="00701E5F" w:rsidRDefault="00701E5F" w:rsidP="00701E5F">
      <w:pPr>
        <w:pStyle w:val="ListParagraph"/>
        <w:numPr>
          <w:ilvl w:val="0"/>
          <w:numId w:val="12"/>
        </w:numPr>
      </w:pPr>
      <w:r>
        <w:t>Prioritization and Scope – Identify business objectives and priorities. Use these to determine strategic decisions of implementation and cybersecurity system scope.</w:t>
      </w:r>
    </w:p>
    <w:p w14:paraId="49F395C6" w14:textId="5C3C9584" w:rsidR="00701E5F" w:rsidRDefault="00701E5F" w:rsidP="00701E5F">
      <w:pPr>
        <w:pStyle w:val="ListParagraph"/>
        <w:numPr>
          <w:ilvl w:val="0"/>
          <w:numId w:val="12"/>
        </w:numPr>
      </w:pPr>
      <w:r>
        <w:t xml:space="preserve">Orient </w:t>
      </w:r>
      <w:r w:rsidR="000C53B2">
        <w:t>–</w:t>
      </w:r>
      <w:r>
        <w:t xml:space="preserve"> </w:t>
      </w:r>
      <w:r w:rsidR="000C53B2">
        <w:t>Identify related systems and assets, requirements, and overall risk, then identify threats and vulnerabilities</w:t>
      </w:r>
    </w:p>
    <w:p w14:paraId="4F49287A" w14:textId="245ED69B" w:rsidR="000C53B2" w:rsidRDefault="000C53B2" w:rsidP="00701E5F">
      <w:pPr>
        <w:pStyle w:val="ListParagraph"/>
        <w:numPr>
          <w:ilvl w:val="0"/>
          <w:numId w:val="12"/>
        </w:numPr>
      </w:pPr>
      <w:r>
        <w:t>Create a Current Profile – Develop a current profile by specifying which category and subcategory outcomes defined in the core are currently being achieved</w:t>
      </w:r>
    </w:p>
    <w:p w14:paraId="6DF16B6B" w14:textId="653EE5F6" w:rsidR="000C53B2" w:rsidRDefault="000C53B2" w:rsidP="00701E5F">
      <w:pPr>
        <w:pStyle w:val="ListParagraph"/>
        <w:numPr>
          <w:ilvl w:val="0"/>
          <w:numId w:val="12"/>
        </w:numPr>
      </w:pPr>
      <w:r>
        <w:t>Conduct a Risk Assessment – Analyse the operational environment to ascertain the possibility of a cybersecurity event</w:t>
      </w:r>
      <w:r w:rsidR="00A73FC3">
        <w:t xml:space="preserve"> and </w:t>
      </w:r>
      <w:r w:rsidR="004870D9">
        <w:t>evaluate</w:t>
      </w:r>
      <w:r w:rsidR="00A73FC3">
        <w:t xml:space="preserve"> the impact </w:t>
      </w:r>
      <w:r w:rsidR="004870D9">
        <w:t>should</w:t>
      </w:r>
      <w:r w:rsidR="00A73FC3">
        <w:t xml:space="preserve"> the event occur</w:t>
      </w:r>
    </w:p>
    <w:p w14:paraId="1C8314C5" w14:textId="39090D69" w:rsidR="00A73FC3" w:rsidRDefault="00A73FC3" w:rsidP="00701E5F">
      <w:pPr>
        <w:pStyle w:val="ListParagraph"/>
        <w:numPr>
          <w:ilvl w:val="0"/>
          <w:numId w:val="12"/>
        </w:numPr>
      </w:pPr>
      <w:r>
        <w:t>Create a Target Profile – Using the core categories and subcategories</w:t>
      </w:r>
      <w:r w:rsidR="004870D9">
        <w:t>,</w:t>
      </w:r>
      <w:r>
        <w:t xml:space="preserve"> describing the desired outcomes.</w:t>
      </w:r>
    </w:p>
    <w:p w14:paraId="15D11D24" w14:textId="72388283" w:rsidR="00A73FC3" w:rsidRDefault="00A73FC3" w:rsidP="00701E5F">
      <w:pPr>
        <w:pStyle w:val="ListParagraph"/>
        <w:numPr>
          <w:ilvl w:val="0"/>
          <w:numId w:val="12"/>
        </w:numPr>
      </w:pPr>
      <w:r>
        <w:t>Determine, Analyse , and Prioritise Gaps – Compare the two profiles to determine gaps and create a prioritised action plan, defining resources and asset</w:t>
      </w:r>
      <w:r w:rsidR="004870D9">
        <w:t>s</w:t>
      </w:r>
      <w:r>
        <w:t xml:space="preserve"> required if possible</w:t>
      </w:r>
      <w:r w:rsidR="004870D9">
        <w:t>, allowing for</w:t>
      </w:r>
      <w:r w:rsidR="00FF26C3">
        <w:t xml:space="preserve"> targeted improvements.</w:t>
      </w:r>
    </w:p>
    <w:p w14:paraId="4762B0E2" w14:textId="2A2284D2" w:rsidR="00FF26C3" w:rsidRDefault="00FF26C3" w:rsidP="00701E5F">
      <w:pPr>
        <w:pStyle w:val="ListParagraph"/>
        <w:numPr>
          <w:ilvl w:val="0"/>
          <w:numId w:val="12"/>
        </w:numPr>
      </w:pPr>
      <w:r>
        <w:t>Implement Action Plan – Decide which actions to take to close the gaps and monitor with practices and guidelines.</w:t>
      </w:r>
      <w:r w:rsidR="00E878B6">
        <w:fldChar w:fldCharType="begin" w:fldLock="1"/>
      </w:r>
      <w:r w:rsidR="00175D7D">
        <w:instrText>ADDIN CSL_CITATION {"citationItems":[{"id":"ITEM-1","itemData":{"DOI":"10.6028/NIST.CSWP.04162018","author":[{"dropping-particle":"","family":"National Institute of Standards And Technology","given":"","non-dropping-particle":"","parse-names":false,"suffix":""},{"dropping-particle":"","family":"NIST","given":"","non-dropping-particle":"","parse-names":false,"suffix":""}],"id":"ITEM-1","issued":{"date-parts":[["2018","4","16"]]},"publisher-place":"Gaithersburg, MD","title":"Framework for Improving Critical Infrastructure Cybersecurity, Version 1.1","type":"article-journal"},"uris":["http://www.mendeley.com/documents/?uuid=dec770d7-d4db-3839-9e8e-ace7c827cd00"]}],"mendeley":{"formattedCitation":"[2]","plainTextFormattedCitation":"[2]","previouslyFormattedCitation":"[2]"},"properties":{"noteIndex":0},"schema":"https://github.com/citation-style-language/schema/raw/master/csl-citation.json"}</w:instrText>
      </w:r>
      <w:r w:rsidR="00E878B6">
        <w:fldChar w:fldCharType="separate"/>
      </w:r>
      <w:r w:rsidR="00E878B6" w:rsidRPr="00E878B6">
        <w:rPr>
          <w:noProof/>
        </w:rPr>
        <w:t>[2]</w:t>
      </w:r>
      <w:r w:rsidR="00E878B6">
        <w:fldChar w:fldCharType="end"/>
      </w:r>
    </w:p>
    <w:p w14:paraId="76554E9D" w14:textId="3EE02C2D" w:rsidR="0009256D" w:rsidRDefault="00175D7D" w:rsidP="00701E5F">
      <w:r>
        <w:t>T</w:t>
      </w:r>
      <w:r w:rsidR="00133D20">
        <w:t xml:space="preserve">here are many more professional books, whitepapers, and journals that view the NIST CSF as the </w:t>
      </w:r>
      <w:r w:rsidR="004870D9">
        <w:t>superior</w:t>
      </w:r>
      <w:r w:rsidR="00133D20">
        <w:t xml:space="preserve"> common cybersecurity framework</w:t>
      </w:r>
      <w:r w:rsidR="004870D9">
        <w:t>,</w:t>
      </w:r>
      <w:r w:rsidR="00CC476C">
        <w:t xml:space="preserve"> as it encapsulates the best practices defined by cybersecurity professionals.</w:t>
      </w:r>
      <w:r>
        <w:fldChar w:fldCharType="begin" w:fldLock="1"/>
      </w:r>
      <w:r w:rsidR="008244CA">
        <w:instrText>ADDIN CSL_CITATION {"citationItems":[{"id":"ITEM-1","itemData":{"DOI":"10.6028/NIST.SP.800-12r1","ISSN":"0021-7298","abstract":"In recent years, analysts have been confronted with the in- creasing availability of on-line sources of information in the form of natural-language texts. This increased accessibility of textual information has led to a corresponding interest in technology for processing this text automatically to extract task-relevant information. This demand for a technological solution to the need to deal with the often-overwhelming quantity of available information has stimulated the devel- opment of the field of Information Extraction. This article provides an overview of the problems addressed, current ap- proaches toward solutions, and assesses the state of the art and its potential for future progress.","author":[{"dropping-particle":"","family":"Nieles","given":"Michael","non-dropping-particle":"","parse-names":false,"suffix":""},{"dropping-particle":"","family":"Dempsey","given":"Kelley","non-dropping-particle":"","parse-names":false,"suffix":""},{"dropping-particle":"","family":"Pillitteri","given":"Victoria Yan","non-dropping-particle":"","parse-names":false,"suffix":""}],"container-title":"Journal of Information Processing and Management","id":"ITEM-1","issue":"6","issued":{"date-parts":[["2017","6"]]},"number-of-pages":"320-332","publisher-place":"Gaithersburg, MD","title":"An introduction to information security","type":"report","volume":"48"},"uris":["http://www.mendeley.com/documents/?uuid=b21e82f0-445f-42c4-a1e2-618e5b429d00"]},{"id":"ITEM-2","itemData":{"DOI":"10.1007/s11227-018-2479-2","ISSN":"0920-8542","abstract":"Evaluating cyber security risk is a challenging task regardless of an organisation’s nature of business or size, however, an essential activity. This paper uses the National Institute of Standards and Technology (NIST) cyber security framework (CSF) to assess the cyber security posture of a local government organisation in Western Australia. Our approach enabled the quantification of risks for specific NIST CSF core functions and respective categories and allowed making recommendations to address the gaps discovered to attain the desired level of compliance. This has led the organisation to strategically target areas related to their people, processes, and technologies, thus mitigating current and future threats.","author":[{"dropping-particle":"","family":"Ibrahim","given":"Ahmed","non-dropping-particle":"","parse-names":false,"suffix":""},{"dropping-particle":"","family":"Valli","given":"Craig","non-dropping-particle":"","parse-names":false,"suffix":""},{"dropping-particle":"","family":"McAteer","given":"Ian","non-dropping-particle":"","parse-names":false,"suffix":""},{"dropping-particle":"","family":"Chaudhry","given":"Junaid","non-dropping-particle":"","parse-names":false,"suffix":""}],"container-title":"The Journal of Supercomputing","id":"ITEM-2","issue":"10","issued":{"date-parts":[["2018","10","12"]]},"page":"5171-5186","publisher":"Springer US","title":"A security review of local government using NIST CSF: a case study","type":"article-journal","volume":"74"},"uris":["http://www.mendeley.com/documents/?uuid=1f5dbb88-7cd5-43a8-9df0-79ba4256a31f"]},{"id":"ITEM-3","itemData":{"DOI":"10.5121/csit.2017.70305","ISBN":"9781921987625","abstract":"The National Institute of Standards and Technology (NIST) has issued a framework to provide guidance for organizations within critical infrastructure sectors to reduce the risk associated with cyber security. The framework is called NIST Cyber Security Framework for Critical Infrastructure (CSF). Many organizations are currently implementing or aligned to different information security frameworks. The implementation of NIST CSF needs to be aligned with and complement the existing frameworks. NIST states that the NIST CSF is not a maturity framework. Therefore, there is a need to adopt an existing maturity model or create one to have a common way to measure the CSF implementation progress. This paper explores the applicability of number of maturity models to be used as a measure to the security poster of organizations implementing the NIST CSF. This paper reviews the NIST CSF and compares it to other information security related frameworks such as COBIT, ISO/IEC 27001 and the ISF Standard of Good Practice (SoGP) for Information Security. We propose a new information security maturity model (ISMM) that fills the gap in the NIST CSF.","author":[{"dropping-particle":"","family":"Almuhammadi","given":"Sultan","non-dropping-particle":"","parse-names":false,"suffix":""},{"dropping-particle":"","family":"Alsaleh","given":"Majeed","non-dropping-particle":"","parse-names":false,"suffix":""}],"container-title":"Computer Science &amp; Information Technology (CS &amp; IT)","id":"ITEM-3","issued":{"date-parts":[["2017","2","25"]]},"page":"51-62","publisher":"Academy &amp; Industry Research Collaboration Center (AIRCC)","title":"Information Security Maturity Model for Nist Cyber Security Framework","type":"paper-conference"},"uris":["http://www.mendeley.com/documents/?uuid=7c4c74d2-48f8-4c77-af3f-b10ab587cfb2"]},{"id":"ITEM-4","itemData":{"DOI":"10.1145/501978.501980","ISSN":"1094-9224","abstract":"In this article we propose a standard for role-based access control (RBAC). Although RBAC models have received broad support as a generalized approach to access control, and are well recognized for their many advantages in performing large-scale authorization management, no single authoritative definition of RBAC exists today. This lack of a widely accepted model results in uncertainty and confusion about RBAC's utility and meaning. The standard proposed here seeks to resolve this situation by unifying ideas from a base of frequently referenced RBAC models, commercial products, and research prototypes. It is intended to serve as a foundation for product development, evaluation, and procurement specification. Although RBAC continues to evolve as users, researchers, and vendors gain experience with its application, we feel the features and components proposed in this standard represent a fundamental and stable set of mechanisms that may be enhanced by developers in further meeting the needs of their customers. As such, this document does not attempt to standardize RBAC features beyond those that have achieved acceptance in the commercial marketplace and research community, but instead focuses on defining a fundamental and stable set of RBAC components. This standard is organized into the RBAC Reference Model and the RBAC System and Administrative Functional Specification. The reference model defines the scope of features that comprise the standard and provides a consistent vocabulary in support of the specification. The RBAC System and Administrative Functional Specification defines functional requirements for administrative operations and queries for the creation, maintenance, and review of RBAC sets and relations, as well as for specifying system level functionality in support of session attribute management and an access control decision process.","author":[{"dropping-particle":"","family":"Ferraiolo","given":"David F.","non-dropping-particle":"","parse-names":false,"suffix":""},{"dropping-particle":"","family":"Sandhu","given":"Ravi","non-dropping-particle":"","parse-names":false,"suffix":""},{"dropping-particle":"","family":"Gavrila","given":"Serban","non-dropping-particle":"","parse-names":false,"suffix":""},{"dropping-particle":"","family":"Kuhn","given":"D. Richard","non-dropping-particle":"","parse-names":false,"suffix":""},{"dropping-particle":"","family":"Chandramouli","given":"Ramaswamy","non-dropping-particle":"","parse-names":false,"suffix":""}],"container-title":"ACM Transactions on Information and System Security","id":"ITEM-4","issue":"3","issued":{"date-parts":[["2001","8"]]},"page":"224-274","title":"Proposed NIST standard for role-based access control","type":"article-journal","volume":"4"},"uris":["http://www.mendeley.com/documents/?uuid=a886644f-e260-4e05-ac26-ecdb918c42b6"]}],"mendeley":{"formattedCitation":"[1], [3]–[5]","plainTextFormattedCitation":"[1], [3]–[5]","previouslyFormattedCitation":"[1], [3]–[5]"},"properties":{"noteIndex":0},"schema":"https://github.com/citation-style-language/schema/raw/master/csl-citation.json"}</w:instrText>
      </w:r>
      <w:r>
        <w:fldChar w:fldCharType="separate"/>
      </w:r>
      <w:r w:rsidR="00327D4B" w:rsidRPr="00327D4B">
        <w:rPr>
          <w:noProof/>
        </w:rPr>
        <w:t>[1], [3]–[5]</w:t>
      </w:r>
      <w:r>
        <w:fldChar w:fldCharType="end"/>
      </w:r>
    </w:p>
    <w:p w14:paraId="05ED2449" w14:textId="77777777" w:rsidR="00133D20" w:rsidRDefault="00051465" w:rsidP="003A3AA0">
      <w:r>
        <w:br/>
      </w:r>
    </w:p>
    <w:p w14:paraId="20B8BDA2" w14:textId="7412052D" w:rsidR="00BC124C" w:rsidRDefault="00BC124C" w:rsidP="00BC124C">
      <w:pPr>
        <w:pStyle w:val="Heading2"/>
      </w:pPr>
      <w:bookmarkStart w:id="12" w:name="_Toc92312666"/>
      <w:r>
        <w:t>Control Objective for Information and Related Technologies(COBIT)</w:t>
      </w:r>
      <w:bookmarkEnd w:id="12"/>
      <w:r>
        <w:t xml:space="preserve"> </w:t>
      </w:r>
    </w:p>
    <w:p w14:paraId="28DBFBD5" w14:textId="5C732CFB" w:rsidR="00D256C0" w:rsidRDefault="00BC124C" w:rsidP="003A3AA0">
      <w:r>
        <w:t>The Control Objective for Information and Related Technologies (</w:t>
      </w:r>
      <w:hyperlink w:anchor="COBIT" w:tooltip="COBIT: Control Objective for Information and Related Technologies" w:history="1">
        <w:r w:rsidRPr="004D1C9C">
          <w:rPr>
            <w:rStyle w:val="Hyperlink"/>
          </w:rPr>
          <w:t>COBIT</w:t>
        </w:r>
      </w:hyperlink>
      <w:r>
        <w:t xml:space="preserve">) is </w:t>
      </w:r>
      <w:r w:rsidR="00531322">
        <w:t>a</w:t>
      </w:r>
      <w:r>
        <w:t xml:space="preserve"> model for governance for Infosec</w:t>
      </w:r>
      <w:r w:rsidR="004870D9">
        <w:t>. Though it is</w:t>
      </w:r>
      <w:r w:rsidR="006F0832">
        <w:t xml:space="preserve"> not</w:t>
      </w:r>
      <w:r w:rsidR="000044E3">
        <w:t xml:space="preserve"> labelled as a</w:t>
      </w:r>
      <w:r w:rsidR="00A9479C">
        <w:t>n</w:t>
      </w:r>
      <w:r w:rsidR="000044E3">
        <w:t xml:space="preserve"> InfoSec model</w:t>
      </w:r>
      <w:r w:rsidR="004870D9">
        <w:t>,</w:t>
      </w:r>
      <w:r w:rsidR="000044E3">
        <w:t xml:space="preserve"> IT governance is equally pertinent to the cybersecurity of an organisation. The COBIT security model </w:t>
      </w:r>
      <w:r w:rsidR="00D106B1">
        <w:t xml:space="preserve">is </w:t>
      </w:r>
      <w:r w:rsidR="00B30588">
        <w:t xml:space="preserve">older </w:t>
      </w:r>
      <w:r w:rsidR="000044E3">
        <w:t>than NIST CSF</w:t>
      </w:r>
      <w:r w:rsidR="00E07424">
        <w:t>;</w:t>
      </w:r>
      <w:r w:rsidR="000044E3">
        <w:t xml:space="preserve"> most of its directives</w:t>
      </w:r>
      <w:r w:rsidR="00D106B1">
        <w:t xml:space="preserve"> are included in the NIST CSF and most professional</w:t>
      </w:r>
      <w:r w:rsidR="00A9479C">
        <w:t xml:space="preserve"> books</w:t>
      </w:r>
      <w:r w:rsidR="00D106B1">
        <w:t xml:space="preserve"> and studies show that COBIT </w:t>
      </w:r>
      <w:r w:rsidR="006F105E">
        <w:t xml:space="preserve">integrates with </w:t>
      </w:r>
      <w:r w:rsidR="00D106B1">
        <w:t>the NIST CSF suitably.</w:t>
      </w:r>
      <w:r w:rsidR="00997990">
        <w:fldChar w:fldCharType="begin" w:fldLock="1"/>
      </w:r>
      <w:r w:rsidR="008244CA">
        <w:instrText>ADDIN CSL_CITATION {"citationItems":[{"id":"ITEM-1","itemData":{"ISBN":"9781604207644","author":[{"dropping-particle":"","family":"ISACA","given":"","non-dropping-particle":"","parse-names":false,"suffix":""}],"container-title":"COBIT® 2019 Framework","id":"ITEM-1","issued":{"date-parts":[["2018"]]},"number-of-pages":"302","title":"Governance and Management Objectives","type":"book"},"uris":["http://www.mendeley.com/documents/?uuid=02558418-b6e2-450e-971b-b88cf599b04b"]},{"id":"ITEM-2","itemData":{"author":[{"dropping-particle":"","family":"ISACA","given":"","non-dropping-particle":"","parse-names":false,"suffix":""}],"container-title":"COBIT® 2019 Framework","id":"ITEM-2","issue":"November","issued":{"date-parts":[["2018"]]},"title":"Executive Summary November 2018","type":"article-journal"},"uris":["http://www.mendeley.com/documents/?uuid=5fbcb176-82a4-4931-ae17-8803e51d734a"]},{"id":"ITEM-3","itemData":{"ISBN":"9781604202373","ISSN":"10760512","PMID":"9145959","author":[{"dropping-particle":"","family":"Isaca","given":"","non-dropping-particle":"","parse-names":false,"suffix":""}],"id":"ITEM-3","issue":"3","issued":{"date-parts":[["2012"]]},"number-of-pages":"94","title":"Cobit 5 Business Framework","type":"book","volume":"23"},"uris":["http://www.mendeley.com/documents/?uuid=e6e9e2e8-4a7f-4578-b88a-3391d02e9d43"]}],"mendeley":{"formattedCitation":"[6]–[8]","plainTextFormattedCitation":"[6]–[8]","previouslyFormattedCitation":"[6]–[8]"},"properties":{"noteIndex":0},"schema":"https://github.com/citation-style-language/schema/raw/master/csl-citation.json"}</w:instrText>
      </w:r>
      <w:r w:rsidR="00997990">
        <w:fldChar w:fldCharType="separate"/>
      </w:r>
      <w:r w:rsidR="00327D4B" w:rsidRPr="00327D4B">
        <w:rPr>
          <w:noProof/>
        </w:rPr>
        <w:t>[6]–[8]</w:t>
      </w:r>
      <w:r w:rsidR="00997990">
        <w:fldChar w:fldCharType="end"/>
      </w:r>
      <w:r w:rsidR="00F81F15">
        <w:br/>
      </w:r>
      <w:r w:rsidR="00D0768B">
        <w:br/>
        <w:t xml:space="preserve">COBIT uses a </w:t>
      </w:r>
      <w:r w:rsidR="00F81F15">
        <w:t>5-principle</w:t>
      </w:r>
      <w:r w:rsidR="00D0768B">
        <w:t xml:space="preserve"> function to determine its governance and management of IT</w:t>
      </w:r>
      <w:r w:rsidR="00E07424">
        <w:t>. T</w:t>
      </w:r>
      <w:r w:rsidR="00D0768B">
        <w:t xml:space="preserve">hese principles </w:t>
      </w:r>
      <w:r w:rsidR="004870D9">
        <w:t xml:space="preserve">begin with </w:t>
      </w:r>
      <w:r w:rsidR="00D0768B">
        <w:t>the stakeholders</w:t>
      </w:r>
      <w:r w:rsidR="006F0832">
        <w:t>’</w:t>
      </w:r>
      <w:r w:rsidR="00D0768B">
        <w:t xml:space="preserve"> </w:t>
      </w:r>
      <w:r w:rsidR="004870D9">
        <w:t>requirements,</w:t>
      </w:r>
      <w:r w:rsidR="00D0768B" w:rsidRPr="006F0832">
        <w:t xml:space="preserve"> th</w:t>
      </w:r>
      <w:r w:rsidR="004870D9">
        <w:t>en</w:t>
      </w:r>
      <w:r w:rsidR="00D0768B" w:rsidRPr="006F0832">
        <w:t xml:space="preserve"> </w:t>
      </w:r>
      <w:r w:rsidR="00B55AA9">
        <w:t>determine</w:t>
      </w:r>
      <w:r w:rsidR="00D0768B" w:rsidRPr="006F0832">
        <w:t xml:space="preserve"> the enterprise or organisation</w:t>
      </w:r>
      <w:r w:rsidR="00B55AA9">
        <w:t>’s goals</w:t>
      </w:r>
      <w:r w:rsidR="00D0768B" w:rsidRPr="006F0832">
        <w:t xml:space="preserve">, </w:t>
      </w:r>
      <w:r w:rsidR="00F81F15" w:rsidRPr="006F0832">
        <w:t xml:space="preserve">and </w:t>
      </w:r>
      <w:r w:rsidR="00B55AA9">
        <w:t xml:space="preserve">finally </w:t>
      </w:r>
      <w:r w:rsidR="00F81F15" w:rsidRPr="006F0832">
        <w:t>apply a framework</w:t>
      </w:r>
      <w:r w:rsidR="00F81F15">
        <w:t xml:space="preserve">. </w:t>
      </w:r>
      <w:r w:rsidR="004114A8">
        <w:t xml:space="preserve">COBIT helps to ascertain the difference between governance and management within the cybersecurity </w:t>
      </w:r>
      <w:r w:rsidR="00D0768B">
        <w:t>field</w:t>
      </w:r>
      <w:r w:rsidR="00B55AA9">
        <w:t>, a</w:t>
      </w:r>
      <w:r w:rsidR="00D0768B">
        <w:t>ccurately displaying the differences and portraying them as equal</w:t>
      </w:r>
      <w:r w:rsidR="00E07424">
        <w:t xml:space="preserve"> to </w:t>
      </w:r>
      <w:r w:rsidR="00D0768B">
        <w:t xml:space="preserve">each other. </w:t>
      </w:r>
      <w:r w:rsidR="00122222">
        <w:t xml:space="preserve">In each of </w:t>
      </w:r>
      <w:r w:rsidR="009B4508">
        <w:t>its</w:t>
      </w:r>
      <w:r w:rsidR="00122222">
        <w:t xml:space="preserve"> chapters of the main publication</w:t>
      </w:r>
      <w:r w:rsidR="00F41910">
        <w:t>,</w:t>
      </w:r>
      <w:r w:rsidR="00122222">
        <w:t xml:space="preserve"> </w:t>
      </w:r>
      <w:r w:rsidR="007907B2">
        <w:t xml:space="preserve">a corresponding </w:t>
      </w:r>
      <w:r w:rsidR="00122222">
        <w:t>principle is explained ful</w:t>
      </w:r>
      <w:r w:rsidR="007907B2">
        <w:t>l</w:t>
      </w:r>
      <w:r w:rsidR="00F41910">
        <w:t>y</w:t>
      </w:r>
      <w:r w:rsidR="009B4508">
        <w:t>. For example</w:t>
      </w:r>
      <w:r w:rsidR="007907B2">
        <w:t>,</w:t>
      </w:r>
      <w:r w:rsidR="009B4508">
        <w:t xml:space="preserve"> the 2</w:t>
      </w:r>
      <w:r w:rsidR="009B4508" w:rsidRPr="009B4508">
        <w:rPr>
          <w:vertAlign w:val="superscript"/>
        </w:rPr>
        <w:t>nd</w:t>
      </w:r>
      <w:r w:rsidR="009B4508">
        <w:t xml:space="preserve"> chapter describe</w:t>
      </w:r>
      <w:r w:rsidR="00E07424">
        <w:t>s</w:t>
      </w:r>
      <w:r w:rsidR="009B4508">
        <w:t xml:space="preserve"> the “COBIT 5 Goals Cascade” </w:t>
      </w:r>
      <w:r w:rsidR="00D256C0">
        <w:t xml:space="preserve">, </w:t>
      </w:r>
      <w:r w:rsidR="00D256C0">
        <w:rPr>
          <w:i/>
          <w:iCs/>
        </w:rPr>
        <w:t>figure 2</w:t>
      </w:r>
      <w:r w:rsidR="00B55AA9">
        <w:rPr>
          <w:i/>
          <w:iCs/>
        </w:rPr>
        <w:t>,</w:t>
      </w:r>
      <w:r w:rsidR="00D256C0">
        <w:rPr>
          <w:i/>
          <w:iCs/>
        </w:rPr>
        <w:t xml:space="preserve"> </w:t>
      </w:r>
      <w:r w:rsidR="009A2D1B">
        <w:t xml:space="preserve"> the</w:t>
      </w:r>
      <w:r w:rsidR="009B4508">
        <w:t xml:space="preserve"> relationship with the stakeholder</w:t>
      </w:r>
      <w:r w:rsidR="00B80CF8">
        <w:t>’</w:t>
      </w:r>
      <w:r w:rsidR="009B4508">
        <w:t xml:space="preserve">s </w:t>
      </w:r>
      <w:r w:rsidR="00E07424">
        <w:t>requirements</w:t>
      </w:r>
      <w:r w:rsidR="009B4508">
        <w:t xml:space="preserve"> and enterprise </w:t>
      </w:r>
      <w:r w:rsidR="007907B2">
        <w:t>goals</w:t>
      </w:r>
      <w:r w:rsidR="00B55AA9">
        <w:t xml:space="preserve">. </w:t>
      </w:r>
      <w:r w:rsidR="00997990">
        <w:fldChar w:fldCharType="begin" w:fldLock="1"/>
      </w:r>
      <w:r w:rsidR="008244CA">
        <w:instrText>ADDIN CSL_CITATION {"citationItems":[{"id":"ITEM-1","itemData":{"ISBN":"9781604202373","ISSN":"10760512","PMID":"9145959","author":[{"dropping-particle":"","family":"Isaca","given":"","non-dropping-particle":"","parse-names":false,"suffix":""}],"id":"ITEM-1","issue":"3","issued":{"date-parts":[["2012"]]},"number-of-pages":"94","title":"Cobit 5 Business Framework","type":"book","volume":"23"},"uris":["http://www.mendeley.com/documents/?uuid=e6e9e2e8-4a7f-4578-b88a-3391d02e9d43"]}],"mendeley":{"formattedCitation":"[8]","plainTextFormattedCitation":"[8]","previouslyFormattedCitation":"[8]"},"properties":{"noteIndex":0},"schema":"https://github.com/citation-style-language/schema/raw/master/csl-citation.json"}</w:instrText>
      </w:r>
      <w:r w:rsidR="00997990">
        <w:fldChar w:fldCharType="separate"/>
      </w:r>
      <w:r w:rsidR="00327D4B" w:rsidRPr="00327D4B">
        <w:rPr>
          <w:noProof/>
        </w:rPr>
        <w:t>[8]</w:t>
      </w:r>
      <w:r w:rsidR="00997990">
        <w:fldChar w:fldCharType="end"/>
      </w:r>
    </w:p>
    <w:p w14:paraId="37493461" w14:textId="39F89ECF" w:rsidR="00D256C0" w:rsidRDefault="00D256C0" w:rsidP="00D256C0">
      <w:pPr>
        <w:keepNext/>
      </w:pPr>
      <w:r w:rsidRPr="00D256C0">
        <w:rPr>
          <w:noProof/>
        </w:rPr>
        <w:lastRenderedPageBreak/>
        <w:drawing>
          <wp:inline distT="0" distB="0" distL="0" distR="0" wp14:anchorId="0EE4931C" wp14:editId="0C8F10B5">
            <wp:extent cx="5731510" cy="4463415"/>
            <wp:effectExtent l="0" t="0" r="2540" b="0"/>
            <wp:docPr id="4" name="Picture 4"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chat or text message&#10;&#10;Description automatically generated"/>
                    <pic:cNvPicPr/>
                  </pic:nvPicPr>
                  <pic:blipFill>
                    <a:blip r:embed="rId10"/>
                    <a:stretch>
                      <a:fillRect/>
                    </a:stretch>
                  </pic:blipFill>
                  <pic:spPr>
                    <a:xfrm>
                      <a:off x="0" y="0"/>
                      <a:ext cx="5731510" cy="4463415"/>
                    </a:xfrm>
                    <a:prstGeom prst="rect">
                      <a:avLst/>
                    </a:prstGeom>
                  </pic:spPr>
                </pic:pic>
              </a:graphicData>
            </a:graphic>
          </wp:inline>
        </w:drawing>
      </w:r>
      <w:r w:rsidR="00997990">
        <w:t xml:space="preserve"> </w:t>
      </w:r>
      <w:r w:rsidR="00997990">
        <w:fldChar w:fldCharType="begin" w:fldLock="1"/>
      </w:r>
      <w:r w:rsidR="00997990">
        <w:instrText>ADDIN CSL_CITATION {"citationItems":[{"id":"ITEM-1","itemData":{"DOI":"10.5121/csit.2017.70305","ISBN":"9781921987625","abstract":"The National Institute of Standards and Technology (NIST) has issued a framework to provide guidance for organizations within critical infrastructure sectors to reduce the risk associated with cyber security. The framework is called NIST Cyber Security Framework for Critical Infrastructure (CSF). Many organizations are currently implementing or aligned to different information security frameworks. The implementation of NIST CSF needs to be aligned with and complement the existing frameworks. NIST states that the NIST CSF is not a maturity framework. Therefore, there is a need to adopt an existing maturity model or create one to have a common way to measure the CSF implementation progress. This paper explores the applicability of number of maturity models to be used as a measure to the security poster of organizations implementing the NIST CSF. This paper reviews the NIST CSF and compares it to other information security related frameworks such as COBIT, ISO/IEC 27001 and the ISF Standard of Good Practice (SoGP) for Information Security. We propose a new information security maturity model (ISMM) that fills the gap in the NIST CSF.","author":[{"dropping-particle":"","family":"Almuhammadi","given":"Sultan","non-dropping-particle":"","parse-names":false,"suffix":""},{"dropping-particle":"","family":"Alsaleh","given":"Majeed","non-dropping-particle":"","parse-names":false,"suffix":""}],"container-title":"Computer Science &amp; Information Technology (CS &amp; IT)","id":"ITEM-1","issued":{"date-parts":[["2017","2","25"]]},"page":"51-62","publisher":"Academy &amp; Industry Research Collaboration Center (AIRCC)","title":"Information Security Maturity Model for Nist Cyber Security Framework","type":"paper-conference"},"uris":["http://www.mendeley.com/documents/?uuid=7c4c74d2-48f8-4c77-af3f-b10ab587cfb2"]}],"mendeley":{"formattedCitation":"[3]","plainTextFormattedCitation":"[3]","previouslyFormattedCitation":"[3]"},"properties":{"noteIndex":0},"schema":"https://github.com/citation-style-language/schema/raw/master/csl-citation.json"}</w:instrText>
      </w:r>
      <w:r w:rsidR="00997990">
        <w:fldChar w:fldCharType="separate"/>
      </w:r>
      <w:r w:rsidR="00997990" w:rsidRPr="00997990">
        <w:rPr>
          <w:noProof/>
        </w:rPr>
        <w:t>[3]</w:t>
      </w:r>
      <w:r w:rsidR="00997990">
        <w:fldChar w:fldCharType="end"/>
      </w:r>
    </w:p>
    <w:p w14:paraId="0D57B1A4" w14:textId="23173697" w:rsidR="00D256C0" w:rsidRDefault="00D256C0" w:rsidP="00D256C0">
      <w:pPr>
        <w:pStyle w:val="Caption"/>
      </w:pPr>
      <w:r>
        <w:t xml:space="preserve">Figure </w:t>
      </w:r>
      <w:fldSimple w:instr=" SEQ Figure \* ARABIC ">
        <w:r w:rsidR="00027103">
          <w:rPr>
            <w:noProof/>
          </w:rPr>
          <w:t>2</w:t>
        </w:r>
      </w:fldSimple>
      <w:r>
        <w:t>: COBIT 5 Goals Cascade</w:t>
      </w:r>
    </w:p>
    <w:p w14:paraId="0AF5FCB0" w14:textId="43DEA8D1" w:rsidR="003B3181" w:rsidRDefault="00DB7D6A" w:rsidP="003A3AA0">
      <w:r>
        <w:t>T</w:t>
      </w:r>
      <w:r w:rsidR="00B55AA9">
        <w:t>he</w:t>
      </w:r>
      <w:r w:rsidR="00EE02A8">
        <w:t xml:space="preserve"> COBIT</w:t>
      </w:r>
      <w:r w:rsidR="005F607A">
        <w:t xml:space="preserve"> 5</w:t>
      </w:r>
      <w:r w:rsidR="00EE02A8">
        <w:t xml:space="preserve"> framework </w:t>
      </w:r>
      <w:r>
        <w:t>makes use of</w:t>
      </w:r>
      <w:r w:rsidR="00EE02A8">
        <w:t xml:space="preserve"> </w:t>
      </w:r>
      <w:r w:rsidR="00E07424">
        <w:t>‘</w:t>
      </w:r>
      <w:r w:rsidR="00EE02A8">
        <w:t>enabler</w:t>
      </w:r>
      <w:r>
        <w:t>s</w:t>
      </w:r>
      <w:r w:rsidR="00E07424">
        <w:t>’</w:t>
      </w:r>
      <w:r>
        <w:t xml:space="preserve">; </w:t>
      </w:r>
      <w:r w:rsidR="00EE02A8">
        <w:t>factors of InfoSec</w:t>
      </w:r>
      <w:r w:rsidR="004D5764">
        <w:t xml:space="preserve"> that impact </w:t>
      </w:r>
      <w:r w:rsidR="00B80CF8">
        <w:t xml:space="preserve">on </w:t>
      </w:r>
      <w:r w:rsidR="004D5764">
        <w:t>whether something will operate correctly</w:t>
      </w:r>
      <w:r>
        <w:t>. Within t</w:t>
      </w:r>
      <w:r w:rsidR="004D5764">
        <w:t xml:space="preserve">he governance </w:t>
      </w:r>
      <w:r w:rsidR="00B30588">
        <w:t>and management of IT in enterprises</w:t>
      </w:r>
      <w:r w:rsidR="00B80CF8">
        <w:t xml:space="preserve"> and </w:t>
      </w:r>
      <w:r w:rsidR="00B30588">
        <w:t xml:space="preserve">organisations, the </w:t>
      </w:r>
      <w:r w:rsidR="001A68A0">
        <w:t>‘enablers’</w:t>
      </w:r>
      <w:r w:rsidR="00B30588">
        <w:t xml:space="preserve"> define what an </w:t>
      </w:r>
      <w:r w:rsidR="001A68A0">
        <w:t>‘enabler’</w:t>
      </w:r>
      <w:r w:rsidR="00B30588">
        <w:t xml:space="preserve"> should expect to achieve.</w:t>
      </w:r>
      <w:r w:rsidR="00997990">
        <w:fldChar w:fldCharType="begin" w:fldLock="1"/>
      </w:r>
      <w:r w:rsidR="008244CA">
        <w:instrText>ADDIN CSL_CITATION {"citationItems":[{"id":"ITEM-1","itemData":{"ISBN":"9781604207644","author":[{"dropping-particle":"","family":"ISACA","given":"","non-dropping-particle":"","parse-names":false,"suffix":""}],"container-title":"COBIT® 2019 Framework","id":"ITEM-1","issued":{"date-parts":[["2018"]]},"number-of-pages":"302","title":"Governance and Management Objectives","type":"book"},"uris":["http://www.mendeley.com/documents/?uuid=02558418-b6e2-450e-971b-b88cf599b04b"]},{"id":"ITEM-2","itemData":{"author":[{"dropping-particle":"","family":"Bernard","given":"Pierre","non-dropping-particle":"","parse-names":false,"suffix":""}],"id":"ITEM-2","issued":{"date-parts":[["0"]]},"title":"COBIT ® 5-A Management Guide","type":"article-journal"},"uris":["http://www.mendeley.com/documents/?uuid=58134c2c-3c9b-3344-b4a2-5164c5584c62"]}],"mendeley":{"formattedCitation":"[6], [9]","plainTextFormattedCitation":"[6], [9]","previouslyFormattedCitation":"[6], [10]"},"properties":{"noteIndex":0},"schema":"https://github.com/citation-style-language/schema/raw/master/csl-citation.json"}</w:instrText>
      </w:r>
      <w:r w:rsidR="00997990">
        <w:fldChar w:fldCharType="separate"/>
      </w:r>
      <w:r w:rsidR="008244CA" w:rsidRPr="008244CA">
        <w:rPr>
          <w:noProof/>
        </w:rPr>
        <w:t>[6], [9]</w:t>
      </w:r>
      <w:r w:rsidR="00997990">
        <w:fldChar w:fldCharType="end"/>
      </w:r>
      <w:r w:rsidR="00C61280">
        <w:br/>
      </w:r>
      <w:r w:rsidR="00C61280">
        <w:br/>
      </w:r>
      <w:r w:rsidR="001A68A0" w:rsidRPr="001A68A0">
        <w:t>‘</w:t>
      </w:r>
      <w:r w:rsidR="003B3181" w:rsidRPr="001A68A0">
        <w:t>Governance</w:t>
      </w:r>
      <w:r w:rsidR="001A68A0" w:rsidRPr="001A68A0">
        <w:t>’</w:t>
      </w:r>
      <w:r w:rsidR="003B3181" w:rsidRPr="001A68A0">
        <w:t xml:space="preserve"> </w:t>
      </w:r>
      <w:r w:rsidR="00C61280" w:rsidRPr="001A68A0">
        <w:t xml:space="preserve">by the publication </w:t>
      </w:r>
      <w:r w:rsidR="003B3181" w:rsidRPr="001A68A0">
        <w:t xml:space="preserve">is </w:t>
      </w:r>
      <w:r w:rsidR="00C61280" w:rsidRPr="001A68A0">
        <w:t>COBIT</w:t>
      </w:r>
      <w:r w:rsidR="001A68A0" w:rsidRPr="001A68A0">
        <w:t xml:space="preserve"> </w:t>
      </w:r>
      <w:r w:rsidR="00C61280" w:rsidRPr="001A68A0">
        <w:t xml:space="preserve">framework’s foundation </w:t>
      </w:r>
      <w:r w:rsidR="003B3181" w:rsidRPr="001A68A0">
        <w:t>in it’s role of cybersecurity</w:t>
      </w:r>
      <w:r>
        <w:t xml:space="preserve">; </w:t>
      </w:r>
      <w:r w:rsidR="003B3181" w:rsidRPr="001A68A0">
        <w:t xml:space="preserve">the governance </w:t>
      </w:r>
      <w:r w:rsidR="00111D97" w:rsidRPr="001A68A0">
        <w:t>and management of IT is</w:t>
      </w:r>
      <w:r w:rsidR="001A68A0" w:rsidRPr="001A68A0">
        <w:t xml:space="preserve"> in</w:t>
      </w:r>
      <w:r w:rsidR="00111D97" w:rsidRPr="001A68A0">
        <w:t xml:space="preserve"> cooperation </w:t>
      </w:r>
      <w:r w:rsidR="001A68A0" w:rsidRPr="001A68A0">
        <w:t>between</w:t>
      </w:r>
      <w:r w:rsidR="00111D97" w:rsidRPr="001A68A0">
        <w:t xml:space="preserve"> stakeholders</w:t>
      </w:r>
      <w:r w:rsidR="001A68A0" w:rsidRPr="001A68A0">
        <w:t>’</w:t>
      </w:r>
      <w:r w:rsidR="00111D97" w:rsidRPr="001A68A0">
        <w:t xml:space="preserve"> needs and the enterprise</w:t>
      </w:r>
      <w:r w:rsidR="001A68A0" w:rsidRPr="001A68A0">
        <w:t>’</w:t>
      </w:r>
      <w:r w:rsidR="00111D97" w:rsidRPr="001A68A0">
        <w:t>s goals, with roles, activities and relationships between the people and equipment all working together with effective information protection throughout.</w:t>
      </w:r>
      <w:r w:rsidR="004D5764">
        <w:t xml:space="preserve"> COBIT encourages a holistic approach to the governance of the enterprise using seven categories of </w:t>
      </w:r>
      <w:r w:rsidR="001A68A0">
        <w:t>‘enablers’.</w:t>
      </w:r>
      <w:r w:rsidR="00997990">
        <w:fldChar w:fldCharType="begin" w:fldLock="1"/>
      </w:r>
      <w:r w:rsidR="008244CA">
        <w:instrText>ADDIN CSL_CITATION {"citationItems":[{"id":"ITEM-1","itemData":{"ISBN":"9781604202373","ISSN":"10760512","PMID":"9145959","author":[{"dropping-particle":"","family":"Isaca","given":"","non-dropping-particle":"","parse-names":false,"suffix":""}],"id":"ITEM-1","issue":"3","issued":{"date-parts":[["2012"]]},"number-of-pages":"94","title":"Cobit 5 Business Framework","type":"book","volume":"23"},"uris":["http://www.mendeley.com/documents/?uuid=e6e9e2e8-4a7f-4578-b88a-3391d02e9d43"]},{"id":"ITEM-2","itemData":{"ISBN":"9781604207644","author":[{"dropping-particle":"","family":"ISACA","given":"","non-dropping-particle":"","parse-names":false,"suffix":""}],"container-title":"COBIT® 2019 Framework","id":"ITEM-2","issued":{"date-parts":[["2018"]]},"number-of-pages":"302","title":"Governance and Management Objectives","type":"book"},"uris":["http://www.mendeley.com/documents/?uuid=02558418-b6e2-450e-971b-b88cf599b04b"]}],"mendeley":{"formattedCitation":"[6], [8]","plainTextFormattedCitation":"[6], [8]","previouslyFormattedCitation":"[6], [8]"},"properties":{"noteIndex":0},"schema":"https://github.com/citation-style-language/schema/raw/master/csl-citation.json"}</w:instrText>
      </w:r>
      <w:r w:rsidR="00997990">
        <w:fldChar w:fldCharType="separate"/>
      </w:r>
      <w:r w:rsidR="00327D4B" w:rsidRPr="00327D4B">
        <w:rPr>
          <w:noProof/>
        </w:rPr>
        <w:t>[6], [8]</w:t>
      </w:r>
      <w:r w:rsidR="00997990">
        <w:fldChar w:fldCharType="end"/>
      </w:r>
    </w:p>
    <w:p w14:paraId="0839BF1A" w14:textId="551FF11A" w:rsidR="001A68A0" w:rsidRDefault="001A68A0" w:rsidP="001A68A0">
      <w:pPr>
        <w:keepNext/>
        <w:jc w:val="center"/>
      </w:pPr>
      <w:r w:rsidRPr="001A68A0">
        <w:rPr>
          <w:noProof/>
        </w:rPr>
        <w:lastRenderedPageBreak/>
        <w:drawing>
          <wp:inline distT="0" distB="0" distL="0" distR="0" wp14:anchorId="376D3740" wp14:editId="4EEDEDE4">
            <wp:extent cx="5514975" cy="2110740"/>
            <wp:effectExtent l="0" t="0" r="9525" b="3810"/>
            <wp:docPr id="7" name="Picture 7"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10;&#10;Description automatically generated"/>
                    <pic:cNvPicPr/>
                  </pic:nvPicPr>
                  <pic:blipFill>
                    <a:blip r:embed="rId11"/>
                    <a:stretch>
                      <a:fillRect/>
                    </a:stretch>
                  </pic:blipFill>
                  <pic:spPr>
                    <a:xfrm>
                      <a:off x="0" y="0"/>
                      <a:ext cx="5514975" cy="2110740"/>
                    </a:xfrm>
                    <a:prstGeom prst="rect">
                      <a:avLst/>
                    </a:prstGeom>
                  </pic:spPr>
                </pic:pic>
              </a:graphicData>
            </a:graphic>
          </wp:inline>
        </w:drawing>
      </w:r>
      <w:r w:rsidR="00997990">
        <w:fldChar w:fldCharType="begin" w:fldLock="1"/>
      </w:r>
      <w:r w:rsidR="008244CA">
        <w:instrText>ADDIN CSL_CITATION {"citationItems":[{"id":"ITEM-1","itemData":{"ISBN":"9781604202373","ISSN":"10760512","PMID":"9145959","author":[{"dropping-particle":"","family":"Isaca","given":"","non-dropping-particle":"","parse-names":false,"suffix":""}],"id":"ITEM-1","issue":"3","issued":{"date-parts":[["2012"]]},"number-of-pages":"94","title":"Cobit 5 Business Framework","type":"book","volume":"23"},"uris":["http://www.mendeley.com/documents/?uuid=e6e9e2e8-4a7f-4578-b88a-3391d02e9d43"]}],"mendeley":{"formattedCitation":"[8]","plainTextFormattedCitation":"[8]","previouslyFormattedCitation":"[8]"},"properties":{"noteIndex":0},"schema":"https://github.com/citation-style-language/schema/raw/master/csl-citation.json"}</w:instrText>
      </w:r>
      <w:r w:rsidR="00997990">
        <w:fldChar w:fldCharType="separate"/>
      </w:r>
      <w:r w:rsidR="00327D4B" w:rsidRPr="00327D4B">
        <w:rPr>
          <w:noProof/>
        </w:rPr>
        <w:t>[8]</w:t>
      </w:r>
      <w:r w:rsidR="00997990">
        <w:fldChar w:fldCharType="end"/>
      </w:r>
    </w:p>
    <w:p w14:paraId="4E2458BD" w14:textId="6C4321C4" w:rsidR="001A68A0" w:rsidRDefault="001A68A0" w:rsidP="001A68A0">
      <w:pPr>
        <w:pStyle w:val="Caption"/>
        <w:jc w:val="center"/>
      </w:pPr>
      <w:r>
        <w:t xml:space="preserve">Figure </w:t>
      </w:r>
      <w:fldSimple w:instr=" SEQ Figure \* ARABIC ">
        <w:r w:rsidR="00027103">
          <w:rPr>
            <w:noProof/>
          </w:rPr>
          <w:t>3</w:t>
        </w:r>
      </w:fldSimple>
      <w:r>
        <w:t>: COBIT 5 'enablers'</w:t>
      </w:r>
    </w:p>
    <w:p w14:paraId="4FD7ECF2" w14:textId="2B40ABEF" w:rsidR="00BE0589" w:rsidRDefault="00BE0589" w:rsidP="003A3AA0">
      <w:r>
        <w:t xml:space="preserve">The concept of </w:t>
      </w:r>
      <w:r w:rsidR="001A68A0">
        <w:t>‘enablers’</w:t>
      </w:r>
      <w:r>
        <w:t xml:space="preserve"> seems ambiguous in the pre</w:t>
      </w:r>
      <w:r w:rsidR="00B80CF8">
        <w:t>-</w:t>
      </w:r>
      <w:r>
        <w:t xml:space="preserve">text and </w:t>
      </w:r>
      <w:r w:rsidR="002D1936">
        <w:t>following chapters</w:t>
      </w:r>
      <w:r>
        <w:t xml:space="preserve"> in the COBIT framework</w:t>
      </w:r>
      <w:r w:rsidR="002D1936">
        <w:t>.</w:t>
      </w:r>
      <w:r w:rsidR="00D815F1">
        <w:t xml:space="preserve"> However,</w:t>
      </w:r>
      <w:r w:rsidR="002D1936">
        <w:t xml:space="preserve"> </w:t>
      </w:r>
      <w:r w:rsidR="00D815F1">
        <w:t>i</w:t>
      </w:r>
      <w:r w:rsidR="002D1936" w:rsidRPr="009D750D">
        <w:t>n chapter</w:t>
      </w:r>
      <w:r w:rsidR="009D750D">
        <w:t xml:space="preserve"> 5</w:t>
      </w:r>
      <w:r w:rsidR="002D1936">
        <w:t xml:space="preserve"> it</w:t>
      </w:r>
      <w:r w:rsidR="00D815F1">
        <w:t xml:space="preserve"> is clearly</w:t>
      </w:r>
      <w:r w:rsidR="002D1936">
        <w:t xml:space="preserve"> explained that these </w:t>
      </w:r>
      <w:r w:rsidR="001A68A0">
        <w:t>‘enablers’</w:t>
      </w:r>
      <w:r w:rsidR="002D1936">
        <w:t xml:space="preserve"> have a dimension. </w:t>
      </w:r>
      <w:r w:rsidR="00D815F1">
        <w:t>The</w:t>
      </w:r>
      <w:r w:rsidR="002D1936">
        <w:t xml:space="preserve"> stakeholders</w:t>
      </w:r>
      <w:r w:rsidR="009D750D">
        <w:t>,</w:t>
      </w:r>
      <w:r w:rsidR="002D1936">
        <w:t xml:space="preserve"> which</w:t>
      </w:r>
      <w:r>
        <w:t xml:space="preserve"> are the parties that play </w:t>
      </w:r>
      <w:r w:rsidR="00C7416B">
        <w:t xml:space="preserve">an </w:t>
      </w:r>
      <w:r>
        <w:t xml:space="preserve">active role and/or have an interest in the </w:t>
      </w:r>
      <w:r w:rsidR="001A68A0">
        <w:t>‘enabler’</w:t>
      </w:r>
      <w:r>
        <w:t xml:space="preserve"> itself, meaning that every </w:t>
      </w:r>
      <w:r w:rsidR="001A68A0">
        <w:t>‘enabler’</w:t>
      </w:r>
      <w:r>
        <w:t xml:space="preserve"> has a stakeholder that </w:t>
      </w:r>
      <w:r w:rsidR="002D1936">
        <w:t xml:space="preserve">translates into </w:t>
      </w:r>
      <w:r w:rsidR="00C7416B">
        <w:t>the organisation’s</w:t>
      </w:r>
      <w:r w:rsidR="009D750D">
        <w:t xml:space="preserve">, or </w:t>
      </w:r>
      <w:r w:rsidR="002D1936" w:rsidRPr="009D750D">
        <w:t>enterprise</w:t>
      </w:r>
      <w:r w:rsidR="009D750D" w:rsidRPr="009D750D">
        <w:t>’s</w:t>
      </w:r>
      <w:r w:rsidR="002D1936">
        <w:t xml:space="preserve"> goals</w:t>
      </w:r>
      <w:r w:rsidR="009D750D">
        <w:t>, as COBIT would name them,</w:t>
      </w:r>
      <w:r w:rsidR="002D1936">
        <w:t xml:space="preserve"> and each goal has its own set of </w:t>
      </w:r>
      <w:r w:rsidR="001A68A0">
        <w:t>‘enablers’</w:t>
      </w:r>
      <w:r w:rsidR="002D1936">
        <w:t xml:space="preserve"> that play a part in the execution of a directive or operation which are then assessed and placed into good practices.</w:t>
      </w:r>
      <w:r w:rsidR="00C7416B">
        <w:t xml:space="preserve"> </w:t>
      </w:r>
      <w:r w:rsidR="0006617F">
        <w:fldChar w:fldCharType="begin" w:fldLock="1"/>
      </w:r>
      <w:r w:rsidR="008244CA">
        <w:instrText>ADDIN CSL_CITATION {"citationItems":[{"id":"ITEM-1","itemData":{"author":[{"dropping-particle":"","family":"Bernard","given":"Pierre","non-dropping-particle":"","parse-names":false,"suffix":""}],"id":"ITEM-1","issued":{"date-parts":[["0"]]},"title":"COBIT ® 5-A Management Guide","type":"article-journal"},"uris":["http://www.mendeley.com/documents/?uuid=58134c2c-3c9b-3344-b4a2-5164c5584c62"]},{"id":"ITEM-2","itemData":{"ISBN":"9781604202373","ISSN":"10760512","PMID":"9145959","author":[{"dropping-particle":"","family":"Isaca","given":"","non-dropping-particle":"","parse-names":false,"suffix":""}],"id":"ITEM-2","issue":"3","issued":{"date-parts":[["2012"]]},"number-of-pages":"94","title":"Cobit 5 Business Framework","type":"book","volume":"23"},"uris":["http://www.mendeley.com/documents/?uuid=e6e9e2e8-4a7f-4578-b88a-3391d02e9d43"]}],"mendeley":{"formattedCitation":"[8], [9]","plainTextFormattedCitation":"[8], [9]","previouslyFormattedCitation":"[8], [10]"},"properties":{"noteIndex":0},"schema":"https://github.com/citation-style-language/schema/raw/master/csl-citation.json"}</w:instrText>
      </w:r>
      <w:r w:rsidR="0006617F">
        <w:fldChar w:fldCharType="separate"/>
      </w:r>
      <w:r w:rsidR="008244CA" w:rsidRPr="008244CA">
        <w:rPr>
          <w:noProof/>
        </w:rPr>
        <w:t>[8], [9]</w:t>
      </w:r>
      <w:r w:rsidR="0006617F">
        <w:fldChar w:fldCharType="end"/>
      </w:r>
    </w:p>
    <w:p w14:paraId="215F74C8" w14:textId="5A134AD2" w:rsidR="00096F13" w:rsidRDefault="00A83B15" w:rsidP="003A3AA0">
      <w:r>
        <w:t>The main publication does state that the COBIT system must be used in alignment with a major</w:t>
      </w:r>
      <w:r w:rsidR="00ED1276">
        <w:t xml:space="preserve"> </w:t>
      </w:r>
      <w:r>
        <w:t>framework</w:t>
      </w:r>
      <w:r w:rsidR="00D815F1">
        <w:t xml:space="preserve"> -</w:t>
      </w:r>
      <w:r>
        <w:t xml:space="preserve"> such as </w:t>
      </w:r>
      <w:hyperlink w:anchor="ITIL" w:tooltip="ITIL: Information Technology Infrastructure Library " w:history="1">
        <w:r w:rsidRPr="00EC2D14">
          <w:rPr>
            <w:rStyle w:val="Hyperlink"/>
          </w:rPr>
          <w:t>ITIL</w:t>
        </w:r>
      </w:hyperlink>
      <w:r>
        <w:t xml:space="preserve"> or </w:t>
      </w:r>
      <w:hyperlink w:anchor="TOGAF" w:tooltip="The Open Group Architecture Framework" w:history="1">
        <w:r w:rsidRPr="00EC2D14">
          <w:rPr>
            <w:rStyle w:val="Hyperlink"/>
          </w:rPr>
          <w:t>TOGAF</w:t>
        </w:r>
      </w:hyperlink>
      <w:r>
        <w:t>, amongst others listed</w:t>
      </w:r>
      <w:r w:rsidR="00B30588">
        <w:t xml:space="preserve"> (in COBIT 2019, the NIST CSF is included)</w:t>
      </w:r>
      <w:r w:rsidR="00D815F1">
        <w:t xml:space="preserve"> -</w:t>
      </w:r>
      <w:r w:rsidR="00B30588">
        <w:t xml:space="preserve"> </w:t>
      </w:r>
      <w:r w:rsidR="009D750D">
        <w:t xml:space="preserve">the COBIT publication </w:t>
      </w:r>
      <w:r w:rsidR="00ED1276" w:rsidRPr="009D750D">
        <w:t>also stated</w:t>
      </w:r>
      <w:r w:rsidR="00ED1276">
        <w:t xml:space="preserve"> that integrat</w:t>
      </w:r>
      <w:r w:rsidR="00B30588">
        <w:t>ion</w:t>
      </w:r>
      <w:r w:rsidR="00ED1276">
        <w:t xml:space="preserve"> with other </w:t>
      </w:r>
      <w:hyperlink w:anchor="ISACA" w:tooltip="ISACA: Information Systems Audit and Control Association " w:history="1">
        <w:r w:rsidR="00ED1276" w:rsidRPr="005E5F00">
          <w:rPr>
            <w:rStyle w:val="Hyperlink"/>
          </w:rPr>
          <w:t>ISACA</w:t>
        </w:r>
      </w:hyperlink>
      <w:r w:rsidR="00ED1276">
        <w:t xml:space="preserve"> frameworks</w:t>
      </w:r>
      <w:r w:rsidR="00B30588">
        <w:t xml:space="preserve"> </w:t>
      </w:r>
      <w:r w:rsidR="009D750D">
        <w:t xml:space="preserve">is </w:t>
      </w:r>
      <w:r w:rsidR="00B30588">
        <w:t>ultimately advised with</w:t>
      </w:r>
      <w:r w:rsidR="00C7416B">
        <w:t xml:space="preserve"> a</w:t>
      </w:r>
      <w:r w:rsidR="00B30588">
        <w:t xml:space="preserve"> main influence from the COBIT </w:t>
      </w:r>
      <w:r w:rsidR="00B30588" w:rsidRPr="009D750D">
        <w:t>framework</w:t>
      </w:r>
      <w:r w:rsidR="00ED1276">
        <w:t>.</w:t>
      </w:r>
      <w:r w:rsidR="006F105E">
        <w:t xml:space="preserve"> As </w:t>
      </w:r>
      <w:r w:rsidR="00D815F1">
        <w:t xml:space="preserve">with </w:t>
      </w:r>
      <w:r w:rsidR="006F105E">
        <w:t>the NIST CSF</w:t>
      </w:r>
      <w:r w:rsidR="00D815F1">
        <w:t>, COBIT</w:t>
      </w:r>
      <w:r w:rsidR="006F105E">
        <w:t xml:space="preserve"> </w:t>
      </w:r>
      <w:r w:rsidR="00D815F1">
        <w:t>promot</w:t>
      </w:r>
      <w:r w:rsidR="006F105E">
        <w:t xml:space="preserve">es itself as </w:t>
      </w:r>
      <w:r w:rsidR="00D85298">
        <w:t>guidance since</w:t>
      </w:r>
      <w:r w:rsidR="008D2AEB">
        <w:t xml:space="preserve"> an e</w:t>
      </w:r>
      <w:r w:rsidR="006F105E">
        <w:t>nterprise</w:t>
      </w:r>
      <w:r w:rsidR="008D2AEB">
        <w:t>’</w:t>
      </w:r>
      <w:r w:rsidR="006F105E">
        <w:t>s needs may differ and vary over time</w:t>
      </w:r>
      <w:r w:rsidR="008D2AEB">
        <w:t xml:space="preserve"> and also</w:t>
      </w:r>
      <w:r w:rsidR="006F105E">
        <w:t xml:space="preserve"> </w:t>
      </w:r>
      <w:r w:rsidR="00D815F1">
        <w:t>advises</w:t>
      </w:r>
      <w:r w:rsidR="006F105E">
        <w:t xml:space="preserve"> </w:t>
      </w:r>
      <w:r w:rsidR="00D815F1">
        <w:t xml:space="preserve">against the </w:t>
      </w:r>
      <w:r w:rsidR="006F105E">
        <w:t xml:space="preserve">use </w:t>
      </w:r>
      <w:r w:rsidR="00D815F1">
        <w:t>of</w:t>
      </w:r>
      <w:r w:rsidR="006F105E">
        <w:t xml:space="preserve"> COBIT in a</w:t>
      </w:r>
      <w:r w:rsidR="003F705D">
        <w:t>n</w:t>
      </w:r>
      <w:r w:rsidR="006F105E">
        <w:t xml:space="preserve"> </w:t>
      </w:r>
      <w:r w:rsidR="003F705D">
        <w:t xml:space="preserve">automatous </w:t>
      </w:r>
      <w:r w:rsidR="006F105E">
        <w:t>fashion</w:t>
      </w:r>
      <w:r w:rsidR="00D815F1">
        <w:t>. F</w:t>
      </w:r>
      <w:r w:rsidR="003F705D">
        <w:t>lexibility is key to an effective cybersecurity.</w:t>
      </w:r>
      <w:r w:rsidR="0006617F">
        <w:t xml:space="preserve"> </w:t>
      </w:r>
      <w:r w:rsidR="00DD4FE1">
        <w:t>Characteristics of</w:t>
      </w:r>
      <w:r w:rsidR="002D1936">
        <w:t xml:space="preserve"> </w:t>
      </w:r>
      <w:r w:rsidR="00D815F1">
        <w:t>g</w:t>
      </w:r>
      <w:r w:rsidR="002D1936">
        <w:t xml:space="preserve">overnance and management are clearly defined </w:t>
      </w:r>
      <w:r w:rsidR="00DD4FE1">
        <w:t xml:space="preserve">in the COBIT 5 main </w:t>
      </w:r>
      <w:r w:rsidR="00BC04DB">
        <w:t>publication,</w:t>
      </w:r>
      <w:r w:rsidR="00DD4FE1">
        <w:t xml:space="preserve"> and they each have their roles and responsibilities</w:t>
      </w:r>
      <w:r w:rsidR="0052391B">
        <w:t>:</w:t>
      </w:r>
      <w:r w:rsidR="00DD4FE1">
        <w:t xml:space="preserve"> </w:t>
      </w:r>
    </w:p>
    <w:p w14:paraId="02A8E822" w14:textId="77777777" w:rsidR="00D85298" w:rsidRDefault="00DD4FE1" w:rsidP="003A3AA0">
      <w:pPr>
        <w:rPr>
          <w:rFonts w:cstheme="minorHAnsi"/>
        </w:rPr>
      </w:pPr>
      <w:r w:rsidRPr="00702D03">
        <w:rPr>
          <w:rFonts w:cstheme="minorHAnsi"/>
        </w:rPr>
        <w:t xml:space="preserve">Governance </w:t>
      </w:r>
      <w:r w:rsidR="00D85298">
        <w:rPr>
          <w:rFonts w:cstheme="minorHAnsi"/>
        </w:rPr>
        <w:t>ensures</w:t>
      </w:r>
      <w:r w:rsidRPr="00702D03">
        <w:rPr>
          <w:rFonts w:cstheme="minorHAnsi"/>
        </w:rPr>
        <w:t xml:space="preserve"> that the stakeholder’s needs, </w:t>
      </w:r>
      <w:r w:rsidR="00096F13" w:rsidRPr="00702D03">
        <w:rPr>
          <w:rFonts w:cstheme="minorHAnsi"/>
        </w:rPr>
        <w:t>conditions,</w:t>
      </w:r>
      <w:r w:rsidRPr="00702D03">
        <w:rPr>
          <w:rFonts w:cstheme="minorHAnsi"/>
        </w:rPr>
        <w:t xml:space="preserve"> and options are assessed to determine approved enterprise/organisational objectives can be accomplished. Governance sets the direction</w:t>
      </w:r>
      <w:r w:rsidR="00096F13" w:rsidRPr="00702D03">
        <w:rPr>
          <w:rFonts w:cstheme="minorHAnsi"/>
        </w:rPr>
        <w:t xml:space="preserve"> via prioritising and making decisions.</w:t>
      </w:r>
      <w:r w:rsidR="00D85298">
        <w:rPr>
          <w:rFonts w:cstheme="minorHAnsi"/>
        </w:rPr>
        <w:t xml:space="preserve"> </w:t>
      </w:r>
      <w:r w:rsidR="00096F13" w:rsidRPr="00702D03">
        <w:rPr>
          <w:rFonts w:cstheme="minorHAnsi"/>
        </w:rPr>
        <w:t xml:space="preserve">Governance also monitors performance and compliance </w:t>
      </w:r>
      <w:r w:rsidR="00D85298">
        <w:rPr>
          <w:rFonts w:cstheme="minorHAnsi"/>
        </w:rPr>
        <w:t>to</w:t>
      </w:r>
      <w:r w:rsidR="00096F13" w:rsidRPr="00702D03">
        <w:rPr>
          <w:rFonts w:cstheme="minorHAnsi"/>
        </w:rPr>
        <w:t xml:space="preserve"> these terms. </w:t>
      </w:r>
    </w:p>
    <w:p w14:paraId="0D968FD1" w14:textId="08440974" w:rsidR="002D1936" w:rsidRDefault="00D85298" w:rsidP="003A3AA0">
      <w:r>
        <w:rPr>
          <w:rFonts w:cstheme="minorHAnsi"/>
        </w:rPr>
        <w:t>M</w:t>
      </w:r>
      <w:r w:rsidR="00096F13" w:rsidRPr="00702D03">
        <w:rPr>
          <w:rFonts w:cstheme="minorHAnsi"/>
        </w:rPr>
        <w:t xml:space="preserve">anagement plans, builds, </w:t>
      </w:r>
      <w:r w:rsidR="00702D03" w:rsidRPr="00702D03">
        <w:rPr>
          <w:rFonts w:cstheme="minorHAnsi"/>
        </w:rPr>
        <w:t>runs,</w:t>
      </w:r>
      <w:r w:rsidR="00096F13" w:rsidRPr="00702D03">
        <w:rPr>
          <w:rFonts w:cstheme="minorHAnsi"/>
        </w:rPr>
        <w:t xml:space="preserve"> and observes activities in alignment with the direction set by </w:t>
      </w:r>
      <w:r>
        <w:rPr>
          <w:rFonts w:cstheme="minorHAnsi"/>
        </w:rPr>
        <w:t xml:space="preserve">the </w:t>
      </w:r>
      <w:r w:rsidR="00096F13" w:rsidRPr="00702D03">
        <w:rPr>
          <w:rFonts w:cstheme="minorHAnsi"/>
        </w:rPr>
        <w:t xml:space="preserve">governance. </w:t>
      </w:r>
      <w:r w:rsidR="0006617F">
        <w:rPr>
          <w:rFonts w:cstheme="minorHAnsi"/>
        </w:rPr>
        <w:fldChar w:fldCharType="begin" w:fldLock="1"/>
      </w:r>
      <w:r w:rsidR="008244CA">
        <w:rPr>
          <w:rFonts w:cstheme="minorHAnsi"/>
        </w:rPr>
        <w:instrText>ADDIN CSL_CITATION {"citationItems":[{"id":"ITEM-1","itemData":{"ISBN":"9781604202373","ISSN":"10760512","PMID":"9145959","author":[{"dropping-particle":"","family":"Isaca","given":"","non-dropping-particle":"","parse-names":false,"suffix":""}],"id":"ITEM-1","issue":"3","issued":{"date-parts":[["2012"]]},"number-of-pages":"94","title":"Cobit 5 Business Framework","type":"book","volume":"23"},"uris":["http://www.mendeley.com/documents/?uuid=e6e9e2e8-4a7f-4578-b88a-3391d02e9d43"]}],"mendeley":{"formattedCitation":"[8]","plainTextFormattedCitation":"[8]","previouslyFormattedCitation":"[8]"},"properties":{"noteIndex":0},"schema":"https://github.com/citation-style-language/schema/raw/master/csl-citation.json"}</w:instrText>
      </w:r>
      <w:r w:rsidR="0006617F">
        <w:rPr>
          <w:rFonts w:cstheme="minorHAnsi"/>
        </w:rPr>
        <w:fldChar w:fldCharType="separate"/>
      </w:r>
      <w:r w:rsidR="00327D4B" w:rsidRPr="00327D4B">
        <w:rPr>
          <w:rFonts w:cstheme="minorHAnsi"/>
          <w:noProof/>
        </w:rPr>
        <w:t>[8]</w:t>
      </w:r>
      <w:r w:rsidR="0006617F">
        <w:rPr>
          <w:rFonts w:cstheme="minorHAnsi"/>
        </w:rPr>
        <w:fldChar w:fldCharType="end"/>
      </w:r>
      <w:r w:rsidR="0006617F">
        <w:rPr>
          <w:rFonts w:cstheme="minorHAnsi"/>
        </w:rPr>
        <w:t xml:space="preserve"> </w:t>
      </w:r>
      <w:r w:rsidR="00702D03">
        <w:t>Basically</w:t>
      </w:r>
      <w:r w:rsidR="00510EDF">
        <w:t>,</w:t>
      </w:r>
      <w:r w:rsidR="00096F13">
        <w:t xml:space="preserve"> </w:t>
      </w:r>
      <w:r>
        <w:t>governance sets the desired outcomes, and the management manifests them.</w:t>
      </w:r>
    </w:p>
    <w:p w14:paraId="18B1FAFC" w14:textId="0521C0C9" w:rsidR="00BC04DB" w:rsidRDefault="00BC04DB" w:rsidP="003A3AA0">
      <w:r>
        <w:t>COBIT’s publication has an implementation guide</w:t>
      </w:r>
      <w:r w:rsidR="00D85298">
        <w:t>,</w:t>
      </w:r>
      <w:r>
        <w:t xml:space="preserve"> that </w:t>
      </w:r>
      <w:r w:rsidR="004F30AD">
        <w:t>while</w:t>
      </w:r>
      <w:r>
        <w:t xml:space="preserve"> not thorough </w:t>
      </w:r>
      <w:r w:rsidR="004F30AD">
        <w:t>or</w:t>
      </w:r>
      <w:r>
        <w:t xml:space="preserve"> geared for newcomers </w:t>
      </w:r>
      <w:r w:rsidR="004F30AD">
        <w:t>to</w:t>
      </w:r>
      <w:r>
        <w:t xml:space="preserve"> cybersecurity</w:t>
      </w:r>
      <w:r w:rsidR="004F30AD">
        <w:t>,</w:t>
      </w:r>
      <w:r>
        <w:t xml:space="preserve"> does supplement the rest of the publications and </w:t>
      </w:r>
      <w:r w:rsidR="004F30AD">
        <w:t>their</w:t>
      </w:r>
      <w:r>
        <w:t xml:space="preserve"> frameworks body. COBIT</w:t>
      </w:r>
      <w:r w:rsidR="000B579F">
        <w:t xml:space="preserve"> p</w:t>
      </w:r>
      <w:r w:rsidR="00D85298">
        <w:t>ropo</w:t>
      </w:r>
      <w:r w:rsidR="000B579F">
        <w:t>ses that it</w:t>
      </w:r>
      <w:r>
        <w:t xml:space="preserve"> work</w:t>
      </w:r>
      <w:r w:rsidR="004F30AD">
        <w:t>s</w:t>
      </w:r>
      <w:r>
        <w:t xml:space="preserve"> well in conjunction with InfoSec model</w:t>
      </w:r>
      <w:r w:rsidR="008008C8">
        <w:t>s</w:t>
      </w:r>
      <w:r>
        <w:t xml:space="preserve">, so </w:t>
      </w:r>
      <w:r w:rsidR="004F30AD">
        <w:t>perhaps</w:t>
      </w:r>
      <w:r w:rsidR="00D85298">
        <w:t xml:space="preserve"> is</w:t>
      </w:r>
      <w:r w:rsidR="008008C8">
        <w:t xml:space="preserve"> as effective as intended for those who are looking for governance with an already implemented cyber-defence. In contrast to the NIST CSF, COBIT is aimed </w:t>
      </w:r>
      <w:r w:rsidR="00D85298">
        <w:t>at</w:t>
      </w:r>
      <w:r w:rsidR="008008C8">
        <w:t xml:space="preserve"> professionals</w:t>
      </w:r>
      <w:r w:rsidR="005E6236">
        <w:t xml:space="preserve"> working</w:t>
      </w:r>
      <w:r w:rsidR="008008C8">
        <w:t xml:space="preserve"> in cybersecurity looking for additional guidance and</w:t>
      </w:r>
      <w:r w:rsidR="005E6236">
        <w:t xml:space="preserve"> an</w:t>
      </w:r>
      <w:r w:rsidR="008008C8">
        <w:t xml:space="preserve"> extension of their </w:t>
      </w:r>
      <w:r w:rsidR="004224FB">
        <w:t>organisation’s</w:t>
      </w:r>
      <w:r w:rsidR="008008C8">
        <w:t xml:space="preserve"> cybersecurity models</w:t>
      </w:r>
      <w:r w:rsidR="004224FB">
        <w:t>.</w:t>
      </w:r>
      <w:r w:rsidR="005E6236">
        <w:t xml:space="preserve"> However, a</w:t>
      </w:r>
      <w:r w:rsidR="00DF2410">
        <w:t>s Bartens, et al. concludes</w:t>
      </w:r>
      <w:r w:rsidR="000B579F">
        <w:t xml:space="preserve">, </w:t>
      </w:r>
      <w:r w:rsidR="00DF2410">
        <w:t>COBIT is of high complexity and</w:t>
      </w:r>
      <w:r w:rsidR="000B579F">
        <w:t xml:space="preserve"> is therefore</w:t>
      </w:r>
      <w:r w:rsidR="00DF2410">
        <w:t xml:space="preserve"> problematic</w:t>
      </w:r>
      <w:r w:rsidR="005E6236">
        <w:t xml:space="preserve">. A </w:t>
      </w:r>
      <w:r w:rsidR="00DF2410">
        <w:t>selective implementation</w:t>
      </w:r>
      <w:r w:rsidR="000B579F">
        <w:t xml:space="preserve"> of COBIT</w:t>
      </w:r>
      <w:r w:rsidR="00DF2410">
        <w:t xml:space="preserve"> would be a more pragmatic approach</w:t>
      </w:r>
      <w:r w:rsidR="000B579F">
        <w:t xml:space="preserve"> to</w:t>
      </w:r>
      <w:r w:rsidR="00DF2410">
        <w:t xml:space="preserve"> achieve a capable</w:t>
      </w:r>
      <w:r w:rsidR="0052391B">
        <w:t xml:space="preserve"> best-practice framework. </w:t>
      </w:r>
      <w:r w:rsidR="0006617F">
        <w:fldChar w:fldCharType="begin" w:fldLock="1"/>
      </w:r>
      <w:r w:rsidR="008244CA">
        <w:instrText>ADDIN CSL_CITATION {"citationItems":[{"id":"ITEM-1","itemData":{"ISBN":"9781604207644","author":[{"dropping-particle":"","family":"ISACA","given":"","non-dropping-particle":"","parse-names":false,"suffix":""}],"container-title":"COBIT® 2019 Framework","id":"ITEM-1","issued":{"date-parts":[["2018"]]},"number-of-pages":"302","title":"Governance and Management Objectives","type":"book"},"uris":["http://www.mendeley.com/documents/?uuid=02558418-b6e2-450e-971b-b88cf599b04b"]},{"id":"ITEM-2","itemData":{"ISBN":"9781604202373","ISSN":"10760512","PMID":"9145959","author":[{"dropping-particle":"","family":"Isaca","given":"","non-dropping-particle":"","parse-names":false,"suffix":""}],"id":"ITEM-2","issue":"3","issued":{"date-parts":[["2012"]]},"number-of-pages":"94","title":"Cobit 5 Business Framework","type":"book","volume":"23"},"uris":["http://www.mendeley.com/documents/?uuid=e6e9e2e8-4a7f-4578-b88a-3391d02e9d43"]}],"mendeley":{"formattedCitation":"[6], [8]","plainTextFormattedCitation":"[6], [8]","previouslyFormattedCitation":"[6], [8]"},"properties":{"noteIndex":0},"schema":"https://github.com/citation-style-language/schema/raw/master/csl-citation.json"}</w:instrText>
      </w:r>
      <w:r w:rsidR="0006617F">
        <w:fldChar w:fldCharType="separate"/>
      </w:r>
      <w:r w:rsidR="00327D4B" w:rsidRPr="00327D4B">
        <w:rPr>
          <w:noProof/>
        </w:rPr>
        <w:t>[6], [8]</w:t>
      </w:r>
      <w:r w:rsidR="0006617F">
        <w:fldChar w:fldCharType="end"/>
      </w:r>
    </w:p>
    <w:p w14:paraId="481FD180" w14:textId="77777777" w:rsidR="00F41910" w:rsidRDefault="00F41910" w:rsidP="003A3AA0"/>
    <w:p w14:paraId="754EE6EF" w14:textId="0AAFC1D1" w:rsidR="00C713F2" w:rsidRDefault="00504165" w:rsidP="00C713F2">
      <w:pPr>
        <w:pStyle w:val="Heading2"/>
      </w:pPr>
      <w:r>
        <w:br/>
      </w:r>
      <w:bookmarkStart w:id="13" w:name="_Toc92312667"/>
      <w:r w:rsidR="00C713F2">
        <w:t xml:space="preserve">International Organisation for </w:t>
      </w:r>
      <w:r w:rsidR="00496B21">
        <w:t>Standardisation (</w:t>
      </w:r>
      <w:r w:rsidR="00ED16AB">
        <w:t>ISO)</w:t>
      </w:r>
      <w:bookmarkEnd w:id="13"/>
    </w:p>
    <w:p w14:paraId="25D3E609" w14:textId="4E5B0A55" w:rsidR="00ED16AB" w:rsidRDefault="00ED16AB" w:rsidP="00ED16AB">
      <w:r w:rsidRPr="00ED16AB">
        <w:t xml:space="preserve">The International Organisation for </w:t>
      </w:r>
      <w:r w:rsidR="00496B21" w:rsidRPr="00ED16AB">
        <w:t>Standardisation</w:t>
      </w:r>
      <w:r w:rsidR="00496B21">
        <w:t xml:space="preserve"> (</w:t>
      </w:r>
      <w:hyperlink w:anchor="ISO" w:tooltip="ISO: International Organisation for Standardisation" w:history="1">
        <w:r w:rsidRPr="005E5F00">
          <w:rPr>
            <w:rStyle w:val="Hyperlink"/>
          </w:rPr>
          <w:t>ISO</w:t>
        </w:r>
      </w:hyperlink>
      <w:r>
        <w:t xml:space="preserve">) is </w:t>
      </w:r>
      <w:r w:rsidR="000B579F">
        <w:t xml:space="preserve">a </w:t>
      </w:r>
      <w:r>
        <w:t>non-governmental organisation that develops standards t</w:t>
      </w:r>
      <w:r w:rsidR="000B579F">
        <w:t>o</w:t>
      </w:r>
      <w:r>
        <w:t xml:space="preserve"> ensure quality, safety and efficiency of products, </w:t>
      </w:r>
      <w:r w:rsidR="0006617F">
        <w:t>services,</w:t>
      </w:r>
      <w:r>
        <w:t xml:space="preserve"> and systems.</w:t>
      </w:r>
      <w:r w:rsidR="00412544">
        <w:t xml:space="preserve"> There </w:t>
      </w:r>
      <w:r w:rsidR="000B579F">
        <w:t xml:space="preserve">are </w:t>
      </w:r>
      <w:r w:rsidR="00412544">
        <w:t>several standards set by ISO</w:t>
      </w:r>
      <w:r w:rsidR="000B579F">
        <w:t xml:space="preserve">, such as </w:t>
      </w:r>
      <w:r w:rsidR="00412544">
        <w:t>one that applies to th</w:t>
      </w:r>
      <w:r w:rsidR="000B579F">
        <w:t>is</w:t>
      </w:r>
      <w:r w:rsidR="00412544">
        <w:t xml:space="preserve"> research</w:t>
      </w:r>
      <w:r w:rsidR="000B579F">
        <w:t>;</w:t>
      </w:r>
      <w:r w:rsidR="00412544">
        <w:t xml:space="preserve"> ISO 27000 standards</w:t>
      </w:r>
      <w:r w:rsidR="00604A3E">
        <w:t>: information technology.</w:t>
      </w:r>
      <w:r w:rsidR="00771C50">
        <w:fldChar w:fldCharType="begin" w:fldLock="1"/>
      </w:r>
      <w:r w:rsidR="008244CA">
        <w:instrText>ADDIN CSL_CITATION {"citationItems":[{"id":"ITEM-1","itemData":{"ISBN":"1581139713","ISSN":"17517362","abstract":"This publication supersedes ISO/IEC 27000:2009 in an update which now includes cloud computing","author":[{"dropping-particle":"","family":"ISO/IEC","given":"","non-dropping-particle":"","parse-names":false,"suffix":""}],"container-title":"ACM Workshop on Formal Methods in Security Engineering.Washington, DC, USA","id":"ITEM-1","issue":"19","issued":{"date-parts":[["2018"]]},"page":"45-55","title":"INTERNATIONAL STANDARD ISO / IEC Information technology — Security techniques — Information security management systems — Overview and","type":"article-journal","volume":"34"},"uris":["http://www.mendeley.com/documents/?uuid=fd6fdf5b-180b-4a98-bc5d-6a20a74b5d40"]}],"mendeley":{"formattedCitation":"[10]","plainTextFormattedCitation":"[10]","previouslyFormattedCitation":"[11]"},"properties":{"noteIndex":0},"schema":"https://github.com/citation-style-language/schema/raw/master/csl-citation.json"}</w:instrText>
      </w:r>
      <w:r w:rsidR="00771C50">
        <w:fldChar w:fldCharType="separate"/>
      </w:r>
      <w:r w:rsidR="008244CA" w:rsidRPr="008244CA">
        <w:rPr>
          <w:noProof/>
        </w:rPr>
        <w:t>[10]</w:t>
      </w:r>
      <w:r w:rsidR="00771C50">
        <w:fldChar w:fldCharType="end"/>
      </w:r>
      <w:r w:rsidR="00604A3E">
        <w:t xml:space="preserve"> The ISO 2700</w:t>
      </w:r>
      <w:r w:rsidR="000B579F">
        <w:t>0</w:t>
      </w:r>
      <w:r w:rsidR="00604A3E">
        <w:t xml:space="preserve"> does not provide any technological advice in the sense of what to use </w:t>
      </w:r>
      <w:r w:rsidR="000B579F">
        <w:t>or</w:t>
      </w:r>
      <w:r w:rsidR="00604A3E">
        <w:t xml:space="preserve"> how to protect an organisation</w:t>
      </w:r>
      <w:r w:rsidR="000B579F">
        <w:t>.</w:t>
      </w:r>
      <w:r w:rsidR="00771C50">
        <w:fldChar w:fldCharType="begin" w:fldLock="1"/>
      </w:r>
      <w:r w:rsidR="008244CA">
        <w:instrText>ADDIN CSL_CITATION {"citationItems":[{"id":"ITEM-1","itemData":{"author":[{"dropping-particle":"","family":"Order","given":"I S O Store","non-dropping-particle":"","parse-names":false,"suffix":""}],"id":"ITEM-1","issued":{"date-parts":[["2011"]]},"title":"INTERNATIONAL STANDARD ISO / IEC Information technology — Security techniques — Guidelines for information security management systems auditing","type":"article-journal","volume":"2011"},"uris":["http://www.mendeley.com/documents/?uuid=132e8136-c5d1-410b-a3bc-d2815fa85e06"]}],"mendeley":{"formattedCitation":"[11]","plainTextFormattedCitation":"[11]","previouslyFormattedCitation":"[12]"},"properties":{"noteIndex":0},"schema":"https://github.com/citation-style-language/schema/raw/master/csl-citation.json"}</w:instrText>
      </w:r>
      <w:r w:rsidR="00771C50">
        <w:fldChar w:fldCharType="separate"/>
      </w:r>
      <w:r w:rsidR="008244CA" w:rsidRPr="008244CA">
        <w:rPr>
          <w:noProof/>
        </w:rPr>
        <w:t>[11]</w:t>
      </w:r>
      <w:r w:rsidR="00771C50">
        <w:fldChar w:fldCharType="end"/>
      </w:r>
      <w:r w:rsidR="004C2698">
        <w:t xml:space="preserve"> </w:t>
      </w:r>
      <w:r w:rsidR="000B579F">
        <w:t>I</w:t>
      </w:r>
      <w:r w:rsidR="004C2698">
        <w:t xml:space="preserve">t does, </w:t>
      </w:r>
      <w:r w:rsidR="00C646F6">
        <w:t>however,</w:t>
      </w:r>
      <w:r w:rsidR="004C2698">
        <w:t xml:space="preserve"> provide guidance on what areas </w:t>
      </w:r>
      <w:r w:rsidR="005E6236">
        <w:t>should</w:t>
      </w:r>
      <w:r w:rsidR="004C2698">
        <w:t xml:space="preserve"> be considered and </w:t>
      </w:r>
      <w:r w:rsidR="005B3EE8">
        <w:t>which sectors to comply with</w:t>
      </w:r>
      <w:r w:rsidR="000B579F">
        <w:t xml:space="preserve"> </w:t>
      </w:r>
      <w:r w:rsidR="00496B21">
        <w:t>in regard to</w:t>
      </w:r>
      <w:r w:rsidR="000B579F">
        <w:t xml:space="preserve"> cybersecurity</w:t>
      </w:r>
      <w:r w:rsidR="005B3EE8">
        <w:t>. There are several guides and books on the ISO Series all targeting different sectors.</w:t>
      </w:r>
      <w:r w:rsidR="00771C50">
        <w:fldChar w:fldCharType="begin" w:fldLock="1"/>
      </w:r>
      <w:r w:rsidR="008244CA">
        <w:instrText>ADDIN CSL_CITATION {"citationItems":[{"id":"ITEM-1","itemData":{"author":[{"dropping-particle":"","family":"ISO/IEC 27004","given":"","non-dropping-particle":"","parse-names":false,"suffix":""}],"id":"ITEM-1","issued":{"date-parts":[["2016"]]},"title":"Information security management — Measurement","type":"article"},"uris":["http://www.mendeley.com/documents/?uuid=d133ead3-126f-42ec-bcdc-86aebc44a003"]},{"id":"ITEM-2","itemData":{"abstract":"Technologies de l'information-Techniques de sécurité-Systèmes de management de la sécurité de l'information-Vue d'ensemble et vocabulaire INTERNATIONAL STANDARD ISO/IEC 27000 Reference number ISO/IEC 27000:2018(E) Fifth edition 2018-02","author":[{"dropping-particle":"","family":"ISO/IEC","given":"","non-dropping-particle":"","parse-names":false,"suffix":""}],"id":"ITEM-2","issued":{"date-parts":[["2018"]]},"title":"Information technology-Security techniques-Information security management systems-Overview and vocabulary ISO/IEC 27000:2018(E) ii COPYRIGHT PROTECTED DOCUMENT","type":"article"},"uris":["http://www.mendeley.com/documents/?uuid=2cab1a29-4c06-4158-87c0-a9b7e73e8c8d"]},{"id":"ITEM-3","itemData":{"DOI":"10.1108/978-1-78769-801-720191015","ISBN":"978-1-78769-804-8, 978-1-78769-801-7","abstract":"In the context of the globalization of markets and free trade, the importance of the Internet in the systems of negotiation, communication, and data exchange grows, which puts the problem of information security at the forefront. Actions and improvement activities on the management of confidential information are becoming increasingly important in organizations. However, information is not just stored in computers; information can be on paper, on a disc, and in the minds of those who work for the organization. Information becomes part of the heritage, and it must be preserved throughout its entire life cycle. Nowadays, the mere use of some information defence technology is no longer enough; therefore, it becomes essential to implement an efficient Information Security Management System (ISMS) to guarantee a competitive advantage compared to competitors. ISO/IEC 27001 standard outlines the structure for implementing an ISMS and helps organizations manage and protect information assets.","author":[{"dropping-particle":"","family":"Accerboni","given":"Federico","non-dropping-particle":"","parse-names":false,"suffix":""},{"dropping-particle":"","family":"Sartor","given":"Marco","non-dropping-particle":"","parse-names":false,"suffix":""}],"container-title":"Quality Management: Tools, Methods, and Standards","editor":[{"dropping-particle":"","family":"Sartor","given":"Marco","non-dropping-particle":"","parse-names":false,"suffix":""},{"dropping-particle":"","family":"Orzes","given":"Guido","non-dropping-particle":"","parse-names":false,"suffix":""}],"id":"ITEM-3","issued":{"date-parts":[["2019","1","1"]]},"page":"245-264","publisher":"Emerald Publishing Limited","title":"ISO/IEC 27001","type":"chapter"},"uris":["http://www.mendeley.com/documents/?uuid=49c2300e-92d8-4477-8a88-9f8e2954598c"]},{"id":"ITEM-4","itemData":{"author":[{"dropping-particle":"","family":"ISO/IEC","given":"","non-dropping-particle":"","parse-names":false,"suffix":""}],"id":"ITEM-4","issued":{"date-parts":[["2018"]]},"page":"56","title":"ISO/IEC 27005:2018 Information technology — Security techniques — Information security","type":"article","volume":"3"},"uris":["http://www.mendeley.com/documents/?uuid=fb9d91fb-3a1f-43e5-877c-1601103f503e"]}],"mendeley":{"formattedCitation":"[12]–[15]","plainTextFormattedCitation":"[12]–[15]","previouslyFormattedCitation":"[13]–[16]"},"properties":{"noteIndex":0},"schema":"https://github.com/citation-style-language/schema/raw/master/csl-citation.json"}</w:instrText>
      </w:r>
      <w:r w:rsidR="00771C50">
        <w:fldChar w:fldCharType="separate"/>
      </w:r>
      <w:r w:rsidR="008244CA" w:rsidRPr="008244CA">
        <w:rPr>
          <w:noProof/>
        </w:rPr>
        <w:t>[12]–[15]</w:t>
      </w:r>
      <w:r w:rsidR="00771C50">
        <w:fldChar w:fldCharType="end"/>
      </w:r>
      <w:r w:rsidR="005B3EE8">
        <w:t xml:space="preserve"> The difficulty of the ISO standards is locating and</w:t>
      </w:r>
      <w:r w:rsidR="00A74976">
        <w:t>/or</w:t>
      </w:r>
      <w:r w:rsidR="005B3EE8">
        <w:t xml:space="preserve"> paying for these </w:t>
      </w:r>
      <w:r w:rsidR="00A74976">
        <w:t xml:space="preserve">iso </w:t>
      </w:r>
      <w:r w:rsidR="005B3EE8">
        <w:t>papers.</w:t>
      </w:r>
      <w:r w:rsidR="0074084B">
        <w:t xml:space="preserve"> </w:t>
      </w:r>
    </w:p>
    <w:p w14:paraId="1D6511C7" w14:textId="0BF60649" w:rsidR="00120672" w:rsidRDefault="00A74976" w:rsidP="00ED16AB">
      <w:r w:rsidRPr="00702D03">
        <w:t xml:space="preserve">Each </w:t>
      </w:r>
      <w:r w:rsidR="00702D03">
        <w:t xml:space="preserve">publication </w:t>
      </w:r>
      <w:r w:rsidRPr="00702D03">
        <w:t>of</w:t>
      </w:r>
      <w:r>
        <w:t xml:space="preserve"> the ISO 27000 series </w:t>
      </w:r>
      <w:r w:rsidR="00C646F6">
        <w:t>standards (</w:t>
      </w:r>
      <w:r>
        <w:t xml:space="preserve">of </w:t>
      </w:r>
      <w:r w:rsidR="005E6236">
        <w:t>those</w:t>
      </w:r>
      <w:r>
        <w:t xml:space="preserve"> that were attainable) use</w:t>
      </w:r>
      <w:r w:rsidR="00702D03">
        <w:t>s</w:t>
      </w:r>
      <w:r>
        <w:t xml:space="preserve"> a system called </w:t>
      </w:r>
      <w:r w:rsidR="00C646F6">
        <w:t>international</w:t>
      </w:r>
      <w:r>
        <w:t xml:space="preserve"> standards for management system (ISMS).</w:t>
      </w:r>
      <w:r w:rsidR="00771C50">
        <w:fldChar w:fldCharType="begin" w:fldLock="1"/>
      </w:r>
      <w:r w:rsidR="008244CA">
        <w:instrText>ADDIN CSL_CITATION {"citationItems":[{"id":"ITEM-1","itemData":{"abstract":"Technologies de l'information-Techniques de sécurité-Systèmes de management de la sécurité de l'information-Vue d'ensemble et vocabulaire INTERNATIONAL STANDARD ISO/IEC 27000 Reference number ISO/IEC 27000:2018(E) Fifth edition 2018-02","author":[{"dropping-particle":"","family":"ISO/IEC","given":"","non-dropping-particle":"","parse-names":false,"suffix":""}],"id":"ITEM-1","issued":{"date-parts":[["2018"]]},"title":"Information technology-Security techniques-Information security management systems-Overview and vocabulary ISO/IEC 27000:2018(E) ii COPYRIGHT PROTECTED DOCUMENT","type":"article"},"uris":["http://www.mendeley.com/documents/?uuid=2cab1a29-4c06-4158-87c0-a9b7e73e8c8d"]},{"id":"ITEM-2","itemData":{"author":[{"dropping-particle":"","family":"ISO/IEC","given":"","non-dropping-particle":"","parse-names":false,"suffix":""}],"id":"ITEM-2","issued":{"date-parts":[["2018"]]},"page":"56","title":"ISO/IEC 27005:2018 Information technology — Security techniques — Information security","type":"article","volume":"3"},"uris":["http://www.mendeley.com/documents/?uuid=fb9d91fb-3a1f-43e5-877c-1601103f503e"]}],"mendeley":{"formattedCitation":"[13], [15]","plainTextFormattedCitation":"[13], [15]","previouslyFormattedCitation":"[14], [16]"},"properties":{"noteIndex":0},"schema":"https://github.com/citation-style-language/schema/raw/master/csl-citation.json"}</w:instrText>
      </w:r>
      <w:r w:rsidR="00771C50">
        <w:fldChar w:fldCharType="separate"/>
      </w:r>
      <w:r w:rsidR="008244CA" w:rsidRPr="008244CA">
        <w:rPr>
          <w:noProof/>
        </w:rPr>
        <w:t>[13], [15]</w:t>
      </w:r>
      <w:r w:rsidR="00771C50">
        <w:fldChar w:fldCharType="end"/>
      </w:r>
      <w:r>
        <w:t xml:space="preserve"> The ISMS is a standard of managing security systems comparable to that of the COBIT </w:t>
      </w:r>
      <w:r w:rsidR="00C646F6">
        <w:t xml:space="preserve">system. The ISO series is </w:t>
      </w:r>
      <w:r w:rsidR="0014057C">
        <w:t>highly detailed</w:t>
      </w:r>
      <w:r w:rsidR="00C646F6">
        <w:t xml:space="preserve"> and can be useful in creating and maintaining a cybersecurity system </w:t>
      </w:r>
      <w:r w:rsidR="0014057C">
        <w:t>with</w:t>
      </w:r>
      <w:r w:rsidR="00C646F6">
        <w:t xml:space="preserve">in an </w:t>
      </w:r>
      <w:r w:rsidR="00496B21">
        <w:t>organisation but</w:t>
      </w:r>
      <w:r w:rsidR="00C646F6">
        <w:t xml:space="preserve"> </w:t>
      </w:r>
      <w:r w:rsidR="00496B21">
        <w:t xml:space="preserve">can </w:t>
      </w:r>
      <w:r w:rsidR="0014057C">
        <w:t>struggle to</w:t>
      </w:r>
      <w:r w:rsidR="00C646F6">
        <w:t xml:space="preserve"> look for directives or “controls”; </w:t>
      </w:r>
      <w:r w:rsidR="0014057C">
        <w:t>as referred to by</w:t>
      </w:r>
      <w:r w:rsidR="00C646F6">
        <w:t xml:space="preserve"> the ISO 27000 series. </w:t>
      </w:r>
      <w:r w:rsidR="0014057C">
        <w:t xml:space="preserve">A further weakness of the ISO could </w:t>
      </w:r>
      <w:r w:rsidR="00C646F6">
        <w:t xml:space="preserve">be </w:t>
      </w:r>
      <w:r w:rsidR="0014057C">
        <w:t xml:space="preserve">the high </w:t>
      </w:r>
      <w:r w:rsidR="00C646F6">
        <w:t>expens</w:t>
      </w:r>
      <w:r w:rsidR="0014057C">
        <w:t>e</w:t>
      </w:r>
      <w:r w:rsidR="00C646F6">
        <w:t xml:space="preserve"> to peruse the directives and attain t</w:t>
      </w:r>
      <w:r w:rsidR="0014057C">
        <w:t>hose applicable</w:t>
      </w:r>
      <w:r w:rsidR="002105A7">
        <w:t xml:space="preserve"> to an </w:t>
      </w:r>
      <w:r w:rsidR="008B581C">
        <w:t>organisation’s</w:t>
      </w:r>
      <w:r w:rsidR="002105A7">
        <w:t xml:space="preserve"> potential needs</w:t>
      </w:r>
      <w:r w:rsidR="00C646F6">
        <w:t xml:space="preserve">. </w:t>
      </w:r>
      <w:r w:rsidR="00496B21">
        <w:t>The ISO series shows no dependency on other InfoSec or cybersecurity frameworks</w:t>
      </w:r>
      <w:r w:rsidR="002105A7">
        <w:t>,</w:t>
      </w:r>
      <w:r w:rsidR="00496B21">
        <w:t xml:space="preserve"> compared to the NIST CSF and COBIT, </w:t>
      </w:r>
      <w:r w:rsidR="002105A7">
        <w:t>and</w:t>
      </w:r>
      <w:r w:rsidR="00496B21">
        <w:t xml:space="preserve"> has up to 20 different </w:t>
      </w:r>
      <w:r w:rsidR="00702D03">
        <w:t>publications</w:t>
      </w:r>
      <w:r w:rsidR="00496B21">
        <w:t xml:space="preserve"> of the 27000 series each with links to other selective publications within its own series.</w:t>
      </w:r>
      <w:r w:rsidR="00771C50">
        <w:fldChar w:fldCharType="begin" w:fldLock="1"/>
      </w:r>
      <w:r w:rsidR="008244CA">
        <w:instrText>ADDIN CSL_CITATION {"citationItems":[{"id":"ITEM-1","itemData":{"author":[{"dropping-particle":"","family":"Order","given":"I S O Store","non-dropping-particle":"","parse-names":false,"suffix":""}],"id":"ITEM-1","issued":{"date-parts":[["2011"]]},"title":"INTERNATIONAL STANDARD ISO / IEC Information technology — Security techniques — Guidelines for information security management systems auditing","type":"article-journal","volume":"2011"},"uris":["http://www.mendeley.com/documents/?uuid=132e8136-c5d1-410b-a3bc-d2815fa85e06"]},{"id":"ITEM-2","itemData":{"author":[{"dropping-particle":"","family":"ISO/IEC","given":"","non-dropping-particle":"","parse-names":false,"suffix":""}],"id":"ITEM-2","issued":{"date-parts":[["2018"]]},"page":"56","title":"ISO/IEC 27005:2018 Information technology — Security techniques — Information security","type":"article","volume":"3"},"uris":["http://www.mendeley.com/documents/?uuid=fb9d91fb-3a1f-43e5-877c-1601103f503e"]},{"id":"ITEM-3","itemData":{"abstract":"Technologies de l'information — Techniques de sécurité — Exigences pour les organismes procédant à l'audit et à la certification des systèmes de management de la sécurité de l'information ISO/IEC 27006:2007(E)","author":[{"dropping-particle":"","family":"ISO/IEC","given":"","non-dropping-particle":"","parse-names":false,"suffix":""}],"container-title":"Standards","id":"ITEM-3","issued":{"date-parts":[["2007"]]},"title":"ISO 27006Security Techniques","type":"article","volume":"2007"},"uris":["http://www.mendeley.com/documents/?uuid=d8726218-ddd7-472f-aa89-f480aa02fa7e"]}],"mendeley":{"formattedCitation":"[11], [15], [16]","plainTextFormattedCitation":"[11], [15], [16]","previouslyFormattedCitation":"[12], [16], [17]"},"properties":{"noteIndex":0},"schema":"https://github.com/citation-style-language/schema/raw/master/csl-citation.json"}</w:instrText>
      </w:r>
      <w:r w:rsidR="00771C50">
        <w:fldChar w:fldCharType="separate"/>
      </w:r>
      <w:r w:rsidR="008244CA" w:rsidRPr="008244CA">
        <w:rPr>
          <w:noProof/>
        </w:rPr>
        <w:t>[11], [15], [16]</w:t>
      </w:r>
      <w:r w:rsidR="00771C50">
        <w:fldChar w:fldCharType="end"/>
      </w:r>
      <w:r w:rsidR="00496B21">
        <w:t xml:space="preserve"> This could lead to a</w:t>
      </w:r>
      <w:r w:rsidR="002105A7">
        <w:t>n overwhelming number</w:t>
      </w:r>
      <w:r w:rsidR="00C15A59">
        <w:t xml:space="preserve"> of cybersecurity controls. The selection of the applicable “controls” would be hard to justify if another publication of the series references another directive from a different publication. </w:t>
      </w:r>
      <w:r w:rsidR="00C646F6">
        <w:t>The ISO 27001 standard</w:t>
      </w:r>
      <w:r w:rsidR="0014057C">
        <w:t>s</w:t>
      </w:r>
      <w:r w:rsidR="00C646F6">
        <w:t xml:space="preserve"> propose that th</w:t>
      </w:r>
      <w:r w:rsidR="0014057C">
        <w:t>e ‘controls’</w:t>
      </w:r>
      <w:r w:rsidR="00C646F6">
        <w:t xml:space="preserve"> do not have to be followed and a </w:t>
      </w:r>
      <w:r w:rsidR="00E746F1">
        <w:t>chief information security officer (CISO) can describe or design the directive without guidance of the further documents of the 27000 series.</w:t>
      </w:r>
      <w:r w:rsidR="00771C50">
        <w:fldChar w:fldCharType="begin" w:fldLock="1"/>
      </w:r>
      <w:r w:rsidR="008244CA">
        <w:instrText>ADDIN CSL_CITATION {"citationItems":[{"id":"ITEM-1","itemData":{"ISBN":"1581139713","ISSN":"17517362","abstract":"This publication supersedes ISO/IEC 27000:2009 in an update which now includes cloud computing","author":[{"dropping-particle":"","family":"ISO/IEC","given":"","non-dropping-particle":"","parse-names":false,"suffix":""}],"container-title":"ACM Workshop on Formal Methods in Security Engineering.Washington, DC, USA","id":"ITEM-1","issue":"19","issued":{"date-parts":[["2018"]]},"page":"45-55","title":"INTERNATIONAL STANDARD ISO / IEC Information technology — Security techniques — Information security management systems — Overview and","type":"article-journal","volume":"34"},"uris":["http://www.mendeley.com/documents/?uuid=fd6fdf5b-180b-4a98-bc5d-6a20a74b5d40"]},{"id":"ITEM-2","itemData":{"author":[{"dropping-particle":"","family":"BSI Standards Publication","given":"","non-dropping-particle":"","parse-names":false,"suffix":""}],"id":"ITEM-2","issued":{"date-parts":[["2011"]]},"title":"PD ISO / IEC TR 27008 : 2011 BSI Standards Publication Information Technology — Security techniques — Guidlines for auditors on information security controls","type":"article-journal"},"uris":["http://www.mendeley.com/documents/?uuid=c959e143-859d-492b-9eed-f50adda13347"]}],"mendeley":{"formattedCitation":"[10], [17]","plainTextFormattedCitation":"[10], [17]","previouslyFormattedCitation":"[11], [18]"},"properties":{"noteIndex":0},"schema":"https://github.com/citation-style-language/schema/raw/master/csl-citation.json"}</w:instrText>
      </w:r>
      <w:r w:rsidR="00771C50">
        <w:fldChar w:fldCharType="separate"/>
      </w:r>
      <w:r w:rsidR="008244CA" w:rsidRPr="008244CA">
        <w:rPr>
          <w:noProof/>
        </w:rPr>
        <w:t>[10], [17]</w:t>
      </w:r>
      <w:r w:rsidR="00771C50">
        <w:fldChar w:fldCharType="end"/>
      </w:r>
      <w:r w:rsidR="00C15A59">
        <w:br/>
      </w:r>
      <w:r w:rsidR="00C15A59">
        <w:br/>
        <w:t xml:space="preserve">In total, the ISO 27000 series standards would </w:t>
      </w:r>
      <w:r w:rsidR="002105A7">
        <w:t xml:space="preserve">pose </w:t>
      </w:r>
      <w:r w:rsidR="00C15A59">
        <w:t xml:space="preserve">a good solution to most cybersecurity seekers, if they could afford it and </w:t>
      </w:r>
      <w:r w:rsidR="002105A7">
        <w:t>remain</w:t>
      </w:r>
      <w:r w:rsidR="00C15A59">
        <w:t xml:space="preserve"> well informed of the standards that it p</w:t>
      </w:r>
      <w:r w:rsidR="002105A7">
        <w:t>romotes</w:t>
      </w:r>
      <w:r w:rsidR="00C15A59">
        <w:t>. Compar</w:t>
      </w:r>
      <w:r w:rsidR="002105A7">
        <w:t>ed</w:t>
      </w:r>
      <w:r w:rsidR="00C15A59">
        <w:t xml:space="preserve"> to the NIST CSF and COBIT series, the ISO 27000 series standards </w:t>
      </w:r>
      <w:r w:rsidR="002105A7">
        <w:t>are</w:t>
      </w:r>
      <w:r w:rsidR="00C15A59">
        <w:t xml:space="preserve"> complicated and </w:t>
      </w:r>
      <w:r w:rsidR="002105A7">
        <w:t xml:space="preserve">potentially </w:t>
      </w:r>
      <w:r w:rsidR="00C15A59">
        <w:t xml:space="preserve">pose a threat to cybersecurity </w:t>
      </w:r>
      <w:r w:rsidR="00FD66B1">
        <w:t>should an organisation not utilise it properly, which seems likely given it’s confusing and expensive nature</w:t>
      </w:r>
      <w:r w:rsidR="00120672">
        <w:t xml:space="preserve">. </w:t>
      </w:r>
    </w:p>
    <w:p w14:paraId="1BDC4A45" w14:textId="6D19FA8D" w:rsidR="00120672" w:rsidRDefault="00120672" w:rsidP="00ED16AB"/>
    <w:p w14:paraId="52121E20" w14:textId="77777777" w:rsidR="00702D03" w:rsidRDefault="00702D03">
      <w:pPr>
        <w:rPr>
          <w:rFonts w:asciiTheme="majorHAnsi" w:eastAsiaTheme="majorEastAsia" w:hAnsiTheme="majorHAnsi" w:cstheme="majorBidi"/>
          <w:color w:val="2F5496" w:themeColor="accent1" w:themeShade="BF"/>
          <w:sz w:val="36"/>
          <w:szCs w:val="32"/>
        </w:rPr>
      </w:pPr>
      <w:r>
        <w:br w:type="page"/>
      </w:r>
    </w:p>
    <w:p w14:paraId="440AE1B3" w14:textId="2ABDE54A" w:rsidR="00120672" w:rsidRDefault="00120672" w:rsidP="00450B40">
      <w:pPr>
        <w:pStyle w:val="Heading1"/>
      </w:pPr>
      <w:bookmarkStart w:id="14" w:name="_Toc92312668"/>
      <w:r>
        <w:lastRenderedPageBreak/>
        <w:t>Conclusion</w:t>
      </w:r>
      <w:r w:rsidR="00450B40">
        <w:t>s</w:t>
      </w:r>
      <w:bookmarkEnd w:id="14"/>
    </w:p>
    <w:p w14:paraId="05584E30" w14:textId="71633B95" w:rsidR="00120672" w:rsidRPr="00120672" w:rsidRDefault="00120672" w:rsidP="00120672">
      <w:r>
        <w:t>An in-depth inspection of the three chosen cybersecurity framework or infosec models shows that cybersecurity, in of itself</w:t>
      </w:r>
      <w:r w:rsidR="00FD66B1">
        <w:t>,</w:t>
      </w:r>
      <w:r>
        <w:t xml:space="preserve"> can be compl</w:t>
      </w:r>
      <w:r w:rsidR="00FD66B1">
        <w:t>ex</w:t>
      </w:r>
      <w:r>
        <w:t xml:space="preserve"> and require an understanding of threats and gaps in the security of the organisation. The NIST CSF </w:t>
      </w:r>
      <w:r w:rsidR="00FD66B1">
        <w:t>appear</w:t>
      </w:r>
      <w:r>
        <w:t>s to be the best place to start for anyone investigating cybersecurity</w:t>
      </w:r>
      <w:r w:rsidR="00FD66B1">
        <w:t>,</w:t>
      </w:r>
      <w:r>
        <w:t xml:space="preserve"> as it uses plain</w:t>
      </w:r>
      <w:r w:rsidR="00FD66B1">
        <w:t>,</w:t>
      </w:r>
      <w:r>
        <w:t xml:space="preserve"> simple language without any codewords or jargon to help alleviate confusion amongst the members of an organisation. NIST CSF helps the organisation choose from a selection of best practices and </w:t>
      </w:r>
      <w:r w:rsidR="00FD66B1">
        <w:t>policies and may prove to be the most accessible for those inexperienced in cybersecurity.</w:t>
      </w:r>
      <w:r w:rsidR="00450B40">
        <w:t xml:space="preserve"> </w:t>
      </w:r>
      <w:r w:rsidR="00677071">
        <w:t>The COBIT series (COBIT 5 and COBIT 2019) have a singular defined goal: to increase governance and management of cybersecurity directives, with its ‘enablers</w:t>
      </w:r>
      <w:r w:rsidR="002B4131">
        <w:t>’ (</w:t>
      </w:r>
      <w:r w:rsidR="00677071">
        <w:t>which were deprecated in COBIT 2019) allow</w:t>
      </w:r>
      <w:r w:rsidR="00965276">
        <w:t>ing</w:t>
      </w:r>
      <w:r w:rsidR="00677071">
        <w:t xml:space="preserve"> the organisations to determine the best human practices for cybersecurity. </w:t>
      </w:r>
      <w:r w:rsidR="00965276">
        <w:t>T</w:t>
      </w:r>
      <w:r w:rsidR="00FD66B1">
        <w:t>he ISO 27000 series</w:t>
      </w:r>
      <w:r w:rsidR="00965276">
        <w:t>,</w:t>
      </w:r>
      <w:r w:rsidR="00FD66B1">
        <w:t xml:space="preserve"> </w:t>
      </w:r>
      <w:r w:rsidR="00965276">
        <w:t>al</w:t>
      </w:r>
      <w:r w:rsidR="00FD66B1">
        <w:t xml:space="preserve">though incorporated into the NIST CSF, is confusing with </w:t>
      </w:r>
      <w:r w:rsidR="00965276">
        <w:t>inaccessible and expensive</w:t>
      </w:r>
      <w:r w:rsidR="00FD66B1">
        <w:t xml:space="preserve"> publications and</w:t>
      </w:r>
      <w:r w:rsidR="00965276">
        <w:t xml:space="preserve"> its convoluted structure</w:t>
      </w:r>
      <w:r w:rsidR="00FD66B1">
        <w:t xml:space="preserve">. The ISO 27000 series is informative and descriptive with the ability to cover all areas of cybersecurity though its complexity and its paywall render the framework undesirable. </w:t>
      </w:r>
      <w:r w:rsidR="00965276">
        <w:t>Opinions amongst cybersecurity professionals believe the NIST CSF to be the best choice for cybersecurity in most regards.</w:t>
      </w:r>
      <w:r w:rsidR="00FD66B1">
        <w:t xml:space="preserve"> </w:t>
      </w:r>
      <w:r w:rsidR="002B4131">
        <w:t>With most professionals agreeing that COBIT and ISO could be included into the NIST CSF, including the NIST CSF itself, the best suited cybersecurity would be the NIST CSF for anyone regardless of experience.</w:t>
      </w:r>
      <w:r w:rsidR="00FD66B1">
        <w:t xml:space="preserve"> </w:t>
      </w:r>
    </w:p>
    <w:p w14:paraId="7C552241" w14:textId="5036BC18" w:rsidR="00C713F2" w:rsidRPr="00C713F2" w:rsidRDefault="00C713F2" w:rsidP="00C713F2"/>
    <w:p w14:paraId="37B26A70" w14:textId="77777777" w:rsidR="00051465" w:rsidRDefault="00051465" w:rsidP="003A3AA0"/>
    <w:p w14:paraId="20B695A8" w14:textId="77777777" w:rsidR="003A3AA0" w:rsidRPr="00572867" w:rsidRDefault="003A3AA0" w:rsidP="003A3AA0"/>
    <w:p w14:paraId="1A1A5498" w14:textId="77777777" w:rsidR="008B616A" w:rsidRDefault="008B616A">
      <w:pPr>
        <w:rPr>
          <w:rFonts w:asciiTheme="majorHAnsi" w:eastAsiaTheme="majorEastAsia" w:hAnsiTheme="majorHAnsi" w:cstheme="majorBidi"/>
          <w:color w:val="2F5496" w:themeColor="accent1" w:themeShade="BF"/>
          <w:sz w:val="36"/>
          <w:szCs w:val="32"/>
        </w:rPr>
      </w:pPr>
      <w:r>
        <w:br w:type="page"/>
      </w:r>
    </w:p>
    <w:p w14:paraId="07BB0007" w14:textId="3ABA73E4" w:rsidR="00396B32" w:rsidRDefault="008B616A" w:rsidP="00DE2704">
      <w:pPr>
        <w:pStyle w:val="Heading1"/>
      </w:pPr>
      <w:bookmarkStart w:id="15" w:name="_Toc92312669"/>
      <w:r>
        <w:lastRenderedPageBreak/>
        <w:t>Task 2</w:t>
      </w:r>
      <w:bookmarkEnd w:id="15"/>
    </w:p>
    <w:p w14:paraId="4E4B830A" w14:textId="6139FA7D" w:rsidR="00DE2704" w:rsidRDefault="00DE2704" w:rsidP="00DE2704"/>
    <w:p w14:paraId="084B88BF" w14:textId="661FCD46" w:rsidR="0009015C" w:rsidRDefault="0028508E" w:rsidP="00DE2704">
      <w:r>
        <w:t xml:space="preserve">Following the research in the previous task, CoffeeBlue would likely most benefit from using the NIST CSF, cybersecurity model as a starting point. The NIST CSF ‘core’ </w:t>
      </w:r>
      <w:r w:rsidR="0097575D">
        <w:t xml:space="preserve">, </w:t>
      </w:r>
      <w:r w:rsidR="0097575D">
        <w:rPr>
          <w:i/>
          <w:iCs/>
        </w:rPr>
        <w:t xml:space="preserve">figure 1, </w:t>
      </w:r>
      <w:r>
        <w:t xml:space="preserve">of the framework would be a suitable </w:t>
      </w:r>
      <w:r w:rsidR="003202FB">
        <w:t>start</w:t>
      </w:r>
      <w:r>
        <w:t xml:space="preserve"> to determine what is need</w:t>
      </w:r>
      <w:r w:rsidR="00327D4B">
        <w:t>ed</w:t>
      </w:r>
      <w:r>
        <w:t xml:space="preserve"> to protect the organisation.</w:t>
      </w:r>
      <w:r w:rsidR="00327D4B">
        <w:t xml:space="preserve"> </w:t>
      </w:r>
      <w:r w:rsidR="0097575D">
        <w:t xml:space="preserve"> Using Appendix A</w:t>
      </w:r>
      <w:r w:rsidR="003202FB">
        <w:t xml:space="preserve">, </w:t>
      </w:r>
      <w:r w:rsidR="003202FB">
        <w:rPr>
          <w:i/>
          <w:iCs/>
        </w:rPr>
        <w:t>Figure 4,</w:t>
      </w:r>
      <w:r w:rsidR="0097575D">
        <w:t xml:space="preserve"> from the NIST CSF</w:t>
      </w:r>
      <w:r w:rsidR="00D4365C">
        <w:t xml:space="preserve"> which describes the common activities of most organisations, this would allow a sense of guidance towards the need</w:t>
      </w:r>
      <w:r w:rsidR="003202FB">
        <w:t>s</w:t>
      </w:r>
      <w:r w:rsidR="00D4365C">
        <w:t xml:space="preserve"> of the CoffeeBlue organisation.</w:t>
      </w:r>
    </w:p>
    <w:p w14:paraId="67AD78AF" w14:textId="77777777" w:rsidR="00D4365C" w:rsidRDefault="00D4365C" w:rsidP="00D4365C">
      <w:pPr>
        <w:keepNext/>
      </w:pPr>
      <w:r w:rsidRPr="00D4365C">
        <w:rPr>
          <w:noProof/>
        </w:rPr>
        <w:drawing>
          <wp:inline distT="0" distB="0" distL="0" distR="0" wp14:anchorId="1057C1F2" wp14:editId="24134C15">
            <wp:extent cx="5731510" cy="6116320"/>
            <wp:effectExtent l="0" t="0" r="2540" b="0"/>
            <wp:docPr id="8" name="Picture 8"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able&#10;&#10;Description automatically generated"/>
                    <pic:cNvPicPr/>
                  </pic:nvPicPr>
                  <pic:blipFill>
                    <a:blip r:embed="rId12"/>
                    <a:stretch>
                      <a:fillRect/>
                    </a:stretch>
                  </pic:blipFill>
                  <pic:spPr>
                    <a:xfrm>
                      <a:off x="0" y="0"/>
                      <a:ext cx="5731510" cy="6116320"/>
                    </a:xfrm>
                    <a:prstGeom prst="rect">
                      <a:avLst/>
                    </a:prstGeom>
                  </pic:spPr>
                </pic:pic>
              </a:graphicData>
            </a:graphic>
          </wp:inline>
        </w:drawing>
      </w:r>
    </w:p>
    <w:p w14:paraId="58F47330" w14:textId="49E14232" w:rsidR="00D4365C" w:rsidRDefault="00D4365C" w:rsidP="00D4365C">
      <w:pPr>
        <w:pStyle w:val="Caption"/>
      </w:pPr>
      <w:r>
        <w:t xml:space="preserve">Figure </w:t>
      </w:r>
      <w:r w:rsidR="005E54CC">
        <w:fldChar w:fldCharType="begin"/>
      </w:r>
      <w:r w:rsidR="005E54CC">
        <w:instrText xml:space="preserve"> SEQ Figure \* ARABIC </w:instrText>
      </w:r>
      <w:r w:rsidR="005E54CC">
        <w:fldChar w:fldCharType="separate"/>
      </w:r>
      <w:r w:rsidR="00027103">
        <w:rPr>
          <w:noProof/>
        </w:rPr>
        <w:t>4</w:t>
      </w:r>
      <w:r w:rsidR="005E54CC">
        <w:rPr>
          <w:noProof/>
        </w:rPr>
        <w:fldChar w:fldCharType="end"/>
      </w:r>
      <w:r>
        <w:t>: NIST CSF: Appendix A: example usage of the 'core'</w:t>
      </w:r>
    </w:p>
    <w:p w14:paraId="5878AAA9" w14:textId="2837FC93" w:rsidR="00D4365C" w:rsidRDefault="00D4365C" w:rsidP="00D4365C"/>
    <w:p w14:paraId="06E14B74" w14:textId="77777777" w:rsidR="00D4365C" w:rsidRPr="00D4365C" w:rsidRDefault="00D4365C" w:rsidP="00D4365C"/>
    <w:p w14:paraId="5C81D3AD" w14:textId="7BA2807E" w:rsidR="00D4365C" w:rsidRDefault="00D4365C" w:rsidP="00D4365C"/>
    <w:p w14:paraId="24284A27" w14:textId="28DAD6D3" w:rsidR="00D4365C" w:rsidRDefault="00D4365C" w:rsidP="00D4365C">
      <w:r>
        <w:lastRenderedPageBreak/>
        <w:t xml:space="preserve">Following the recommendations and the case scenario, the discernible factors that </w:t>
      </w:r>
      <w:r w:rsidR="003202FB">
        <w:t>requir</w:t>
      </w:r>
      <w:r>
        <w:t xml:space="preserve">e </w:t>
      </w:r>
      <w:r w:rsidR="003202FB">
        <w:t>protection are</w:t>
      </w:r>
      <w:r>
        <w:t>:</w:t>
      </w:r>
    </w:p>
    <w:p w14:paraId="5C87204D" w14:textId="75EFA587" w:rsidR="00D4365C" w:rsidRDefault="00D4365C" w:rsidP="00D4365C">
      <w:pPr>
        <w:pStyle w:val="ListParagraph"/>
        <w:numPr>
          <w:ilvl w:val="0"/>
          <w:numId w:val="13"/>
        </w:numPr>
      </w:pPr>
      <w:r>
        <w:t xml:space="preserve">IT </w:t>
      </w:r>
      <w:r w:rsidR="00032125">
        <w:t>services</w:t>
      </w:r>
    </w:p>
    <w:p w14:paraId="631B5CFF" w14:textId="10E38CBF" w:rsidR="00D4365C" w:rsidRDefault="003930B5" w:rsidP="00D4365C">
      <w:pPr>
        <w:pStyle w:val="ListParagraph"/>
        <w:numPr>
          <w:ilvl w:val="0"/>
          <w:numId w:val="13"/>
        </w:numPr>
      </w:pPr>
      <w:r>
        <w:t>D</w:t>
      </w:r>
      <w:r w:rsidR="00D4365C">
        <w:t>ata of personnel</w:t>
      </w:r>
    </w:p>
    <w:p w14:paraId="0D8466F0" w14:textId="522538B1" w:rsidR="00D4365C" w:rsidRDefault="003930B5" w:rsidP="00D4365C">
      <w:pPr>
        <w:pStyle w:val="ListParagraph"/>
        <w:numPr>
          <w:ilvl w:val="0"/>
          <w:numId w:val="13"/>
        </w:numPr>
      </w:pPr>
      <w:r>
        <w:t>D</w:t>
      </w:r>
      <w:r w:rsidR="00D4365C">
        <w:t>ata of the client</w:t>
      </w:r>
    </w:p>
    <w:p w14:paraId="3587B947" w14:textId="1F579951" w:rsidR="00D4365C" w:rsidRDefault="003930B5" w:rsidP="00D4365C">
      <w:pPr>
        <w:pStyle w:val="ListParagraph"/>
        <w:numPr>
          <w:ilvl w:val="0"/>
          <w:numId w:val="13"/>
        </w:numPr>
      </w:pPr>
      <w:r>
        <w:t>I</w:t>
      </w:r>
      <w:r w:rsidR="00D4365C">
        <w:t>ntellectual properties (IP)</w:t>
      </w:r>
    </w:p>
    <w:p w14:paraId="26948D6A" w14:textId="229C0282" w:rsidR="005228DF" w:rsidRDefault="003930B5" w:rsidP="005228DF">
      <w:pPr>
        <w:pStyle w:val="ListParagraph"/>
        <w:numPr>
          <w:ilvl w:val="0"/>
          <w:numId w:val="13"/>
        </w:numPr>
      </w:pPr>
      <w:r>
        <w:t>U</w:t>
      </w:r>
      <w:r w:rsidR="005228DF">
        <w:t>se</w:t>
      </w:r>
      <w:r>
        <w:t xml:space="preserve"> of</w:t>
      </w:r>
      <w:r w:rsidR="005228DF">
        <w:t xml:space="preserve"> cloud services.</w:t>
      </w:r>
    </w:p>
    <w:p w14:paraId="09F062CE" w14:textId="77777777" w:rsidR="00D4365C" w:rsidRPr="00D4365C" w:rsidRDefault="00D4365C" w:rsidP="00D4365C"/>
    <w:tbl>
      <w:tblPr>
        <w:tblStyle w:val="TableGrid"/>
        <w:tblW w:w="0" w:type="auto"/>
        <w:tblLook w:val="04A0" w:firstRow="1" w:lastRow="0" w:firstColumn="1" w:lastColumn="0" w:noHBand="0" w:noVBand="1"/>
      </w:tblPr>
      <w:tblGrid>
        <w:gridCol w:w="1060"/>
        <w:gridCol w:w="3427"/>
        <w:gridCol w:w="1065"/>
        <w:gridCol w:w="3464"/>
      </w:tblGrid>
      <w:tr w:rsidR="005228DF" w:rsidRPr="005228DF" w14:paraId="1FD3FBC3" w14:textId="77777777" w:rsidTr="00BE05E7">
        <w:tc>
          <w:tcPr>
            <w:tcW w:w="1060" w:type="dxa"/>
            <w:shd w:val="clear" w:color="auto" w:fill="E7E6E6" w:themeFill="background2"/>
          </w:tcPr>
          <w:p w14:paraId="57F4C9CF" w14:textId="13F26C93" w:rsidR="005228DF" w:rsidRPr="005228DF" w:rsidRDefault="005228DF" w:rsidP="00DE2704">
            <w:pPr>
              <w:rPr>
                <w:b/>
                <w:bCs/>
                <w:u w:val="single"/>
              </w:rPr>
            </w:pPr>
            <w:r w:rsidRPr="005228DF">
              <w:rPr>
                <w:b/>
                <w:bCs/>
                <w:u w:val="single"/>
              </w:rPr>
              <w:t>Function Unique identifier</w:t>
            </w:r>
          </w:p>
        </w:tc>
        <w:tc>
          <w:tcPr>
            <w:tcW w:w="3427" w:type="dxa"/>
            <w:shd w:val="clear" w:color="auto" w:fill="E7E6E6" w:themeFill="background2"/>
          </w:tcPr>
          <w:p w14:paraId="64EEE875" w14:textId="6AB9CA66" w:rsidR="005228DF" w:rsidRPr="005228DF" w:rsidRDefault="005228DF" w:rsidP="00DE2704">
            <w:pPr>
              <w:rPr>
                <w:b/>
                <w:bCs/>
                <w:u w:val="single"/>
              </w:rPr>
            </w:pPr>
            <w:r w:rsidRPr="005228DF">
              <w:rPr>
                <w:b/>
                <w:bCs/>
                <w:u w:val="single"/>
              </w:rPr>
              <w:t>Function</w:t>
            </w:r>
          </w:p>
        </w:tc>
        <w:tc>
          <w:tcPr>
            <w:tcW w:w="1065" w:type="dxa"/>
            <w:shd w:val="clear" w:color="auto" w:fill="E7E6E6" w:themeFill="background2"/>
          </w:tcPr>
          <w:p w14:paraId="3C58BDAD" w14:textId="70FA0A39" w:rsidR="005228DF" w:rsidRPr="005228DF" w:rsidRDefault="005228DF" w:rsidP="00DE2704">
            <w:pPr>
              <w:rPr>
                <w:b/>
                <w:bCs/>
                <w:u w:val="single"/>
              </w:rPr>
            </w:pPr>
            <w:r>
              <w:rPr>
                <w:b/>
                <w:bCs/>
                <w:u w:val="single"/>
              </w:rPr>
              <w:t>Category Unique Identifier</w:t>
            </w:r>
          </w:p>
        </w:tc>
        <w:tc>
          <w:tcPr>
            <w:tcW w:w="3464" w:type="dxa"/>
            <w:shd w:val="clear" w:color="auto" w:fill="E7E6E6" w:themeFill="background2"/>
          </w:tcPr>
          <w:p w14:paraId="33716247" w14:textId="1DA9262E" w:rsidR="005228DF" w:rsidRPr="005228DF" w:rsidRDefault="005228DF" w:rsidP="00DE2704">
            <w:pPr>
              <w:rPr>
                <w:b/>
                <w:bCs/>
                <w:u w:val="single"/>
              </w:rPr>
            </w:pPr>
            <w:r>
              <w:rPr>
                <w:b/>
                <w:bCs/>
                <w:u w:val="single"/>
              </w:rPr>
              <w:t>Category</w:t>
            </w:r>
          </w:p>
        </w:tc>
      </w:tr>
      <w:tr w:rsidR="00BE05E7" w14:paraId="1D6473F1" w14:textId="77777777" w:rsidTr="00BE05E7">
        <w:tc>
          <w:tcPr>
            <w:tcW w:w="1060" w:type="dxa"/>
            <w:vMerge w:val="restart"/>
            <w:shd w:val="clear" w:color="auto" w:fill="00B0F0"/>
          </w:tcPr>
          <w:p w14:paraId="5C40BE93" w14:textId="147BBA44" w:rsidR="00BE05E7" w:rsidRPr="0097575D" w:rsidRDefault="00BE05E7" w:rsidP="00BE05E7">
            <w:pPr>
              <w:rPr>
                <w:b/>
                <w:bCs/>
              </w:rPr>
            </w:pPr>
            <w:r>
              <w:rPr>
                <w:b/>
                <w:bCs/>
              </w:rPr>
              <w:t>ID</w:t>
            </w:r>
          </w:p>
        </w:tc>
        <w:tc>
          <w:tcPr>
            <w:tcW w:w="3427" w:type="dxa"/>
            <w:vMerge w:val="restart"/>
          </w:tcPr>
          <w:p w14:paraId="3ADC006B" w14:textId="5DC72CAF" w:rsidR="00BE05E7" w:rsidRPr="00BE05E7" w:rsidRDefault="00BE05E7" w:rsidP="00BE05E7">
            <w:r w:rsidRPr="00BE05E7">
              <w:t>Identify</w:t>
            </w:r>
          </w:p>
        </w:tc>
        <w:tc>
          <w:tcPr>
            <w:tcW w:w="1065" w:type="dxa"/>
          </w:tcPr>
          <w:p w14:paraId="2508DBBE" w14:textId="142FDA95" w:rsidR="00BE05E7" w:rsidRPr="00BE05E7" w:rsidRDefault="00BE05E7" w:rsidP="00BE05E7">
            <w:r w:rsidRPr="00AE6B6E">
              <w:t>ID</w:t>
            </w:r>
            <w:r>
              <w:t>.</w:t>
            </w:r>
            <w:r w:rsidR="00027103">
              <w:t>AM</w:t>
            </w:r>
          </w:p>
        </w:tc>
        <w:tc>
          <w:tcPr>
            <w:tcW w:w="3464" w:type="dxa"/>
          </w:tcPr>
          <w:p w14:paraId="31324A11" w14:textId="5D85DD32" w:rsidR="00027103" w:rsidRDefault="00027103" w:rsidP="00027103">
            <w:r>
              <w:t xml:space="preserve">Asset Management </w:t>
            </w:r>
          </w:p>
          <w:p w14:paraId="5FE2DDD1" w14:textId="37194D61" w:rsidR="00BE05E7" w:rsidRPr="00BE05E7" w:rsidRDefault="00BE05E7" w:rsidP="00027103"/>
        </w:tc>
      </w:tr>
      <w:tr w:rsidR="00BE05E7" w14:paraId="4F35415E" w14:textId="77777777" w:rsidTr="00BE05E7">
        <w:tc>
          <w:tcPr>
            <w:tcW w:w="1060" w:type="dxa"/>
            <w:vMerge/>
            <w:shd w:val="clear" w:color="auto" w:fill="00B0F0"/>
          </w:tcPr>
          <w:p w14:paraId="241885A6" w14:textId="77777777" w:rsidR="00BE05E7" w:rsidRDefault="00BE05E7" w:rsidP="00BE05E7">
            <w:pPr>
              <w:rPr>
                <w:b/>
                <w:bCs/>
              </w:rPr>
            </w:pPr>
          </w:p>
        </w:tc>
        <w:tc>
          <w:tcPr>
            <w:tcW w:w="3427" w:type="dxa"/>
            <w:vMerge/>
          </w:tcPr>
          <w:p w14:paraId="5BCC018D" w14:textId="77777777" w:rsidR="00BE05E7" w:rsidRPr="00BE05E7" w:rsidRDefault="00BE05E7" w:rsidP="00BE05E7"/>
        </w:tc>
        <w:tc>
          <w:tcPr>
            <w:tcW w:w="1065" w:type="dxa"/>
          </w:tcPr>
          <w:p w14:paraId="3C646CAB" w14:textId="7C942AAD" w:rsidR="00BE05E7" w:rsidRPr="00BE05E7" w:rsidRDefault="00BE05E7" w:rsidP="00BE05E7">
            <w:r w:rsidRPr="00AE6B6E">
              <w:t>ID</w:t>
            </w:r>
            <w:r>
              <w:t>.</w:t>
            </w:r>
            <w:r w:rsidR="00027103">
              <w:t>BE</w:t>
            </w:r>
          </w:p>
        </w:tc>
        <w:tc>
          <w:tcPr>
            <w:tcW w:w="3464" w:type="dxa"/>
          </w:tcPr>
          <w:p w14:paraId="688F43FE" w14:textId="77777777" w:rsidR="00027103" w:rsidRDefault="00027103" w:rsidP="00027103">
            <w:r>
              <w:t>Business Environment</w:t>
            </w:r>
          </w:p>
          <w:p w14:paraId="73A9ABEB" w14:textId="77777777" w:rsidR="00BE05E7" w:rsidRPr="00BE05E7" w:rsidRDefault="00BE05E7" w:rsidP="00BE05E7"/>
        </w:tc>
      </w:tr>
      <w:tr w:rsidR="00BE05E7" w14:paraId="7AD384B5" w14:textId="77777777" w:rsidTr="00BE05E7">
        <w:tc>
          <w:tcPr>
            <w:tcW w:w="1060" w:type="dxa"/>
            <w:vMerge/>
            <w:shd w:val="clear" w:color="auto" w:fill="00B0F0"/>
          </w:tcPr>
          <w:p w14:paraId="7F31F870" w14:textId="77777777" w:rsidR="00BE05E7" w:rsidRDefault="00BE05E7" w:rsidP="00BE05E7">
            <w:pPr>
              <w:rPr>
                <w:b/>
                <w:bCs/>
              </w:rPr>
            </w:pPr>
          </w:p>
        </w:tc>
        <w:tc>
          <w:tcPr>
            <w:tcW w:w="3427" w:type="dxa"/>
            <w:vMerge/>
          </w:tcPr>
          <w:p w14:paraId="3B14EAC8" w14:textId="77777777" w:rsidR="00BE05E7" w:rsidRPr="00BE05E7" w:rsidRDefault="00BE05E7" w:rsidP="00BE05E7"/>
        </w:tc>
        <w:tc>
          <w:tcPr>
            <w:tcW w:w="1065" w:type="dxa"/>
          </w:tcPr>
          <w:p w14:paraId="2C7FCB81" w14:textId="48F9F492" w:rsidR="00BE05E7" w:rsidRPr="00BE05E7" w:rsidRDefault="00BE05E7" w:rsidP="00BE05E7">
            <w:r w:rsidRPr="00AE6B6E">
              <w:t>ID</w:t>
            </w:r>
            <w:r>
              <w:t>.</w:t>
            </w:r>
            <w:r w:rsidR="00027103">
              <w:t>GV</w:t>
            </w:r>
          </w:p>
        </w:tc>
        <w:tc>
          <w:tcPr>
            <w:tcW w:w="3464" w:type="dxa"/>
          </w:tcPr>
          <w:p w14:paraId="65A0D492" w14:textId="77777777" w:rsidR="00027103" w:rsidRDefault="00027103" w:rsidP="00027103">
            <w:r>
              <w:t>Governance</w:t>
            </w:r>
          </w:p>
          <w:p w14:paraId="3DAEED54" w14:textId="77777777" w:rsidR="00BE05E7" w:rsidRPr="00BE05E7" w:rsidRDefault="00BE05E7" w:rsidP="00BE05E7"/>
        </w:tc>
      </w:tr>
      <w:tr w:rsidR="00BE05E7" w14:paraId="50B06E72" w14:textId="77777777" w:rsidTr="00BE05E7">
        <w:tc>
          <w:tcPr>
            <w:tcW w:w="1060" w:type="dxa"/>
            <w:vMerge/>
            <w:shd w:val="clear" w:color="auto" w:fill="00B0F0"/>
          </w:tcPr>
          <w:p w14:paraId="5A2C7DCB" w14:textId="77777777" w:rsidR="00BE05E7" w:rsidRDefault="00BE05E7" w:rsidP="00BE05E7">
            <w:pPr>
              <w:rPr>
                <w:b/>
                <w:bCs/>
              </w:rPr>
            </w:pPr>
          </w:p>
        </w:tc>
        <w:tc>
          <w:tcPr>
            <w:tcW w:w="3427" w:type="dxa"/>
            <w:vMerge/>
          </w:tcPr>
          <w:p w14:paraId="77E2AC56" w14:textId="77777777" w:rsidR="00BE05E7" w:rsidRPr="00BE05E7" w:rsidRDefault="00BE05E7" w:rsidP="00BE05E7"/>
        </w:tc>
        <w:tc>
          <w:tcPr>
            <w:tcW w:w="1065" w:type="dxa"/>
          </w:tcPr>
          <w:p w14:paraId="4DFA460B" w14:textId="7F1D574C" w:rsidR="00BE05E7" w:rsidRPr="00BE05E7" w:rsidRDefault="00BE05E7" w:rsidP="00BE05E7">
            <w:r w:rsidRPr="00AE6B6E">
              <w:t>ID</w:t>
            </w:r>
            <w:r>
              <w:t>.</w:t>
            </w:r>
            <w:r w:rsidR="00027103">
              <w:t>RA</w:t>
            </w:r>
          </w:p>
        </w:tc>
        <w:tc>
          <w:tcPr>
            <w:tcW w:w="3464" w:type="dxa"/>
          </w:tcPr>
          <w:p w14:paraId="7B7573C8" w14:textId="77777777" w:rsidR="00027103" w:rsidRDefault="00027103" w:rsidP="00027103">
            <w:r>
              <w:t>Risk Assessment</w:t>
            </w:r>
          </w:p>
          <w:p w14:paraId="155DF5EE" w14:textId="77777777" w:rsidR="00BE05E7" w:rsidRPr="00BE05E7" w:rsidRDefault="00BE05E7" w:rsidP="00BE05E7"/>
        </w:tc>
      </w:tr>
      <w:tr w:rsidR="00BE05E7" w14:paraId="03A86639" w14:textId="77777777" w:rsidTr="00BE05E7">
        <w:tc>
          <w:tcPr>
            <w:tcW w:w="1060" w:type="dxa"/>
            <w:vMerge/>
            <w:shd w:val="clear" w:color="auto" w:fill="00B0F0"/>
          </w:tcPr>
          <w:p w14:paraId="182C32D4" w14:textId="77777777" w:rsidR="00BE05E7" w:rsidRDefault="00BE05E7" w:rsidP="00BE05E7">
            <w:pPr>
              <w:rPr>
                <w:b/>
                <w:bCs/>
              </w:rPr>
            </w:pPr>
          </w:p>
        </w:tc>
        <w:tc>
          <w:tcPr>
            <w:tcW w:w="3427" w:type="dxa"/>
            <w:vMerge/>
          </w:tcPr>
          <w:p w14:paraId="72A6ADA7" w14:textId="77777777" w:rsidR="00BE05E7" w:rsidRPr="00BE05E7" w:rsidRDefault="00BE05E7" w:rsidP="00BE05E7"/>
        </w:tc>
        <w:tc>
          <w:tcPr>
            <w:tcW w:w="1065" w:type="dxa"/>
          </w:tcPr>
          <w:p w14:paraId="7F60DA2C" w14:textId="6F5AC1A0" w:rsidR="00BE05E7" w:rsidRPr="00BE05E7" w:rsidRDefault="00BE05E7" w:rsidP="00BE05E7">
            <w:r w:rsidRPr="00AE6B6E">
              <w:t>ID</w:t>
            </w:r>
            <w:r>
              <w:t>.</w:t>
            </w:r>
            <w:r w:rsidR="00027103">
              <w:t>RM</w:t>
            </w:r>
          </w:p>
        </w:tc>
        <w:tc>
          <w:tcPr>
            <w:tcW w:w="3464" w:type="dxa"/>
          </w:tcPr>
          <w:p w14:paraId="575553EB" w14:textId="77777777" w:rsidR="00027103" w:rsidRDefault="00027103" w:rsidP="00027103">
            <w:r>
              <w:t xml:space="preserve">Risk Management </w:t>
            </w:r>
          </w:p>
          <w:p w14:paraId="419EC996" w14:textId="77777777" w:rsidR="00BE05E7" w:rsidRPr="00BE05E7" w:rsidRDefault="00BE05E7" w:rsidP="00BE05E7"/>
        </w:tc>
      </w:tr>
      <w:tr w:rsidR="00BE05E7" w14:paraId="42858D1B" w14:textId="77777777" w:rsidTr="00BE05E7">
        <w:tc>
          <w:tcPr>
            <w:tcW w:w="1060" w:type="dxa"/>
            <w:vMerge/>
            <w:shd w:val="clear" w:color="auto" w:fill="00B0F0"/>
          </w:tcPr>
          <w:p w14:paraId="4192727F" w14:textId="77777777" w:rsidR="00BE05E7" w:rsidRDefault="00BE05E7" w:rsidP="00BE05E7">
            <w:pPr>
              <w:rPr>
                <w:b/>
                <w:bCs/>
              </w:rPr>
            </w:pPr>
          </w:p>
        </w:tc>
        <w:tc>
          <w:tcPr>
            <w:tcW w:w="3427" w:type="dxa"/>
            <w:vMerge/>
          </w:tcPr>
          <w:p w14:paraId="2A3F3C51" w14:textId="77777777" w:rsidR="00BE05E7" w:rsidRPr="00BE05E7" w:rsidRDefault="00BE05E7" w:rsidP="00BE05E7"/>
        </w:tc>
        <w:tc>
          <w:tcPr>
            <w:tcW w:w="1065" w:type="dxa"/>
          </w:tcPr>
          <w:p w14:paraId="56F9C285" w14:textId="5DF91629" w:rsidR="00BE05E7" w:rsidRPr="00BE05E7" w:rsidRDefault="00BE05E7" w:rsidP="00BE05E7">
            <w:r w:rsidRPr="00AE6B6E">
              <w:t>ID</w:t>
            </w:r>
            <w:r>
              <w:t>.</w:t>
            </w:r>
            <w:r w:rsidR="00027103">
              <w:t>SC</w:t>
            </w:r>
          </w:p>
        </w:tc>
        <w:tc>
          <w:tcPr>
            <w:tcW w:w="3464" w:type="dxa"/>
          </w:tcPr>
          <w:p w14:paraId="51094E56" w14:textId="77777777" w:rsidR="00027103" w:rsidRDefault="00027103" w:rsidP="00027103">
            <w:r>
              <w:t>Supply Chain Risk Management</w:t>
            </w:r>
          </w:p>
          <w:p w14:paraId="46A85304" w14:textId="77777777" w:rsidR="00BE05E7" w:rsidRPr="00BE05E7" w:rsidRDefault="00BE05E7" w:rsidP="00BE05E7"/>
        </w:tc>
      </w:tr>
      <w:tr w:rsidR="00BE05E7" w14:paraId="5DEF1E7C" w14:textId="77777777" w:rsidTr="00BE05E7">
        <w:tc>
          <w:tcPr>
            <w:tcW w:w="1060" w:type="dxa"/>
            <w:shd w:val="clear" w:color="auto" w:fill="7030A0"/>
          </w:tcPr>
          <w:p w14:paraId="31C0B64C" w14:textId="4001D55C" w:rsidR="00BE05E7" w:rsidRPr="0097575D" w:rsidRDefault="00BE05E7" w:rsidP="00BE05E7">
            <w:pPr>
              <w:rPr>
                <w:b/>
                <w:bCs/>
              </w:rPr>
            </w:pPr>
            <w:r>
              <w:rPr>
                <w:b/>
                <w:bCs/>
              </w:rPr>
              <w:t>PR</w:t>
            </w:r>
          </w:p>
        </w:tc>
        <w:tc>
          <w:tcPr>
            <w:tcW w:w="3427" w:type="dxa"/>
          </w:tcPr>
          <w:p w14:paraId="491E61F8" w14:textId="3D0A1BC7" w:rsidR="00BE05E7" w:rsidRPr="00BE05E7" w:rsidRDefault="00BE05E7" w:rsidP="00BE05E7">
            <w:r w:rsidRPr="00BE05E7">
              <w:t>Protect</w:t>
            </w:r>
          </w:p>
        </w:tc>
        <w:tc>
          <w:tcPr>
            <w:tcW w:w="1065" w:type="dxa"/>
          </w:tcPr>
          <w:p w14:paraId="2DA13133" w14:textId="77777777" w:rsidR="00BE05E7" w:rsidRPr="00BE05E7" w:rsidRDefault="00BE05E7" w:rsidP="00BE05E7"/>
        </w:tc>
        <w:tc>
          <w:tcPr>
            <w:tcW w:w="3464" w:type="dxa"/>
          </w:tcPr>
          <w:p w14:paraId="1BE93DA8" w14:textId="77777777" w:rsidR="00BE05E7" w:rsidRPr="00BE05E7" w:rsidRDefault="00BE05E7" w:rsidP="00BE05E7"/>
        </w:tc>
      </w:tr>
      <w:tr w:rsidR="00BE05E7" w14:paraId="06D8683D" w14:textId="77777777" w:rsidTr="00BE05E7">
        <w:tc>
          <w:tcPr>
            <w:tcW w:w="1060" w:type="dxa"/>
            <w:shd w:val="clear" w:color="auto" w:fill="FFC000" w:themeFill="accent4"/>
          </w:tcPr>
          <w:p w14:paraId="39716DB0" w14:textId="6D483C16" w:rsidR="00BE05E7" w:rsidRPr="0097575D" w:rsidRDefault="00BE05E7" w:rsidP="00BE05E7">
            <w:pPr>
              <w:rPr>
                <w:b/>
                <w:bCs/>
              </w:rPr>
            </w:pPr>
            <w:r>
              <w:rPr>
                <w:b/>
                <w:bCs/>
              </w:rPr>
              <w:t>DE</w:t>
            </w:r>
          </w:p>
        </w:tc>
        <w:tc>
          <w:tcPr>
            <w:tcW w:w="3427" w:type="dxa"/>
          </w:tcPr>
          <w:p w14:paraId="4F89CF54" w14:textId="47D871D7" w:rsidR="00BE05E7" w:rsidRPr="00BE05E7" w:rsidRDefault="00BE05E7" w:rsidP="00BE05E7">
            <w:r w:rsidRPr="00BE05E7">
              <w:t>Detect</w:t>
            </w:r>
          </w:p>
        </w:tc>
        <w:tc>
          <w:tcPr>
            <w:tcW w:w="1065" w:type="dxa"/>
          </w:tcPr>
          <w:p w14:paraId="74E3B3E9" w14:textId="77777777" w:rsidR="00BE05E7" w:rsidRPr="00BE05E7" w:rsidRDefault="00BE05E7" w:rsidP="00BE05E7"/>
        </w:tc>
        <w:tc>
          <w:tcPr>
            <w:tcW w:w="3464" w:type="dxa"/>
          </w:tcPr>
          <w:p w14:paraId="5E79EF26" w14:textId="77777777" w:rsidR="00BE05E7" w:rsidRPr="00BE05E7" w:rsidRDefault="00BE05E7" w:rsidP="00BE05E7"/>
        </w:tc>
      </w:tr>
      <w:tr w:rsidR="00BE05E7" w14:paraId="057433C9" w14:textId="77777777" w:rsidTr="00BE05E7">
        <w:tc>
          <w:tcPr>
            <w:tcW w:w="1060" w:type="dxa"/>
            <w:shd w:val="clear" w:color="auto" w:fill="FF0000"/>
          </w:tcPr>
          <w:p w14:paraId="3723A10F" w14:textId="1DB6E2B9" w:rsidR="00BE05E7" w:rsidRPr="0097575D" w:rsidRDefault="00BE05E7" w:rsidP="00BE05E7">
            <w:pPr>
              <w:rPr>
                <w:b/>
                <w:bCs/>
              </w:rPr>
            </w:pPr>
            <w:r>
              <w:rPr>
                <w:b/>
                <w:bCs/>
              </w:rPr>
              <w:t>RS</w:t>
            </w:r>
          </w:p>
        </w:tc>
        <w:tc>
          <w:tcPr>
            <w:tcW w:w="3427" w:type="dxa"/>
          </w:tcPr>
          <w:p w14:paraId="6CE69F6D" w14:textId="5594290F" w:rsidR="00BE05E7" w:rsidRPr="00BE05E7" w:rsidRDefault="00BE05E7" w:rsidP="00BE05E7">
            <w:r w:rsidRPr="00BE05E7">
              <w:t>Respond</w:t>
            </w:r>
          </w:p>
        </w:tc>
        <w:tc>
          <w:tcPr>
            <w:tcW w:w="1065" w:type="dxa"/>
          </w:tcPr>
          <w:p w14:paraId="667F16C6" w14:textId="77777777" w:rsidR="00BE05E7" w:rsidRPr="00BE05E7" w:rsidRDefault="00BE05E7" w:rsidP="00BE05E7"/>
        </w:tc>
        <w:tc>
          <w:tcPr>
            <w:tcW w:w="3464" w:type="dxa"/>
          </w:tcPr>
          <w:p w14:paraId="3499A5A3" w14:textId="77777777" w:rsidR="00BE05E7" w:rsidRPr="00BE05E7" w:rsidRDefault="00BE05E7" w:rsidP="00BE05E7"/>
        </w:tc>
      </w:tr>
      <w:tr w:rsidR="00BE05E7" w14:paraId="4BE01C2B" w14:textId="77777777" w:rsidTr="00BE05E7">
        <w:tc>
          <w:tcPr>
            <w:tcW w:w="1060" w:type="dxa"/>
            <w:shd w:val="clear" w:color="auto" w:fill="70AD47" w:themeFill="accent6"/>
          </w:tcPr>
          <w:p w14:paraId="55F36A21" w14:textId="44B0C865" w:rsidR="00BE05E7" w:rsidRPr="0097575D" w:rsidRDefault="00BE05E7" w:rsidP="00BE05E7">
            <w:pPr>
              <w:rPr>
                <w:b/>
                <w:bCs/>
              </w:rPr>
            </w:pPr>
            <w:r>
              <w:rPr>
                <w:b/>
                <w:bCs/>
              </w:rPr>
              <w:t>RE</w:t>
            </w:r>
          </w:p>
        </w:tc>
        <w:tc>
          <w:tcPr>
            <w:tcW w:w="3427" w:type="dxa"/>
          </w:tcPr>
          <w:p w14:paraId="763B5218" w14:textId="2FF80A21" w:rsidR="00BE05E7" w:rsidRPr="00BE05E7" w:rsidRDefault="00BE05E7" w:rsidP="00BE05E7">
            <w:r w:rsidRPr="00BE05E7">
              <w:t>Recover</w:t>
            </w:r>
          </w:p>
        </w:tc>
        <w:tc>
          <w:tcPr>
            <w:tcW w:w="1065" w:type="dxa"/>
          </w:tcPr>
          <w:p w14:paraId="5CC96851" w14:textId="77777777" w:rsidR="00BE05E7" w:rsidRPr="00BE05E7" w:rsidRDefault="00BE05E7" w:rsidP="00BE05E7"/>
        </w:tc>
        <w:tc>
          <w:tcPr>
            <w:tcW w:w="3464" w:type="dxa"/>
          </w:tcPr>
          <w:p w14:paraId="35B3C02C" w14:textId="77777777" w:rsidR="00BE05E7" w:rsidRPr="00BE05E7" w:rsidRDefault="00BE05E7" w:rsidP="00BE05E7"/>
        </w:tc>
      </w:tr>
    </w:tbl>
    <w:p w14:paraId="2273735A" w14:textId="2F3DE313" w:rsidR="00027103" w:rsidRDefault="00027103" w:rsidP="00CD2DAB">
      <w:r>
        <w:lastRenderedPageBreak/>
        <w:t>Within the Identifications, the organisation could use Table 2 of Appendix A</w:t>
      </w:r>
      <w:r w:rsidR="003930B5">
        <w:t xml:space="preserve">, </w:t>
      </w:r>
      <w:r w:rsidR="003930B5">
        <w:rPr>
          <w:i/>
          <w:iCs/>
        </w:rPr>
        <w:t>Figure 5,</w:t>
      </w:r>
      <w:r>
        <w:t xml:space="preserve"> of the NIST CSF as a reference for full guidance. </w:t>
      </w:r>
      <w:r w:rsidRPr="00027103">
        <w:rPr>
          <w:noProof/>
        </w:rPr>
        <w:drawing>
          <wp:inline distT="0" distB="0" distL="0" distR="0" wp14:anchorId="6194FE99" wp14:editId="0157EC85">
            <wp:extent cx="5731510" cy="3985260"/>
            <wp:effectExtent l="0" t="0" r="2540" b="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13"/>
                    <a:stretch>
                      <a:fillRect/>
                    </a:stretch>
                  </pic:blipFill>
                  <pic:spPr>
                    <a:xfrm>
                      <a:off x="0" y="0"/>
                      <a:ext cx="5731510" cy="3985260"/>
                    </a:xfrm>
                    <a:prstGeom prst="rect">
                      <a:avLst/>
                    </a:prstGeom>
                  </pic:spPr>
                </pic:pic>
              </a:graphicData>
            </a:graphic>
          </wp:inline>
        </w:drawing>
      </w:r>
    </w:p>
    <w:p w14:paraId="0AEF3361" w14:textId="0E08CDE6" w:rsidR="00027103" w:rsidRDefault="00027103" w:rsidP="00027103">
      <w:pPr>
        <w:pStyle w:val="Caption"/>
      </w:pPr>
      <w:r>
        <w:t xml:space="preserve">Figure </w:t>
      </w:r>
      <w:r w:rsidR="005E54CC">
        <w:fldChar w:fldCharType="begin"/>
      </w:r>
      <w:r w:rsidR="005E54CC">
        <w:instrText xml:space="preserve"> SEQ Figure \* ARABIC </w:instrText>
      </w:r>
      <w:r w:rsidR="005E54CC">
        <w:fldChar w:fldCharType="separate"/>
      </w:r>
      <w:r>
        <w:rPr>
          <w:noProof/>
        </w:rPr>
        <w:t>5</w:t>
      </w:r>
      <w:r w:rsidR="005E54CC">
        <w:rPr>
          <w:noProof/>
        </w:rPr>
        <w:fldChar w:fldCharType="end"/>
      </w:r>
      <w:r>
        <w:t>: Table 2 of Appendix A of the NIST CSF</w:t>
      </w:r>
    </w:p>
    <w:p w14:paraId="02CFB591" w14:textId="75753A50" w:rsidR="00027103" w:rsidRDefault="00027103" w:rsidP="00027103"/>
    <w:p w14:paraId="5239D32F" w14:textId="5C2DEFB8" w:rsidR="00032125" w:rsidRDefault="003930B5" w:rsidP="00027103">
      <w:r>
        <w:t>Within</w:t>
      </w:r>
      <w:r w:rsidR="00027103">
        <w:t xml:space="preserve"> the table there </w:t>
      </w:r>
      <w:r>
        <w:t>are</w:t>
      </w:r>
      <w:r w:rsidR="00027103">
        <w:t xml:space="preserve"> informative references that help develop</w:t>
      </w:r>
      <w:r>
        <w:t xml:space="preserve"> cybersecurity activities</w:t>
      </w:r>
      <w:r w:rsidR="00027103">
        <w:t xml:space="preserve"> in more detail.</w:t>
      </w:r>
      <w:r w:rsidR="00032125">
        <w:t xml:space="preserve"> For example</w:t>
      </w:r>
      <w:r>
        <w:t>,</w:t>
      </w:r>
      <w:r w:rsidR="00032125">
        <w:t xml:space="preserve"> with the identification process</w:t>
      </w:r>
      <w:r>
        <w:t>,</w:t>
      </w:r>
      <w:r w:rsidR="00032125">
        <w:t xml:space="preserve"> personnel could</w:t>
      </w:r>
      <w:r>
        <w:t xml:space="preserve"> catalogue</w:t>
      </w:r>
      <w:r w:rsidR="00032125">
        <w:t xml:space="preserve"> their login cards or login details and any devices used for the Cloud services. Then the organisation could </w:t>
      </w:r>
      <w:r>
        <w:t>identify</w:t>
      </w:r>
      <w:r w:rsidR="00032125">
        <w:t xml:space="preserve"> which ID and which devices ha</w:t>
      </w:r>
      <w:r>
        <w:t>ve</w:t>
      </w:r>
      <w:r w:rsidR="00032125">
        <w:t xml:space="preserve"> encountered a cyberattack.</w:t>
      </w:r>
      <w:r>
        <w:t xml:space="preserve"> </w:t>
      </w:r>
      <w:r w:rsidR="00032125">
        <w:t xml:space="preserve">Throughout the course of the appendix in the NIST CSF there is guidance and recommendations for most common organisational needs. </w:t>
      </w:r>
    </w:p>
    <w:p w14:paraId="1A941368" w14:textId="20A1BF25" w:rsidR="00CD2DAB" w:rsidRPr="00027103" w:rsidRDefault="00CD2DAB" w:rsidP="00027103">
      <w:r>
        <w:t>After following the guidance the organisation c</w:t>
      </w:r>
      <w:r w:rsidR="003930B5">
        <w:t>ould</w:t>
      </w:r>
      <w:r>
        <w:t xml:space="preserve"> use the COBIT governance framework to create policies and protocols for the continued protection of the assets and </w:t>
      </w:r>
      <w:r w:rsidR="008962C9">
        <w:t>information</w:t>
      </w:r>
      <w:r>
        <w:t xml:space="preserve"> of the organisation.</w:t>
      </w:r>
    </w:p>
    <w:p w14:paraId="54A572B1" w14:textId="77777777" w:rsidR="00327D4B" w:rsidRDefault="00327D4B" w:rsidP="00DE2704"/>
    <w:p w14:paraId="26373477" w14:textId="59BB3E0C" w:rsidR="00327D4B" w:rsidRDefault="00327D4B">
      <w:r>
        <w:br w:type="page"/>
      </w:r>
    </w:p>
    <w:p w14:paraId="7F4831F7" w14:textId="3ACECCD7" w:rsidR="00327D4B" w:rsidRDefault="00327D4B" w:rsidP="00327D4B">
      <w:pPr>
        <w:pStyle w:val="Heading1"/>
      </w:pPr>
      <w:bookmarkStart w:id="16" w:name="_Toc92312670"/>
      <w:r>
        <w:lastRenderedPageBreak/>
        <w:t>References</w:t>
      </w:r>
      <w:bookmarkEnd w:id="16"/>
    </w:p>
    <w:p w14:paraId="42641B92" w14:textId="5E07CFFD" w:rsidR="008244CA" w:rsidRPr="008244CA" w:rsidRDefault="00327D4B" w:rsidP="008244CA">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8244CA" w:rsidRPr="008244CA">
        <w:rPr>
          <w:rFonts w:ascii="Calibri" w:hAnsi="Calibri" w:cs="Calibri"/>
          <w:noProof/>
          <w:szCs w:val="24"/>
        </w:rPr>
        <w:t>[1]</w:t>
      </w:r>
      <w:r w:rsidR="008244CA" w:rsidRPr="008244CA">
        <w:rPr>
          <w:rFonts w:ascii="Calibri" w:hAnsi="Calibri" w:cs="Calibri"/>
          <w:noProof/>
          <w:szCs w:val="24"/>
        </w:rPr>
        <w:tab/>
        <w:t>M. Nieles, K. Dempsey, and V. Y. Pillitteri, “An introduction to information security,” Gaithersburg, MD, Jun. 2017.</w:t>
      </w:r>
    </w:p>
    <w:p w14:paraId="15827BB8"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szCs w:val="24"/>
        </w:rPr>
      </w:pPr>
      <w:r w:rsidRPr="008244CA">
        <w:rPr>
          <w:rFonts w:ascii="Calibri" w:hAnsi="Calibri" w:cs="Calibri"/>
          <w:noProof/>
          <w:szCs w:val="24"/>
        </w:rPr>
        <w:t>[2]</w:t>
      </w:r>
      <w:r w:rsidRPr="008244CA">
        <w:rPr>
          <w:rFonts w:ascii="Calibri" w:hAnsi="Calibri" w:cs="Calibri"/>
          <w:noProof/>
          <w:szCs w:val="24"/>
        </w:rPr>
        <w:tab/>
        <w:t>National Institute of Standards And Technology and NIST, “Framework for Improving Critical Infrastructure Cybersecurity, Version 1.1,” Apr. 2018.</w:t>
      </w:r>
    </w:p>
    <w:p w14:paraId="49D106DA"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szCs w:val="24"/>
        </w:rPr>
      </w:pPr>
      <w:r w:rsidRPr="008244CA">
        <w:rPr>
          <w:rFonts w:ascii="Calibri" w:hAnsi="Calibri" w:cs="Calibri"/>
          <w:noProof/>
          <w:szCs w:val="24"/>
        </w:rPr>
        <w:t>[3]</w:t>
      </w:r>
      <w:r w:rsidRPr="008244CA">
        <w:rPr>
          <w:rFonts w:ascii="Calibri" w:hAnsi="Calibri" w:cs="Calibri"/>
          <w:noProof/>
          <w:szCs w:val="24"/>
        </w:rPr>
        <w:tab/>
        <w:t xml:space="preserve">S. Almuhammadi and M. Alsaleh, “Information Security Maturity Model for Nist Cyber Security Framework,” in </w:t>
      </w:r>
      <w:r w:rsidRPr="008244CA">
        <w:rPr>
          <w:rFonts w:ascii="Calibri" w:hAnsi="Calibri" w:cs="Calibri"/>
          <w:i/>
          <w:iCs/>
          <w:noProof/>
          <w:szCs w:val="24"/>
        </w:rPr>
        <w:t>Computer Science &amp; Information Technology (CS &amp; IT)</w:t>
      </w:r>
      <w:r w:rsidRPr="008244CA">
        <w:rPr>
          <w:rFonts w:ascii="Calibri" w:hAnsi="Calibri" w:cs="Calibri"/>
          <w:noProof/>
          <w:szCs w:val="24"/>
        </w:rPr>
        <w:t>, 2017, pp. 51–62.</w:t>
      </w:r>
    </w:p>
    <w:p w14:paraId="7300BE32"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szCs w:val="24"/>
        </w:rPr>
      </w:pPr>
      <w:r w:rsidRPr="008244CA">
        <w:rPr>
          <w:rFonts w:ascii="Calibri" w:hAnsi="Calibri" w:cs="Calibri"/>
          <w:noProof/>
          <w:szCs w:val="24"/>
        </w:rPr>
        <w:t>[4]</w:t>
      </w:r>
      <w:r w:rsidRPr="008244CA">
        <w:rPr>
          <w:rFonts w:ascii="Calibri" w:hAnsi="Calibri" w:cs="Calibri"/>
          <w:noProof/>
          <w:szCs w:val="24"/>
        </w:rPr>
        <w:tab/>
        <w:t xml:space="preserve">A. Ibrahim, C. Valli, I. McAteer, and J. Chaudhry, “A security review of local government using NIST CSF: a case study,” </w:t>
      </w:r>
      <w:r w:rsidRPr="008244CA">
        <w:rPr>
          <w:rFonts w:ascii="Calibri" w:hAnsi="Calibri" w:cs="Calibri"/>
          <w:i/>
          <w:iCs/>
          <w:noProof/>
          <w:szCs w:val="24"/>
        </w:rPr>
        <w:t>J. Supercomput.</w:t>
      </w:r>
      <w:r w:rsidRPr="008244CA">
        <w:rPr>
          <w:rFonts w:ascii="Calibri" w:hAnsi="Calibri" w:cs="Calibri"/>
          <w:noProof/>
          <w:szCs w:val="24"/>
        </w:rPr>
        <w:t>, vol. 74, no. 10, pp. 5171–5186, Oct. 2018.</w:t>
      </w:r>
    </w:p>
    <w:p w14:paraId="7E8D7EAB"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szCs w:val="24"/>
        </w:rPr>
      </w:pPr>
      <w:r w:rsidRPr="008244CA">
        <w:rPr>
          <w:rFonts w:ascii="Calibri" w:hAnsi="Calibri" w:cs="Calibri"/>
          <w:noProof/>
          <w:szCs w:val="24"/>
        </w:rPr>
        <w:t>[5]</w:t>
      </w:r>
      <w:r w:rsidRPr="008244CA">
        <w:rPr>
          <w:rFonts w:ascii="Calibri" w:hAnsi="Calibri" w:cs="Calibri"/>
          <w:noProof/>
          <w:szCs w:val="24"/>
        </w:rPr>
        <w:tab/>
        <w:t xml:space="preserve">D. F. Ferraiolo, R. Sandhu, S. Gavrila, D. R. Kuhn, and R. Chandramouli, “Proposed NIST standard for role-based access control,” </w:t>
      </w:r>
      <w:r w:rsidRPr="008244CA">
        <w:rPr>
          <w:rFonts w:ascii="Calibri" w:hAnsi="Calibri" w:cs="Calibri"/>
          <w:i/>
          <w:iCs/>
          <w:noProof/>
          <w:szCs w:val="24"/>
        </w:rPr>
        <w:t>ACM Trans. Inf. Syst. Secur.</w:t>
      </w:r>
      <w:r w:rsidRPr="008244CA">
        <w:rPr>
          <w:rFonts w:ascii="Calibri" w:hAnsi="Calibri" w:cs="Calibri"/>
          <w:noProof/>
          <w:szCs w:val="24"/>
        </w:rPr>
        <w:t>, vol. 4, no. 3, pp. 224–274, Aug. 2001.</w:t>
      </w:r>
    </w:p>
    <w:p w14:paraId="154165BA"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szCs w:val="24"/>
        </w:rPr>
      </w:pPr>
      <w:r w:rsidRPr="008244CA">
        <w:rPr>
          <w:rFonts w:ascii="Calibri" w:hAnsi="Calibri" w:cs="Calibri"/>
          <w:noProof/>
          <w:szCs w:val="24"/>
        </w:rPr>
        <w:t>[6]</w:t>
      </w:r>
      <w:r w:rsidRPr="008244CA">
        <w:rPr>
          <w:rFonts w:ascii="Calibri" w:hAnsi="Calibri" w:cs="Calibri"/>
          <w:noProof/>
          <w:szCs w:val="24"/>
        </w:rPr>
        <w:tab/>
        <w:t xml:space="preserve">ISACA, </w:t>
      </w:r>
      <w:r w:rsidRPr="008244CA">
        <w:rPr>
          <w:rFonts w:ascii="Calibri" w:hAnsi="Calibri" w:cs="Calibri"/>
          <w:i/>
          <w:iCs/>
          <w:noProof/>
          <w:szCs w:val="24"/>
        </w:rPr>
        <w:t>Governance and Management Objectives</w:t>
      </w:r>
      <w:r w:rsidRPr="008244CA">
        <w:rPr>
          <w:rFonts w:ascii="Calibri" w:hAnsi="Calibri" w:cs="Calibri"/>
          <w:noProof/>
          <w:szCs w:val="24"/>
        </w:rPr>
        <w:t>. 2018.</w:t>
      </w:r>
    </w:p>
    <w:p w14:paraId="08E850F0"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szCs w:val="24"/>
        </w:rPr>
      </w:pPr>
      <w:r w:rsidRPr="008244CA">
        <w:rPr>
          <w:rFonts w:ascii="Calibri" w:hAnsi="Calibri" w:cs="Calibri"/>
          <w:noProof/>
          <w:szCs w:val="24"/>
        </w:rPr>
        <w:t>[7]</w:t>
      </w:r>
      <w:r w:rsidRPr="008244CA">
        <w:rPr>
          <w:rFonts w:ascii="Calibri" w:hAnsi="Calibri" w:cs="Calibri"/>
          <w:noProof/>
          <w:szCs w:val="24"/>
        </w:rPr>
        <w:tab/>
        <w:t xml:space="preserve">ISACA, “Executive Summary November 2018,” </w:t>
      </w:r>
      <w:r w:rsidRPr="008244CA">
        <w:rPr>
          <w:rFonts w:ascii="Calibri" w:hAnsi="Calibri" w:cs="Calibri"/>
          <w:i/>
          <w:iCs/>
          <w:noProof/>
          <w:szCs w:val="24"/>
        </w:rPr>
        <w:t>COBIT® 2019 Framew.</w:t>
      </w:r>
      <w:r w:rsidRPr="008244CA">
        <w:rPr>
          <w:rFonts w:ascii="Calibri" w:hAnsi="Calibri" w:cs="Calibri"/>
          <w:noProof/>
          <w:szCs w:val="24"/>
        </w:rPr>
        <w:t>, no. November, 2018.</w:t>
      </w:r>
    </w:p>
    <w:p w14:paraId="5375BBC9"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szCs w:val="24"/>
        </w:rPr>
      </w:pPr>
      <w:r w:rsidRPr="008244CA">
        <w:rPr>
          <w:rFonts w:ascii="Calibri" w:hAnsi="Calibri" w:cs="Calibri"/>
          <w:noProof/>
          <w:szCs w:val="24"/>
        </w:rPr>
        <w:t>[8]</w:t>
      </w:r>
      <w:r w:rsidRPr="008244CA">
        <w:rPr>
          <w:rFonts w:ascii="Calibri" w:hAnsi="Calibri" w:cs="Calibri"/>
          <w:noProof/>
          <w:szCs w:val="24"/>
        </w:rPr>
        <w:tab/>
        <w:t xml:space="preserve">Isaca, </w:t>
      </w:r>
      <w:r w:rsidRPr="008244CA">
        <w:rPr>
          <w:rFonts w:ascii="Calibri" w:hAnsi="Calibri" w:cs="Calibri"/>
          <w:i/>
          <w:iCs/>
          <w:noProof/>
          <w:szCs w:val="24"/>
        </w:rPr>
        <w:t>Cobit 5 Business Framework</w:t>
      </w:r>
      <w:r w:rsidRPr="008244CA">
        <w:rPr>
          <w:rFonts w:ascii="Calibri" w:hAnsi="Calibri" w:cs="Calibri"/>
          <w:noProof/>
          <w:szCs w:val="24"/>
        </w:rPr>
        <w:t>, vol. 23, no. 3. 2012.</w:t>
      </w:r>
    </w:p>
    <w:p w14:paraId="66B1FB7D"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szCs w:val="24"/>
        </w:rPr>
      </w:pPr>
      <w:r w:rsidRPr="008244CA">
        <w:rPr>
          <w:rFonts w:ascii="Calibri" w:hAnsi="Calibri" w:cs="Calibri"/>
          <w:noProof/>
          <w:szCs w:val="24"/>
        </w:rPr>
        <w:t>[9]</w:t>
      </w:r>
      <w:r w:rsidRPr="008244CA">
        <w:rPr>
          <w:rFonts w:ascii="Calibri" w:hAnsi="Calibri" w:cs="Calibri"/>
          <w:noProof/>
          <w:szCs w:val="24"/>
        </w:rPr>
        <w:tab/>
        <w:t>P. Bernard, “COBIT ® 5-A Management Guide.”</w:t>
      </w:r>
    </w:p>
    <w:p w14:paraId="5509D2B6"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szCs w:val="24"/>
        </w:rPr>
      </w:pPr>
      <w:r w:rsidRPr="008244CA">
        <w:rPr>
          <w:rFonts w:ascii="Calibri" w:hAnsi="Calibri" w:cs="Calibri"/>
          <w:noProof/>
          <w:szCs w:val="24"/>
        </w:rPr>
        <w:t>[10]</w:t>
      </w:r>
      <w:r w:rsidRPr="008244CA">
        <w:rPr>
          <w:rFonts w:ascii="Calibri" w:hAnsi="Calibri" w:cs="Calibri"/>
          <w:noProof/>
          <w:szCs w:val="24"/>
        </w:rPr>
        <w:tab/>
        <w:t xml:space="preserve">ISO/IEC, “INTERNATIONAL STANDARD ISO / IEC Information technology — Security techniques — Information security management systems — Overview and,” </w:t>
      </w:r>
      <w:r w:rsidRPr="008244CA">
        <w:rPr>
          <w:rFonts w:ascii="Calibri" w:hAnsi="Calibri" w:cs="Calibri"/>
          <w:i/>
          <w:iCs/>
          <w:noProof/>
          <w:szCs w:val="24"/>
        </w:rPr>
        <w:t>ACM Work. Form. Methods Secur. Eng. DC, USA</w:t>
      </w:r>
      <w:r w:rsidRPr="008244CA">
        <w:rPr>
          <w:rFonts w:ascii="Calibri" w:hAnsi="Calibri" w:cs="Calibri"/>
          <w:noProof/>
          <w:szCs w:val="24"/>
        </w:rPr>
        <w:t>, vol. 34, no. 19, pp. 45–55, 2018.</w:t>
      </w:r>
    </w:p>
    <w:p w14:paraId="74E563F6"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szCs w:val="24"/>
        </w:rPr>
      </w:pPr>
      <w:r w:rsidRPr="008244CA">
        <w:rPr>
          <w:rFonts w:ascii="Calibri" w:hAnsi="Calibri" w:cs="Calibri"/>
          <w:noProof/>
          <w:szCs w:val="24"/>
        </w:rPr>
        <w:t>[11]</w:t>
      </w:r>
      <w:r w:rsidRPr="008244CA">
        <w:rPr>
          <w:rFonts w:ascii="Calibri" w:hAnsi="Calibri" w:cs="Calibri"/>
          <w:noProof/>
          <w:szCs w:val="24"/>
        </w:rPr>
        <w:tab/>
        <w:t>I. S. O. S. Order, “INTERNATIONAL STANDARD ISO / IEC Information technology — Security techniques — Guidelines for information security management systems auditing,” vol. 2011, 2011.</w:t>
      </w:r>
    </w:p>
    <w:p w14:paraId="1F38B806"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szCs w:val="24"/>
        </w:rPr>
      </w:pPr>
      <w:r w:rsidRPr="008244CA">
        <w:rPr>
          <w:rFonts w:ascii="Calibri" w:hAnsi="Calibri" w:cs="Calibri"/>
          <w:noProof/>
          <w:szCs w:val="24"/>
        </w:rPr>
        <w:t>[12]</w:t>
      </w:r>
      <w:r w:rsidRPr="008244CA">
        <w:rPr>
          <w:rFonts w:ascii="Calibri" w:hAnsi="Calibri" w:cs="Calibri"/>
          <w:noProof/>
          <w:szCs w:val="24"/>
        </w:rPr>
        <w:tab/>
        <w:t>ISO/IEC 27004, “Information security management — Measurement.” 2016.</w:t>
      </w:r>
    </w:p>
    <w:p w14:paraId="5DF88822"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szCs w:val="24"/>
        </w:rPr>
      </w:pPr>
      <w:r w:rsidRPr="008244CA">
        <w:rPr>
          <w:rFonts w:ascii="Calibri" w:hAnsi="Calibri" w:cs="Calibri"/>
          <w:noProof/>
          <w:szCs w:val="24"/>
        </w:rPr>
        <w:t>[13]</w:t>
      </w:r>
      <w:r w:rsidRPr="008244CA">
        <w:rPr>
          <w:rFonts w:ascii="Calibri" w:hAnsi="Calibri" w:cs="Calibri"/>
          <w:noProof/>
          <w:szCs w:val="24"/>
        </w:rPr>
        <w:tab/>
        <w:t>ISO/IEC, “Information technology-Security techniques-Information security management systems-Overview and vocabulary ISO/IEC 27000:2018(E) ii COPYRIGHT PROTECTED DOCUMENT.” 2018.</w:t>
      </w:r>
    </w:p>
    <w:p w14:paraId="228B64E8"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szCs w:val="24"/>
        </w:rPr>
      </w:pPr>
      <w:r w:rsidRPr="008244CA">
        <w:rPr>
          <w:rFonts w:ascii="Calibri" w:hAnsi="Calibri" w:cs="Calibri"/>
          <w:noProof/>
          <w:szCs w:val="24"/>
        </w:rPr>
        <w:t>[14]</w:t>
      </w:r>
      <w:r w:rsidRPr="008244CA">
        <w:rPr>
          <w:rFonts w:ascii="Calibri" w:hAnsi="Calibri" w:cs="Calibri"/>
          <w:noProof/>
          <w:szCs w:val="24"/>
        </w:rPr>
        <w:tab/>
        <w:t xml:space="preserve">F. Accerboni and M. Sartor, “ISO/IEC 27001,” in </w:t>
      </w:r>
      <w:r w:rsidRPr="008244CA">
        <w:rPr>
          <w:rFonts w:ascii="Calibri" w:hAnsi="Calibri" w:cs="Calibri"/>
          <w:i/>
          <w:iCs/>
          <w:noProof/>
          <w:szCs w:val="24"/>
        </w:rPr>
        <w:t>Quality Management: Tools, Methods, and Standards</w:t>
      </w:r>
      <w:r w:rsidRPr="008244CA">
        <w:rPr>
          <w:rFonts w:ascii="Calibri" w:hAnsi="Calibri" w:cs="Calibri"/>
          <w:noProof/>
          <w:szCs w:val="24"/>
        </w:rPr>
        <w:t>, M. Sartor and G. Orzes, Eds. Emerald Publishing Limited, 2019, pp. 245–264.</w:t>
      </w:r>
    </w:p>
    <w:p w14:paraId="58AAE8FA"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szCs w:val="24"/>
        </w:rPr>
      </w:pPr>
      <w:r w:rsidRPr="008244CA">
        <w:rPr>
          <w:rFonts w:ascii="Calibri" w:hAnsi="Calibri" w:cs="Calibri"/>
          <w:noProof/>
          <w:szCs w:val="24"/>
        </w:rPr>
        <w:t>[15]</w:t>
      </w:r>
      <w:r w:rsidRPr="008244CA">
        <w:rPr>
          <w:rFonts w:ascii="Calibri" w:hAnsi="Calibri" w:cs="Calibri"/>
          <w:noProof/>
          <w:szCs w:val="24"/>
        </w:rPr>
        <w:tab/>
        <w:t>ISO/IEC, “ISO/IEC 27005:2018 Information technology — Security techniques — Information security,” vol. 3. p. 56, 2018.</w:t>
      </w:r>
    </w:p>
    <w:p w14:paraId="2FB8B0B6"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szCs w:val="24"/>
        </w:rPr>
      </w:pPr>
      <w:r w:rsidRPr="008244CA">
        <w:rPr>
          <w:rFonts w:ascii="Calibri" w:hAnsi="Calibri" w:cs="Calibri"/>
          <w:noProof/>
          <w:szCs w:val="24"/>
        </w:rPr>
        <w:t>[16]</w:t>
      </w:r>
      <w:r w:rsidRPr="008244CA">
        <w:rPr>
          <w:rFonts w:ascii="Calibri" w:hAnsi="Calibri" w:cs="Calibri"/>
          <w:noProof/>
          <w:szCs w:val="24"/>
        </w:rPr>
        <w:tab/>
        <w:t xml:space="preserve">ISO/IEC, “ISO 27006Security Techniques,” </w:t>
      </w:r>
      <w:r w:rsidRPr="008244CA">
        <w:rPr>
          <w:rFonts w:ascii="Calibri" w:hAnsi="Calibri" w:cs="Calibri"/>
          <w:i/>
          <w:iCs/>
          <w:noProof/>
          <w:szCs w:val="24"/>
        </w:rPr>
        <w:t>Standards</w:t>
      </w:r>
      <w:r w:rsidRPr="008244CA">
        <w:rPr>
          <w:rFonts w:ascii="Calibri" w:hAnsi="Calibri" w:cs="Calibri"/>
          <w:noProof/>
          <w:szCs w:val="24"/>
        </w:rPr>
        <w:t>, vol. 2007. 2007.</w:t>
      </w:r>
    </w:p>
    <w:p w14:paraId="5B60138D" w14:textId="77777777" w:rsidR="008244CA" w:rsidRPr="008244CA" w:rsidRDefault="008244CA" w:rsidP="008244CA">
      <w:pPr>
        <w:widowControl w:val="0"/>
        <w:autoSpaceDE w:val="0"/>
        <w:autoSpaceDN w:val="0"/>
        <w:adjustRightInd w:val="0"/>
        <w:spacing w:line="240" w:lineRule="auto"/>
        <w:ind w:left="640" w:hanging="640"/>
        <w:rPr>
          <w:rFonts w:ascii="Calibri" w:hAnsi="Calibri" w:cs="Calibri"/>
          <w:noProof/>
        </w:rPr>
      </w:pPr>
      <w:r w:rsidRPr="008244CA">
        <w:rPr>
          <w:rFonts w:ascii="Calibri" w:hAnsi="Calibri" w:cs="Calibri"/>
          <w:noProof/>
          <w:szCs w:val="24"/>
        </w:rPr>
        <w:t>[17]</w:t>
      </w:r>
      <w:r w:rsidRPr="008244CA">
        <w:rPr>
          <w:rFonts w:ascii="Calibri" w:hAnsi="Calibri" w:cs="Calibri"/>
          <w:noProof/>
          <w:szCs w:val="24"/>
        </w:rPr>
        <w:tab/>
        <w:t>BSI Standards Publication, “PD ISO / IEC TR 27008 : 2011 BSI Standards Publication Information Technology — Security techniques — Guidlines for auditors on information security controls,” 2011.</w:t>
      </w:r>
    </w:p>
    <w:p w14:paraId="27EC1379" w14:textId="77777777" w:rsidR="008B2FC2" w:rsidRDefault="00327D4B" w:rsidP="00327D4B">
      <w:pPr>
        <w:sectPr w:rsidR="008B2FC2" w:rsidSect="008E1EC2">
          <w:footerReference w:type="default" r:id="rId14"/>
          <w:pgSz w:w="11906" w:h="16838"/>
          <w:pgMar w:top="1440" w:right="1440" w:bottom="1440" w:left="1440" w:header="624" w:footer="0" w:gutter="0"/>
          <w:pgNumType w:chapSep="emDash"/>
          <w:cols w:space="708"/>
          <w:docGrid w:linePitch="360"/>
        </w:sectPr>
      </w:pPr>
      <w:r>
        <w:fldChar w:fldCharType="end"/>
      </w:r>
    </w:p>
    <w:p w14:paraId="26B3C221" w14:textId="77777777" w:rsidR="008B2FC2" w:rsidRPr="008B2FC2" w:rsidRDefault="008B2FC2" w:rsidP="008B2FC2">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8B2FC2" w:rsidRPr="008B2FC2" w14:paraId="69C9E2B7" w14:textId="77777777" w:rsidTr="00C34806">
        <w:trPr>
          <w:jc w:val="center"/>
        </w:trPr>
        <w:tc>
          <w:tcPr>
            <w:tcW w:w="10670" w:type="dxa"/>
            <w:shd w:val="clear" w:color="auto" w:fill="BFBFBF"/>
          </w:tcPr>
          <w:p w14:paraId="592B362B" w14:textId="77777777" w:rsidR="008B2FC2" w:rsidRPr="008B2FC2" w:rsidRDefault="008B2FC2" w:rsidP="008B2FC2">
            <w:pPr>
              <w:spacing w:after="0" w:line="240" w:lineRule="auto"/>
              <w:rPr>
                <w:rFonts w:ascii="Times New Roman" w:eastAsia="Times New Roman" w:hAnsi="Times New Roman" w:cs="Times New Roman"/>
                <w:sz w:val="20"/>
                <w:szCs w:val="20"/>
                <w:lang w:eastAsia="en-GB"/>
              </w:rPr>
            </w:pPr>
            <w:r w:rsidRPr="008B2FC2">
              <w:rPr>
                <w:rFonts w:ascii="Times New Roman" w:eastAsia="Times New Roman" w:hAnsi="Times New Roman" w:cs="Times New Roman"/>
                <w:sz w:val="32"/>
                <w:szCs w:val="32"/>
                <w:lang w:eastAsia="en-GB"/>
              </w:rPr>
              <w:br w:type="page"/>
            </w:r>
            <w:r w:rsidRPr="008B2FC2">
              <w:rPr>
                <w:rFonts w:ascii="Calibri" w:eastAsia="Times New Roman" w:hAnsi="Calibri" w:cs="Arial"/>
                <w:b/>
                <w:caps/>
                <w:sz w:val="40"/>
                <w:szCs w:val="20"/>
                <w:lang w:eastAsia="en-GB"/>
              </w:rPr>
              <w:t xml:space="preserve">                 marking criteria and Student FEEDBACK</w:t>
            </w:r>
          </w:p>
        </w:tc>
      </w:tr>
    </w:tbl>
    <w:p w14:paraId="010B712F" w14:textId="77777777" w:rsidR="008B2FC2" w:rsidRPr="008B2FC2" w:rsidRDefault="008B2FC2" w:rsidP="008B2FC2">
      <w:pPr>
        <w:spacing w:after="0" w:line="240" w:lineRule="auto"/>
        <w:rPr>
          <w:rFonts w:ascii="Times New Roman" w:eastAsia="Times New Roman" w:hAnsi="Times New Roman" w:cs="Times New Roman"/>
          <w:sz w:val="16"/>
          <w:szCs w:val="20"/>
          <w:lang w:eastAsia="en-GB"/>
        </w:rPr>
      </w:pPr>
    </w:p>
    <w:p w14:paraId="2F01BE5D" w14:textId="77777777" w:rsidR="008B2FC2" w:rsidRPr="008B2FC2" w:rsidRDefault="008B2FC2" w:rsidP="008B2FC2">
      <w:pPr>
        <w:spacing w:after="0" w:line="240" w:lineRule="auto"/>
        <w:jc w:val="both"/>
        <w:rPr>
          <w:rFonts w:ascii="Calibri" w:eastAsia="Times New Roman" w:hAnsi="Calibri" w:cs="Times New Roman"/>
          <w:sz w:val="20"/>
          <w:szCs w:val="20"/>
        </w:rPr>
      </w:pPr>
      <w:r w:rsidRPr="008B2FC2">
        <w:rPr>
          <w:rFonts w:ascii="Calibri" w:eastAsia="Times New Roman" w:hAnsi="Calibri" w:cs="Times New Roman"/>
          <w:sz w:val="20"/>
          <w:szCs w:val="20"/>
        </w:rPr>
        <w:t xml:space="preserve">This section details the assessment criteria. The </w:t>
      </w:r>
      <w:r w:rsidRPr="008B2FC2">
        <w:rPr>
          <w:rFonts w:ascii="Calibri" w:eastAsia="Times New Roman" w:hAnsi="Calibri" w:cs="Times New Roman"/>
          <w:i/>
          <w:sz w:val="20"/>
          <w:szCs w:val="20"/>
        </w:rPr>
        <w:t>extent</w:t>
      </w:r>
      <w:r w:rsidRPr="008B2FC2">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0F0C8A8" w14:textId="77777777" w:rsidR="008B2FC2" w:rsidRPr="008B2FC2" w:rsidRDefault="008B2FC2" w:rsidP="008B2FC2">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8B2FC2" w:rsidRPr="008B2FC2" w14:paraId="74C2F946" w14:textId="77777777" w:rsidTr="00C3480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604EB653" w14:textId="77777777" w:rsidR="008B2FC2" w:rsidRPr="008B2FC2" w:rsidRDefault="008B2FC2" w:rsidP="008B2FC2">
            <w:pPr>
              <w:spacing w:after="0" w:line="240" w:lineRule="auto"/>
              <w:rPr>
                <w:rFonts w:ascii="Calibri" w:eastAsia="Times New Roman" w:hAnsi="Calibri" w:cs="Times New Roman"/>
                <w:b/>
                <w:szCs w:val="20"/>
                <w:lang w:eastAsia="en-GB"/>
              </w:rPr>
            </w:pPr>
            <w:r w:rsidRPr="008B2FC2">
              <w:rPr>
                <w:rFonts w:ascii="Calibri" w:eastAsia="Times New Roman" w:hAnsi="Calibri" w:cs="Times New Roman"/>
                <w:b/>
                <w:szCs w:val="16"/>
                <w:lang w:eastAsia="en-GB"/>
              </w:rPr>
              <w:t xml:space="preserve">Common Assessment Criteria </w:t>
            </w:r>
            <w:r w:rsidRPr="008B2FC2">
              <w:rPr>
                <w:rFonts w:ascii="Calibri" w:eastAsia="Times New Roman" w:hAnsi="Calibri" w:cs="Times New Roman"/>
                <w:b/>
                <w:szCs w:val="20"/>
                <w:lang w:eastAsia="en-GB"/>
              </w:rPr>
              <w:t xml:space="preserve">Applied </w:t>
            </w:r>
            <w:bookmarkStart w:id="17" w:name="assessmentComponent"/>
            <w:bookmarkEnd w:id="17"/>
            <w:r w:rsidRPr="008B2FC2">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6B575EE" w14:textId="77777777" w:rsidR="008B2FC2" w:rsidRPr="008B2FC2" w:rsidRDefault="008B2FC2" w:rsidP="008B2FC2">
            <w:pPr>
              <w:spacing w:after="0" w:line="240" w:lineRule="auto"/>
              <w:ind w:left="34" w:right="113"/>
              <w:jc w:val="center"/>
              <w:rPr>
                <w:rFonts w:ascii="Calibri" w:eastAsia="Times New Roman" w:hAnsi="Calibri" w:cs="Times New Roman"/>
                <w:b/>
                <w:sz w:val="14"/>
                <w:szCs w:val="14"/>
                <w:lang w:eastAsia="en-GB"/>
              </w:rPr>
            </w:pPr>
            <w:r w:rsidRPr="008B2FC2">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A79F4E4" w14:textId="77777777" w:rsidR="008B2FC2" w:rsidRPr="008B2FC2" w:rsidRDefault="008B2FC2" w:rsidP="008B2FC2">
            <w:pPr>
              <w:spacing w:after="0" w:line="240" w:lineRule="auto"/>
              <w:ind w:left="113" w:right="113"/>
              <w:jc w:val="center"/>
              <w:rPr>
                <w:rFonts w:ascii="Calibri" w:eastAsia="Times New Roman" w:hAnsi="Calibri" w:cs="Times New Roman"/>
                <w:b/>
                <w:sz w:val="14"/>
                <w:szCs w:val="14"/>
                <w:lang w:eastAsia="en-GB"/>
              </w:rPr>
            </w:pPr>
            <w:r w:rsidRPr="008B2FC2">
              <w:rPr>
                <w:rFonts w:ascii="Calibri" w:eastAsia="Times New Roman" w:hAnsi="Calibri" w:cs="Times New Roman"/>
                <w:b/>
                <w:sz w:val="14"/>
                <w:szCs w:val="14"/>
                <w:lang w:eastAsia="en-GB"/>
              </w:rPr>
              <w:t xml:space="preserve">Marks </w:t>
            </w:r>
          </w:p>
          <w:p w14:paraId="73B4A8F7" w14:textId="77777777" w:rsidR="008B2FC2" w:rsidRPr="008B2FC2" w:rsidRDefault="008B2FC2" w:rsidP="008B2FC2">
            <w:pPr>
              <w:spacing w:after="0" w:line="240" w:lineRule="auto"/>
              <w:ind w:left="113" w:right="113"/>
              <w:jc w:val="center"/>
              <w:rPr>
                <w:rFonts w:ascii="Calibri" w:eastAsia="Times New Roman" w:hAnsi="Calibri" w:cs="Times New Roman"/>
                <w:b/>
                <w:sz w:val="14"/>
                <w:szCs w:val="14"/>
                <w:lang w:eastAsia="en-GB"/>
              </w:rPr>
            </w:pPr>
            <w:r w:rsidRPr="008B2FC2">
              <w:rPr>
                <w:rFonts w:ascii="Calibri" w:eastAsia="Times New Roman" w:hAnsi="Calibri" w:cs="Times New Roman"/>
                <w:b/>
                <w:sz w:val="14"/>
                <w:szCs w:val="14"/>
                <w:lang w:eastAsia="en-GB"/>
              </w:rPr>
              <w:t>awarded</w:t>
            </w:r>
          </w:p>
        </w:tc>
      </w:tr>
      <w:tr w:rsidR="008B2FC2" w:rsidRPr="008B2FC2" w14:paraId="1180DA66" w14:textId="77777777" w:rsidTr="00C34806">
        <w:trPr>
          <w:trHeight w:val="450"/>
        </w:trPr>
        <w:tc>
          <w:tcPr>
            <w:tcW w:w="4435" w:type="pct"/>
            <w:tcBorders>
              <w:top w:val="single" w:sz="4" w:space="0" w:color="auto"/>
              <w:left w:val="single" w:sz="4" w:space="0" w:color="auto"/>
              <w:right w:val="single" w:sz="4" w:space="0" w:color="auto"/>
            </w:tcBorders>
            <w:shd w:val="clear" w:color="auto" w:fill="D9D9D9"/>
          </w:tcPr>
          <w:p w14:paraId="76E1E1D8" w14:textId="77777777" w:rsidR="008B2FC2" w:rsidRPr="008B2FC2" w:rsidRDefault="008B2FC2" w:rsidP="008B2FC2">
            <w:pPr>
              <w:spacing w:after="0" w:line="240" w:lineRule="auto"/>
              <w:rPr>
                <w:rFonts w:ascii="Calibri" w:eastAsia="Times New Roman" w:hAnsi="Calibri" w:cs="Times New Roman"/>
                <w:b/>
                <w:sz w:val="16"/>
                <w:szCs w:val="16"/>
                <w:lang w:eastAsia="en-GB"/>
              </w:rPr>
            </w:pPr>
            <w:r w:rsidRPr="008B2FC2">
              <w:rPr>
                <w:rFonts w:ascii="Calibri" w:eastAsia="Times New Roman" w:hAnsi="Calibri" w:cs="Times New Roman"/>
                <w:b/>
                <w:sz w:val="20"/>
                <w:szCs w:val="16"/>
                <w:lang w:eastAsia="en-GB"/>
              </w:rPr>
              <w:t>1. E</w:t>
            </w:r>
            <w:r w:rsidRPr="008B2FC2">
              <w:rPr>
                <w:rFonts w:ascii="Calibri" w:eastAsia="Times New Roman" w:hAnsi="Calibri" w:cs="Times New Roman"/>
                <w:b/>
                <w:sz w:val="20"/>
                <w:szCs w:val="20"/>
                <w:lang w:eastAsia="en-GB"/>
              </w:rPr>
              <w:t>ngagement with Literature Skills</w:t>
            </w:r>
          </w:p>
          <w:p w14:paraId="52A21F91" w14:textId="77777777" w:rsidR="008B2FC2" w:rsidRPr="008B2FC2" w:rsidRDefault="008B2FC2" w:rsidP="008B2FC2">
            <w:pPr>
              <w:spacing w:after="120" w:line="240" w:lineRule="auto"/>
              <w:rPr>
                <w:rFonts w:ascii="Calibri" w:eastAsia="Times New Roman" w:hAnsi="Calibri" w:cs="Times New Roman"/>
                <w:sz w:val="14"/>
                <w:szCs w:val="14"/>
                <w:lang w:eastAsia="en-GB"/>
              </w:rPr>
            </w:pPr>
            <w:r w:rsidRPr="008B2FC2">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0A1E082" w14:textId="77777777" w:rsidR="008B2FC2" w:rsidRPr="008B2FC2" w:rsidRDefault="008B2FC2" w:rsidP="008B2FC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D2EA51B" w14:textId="77777777" w:rsidR="008B2FC2" w:rsidRPr="008B2FC2" w:rsidRDefault="008B2FC2" w:rsidP="008B2FC2">
            <w:pPr>
              <w:spacing w:after="0" w:line="240" w:lineRule="auto"/>
              <w:jc w:val="center"/>
              <w:rPr>
                <w:rFonts w:ascii="Calibri" w:eastAsia="Times New Roman" w:hAnsi="Calibri" w:cs="Times New Roman"/>
                <w:sz w:val="32"/>
                <w:szCs w:val="20"/>
                <w:lang w:eastAsia="en-GB"/>
              </w:rPr>
            </w:pPr>
          </w:p>
        </w:tc>
      </w:tr>
      <w:tr w:rsidR="008B2FC2" w:rsidRPr="008B2FC2" w14:paraId="440A66AC" w14:textId="77777777" w:rsidTr="00C34806">
        <w:trPr>
          <w:trHeight w:val="450"/>
        </w:trPr>
        <w:tc>
          <w:tcPr>
            <w:tcW w:w="4435" w:type="pct"/>
            <w:vMerge w:val="restart"/>
            <w:tcBorders>
              <w:top w:val="single" w:sz="4" w:space="0" w:color="auto"/>
              <w:left w:val="single" w:sz="4" w:space="0" w:color="auto"/>
              <w:right w:val="single" w:sz="4" w:space="0" w:color="auto"/>
            </w:tcBorders>
          </w:tcPr>
          <w:p w14:paraId="17472983" w14:textId="4B727F4C" w:rsidR="008B2FC2" w:rsidRPr="008B2FC2" w:rsidRDefault="008B2FC2" w:rsidP="008B2FC2">
            <w:pPr>
              <w:spacing w:after="120" w:line="240" w:lineRule="auto"/>
              <w:rPr>
                <w:rFonts w:ascii="Calibri" w:eastAsia="Times New Roman" w:hAnsi="Calibri" w:cs="Times New Roman"/>
                <w:sz w:val="20"/>
                <w:szCs w:val="14"/>
                <w:lang w:eastAsia="en-GB"/>
              </w:rPr>
            </w:pPr>
            <w:bookmarkStart w:id="18" w:name="feedbackRIL"/>
            <w:bookmarkEnd w:id="18"/>
            <w:r w:rsidRPr="008B2FC2">
              <w:rPr>
                <w:rFonts w:ascii="Calibri" w:eastAsia="Times New Roman" w:hAnsi="Calibri" w:cs="Times New Roman"/>
                <w:sz w:val="20"/>
                <w:szCs w:val="14"/>
                <w:lang w:eastAsia="en-GB"/>
              </w:rPr>
              <w:t>You have discussed appropriated framework and model using the appropriated referencing convention, sources and materials.  (Grade mark: 66.67%)</w:t>
            </w:r>
          </w:p>
        </w:tc>
        <w:tc>
          <w:tcPr>
            <w:tcW w:w="283" w:type="pct"/>
            <w:tcBorders>
              <w:top w:val="single" w:sz="4" w:space="0" w:color="auto"/>
              <w:left w:val="single" w:sz="4" w:space="0" w:color="auto"/>
              <w:right w:val="single" w:sz="4" w:space="0" w:color="auto"/>
            </w:tcBorders>
          </w:tcPr>
          <w:p w14:paraId="201051BF" w14:textId="77777777" w:rsidR="008B2FC2" w:rsidRPr="008B2FC2" w:rsidRDefault="008B2FC2" w:rsidP="008B2FC2">
            <w:pPr>
              <w:spacing w:after="0" w:line="240" w:lineRule="auto"/>
              <w:jc w:val="center"/>
              <w:rPr>
                <w:rFonts w:ascii="Calibri" w:eastAsia="Times New Roman" w:hAnsi="Calibri" w:cs="Times New Roman"/>
                <w:sz w:val="20"/>
                <w:szCs w:val="20"/>
                <w:lang w:eastAsia="en-GB"/>
              </w:rPr>
            </w:pPr>
            <w:bookmarkStart w:id="19" w:name="totalRIL"/>
            <w:bookmarkEnd w:id="19"/>
            <w:r w:rsidRPr="008B2FC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D1CC6FB" w14:textId="77777777" w:rsidR="008B2FC2" w:rsidRPr="008B2FC2" w:rsidRDefault="008B2FC2" w:rsidP="008B2FC2">
            <w:pPr>
              <w:spacing w:after="0" w:line="240" w:lineRule="auto"/>
              <w:jc w:val="center"/>
              <w:rPr>
                <w:rFonts w:ascii="Calibri" w:eastAsia="Times New Roman" w:hAnsi="Calibri" w:cs="Times New Roman"/>
                <w:sz w:val="20"/>
                <w:szCs w:val="20"/>
                <w:lang w:eastAsia="en-GB"/>
              </w:rPr>
            </w:pPr>
            <w:bookmarkStart w:id="20" w:name="markRIL"/>
            <w:bookmarkEnd w:id="20"/>
            <w:r w:rsidRPr="008B2FC2">
              <w:rPr>
                <w:rFonts w:ascii="Calibri" w:eastAsia="Times New Roman" w:hAnsi="Calibri" w:cs="Times New Roman"/>
                <w:sz w:val="20"/>
                <w:szCs w:val="20"/>
                <w:lang w:eastAsia="en-GB"/>
              </w:rPr>
              <w:t>10</w:t>
            </w:r>
          </w:p>
        </w:tc>
      </w:tr>
      <w:tr w:rsidR="008B2FC2" w:rsidRPr="008B2FC2" w14:paraId="2108B4B7" w14:textId="77777777" w:rsidTr="00C34806">
        <w:trPr>
          <w:trHeight w:val="451"/>
        </w:trPr>
        <w:tc>
          <w:tcPr>
            <w:tcW w:w="4435" w:type="pct"/>
            <w:vMerge/>
            <w:tcBorders>
              <w:left w:val="single" w:sz="4" w:space="0" w:color="auto"/>
              <w:bottom w:val="single" w:sz="4" w:space="0" w:color="auto"/>
              <w:right w:val="single" w:sz="4" w:space="0" w:color="auto"/>
            </w:tcBorders>
          </w:tcPr>
          <w:p w14:paraId="5E11A601" w14:textId="77777777" w:rsidR="008B2FC2" w:rsidRPr="008B2FC2" w:rsidRDefault="008B2FC2" w:rsidP="008B2FC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661A662D" w14:textId="77777777" w:rsidR="008B2FC2" w:rsidRPr="008B2FC2" w:rsidRDefault="008B2FC2" w:rsidP="008B2FC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DCEC92E" w14:textId="77777777" w:rsidR="008B2FC2" w:rsidRPr="008B2FC2" w:rsidRDefault="008B2FC2" w:rsidP="008B2FC2">
            <w:pPr>
              <w:spacing w:after="0" w:line="240" w:lineRule="auto"/>
              <w:jc w:val="center"/>
              <w:rPr>
                <w:rFonts w:ascii="Calibri" w:eastAsia="Times New Roman" w:hAnsi="Calibri" w:cs="Times New Roman"/>
                <w:sz w:val="32"/>
                <w:szCs w:val="20"/>
                <w:lang w:eastAsia="en-GB"/>
              </w:rPr>
            </w:pPr>
          </w:p>
        </w:tc>
      </w:tr>
      <w:tr w:rsidR="008B2FC2" w:rsidRPr="008B2FC2" w14:paraId="19D2CB11" w14:textId="77777777" w:rsidTr="00C34806">
        <w:trPr>
          <w:trHeight w:val="450"/>
        </w:trPr>
        <w:tc>
          <w:tcPr>
            <w:tcW w:w="4435" w:type="pct"/>
            <w:tcBorders>
              <w:top w:val="single" w:sz="4" w:space="0" w:color="auto"/>
              <w:left w:val="single" w:sz="4" w:space="0" w:color="auto"/>
              <w:right w:val="single" w:sz="4" w:space="0" w:color="auto"/>
            </w:tcBorders>
            <w:shd w:val="clear" w:color="auto" w:fill="D9D9D9"/>
          </w:tcPr>
          <w:p w14:paraId="6609A380" w14:textId="77777777" w:rsidR="008B2FC2" w:rsidRPr="008B2FC2" w:rsidRDefault="008B2FC2" w:rsidP="008B2FC2">
            <w:pPr>
              <w:spacing w:after="0" w:line="240" w:lineRule="auto"/>
              <w:rPr>
                <w:rFonts w:ascii="Calibri" w:eastAsia="Times New Roman" w:hAnsi="Calibri" w:cs="Times New Roman"/>
                <w:b/>
                <w:sz w:val="20"/>
                <w:szCs w:val="20"/>
                <w:lang w:eastAsia="en-GB"/>
              </w:rPr>
            </w:pPr>
            <w:r w:rsidRPr="008B2FC2">
              <w:rPr>
                <w:rFonts w:ascii="Calibri" w:eastAsia="Times New Roman" w:hAnsi="Calibri" w:cs="Times New Roman"/>
                <w:b/>
                <w:sz w:val="20"/>
                <w:szCs w:val="16"/>
                <w:lang w:eastAsia="en-GB"/>
              </w:rPr>
              <w:t xml:space="preserve">2. </w:t>
            </w:r>
            <w:r w:rsidRPr="008B2FC2">
              <w:rPr>
                <w:rFonts w:ascii="Calibri" w:eastAsia="Times New Roman" w:hAnsi="Calibri" w:cs="Times New Roman"/>
                <w:b/>
                <w:sz w:val="20"/>
                <w:szCs w:val="20"/>
                <w:lang w:eastAsia="en-GB"/>
              </w:rPr>
              <w:t>Knowledge and Understanding Skills</w:t>
            </w:r>
          </w:p>
          <w:p w14:paraId="1AD2493B" w14:textId="77777777" w:rsidR="008B2FC2" w:rsidRPr="008B2FC2" w:rsidRDefault="008B2FC2" w:rsidP="008B2FC2">
            <w:pPr>
              <w:spacing w:after="120" w:line="240" w:lineRule="auto"/>
              <w:rPr>
                <w:rFonts w:ascii="Calibri" w:eastAsia="Times New Roman" w:hAnsi="Calibri" w:cs="Times New Roman"/>
                <w:sz w:val="14"/>
                <w:szCs w:val="14"/>
                <w:lang w:eastAsia="en-GB"/>
              </w:rPr>
            </w:pPr>
            <w:r w:rsidRPr="008B2FC2">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0502D36" w14:textId="77777777" w:rsidR="008B2FC2" w:rsidRPr="008B2FC2" w:rsidRDefault="008B2FC2" w:rsidP="008B2FC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E31CBF" w14:textId="77777777" w:rsidR="008B2FC2" w:rsidRPr="008B2FC2" w:rsidRDefault="008B2FC2" w:rsidP="008B2FC2">
            <w:pPr>
              <w:spacing w:after="0" w:line="240" w:lineRule="auto"/>
              <w:jc w:val="center"/>
              <w:rPr>
                <w:rFonts w:ascii="Calibri" w:eastAsia="Times New Roman" w:hAnsi="Calibri" w:cs="Times New Roman"/>
                <w:sz w:val="32"/>
                <w:szCs w:val="20"/>
                <w:lang w:eastAsia="en-GB"/>
              </w:rPr>
            </w:pPr>
          </w:p>
        </w:tc>
      </w:tr>
      <w:tr w:rsidR="008B2FC2" w:rsidRPr="008B2FC2" w14:paraId="3D506265" w14:textId="77777777" w:rsidTr="00C34806">
        <w:trPr>
          <w:trHeight w:val="450"/>
        </w:trPr>
        <w:tc>
          <w:tcPr>
            <w:tcW w:w="4435" w:type="pct"/>
            <w:vMerge w:val="restart"/>
            <w:tcBorders>
              <w:top w:val="single" w:sz="4" w:space="0" w:color="auto"/>
              <w:left w:val="single" w:sz="4" w:space="0" w:color="auto"/>
              <w:right w:val="single" w:sz="4" w:space="0" w:color="auto"/>
            </w:tcBorders>
          </w:tcPr>
          <w:p w14:paraId="46C5126F" w14:textId="028A627A" w:rsidR="008B2FC2" w:rsidRPr="008B2FC2" w:rsidRDefault="008B2FC2" w:rsidP="008B2FC2">
            <w:pPr>
              <w:spacing w:after="120" w:line="240" w:lineRule="auto"/>
              <w:rPr>
                <w:rFonts w:ascii="Calibri" w:eastAsia="Times New Roman" w:hAnsi="Calibri" w:cs="Times New Roman"/>
                <w:sz w:val="20"/>
                <w:szCs w:val="14"/>
                <w:lang w:eastAsia="en-GB"/>
              </w:rPr>
            </w:pPr>
            <w:bookmarkStart w:id="21" w:name="feedbackKUS"/>
            <w:bookmarkEnd w:id="21"/>
            <w:r w:rsidRPr="008B2FC2">
              <w:rPr>
                <w:rFonts w:ascii="Calibri" w:eastAsia="Times New Roman" w:hAnsi="Calibri" w:cs="Times New Roman"/>
                <w:sz w:val="20"/>
                <w:szCs w:val="14"/>
                <w:lang w:eastAsia="en-GB"/>
              </w:rPr>
              <w:t xml:space="preserve">You have demonstrated appropriate understanding of the concepts. You have </w:t>
            </w:r>
            <w:r w:rsidRPr="008B2FC2">
              <w:rPr>
                <w:rFonts w:ascii="Calibri" w:eastAsia="Times New Roman" w:hAnsi="Calibri" w:cs="Times New Roman"/>
                <w:sz w:val="20"/>
                <w:szCs w:val="14"/>
                <w:lang w:eastAsia="en-GB"/>
              </w:rPr>
              <w:t>discussed research</w:t>
            </w:r>
            <w:r w:rsidRPr="008B2FC2">
              <w:rPr>
                <w:rFonts w:ascii="Calibri" w:eastAsia="Times New Roman" w:hAnsi="Calibri" w:cs="Times New Roman"/>
                <w:sz w:val="20"/>
                <w:szCs w:val="14"/>
                <w:lang w:eastAsia="en-GB"/>
              </w:rPr>
              <w:t xml:space="preserve"> aspect. (Grade mark: 66.67%)</w:t>
            </w:r>
          </w:p>
        </w:tc>
        <w:tc>
          <w:tcPr>
            <w:tcW w:w="283" w:type="pct"/>
            <w:tcBorders>
              <w:top w:val="single" w:sz="4" w:space="0" w:color="auto"/>
              <w:left w:val="single" w:sz="4" w:space="0" w:color="auto"/>
              <w:right w:val="single" w:sz="4" w:space="0" w:color="auto"/>
            </w:tcBorders>
          </w:tcPr>
          <w:p w14:paraId="1160FC33" w14:textId="77777777" w:rsidR="008B2FC2" w:rsidRPr="008B2FC2" w:rsidRDefault="008B2FC2" w:rsidP="008B2FC2">
            <w:pPr>
              <w:spacing w:after="0" w:line="240" w:lineRule="auto"/>
              <w:jc w:val="center"/>
              <w:rPr>
                <w:rFonts w:ascii="Calibri" w:eastAsia="Times New Roman" w:hAnsi="Calibri" w:cs="Times New Roman"/>
                <w:sz w:val="20"/>
                <w:szCs w:val="20"/>
                <w:lang w:eastAsia="en-GB"/>
              </w:rPr>
            </w:pPr>
            <w:bookmarkStart w:id="22" w:name="totalKUS"/>
            <w:bookmarkEnd w:id="22"/>
            <w:r w:rsidRPr="008B2FC2">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50B7FC21" w14:textId="77777777" w:rsidR="008B2FC2" w:rsidRPr="008B2FC2" w:rsidRDefault="008B2FC2" w:rsidP="008B2FC2">
            <w:pPr>
              <w:spacing w:after="0" w:line="240" w:lineRule="auto"/>
              <w:jc w:val="center"/>
              <w:rPr>
                <w:rFonts w:ascii="Calibri" w:eastAsia="Times New Roman" w:hAnsi="Calibri" w:cs="Times New Roman"/>
                <w:sz w:val="20"/>
                <w:szCs w:val="20"/>
                <w:lang w:eastAsia="en-GB"/>
              </w:rPr>
            </w:pPr>
            <w:bookmarkStart w:id="23" w:name="markKUS"/>
            <w:bookmarkEnd w:id="23"/>
            <w:r w:rsidRPr="008B2FC2">
              <w:rPr>
                <w:rFonts w:ascii="Calibri" w:eastAsia="Times New Roman" w:hAnsi="Calibri" w:cs="Times New Roman"/>
                <w:sz w:val="20"/>
                <w:szCs w:val="20"/>
                <w:lang w:eastAsia="en-GB"/>
              </w:rPr>
              <w:t>10</w:t>
            </w:r>
          </w:p>
        </w:tc>
      </w:tr>
      <w:tr w:rsidR="008B2FC2" w:rsidRPr="008B2FC2" w14:paraId="6D58EDCD" w14:textId="77777777" w:rsidTr="00C34806">
        <w:trPr>
          <w:trHeight w:val="451"/>
        </w:trPr>
        <w:tc>
          <w:tcPr>
            <w:tcW w:w="4435" w:type="pct"/>
            <w:vMerge/>
            <w:tcBorders>
              <w:left w:val="single" w:sz="4" w:space="0" w:color="auto"/>
              <w:bottom w:val="single" w:sz="4" w:space="0" w:color="auto"/>
              <w:right w:val="single" w:sz="4" w:space="0" w:color="auto"/>
            </w:tcBorders>
          </w:tcPr>
          <w:p w14:paraId="4FDB7F74" w14:textId="77777777" w:rsidR="008B2FC2" w:rsidRPr="008B2FC2" w:rsidRDefault="008B2FC2" w:rsidP="008B2FC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2B558E9" w14:textId="77777777" w:rsidR="008B2FC2" w:rsidRPr="008B2FC2" w:rsidRDefault="008B2FC2" w:rsidP="008B2FC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220BF54" w14:textId="77777777" w:rsidR="008B2FC2" w:rsidRPr="008B2FC2" w:rsidRDefault="008B2FC2" w:rsidP="008B2FC2">
            <w:pPr>
              <w:spacing w:after="0" w:line="240" w:lineRule="auto"/>
              <w:jc w:val="center"/>
              <w:rPr>
                <w:rFonts w:ascii="Calibri" w:eastAsia="Times New Roman" w:hAnsi="Calibri" w:cs="Times New Roman"/>
                <w:sz w:val="32"/>
                <w:szCs w:val="20"/>
                <w:lang w:eastAsia="en-GB"/>
              </w:rPr>
            </w:pPr>
          </w:p>
        </w:tc>
      </w:tr>
      <w:tr w:rsidR="008B2FC2" w:rsidRPr="008B2FC2" w14:paraId="6EF7066D" w14:textId="77777777" w:rsidTr="00C34806">
        <w:trPr>
          <w:trHeight w:val="450"/>
        </w:trPr>
        <w:tc>
          <w:tcPr>
            <w:tcW w:w="4435" w:type="pct"/>
            <w:tcBorders>
              <w:top w:val="single" w:sz="4" w:space="0" w:color="auto"/>
              <w:left w:val="single" w:sz="4" w:space="0" w:color="auto"/>
              <w:right w:val="single" w:sz="4" w:space="0" w:color="auto"/>
            </w:tcBorders>
            <w:shd w:val="clear" w:color="auto" w:fill="D9D9D9"/>
          </w:tcPr>
          <w:p w14:paraId="07A7CE15" w14:textId="77777777" w:rsidR="008B2FC2" w:rsidRPr="008B2FC2" w:rsidRDefault="008B2FC2" w:rsidP="008B2FC2">
            <w:pPr>
              <w:spacing w:after="0" w:line="240" w:lineRule="auto"/>
              <w:rPr>
                <w:rFonts w:ascii="Calibri" w:eastAsia="Times New Roman" w:hAnsi="Calibri" w:cs="Times New Roman"/>
                <w:b/>
                <w:sz w:val="16"/>
                <w:szCs w:val="16"/>
                <w:lang w:eastAsia="en-GB"/>
              </w:rPr>
            </w:pPr>
            <w:r w:rsidRPr="008B2FC2">
              <w:rPr>
                <w:rFonts w:ascii="Calibri" w:eastAsia="Times New Roman" w:hAnsi="Calibri" w:cs="Times New Roman"/>
                <w:b/>
                <w:sz w:val="20"/>
                <w:szCs w:val="16"/>
                <w:lang w:eastAsia="en-GB"/>
              </w:rPr>
              <w:t xml:space="preserve">3. </w:t>
            </w:r>
            <w:r w:rsidRPr="008B2FC2">
              <w:rPr>
                <w:rFonts w:ascii="Calibri" w:eastAsia="Times New Roman" w:hAnsi="Calibri" w:cs="Times New Roman"/>
                <w:b/>
                <w:sz w:val="20"/>
                <w:szCs w:val="20"/>
                <w:lang w:eastAsia="en-GB"/>
              </w:rPr>
              <w:t>Cognitive and Intellectual Skills</w:t>
            </w:r>
          </w:p>
          <w:p w14:paraId="4B99B1CD" w14:textId="77777777" w:rsidR="008B2FC2" w:rsidRPr="008B2FC2" w:rsidRDefault="008B2FC2" w:rsidP="008B2FC2">
            <w:pPr>
              <w:spacing w:after="120" w:line="240" w:lineRule="auto"/>
              <w:rPr>
                <w:rFonts w:ascii="Calibri" w:eastAsia="Times New Roman" w:hAnsi="Calibri" w:cs="Times New Roman"/>
                <w:sz w:val="14"/>
                <w:szCs w:val="14"/>
                <w:lang w:eastAsia="en-GB"/>
              </w:rPr>
            </w:pPr>
            <w:r w:rsidRPr="008B2FC2">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6246EBD3" w14:textId="77777777" w:rsidR="008B2FC2" w:rsidRPr="008B2FC2" w:rsidRDefault="008B2FC2" w:rsidP="008B2FC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5D1DC23" w14:textId="77777777" w:rsidR="008B2FC2" w:rsidRPr="008B2FC2" w:rsidRDefault="008B2FC2" w:rsidP="008B2FC2">
            <w:pPr>
              <w:spacing w:after="0" w:line="240" w:lineRule="auto"/>
              <w:jc w:val="center"/>
              <w:rPr>
                <w:rFonts w:ascii="Calibri" w:eastAsia="Times New Roman" w:hAnsi="Calibri" w:cs="Times New Roman"/>
                <w:sz w:val="32"/>
                <w:szCs w:val="20"/>
                <w:lang w:eastAsia="en-GB"/>
              </w:rPr>
            </w:pPr>
          </w:p>
        </w:tc>
      </w:tr>
      <w:tr w:rsidR="008B2FC2" w:rsidRPr="008B2FC2" w14:paraId="578F9ABE" w14:textId="77777777" w:rsidTr="00C34806">
        <w:trPr>
          <w:trHeight w:val="450"/>
        </w:trPr>
        <w:tc>
          <w:tcPr>
            <w:tcW w:w="4435" w:type="pct"/>
            <w:vMerge w:val="restart"/>
            <w:tcBorders>
              <w:top w:val="single" w:sz="4" w:space="0" w:color="auto"/>
              <w:left w:val="single" w:sz="4" w:space="0" w:color="auto"/>
              <w:right w:val="single" w:sz="4" w:space="0" w:color="auto"/>
            </w:tcBorders>
          </w:tcPr>
          <w:p w14:paraId="15BE6A07" w14:textId="1CFD9ED5" w:rsidR="008B2FC2" w:rsidRPr="008B2FC2" w:rsidRDefault="008B2FC2" w:rsidP="008B2FC2">
            <w:pPr>
              <w:spacing w:after="120" w:line="240" w:lineRule="auto"/>
              <w:rPr>
                <w:rFonts w:ascii="Calibri" w:eastAsia="Times New Roman" w:hAnsi="Calibri" w:cs="Times New Roman"/>
                <w:sz w:val="20"/>
                <w:szCs w:val="14"/>
                <w:lang w:eastAsia="en-GB"/>
              </w:rPr>
            </w:pPr>
            <w:bookmarkStart w:id="24" w:name="feedbackANA"/>
            <w:bookmarkEnd w:id="24"/>
            <w:r w:rsidRPr="008B2FC2">
              <w:rPr>
                <w:rFonts w:ascii="Calibri" w:eastAsia="Times New Roman" w:hAnsi="Calibri" w:cs="Times New Roman"/>
                <w:sz w:val="20"/>
                <w:szCs w:val="14"/>
                <w:lang w:eastAsia="en-GB"/>
              </w:rPr>
              <w:t xml:space="preserve">No introduction done. Your introduction should give a background to the work along with some general research information of the subject areas, followed by what the rest of the report will include.  The case study needs to be more critically analyse and evaluated based on your own design/approach security model/framework adapted for the company. The quality of and level of details not provided for the designs. (Grade mark: </w:t>
            </w:r>
            <w:r w:rsidR="001C5449">
              <w:rPr>
                <w:rFonts w:ascii="Calibri" w:eastAsia="Times New Roman" w:hAnsi="Calibri" w:cs="Times New Roman"/>
                <w:sz w:val="20"/>
                <w:szCs w:val="14"/>
                <w:lang w:eastAsia="en-GB"/>
              </w:rPr>
              <w:t>62</w:t>
            </w:r>
            <w:r w:rsidRPr="008B2FC2">
              <w:rPr>
                <w:rFonts w:ascii="Calibri" w:eastAsia="Times New Roman" w:hAnsi="Calibri" w:cs="Times New Roman"/>
                <w:sz w:val="20"/>
                <w:szCs w:val="14"/>
                <w:lang w:eastAsia="en-GB"/>
              </w:rPr>
              <w:t>.50%)</w:t>
            </w:r>
          </w:p>
        </w:tc>
        <w:tc>
          <w:tcPr>
            <w:tcW w:w="283" w:type="pct"/>
            <w:tcBorders>
              <w:top w:val="single" w:sz="4" w:space="0" w:color="auto"/>
              <w:left w:val="single" w:sz="4" w:space="0" w:color="auto"/>
              <w:right w:val="single" w:sz="4" w:space="0" w:color="auto"/>
            </w:tcBorders>
          </w:tcPr>
          <w:p w14:paraId="44F64DB5" w14:textId="77777777" w:rsidR="008B2FC2" w:rsidRPr="008B2FC2" w:rsidRDefault="008B2FC2" w:rsidP="008B2FC2">
            <w:pPr>
              <w:spacing w:after="0" w:line="240" w:lineRule="auto"/>
              <w:jc w:val="center"/>
              <w:rPr>
                <w:rFonts w:ascii="Calibri" w:eastAsia="Times New Roman" w:hAnsi="Calibri" w:cs="Times New Roman"/>
                <w:sz w:val="20"/>
                <w:szCs w:val="20"/>
                <w:lang w:eastAsia="en-GB"/>
              </w:rPr>
            </w:pPr>
            <w:bookmarkStart w:id="25" w:name="totalANA"/>
            <w:bookmarkEnd w:id="25"/>
            <w:r w:rsidRPr="008B2FC2">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380FF750" w14:textId="6B1BD92E" w:rsidR="008B2FC2" w:rsidRPr="008B2FC2" w:rsidRDefault="008B2FC2" w:rsidP="008B2FC2">
            <w:pPr>
              <w:spacing w:after="0" w:line="240" w:lineRule="auto"/>
              <w:jc w:val="center"/>
              <w:rPr>
                <w:rFonts w:ascii="Calibri" w:eastAsia="Times New Roman" w:hAnsi="Calibri" w:cs="Times New Roman"/>
                <w:sz w:val="20"/>
                <w:szCs w:val="20"/>
                <w:lang w:eastAsia="en-GB"/>
              </w:rPr>
            </w:pPr>
            <w:bookmarkStart w:id="26" w:name="markANA"/>
            <w:bookmarkEnd w:id="26"/>
            <w:r w:rsidRPr="008B2FC2">
              <w:rPr>
                <w:rFonts w:ascii="Calibri" w:eastAsia="Times New Roman" w:hAnsi="Calibri" w:cs="Times New Roman"/>
                <w:sz w:val="20"/>
                <w:szCs w:val="20"/>
                <w:lang w:eastAsia="en-GB"/>
              </w:rPr>
              <w:t>2</w:t>
            </w:r>
            <w:r w:rsidR="001C5449">
              <w:rPr>
                <w:rFonts w:ascii="Calibri" w:eastAsia="Times New Roman" w:hAnsi="Calibri" w:cs="Times New Roman"/>
                <w:sz w:val="20"/>
                <w:szCs w:val="20"/>
                <w:lang w:eastAsia="en-GB"/>
              </w:rPr>
              <w:t>5</w:t>
            </w:r>
          </w:p>
        </w:tc>
      </w:tr>
      <w:tr w:rsidR="008B2FC2" w:rsidRPr="008B2FC2" w14:paraId="46C1A2D4" w14:textId="77777777" w:rsidTr="00C34806">
        <w:trPr>
          <w:trHeight w:val="451"/>
        </w:trPr>
        <w:tc>
          <w:tcPr>
            <w:tcW w:w="4435" w:type="pct"/>
            <w:vMerge/>
            <w:tcBorders>
              <w:left w:val="single" w:sz="4" w:space="0" w:color="auto"/>
              <w:bottom w:val="single" w:sz="4" w:space="0" w:color="auto"/>
              <w:right w:val="single" w:sz="4" w:space="0" w:color="auto"/>
            </w:tcBorders>
          </w:tcPr>
          <w:p w14:paraId="3B304D54" w14:textId="77777777" w:rsidR="008B2FC2" w:rsidRPr="008B2FC2" w:rsidRDefault="008B2FC2" w:rsidP="008B2FC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7137558" w14:textId="77777777" w:rsidR="008B2FC2" w:rsidRPr="008B2FC2" w:rsidRDefault="008B2FC2" w:rsidP="008B2FC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089850A" w14:textId="77777777" w:rsidR="008B2FC2" w:rsidRPr="008B2FC2" w:rsidRDefault="008B2FC2" w:rsidP="008B2FC2">
            <w:pPr>
              <w:spacing w:after="0" w:line="240" w:lineRule="auto"/>
              <w:jc w:val="center"/>
              <w:rPr>
                <w:rFonts w:ascii="Calibri" w:eastAsia="Times New Roman" w:hAnsi="Calibri" w:cs="Times New Roman"/>
                <w:sz w:val="32"/>
                <w:szCs w:val="20"/>
                <w:lang w:eastAsia="en-GB"/>
              </w:rPr>
            </w:pPr>
          </w:p>
        </w:tc>
      </w:tr>
      <w:tr w:rsidR="008B2FC2" w:rsidRPr="008B2FC2" w14:paraId="565CBA4F" w14:textId="77777777" w:rsidTr="00C34806">
        <w:trPr>
          <w:trHeight w:val="450"/>
        </w:trPr>
        <w:tc>
          <w:tcPr>
            <w:tcW w:w="4435" w:type="pct"/>
            <w:tcBorders>
              <w:top w:val="single" w:sz="4" w:space="0" w:color="auto"/>
              <w:left w:val="single" w:sz="4" w:space="0" w:color="auto"/>
              <w:right w:val="single" w:sz="4" w:space="0" w:color="auto"/>
            </w:tcBorders>
            <w:shd w:val="clear" w:color="auto" w:fill="D9D9D9"/>
          </w:tcPr>
          <w:p w14:paraId="0D9082D3" w14:textId="77777777" w:rsidR="008B2FC2" w:rsidRPr="008B2FC2" w:rsidRDefault="008B2FC2" w:rsidP="008B2FC2">
            <w:pPr>
              <w:spacing w:after="0" w:line="240" w:lineRule="auto"/>
              <w:rPr>
                <w:rFonts w:ascii="Calibri" w:eastAsia="Times New Roman" w:hAnsi="Calibri" w:cs="Times New Roman"/>
                <w:b/>
                <w:sz w:val="16"/>
                <w:szCs w:val="16"/>
                <w:lang w:eastAsia="en-GB"/>
              </w:rPr>
            </w:pPr>
            <w:r w:rsidRPr="008B2FC2">
              <w:rPr>
                <w:rFonts w:ascii="Calibri" w:eastAsia="Times New Roman" w:hAnsi="Calibri" w:cs="Times New Roman"/>
                <w:b/>
                <w:sz w:val="20"/>
                <w:szCs w:val="16"/>
                <w:lang w:eastAsia="en-GB"/>
              </w:rPr>
              <w:t xml:space="preserve">4. </w:t>
            </w:r>
            <w:r w:rsidRPr="008B2FC2">
              <w:rPr>
                <w:rFonts w:ascii="Calibri" w:eastAsia="Times New Roman" w:hAnsi="Calibri" w:cs="Times New Roman"/>
                <w:b/>
                <w:sz w:val="20"/>
                <w:szCs w:val="20"/>
                <w:lang w:eastAsia="en-GB"/>
              </w:rPr>
              <w:t>Practical Application Skills</w:t>
            </w:r>
          </w:p>
          <w:p w14:paraId="7BF78A07" w14:textId="77777777" w:rsidR="008B2FC2" w:rsidRPr="008B2FC2" w:rsidRDefault="008B2FC2" w:rsidP="008B2FC2">
            <w:pPr>
              <w:spacing w:after="120" w:line="240" w:lineRule="auto"/>
              <w:rPr>
                <w:rFonts w:ascii="Calibri" w:eastAsia="Times New Roman" w:hAnsi="Calibri" w:cs="Times New Roman"/>
                <w:sz w:val="14"/>
                <w:szCs w:val="14"/>
                <w:lang w:eastAsia="en-GB"/>
              </w:rPr>
            </w:pPr>
            <w:r w:rsidRPr="008B2FC2">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2772348" w14:textId="77777777" w:rsidR="008B2FC2" w:rsidRPr="008B2FC2" w:rsidRDefault="008B2FC2" w:rsidP="008B2FC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915B00" w14:textId="77777777" w:rsidR="008B2FC2" w:rsidRPr="008B2FC2" w:rsidRDefault="008B2FC2" w:rsidP="008B2FC2">
            <w:pPr>
              <w:spacing w:after="0" w:line="240" w:lineRule="auto"/>
              <w:jc w:val="center"/>
              <w:rPr>
                <w:rFonts w:ascii="Calibri" w:eastAsia="Times New Roman" w:hAnsi="Calibri" w:cs="Times New Roman"/>
                <w:sz w:val="32"/>
                <w:szCs w:val="20"/>
                <w:lang w:eastAsia="en-GB"/>
              </w:rPr>
            </w:pPr>
          </w:p>
        </w:tc>
      </w:tr>
      <w:tr w:rsidR="008B2FC2" w:rsidRPr="008B2FC2" w14:paraId="1E127715" w14:textId="77777777" w:rsidTr="00C34806">
        <w:trPr>
          <w:trHeight w:val="451"/>
        </w:trPr>
        <w:tc>
          <w:tcPr>
            <w:tcW w:w="4435" w:type="pct"/>
            <w:vMerge w:val="restart"/>
            <w:tcBorders>
              <w:top w:val="single" w:sz="4" w:space="0" w:color="auto"/>
              <w:left w:val="single" w:sz="4" w:space="0" w:color="auto"/>
              <w:right w:val="single" w:sz="4" w:space="0" w:color="auto"/>
            </w:tcBorders>
          </w:tcPr>
          <w:p w14:paraId="3E644217" w14:textId="11F089F6" w:rsidR="008B2FC2" w:rsidRPr="008B2FC2" w:rsidRDefault="008B2FC2" w:rsidP="008B2FC2">
            <w:pPr>
              <w:spacing w:after="120" w:line="240" w:lineRule="auto"/>
              <w:rPr>
                <w:rFonts w:ascii="Calibri" w:eastAsia="Times New Roman" w:hAnsi="Calibri" w:cs="Times New Roman"/>
                <w:sz w:val="20"/>
                <w:szCs w:val="14"/>
                <w:lang w:eastAsia="en-GB"/>
              </w:rPr>
            </w:pPr>
            <w:bookmarkStart w:id="27" w:name="feedbackPAD"/>
            <w:bookmarkEnd w:id="27"/>
            <w:r w:rsidRPr="008B2FC2">
              <w:rPr>
                <w:rFonts w:ascii="Calibri" w:eastAsia="Times New Roman" w:hAnsi="Calibri" w:cs="Times New Roman"/>
                <w:sz w:val="20"/>
                <w:szCs w:val="14"/>
                <w:lang w:eastAsia="en-GB"/>
              </w:rPr>
              <w:t xml:space="preserve">You have not done your own design approach.  You have adapted </w:t>
            </w:r>
            <w:r>
              <w:rPr>
                <w:rFonts w:ascii="Calibri" w:eastAsia="Times New Roman" w:hAnsi="Calibri" w:cs="Times New Roman"/>
                <w:sz w:val="20"/>
                <w:szCs w:val="14"/>
                <w:lang w:eastAsia="en-GB"/>
              </w:rPr>
              <w:t xml:space="preserve">the </w:t>
            </w:r>
            <w:r>
              <w:t>NIST CSF</w:t>
            </w:r>
            <w:r>
              <w:t xml:space="preserve">. </w:t>
            </w:r>
            <w:r w:rsidRPr="008B2FC2">
              <w:rPr>
                <w:rFonts w:ascii="Calibri" w:eastAsia="Times New Roman" w:hAnsi="Calibri" w:cs="Times New Roman"/>
                <w:sz w:val="20"/>
                <w:szCs w:val="14"/>
                <w:lang w:eastAsia="en-GB"/>
              </w:rPr>
              <w:t xml:space="preserve"> </w:t>
            </w:r>
            <w:r w:rsidRPr="008B2FC2">
              <w:rPr>
                <w:rFonts w:ascii="Calibri" w:eastAsia="Times New Roman" w:hAnsi="Calibri" w:cs="Times New Roman"/>
                <w:sz w:val="20"/>
                <w:szCs w:val="14"/>
                <w:lang w:eastAsia="en-GB"/>
              </w:rPr>
              <w:t>Marks will be awarded based on the quality of and level of detail provided for the design approach; diagrams, table, charts and any other design methods utilise will enhance marks. (Grade mark: 25.00%)</w:t>
            </w:r>
          </w:p>
        </w:tc>
        <w:tc>
          <w:tcPr>
            <w:tcW w:w="283" w:type="pct"/>
            <w:tcBorders>
              <w:top w:val="single" w:sz="4" w:space="0" w:color="auto"/>
              <w:left w:val="single" w:sz="4" w:space="0" w:color="auto"/>
              <w:right w:val="single" w:sz="4" w:space="0" w:color="auto"/>
            </w:tcBorders>
          </w:tcPr>
          <w:p w14:paraId="27483A95" w14:textId="77777777" w:rsidR="008B2FC2" w:rsidRPr="008B2FC2" w:rsidRDefault="008B2FC2" w:rsidP="008B2FC2">
            <w:pPr>
              <w:spacing w:after="0" w:line="240" w:lineRule="auto"/>
              <w:jc w:val="center"/>
              <w:rPr>
                <w:rFonts w:ascii="Calibri" w:eastAsia="Times New Roman" w:hAnsi="Calibri" w:cs="Times New Roman"/>
                <w:sz w:val="20"/>
                <w:szCs w:val="20"/>
                <w:lang w:eastAsia="en-GB"/>
              </w:rPr>
            </w:pPr>
            <w:bookmarkStart w:id="28" w:name="totalPAD"/>
            <w:bookmarkEnd w:id="28"/>
            <w:r w:rsidRPr="008B2FC2">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18FC31E2" w14:textId="77777777" w:rsidR="008B2FC2" w:rsidRPr="008B2FC2" w:rsidRDefault="008B2FC2" w:rsidP="008B2FC2">
            <w:pPr>
              <w:spacing w:after="0" w:line="240" w:lineRule="auto"/>
              <w:jc w:val="center"/>
              <w:rPr>
                <w:rFonts w:ascii="Calibri" w:eastAsia="Times New Roman" w:hAnsi="Calibri" w:cs="Times New Roman"/>
                <w:sz w:val="20"/>
                <w:szCs w:val="20"/>
                <w:lang w:eastAsia="en-GB"/>
              </w:rPr>
            </w:pPr>
            <w:bookmarkStart w:id="29" w:name="markPAD"/>
            <w:bookmarkEnd w:id="29"/>
            <w:r w:rsidRPr="008B2FC2">
              <w:rPr>
                <w:rFonts w:ascii="Calibri" w:eastAsia="Times New Roman" w:hAnsi="Calibri" w:cs="Times New Roman"/>
                <w:sz w:val="20"/>
                <w:szCs w:val="20"/>
                <w:lang w:eastAsia="en-GB"/>
              </w:rPr>
              <w:t>5</w:t>
            </w:r>
          </w:p>
        </w:tc>
      </w:tr>
      <w:tr w:rsidR="008B2FC2" w:rsidRPr="008B2FC2" w14:paraId="05542B31" w14:textId="77777777" w:rsidTr="00C34806">
        <w:trPr>
          <w:trHeight w:val="450"/>
        </w:trPr>
        <w:tc>
          <w:tcPr>
            <w:tcW w:w="4435" w:type="pct"/>
            <w:vMerge/>
            <w:tcBorders>
              <w:left w:val="single" w:sz="4" w:space="0" w:color="auto"/>
              <w:bottom w:val="single" w:sz="4" w:space="0" w:color="auto"/>
              <w:right w:val="single" w:sz="4" w:space="0" w:color="auto"/>
            </w:tcBorders>
          </w:tcPr>
          <w:p w14:paraId="456F1B26" w14:textId="77777777" w:rsidR="008B2FC2" w:rsidRPr="008B2FC2" w:rsidRDefault="008B2FC2" w:rsidP="008B2FC2">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52715553" w14:textId="77777777" w:rsidR="008B2FC2" w:rsidRPr="008B2FC2" w:rsidRDefault="008B2FC2" w:rsidP="008B2FC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60E326CB" w14:textId="77777777" w:rsidR="008B2FC2" w:rsidRPr="008B2FC2" w:rsidRDefault="008B2FC2" w:rsidP="008B2FC2">
            <w:pPr>
              <w:spacing w:after="0" w:line="240" w:lineRule="auto"/>
              <w:jc w:val="center"/>
              <w:rPr>
                <w:rFonts w:ascii="Calibri" w:eastAsia="Times New Roman" w:hAnsi="Calibri" w:cs="Times New Roman"/>
                <w:sz w:val="32"/>
                <w:szCs w:val="20"/>
                <w:lang w:eastAsia="en-GB"/>
              </w:rPr>
            </w:pPr>
          </w:p>
        </w:tc>
      </w:tr>
      <w:tr w:rsidR="008B2FC2" w:rsidRPr="008B2FC2" w14:paraId="065C9268" w14:textId="77777777" w:rsidTr="00C34806">
        <w:trPr>
          <w:trHeight w:val="450"/>
        </w:trPr>
        <w:tc>
          <w:tcPr>
            <w:tcW w:w="4435" w:type="pct"/>
            <w:tcBorders>
              <w:top w:val="single" w:sz="4" w:space="0" w:color="auto"/>
              <w:left w:val="single" w:sz="4" w:space="0" w:color="auto"/>
              <w:right w:val="single" w:sz="4" w:space="0" w:color="auto"/>
            </w:tcBorders>
            <w:shd w:val="clear" w:color="auto" w:fill="D9D9D9"/>
          </w:tcPr>
          <w:p w14:paraId="0909AA6E" w14:textId="77777777" w:rsidR="008B2FC2" w:rsidRPr="008B2FC2" w:rsidRDefault="008B2FC2" w:rsidP="008B2FC2">
            <w:pPr>
              <w:spacing w:after="0" w:line="240" w:lineRule="auto"/>
              <w:rPr>
                <w:rFonts w:ascii="Calibri" w:eastAsia="Times New Roman" w:hAnsi="Calibri" w:cs="Times New Roman"/>
                <w:b/>
                <w:sz w:val="16"/>
                <w:szCs w:val="16"/>
                <w:lang w:eastAsia="en-GB"/>
              </w:rPr>
            </w:pPr>
            <w:r w:rsidRPr="008B2FC2">
              <w:rPr>
                <w:rFonts w:ascii="Calibri" w:eastAsia="Times New Roman" w:hAnsi="Calibri" w:cs="Times New Roman"/>
                <w:b/>
                <w:sz w:val="20"/>
                <w:szCs w:val="16"/>
                <w:lang w:eastAsia="en-GB"/>
              </w:rPr>
              <w:t xml:space="preserve">5. </w:t>
            </w:r>
            <w:r w:rsidRPr="008B2FC2">
              <w:rPr>
                <w:rFonts w:ascii="Calibri" w:eastAsia="Times New Roman" w:hAnsi="Calibri" w:cs="Times New Roman"/>
                <w:b/>
                <w:sz w:val="20"/>
                <w:szCs w:val="20"/>
                <w:lang w:eastAsia="en-GB"/>
              </w:rPr>
              <w:t>Transferable Skills for Life and Professional Practice</w:t>
            </w:r>
          </w:p>
          <w:p w14:paraId="52DBF735" w14:textId="77777777" w:rsidR="008B2FC2" w:rsidRPr="008B2FC2" w:rsidRDefault="008B2FC2" w:rsidP="008B2FC2">
            <w:pPr>
              <w:spacing w:after="120" w:line="240" w:lineRule="auto"/>
              <w:rPr>
                <w:rFonts w:ascii="Calibri" w:eastAsia="Times New Roman" w:hAnsi="Calibri" w:cs="Times New Roman"/>
                <w:sz w:val="14"/>
                <w:szCs w:val="14"/>
                <w:lang w:eastAsia="en-GB"/>
              </w:rPr>
            </w:pPr>
            <w:r w:rsidRPr="008B2FC2">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BA77D66" w14:textId="77777777" w:rsidR="008B2FC2" w:rsidRPr="008B2FC2" w:rsidRDefault="008B2FC2" w:rsidP="008B2FC2">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382A764" w14:textId="77777777" w:rsidR="008B2FC2" w:rsidRPr="008B2FC2" w:rsidRDefault="008B2FC2" w:rsidP="008B2FC2">
            <w:pPr>
              <w:spacing w:after="0" w:line="240" w:lineRule="auto"/>
              <w:jc w:val="center"/>
              <w:rPr>
                <w:rFonts w:ascii="Calibri" w:eastAsia="Times New Roman" w:hAnsi="Calibri" w:cs="Times New Roman"/>
                <w:sz w:val="32"/>
                <w:szCs w:val="20"/>
                <w:lang w:eastAsia="en-GB"/>
              </w:rPr>
            </w:pPr>
          </w:p>
        </w:tc>
      </w:tr>
      <w:tr w:rsidR="008B2FC2" w:rsidRPr="008B2FC2" w14:paraId="41338EAC" w14:textId="77777777" w:rsidTr="00C34806">
        <w:trPr>
          <w:trHeight w:val="451"/>
        </w:trPr>
        <w:tc>
          <w:tcPr>
            <w:tcW w:w="4435" w:type="pct"/>
            <w:vMerge w:val="restart"/>
            <w:tcBorders>
              <w:top w:val="single" w:sz="4" w:space="0" w:color="auto"/>
              <w:left w:val="single" w:sz="4" w:space="0" w:color="auto"/>
              <w:right w:val="single" w:sz="4" w:space="0" w:color="auto"/>
            </w:tcBorders>
          </w:tcPr>
          <w:p w14:paraId="2869428D" w14:textId="77777777" w:rsidR="008B2FC2" w:rsidRPr="008B2FC2" w:rsidRDefault="008B2FC2" w:rsidP="008B2FC2">
            <w:pPr>
              <w:spacing w:after="120" w:line="240" w:lineRule="auto"/>
              <w:rPr>
                <w:rFonts w:ascii="Calibri" w:eastAsia="Times New Roman" w:hAnsi="Calibri" w:cs="Times New Roman"/>
                <w:sz w:val="20"/>
                <w:szCs w:val="14"/>
                <w:lang w:eastAsia="en-GB"/>
              </w:rPr>
            </w:pPr>
            <w:bookmarkStart w:id="30" w:name="feedbackSPP"/>
            <w:bookmarkEnd w:id="30"/>
            <w:r w:rsidRPr="008B2FC2">
              <w:rPr>
                <w:rFonts w:ascii="Calibri" w:eastAsia="Times New Roman" w:hAnsi="Calibri" w:cs="Times New Roman"/>
                <w:sz w:val="20"/>
                <w:szCs w:val="14"/>
                <w:lang w:eastAsia="en-GB"/>
              </w:rPr>
              <w:t>Your work could do with some formatting. Try to use paragraphs in your report especially your conclusion. (Grade mark: 60.00%)</w:t>
            </w:r>
          </w:p>
        </w:tc>
        <w:tc>
          <w:tcPr>
            <w:tcW w:w="283" w:type="pct"/>
            <w:tcBorders>
              <w:top w:val="single" w:sz="4" w:space="0" w:color="auto"/>
              <w:left w:val="single" w:sz="4" w:space="0" w:color="auto"/>
              <w:right w:val="single" w:sz="4" w:space="0" w:color="auto"/>
            </w:tcBorders>
          </w:tcPr>
          <w:p w14:paraId="692AD97C" w14:textId="77777777" w:rsidR="008B2FC2" w:rsidRPr="008B2FC2" w:rsidRDefault="008B2FC2" w:rsidP="008B2FC2">
            <w:pPr>
              <w:spacing w:after="0" w:line="240" w:lineRule="auto"/>
              <w:jc w:val="center"/>
              <w:rPr>
                <w:rFonts w:ascii="Calibri" w:eastAsia="Times New Roman" w:hAnsi="Calibri" w:cs="Times New Roman"/>
                <w:sz w:val="20"/>
                <w:szCs w:val="20"/>
                <w:lang w:eastAsia="en-GB"/>
              </w:rPr>
            </w:pPr>
            <w:bookmarkStart w:id="31" w:name="totalSPP"/>
            <w:bookmarkEnd w:id="31"/>
            <w:r w:rsidRPr="008B2FC2">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2BE66814" w14:textId="77777777" w:rsidR="008B2FC2" w:rsidRPr="008B2FC2" w:rsidRDefault="008B2FC2" w:rsidP="008B2FC2">
            <w:pPr>
              <w:spacing w:after="0" w:line="240" w:lineRule="auto"/>
              <w:jc w:val="center"/>
              <w:rPr>
                <w:rFonts w:ascii="Calibri" w:eastAsia="Times New Roman" w:hAnsi="Calibri" w:cs="Times New Roman"/>
                <w:sz w:val="20"/>
                <w:szCs w:val="20"/>
                <w:lang w:eastAsia="en-GB"/>
              </w:rPr>
            </w:pPr>
            <w:bookmarkStart w:id="32" w:name="markSPP"/>
            <w:bookmarkEnd w:id="32"/>
            <w:r w:rsidRPr="008B2FC2">
              <w:rPr>
                <w:rFonts w:ascii="Calibri" w:eastAsia="Times New Roman" w:hAnsi="Calibri" w:cs="Times New Roman"/>
                <w:sz w:val="20"/>
                <w:szCs w:val="20"/>
                <w:lang w:eastAsia="en-GB"/>
              </w:rPr>
              <w:t>6</w:t>
            </w:r>
          </w:p>
        </w:tc>
      </w:tr>
      <w:tr w:rsidR="008B2FC2" w:rsidRPr="008B2FC2" w14:paraId="7BA09DD6" w14:textId="77777777" w:rsidTr="00C34806">
        <w:trPr>
          <w:trHeight w:val="450"/>
        </w:trPr>
        <w:tc>
          <w:tcPr>
            <w:tcW w:w="4435" w:type="pct"/>
            <w:vMerge/>
            <w:tcBorders>
              <w:left w:val="single" w:sz="4" w:space="0" w:color="auto"/>
              <w:bottom w:val="single" w:sz="4" w:space="0" w:color="auto"/>
              <w:right w:val="single" w:sz="4" w:space="0" w:color="auto"/>
            </w:tcBorders>
          </w:tcPr>
          <w:p w14:paraId="71F53A4B" w14:textId="77777777" w:rsidR="008B2FC2" w:rsidRPr="008B2FC2" w:rsidRDefault="008B2FC2" w:rsidP="008B2FC2">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67CA38F8" w14:textId="77777777" w:rsidR="008B2FC2" w:rsidRPr="008B2FC2" w:rsidRDefault="008B2FC2" w:rsidP="008B2FC2">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3F86752" w14:textId="77777777" w:rsidR="008B2FC2" w:rsidRPr="008B2FC2" w:rsidRDefault="008B2FC2" w:rsidP="008B2FC2">
            <w:pPr>
              <w:spacing w:after="0" w:line="240" w:lineRule="auto"/>
              <w:jc w:val="center"/>
              <w:rPr>
                <w:rFonts w:ascii="Calibri" w:eastAsia="Times New Roman" w:hAnsi="Calibri" w:cs="Times New Roman"/>
                <w:sz w:val="20"/>
                <w:szCs w:val="20"/>
                <w:lang w:eastAsia="en-GB"/>
              </w:rPr>
            </w:pPr>
          </w:p>
        </w:tc>
      </w:tr>
    </w:tbl>
    <w:p w14:paraId="5BD40DE8" w14:textId="77777777" w:rsidR="008B2FC2" w:rsidRPr="008B2FC2" w:rsidRDefault="008B2FC2" w:rsidP="008B2FC2">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8B2FC2" w:rsidRPr="008B2FC2" w14:paraId="788F9A43" w14:textId="77777777" w:rsidTr="00C34806">
        <w:trPr>
          <w:cantSplit/>
        </w:trPr>
        <w:tc>
          <w:tcPr>
            <w:tcW w:w="6062" w:type="dxa"/>
            <w:vMerge w:val="restart"/>
            <w:shd w:val="pct15" w:color="auto" w:fill="auto"/>
            <w:vAlign w:val="center"/>
          </w:tcPr>
          <w:p w14:paraId="71265E29" w14:textId="77777777" w:rsidR="008B2FC2" w:rsidRPr="008B2FC2" w:rsidRDefault="008B2FC2" w:rsidP="008B2FC2">
            <w:pPr>
              <w:spacing w:after="0" w:line="240" w:lineRule="auto"/>
              <w:rPr>
                <w:rFonts w:ascii="Calibri" w:eastAsia="Times New Roman" w:hAnsi="Calibri" w:cs="Times New Roman"/>
                <w:sz w:val="16"/>
                <w:szCs w:val="16"/>
                <w:lang w:eastAsia="en-GB"/>
              </w:rPr>
            </w:pPr>
            <w:r w:rsidRPr="008B2FC2">
              <w:rPr>
                <w:rFonts w:ascii="Calibri" w:eastAsia="Times New Roman" w:hAnsi="Calibri" w:cs="Arial"/>
                <w:b/>
                <w:bCs/>
                <w:lang w:eastAsia="en-GB"/>
              </w:rPr>
              <w:t xml:space="preserve">Assignment Mark </w:t>
            </w:r>
            <w:r w:rsidRPr="008B2FC2">
              <w:rPr>
                <w:rFonts w:ascii="Calibri" w:eastAsia="Times New Roman" w:hAnsi="Calibri" w:cs="Arial"/>
                <w:bCs/>
                <w:lang w:eastAsia="en-GB"/>
              </w:rPr>
              <w:t>(</w:t>
            </w:r>
            <w:r w:rsidRPr="008B2FC2">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7F745C6" w14:textId="77777777" w:rsidR="008B2FC2" w:rsidRPr="008B2FC2" w:rsidRDefault="008B2FC2" w:rsidP="008B2FC2">
            <w:pPr>
              <w:spacing w:after="0" w:line="240" w:lineRule="auto"/>
              <w:rPr>
                <w:rFonts w:ascii="Calibri" w:eastAsia="Times New Roman" w:hAnsi="Calibri" w:cs="Arial"/>
                <w:b/>
                <w:bCs/>
                <w:sz w:val="16"/>
                <w:szCs w:val="16"/>
                <w:lang w:eastAsia="en-GB"/>
              </w:rPr>
            </w:pPr>
            <w:r w:rsidRPr="008B2FC2">
              <w:rPr>
                <w:rFonts w:ascii="Calibri" w:eastAsia="Times New Roman" w:hAnsi="Calibri" w:cs="Arial"/>
                <w:b/>
                <w:sz w:val="16"/>
                <w:szCs w:val="16"/>
                <w:lang w:eastAsia="en-GB"/>
              </w:rPr>
              <w:t>Late Submission Penalties (tick if appropriate)</w:t>
            </w:r>
          </w:p>
        </w:tc>
        <w:tc>
          <w:tcPr>
            <w:tcW w:w="1276" w:type="dxa"/>
            <w:vMerge w:val="restart"/>
            <w:vAlign w:val="center"/>
          </w:tcPr>
          <w:p w14:paraId="143CB8F0" w14:textId="73938057" w:rsidR="008B2FC2" w:rsidRPr="008B2FC2" w:rsidRDefault="008B2FC2" w:rsidP="008B2FC2">
            <w:pPr>
              <w:spacing w:after="0" w:line="240" w:lineRule="auto"/>
              <w:jc w:val="right"/>
              <w:rPr>
                <w:rFonts w:ascii="Calibri" w:eastAsia="Times New Roman" w:hAnsi="Calibri" w:cs="Arial"/>
                <w:b/>
                <w:bCs/>
                <w:sz w:val="20"/>
                <w:szCs w:val="20"/>
                <w:lang w:eastAsia="en-GB"/>
              </w:rPr>
            </w:pPr>
            <w:bookmarkStart w:id="33" w:name="totalMark"/>
            <w:bookmarkEnd w:id="33"/>
            <w:r w:rsidRPr="008B2FC2">
              <w:rPr>
                <w:rFonts w:ascii="Calibri" w:eastAsia="Times New Roman" w:hAnsi="Calibri" w:cs="Arial"/>
                <w:b/>
                <w:bCs/>
                <w:sz w:val="20"/>
                <w:szCs w:val="20"/>
                <w:lang w:eastAsia="en-GB"/>
              </w:rPr>
              <w:t>5</w:t>
            </w:r>
            <w:r w:rsidR="001C5449">
              <w:rPr>
                <w:rFonts w:ascii="Calibri" w:eastAsia="Times New Roman" w:hAnsi="Calibri" w:cs="Arial"/>
                <w:b/>
                <w:bCs/>
                <w:sz w:val="20"/>
                <w:szCs w:val="20"/>
                <w:lang w:eastAsia="en-GB"/>
              </w:rPr>
              <w:t>5</w:t>
            </w:r>
            <w:r w:rsidRPr="008B2FC2">
              <w:rPr>
                <w:rFonts w:ascii="Calibri" w:eastAsia="Times New Roman" w:hAnsi="Calibri" w:cs="Arial"/>
                <w:b/>
                <w:bCs/>
                <w:sz w:val="20"/>
                <w:szCs w:val="20"/>
                <w:lang w:eastAsia="en-GB"/>
              </w:rPr>
              <w:t>%</w:t>
            </w:r>
          </w:p>
        </w:tc>
      </w:tr>
      <w:tr w:rsidR="008B2FC2" w:rsidRPr="008B2FC2" w14:paraId="70D9681E" w14:textId="77777777" w:rsidTr="00C34806">
        <w:trPr>
          <w:cantSplit/>
        </w:trPr>
        <w:tc>
          <w:tcPr>
            <w:tcW w:w="6062" w:type="dxa"/>
            <w:vMerge/>
            <w:vAlign w:val="bottom"/>
          </w:tcPr>
          <w:p w14:paraId="381DFCB1" w14:textId="77777777" w:rsidR="008B2FC2" w:rsidRPr="008B2FC2" w:rsidRDefault="008B2FC2" w:rsidP="008B2FC2">
            <w:pPr>
              <w:spacing w:after="0" w:line="240" w:lineRule="auto"/>
              <w:rPr>
                <w:rFonts w:ascii="Calibri" w:eastAsia="Times New Roman" w:hAnsi="Calibri" w:cs="Arial"/>
                <w:sz w:val="20"/>
                <w:szCs w:val="20"/>
                <w:lang w:eastAsia="en-GB"/>
              </w:rPr>
            </w:pPr>
          </w:p>
        </w:tc>
        <w:tc>
          <w:tcPr>
            <w:tcW w:w="2903" w:type="dxa"/>
            <w:vAlign w:val="bottom"/>
          </w:tcPr>
          <w:p w14:paraId="7173F1FB" w14:textId="77777777" w:rsidR="008B2FC2" w:rsidRPr="008B2FC2" w:rsidRDefault="008B2FC2" w:rsidP="008B2FC2">
            <w:pPr>
              <w:spacing w:after="0" w:line="240" w:lineRule="auto"/>
              <w:rPr>
                <w:rFonts w:ascii="Calibri" w:eastAsia="Times New Roman" w:hAnsi="Calibri" w:cs="Arial"/>
                <w:b/>
                <w:bCs/>
                <w:sz w:val="16"/>
                <w:szCs w:val="16"/>
                <w:lang w:eastAsia="en-GB"/>
              </w:rPr>
            </w:pPr>
            <w:r w:rsidRPr="008B2FC2">
              <w:rPr>
                <w:rFonts w:ascii="Calibri" w:eastAsia="Times New Roman" w:hAnsi="Calibri" w:cs="Arial"/>
                <w:sz w:val="16"/>
                <w:szCs w:val="16"/>
                <w:lang w:eastAsia="en-GB"/>
              </w:rPr>
              <w:t>Up to four weeks late</w:t>
            </w:r>
          </w:p>
        </w:tc>
        <w:tc>
          <w:tcPr>
            <w:tcW w:w="425" w:type="dxa"/>
            <w:vAlign w:val="bottom"/>
          </w:tcPr>
          <w:p w14:paraId="081728AB" w14:textId="77777777" w:rsidR="008B2FC2" w:rsidRPr="008B2FC2" w:rsidRDefault="008B2FC2" w:rsidP="008B2FC2">
            <w:pPr>
              <w:spacing w:after="0" w:line="240" w:lineRule="auto"/>
              <w:jc w:val="center"/>
              <w:rPr>
                <w:rFonts w:ascii="Calibri" w:eastAsia="Times New Roman" w:hAnsi="Calibri" w:cs="Arial"/>
                <w:sz w:val="12"/>
                <w:szCs w:val="12"/>
                <w:lang w:eastAsia="en-GB"/>
              </w:rPr>
            </w:pPr>
            <w:bookmarkStart w:id="34" w:name="fourWeeksLate"/>
            <w:bookmarkEnd w:id="34"/>
          </w:p>
        </w:tc>
        <w:tc>
          <w:tcPr>
            <w:tcW w:w="1276" w:type="dxa"/>
            <w:vMerge/>
            <w:vAlign w:val="bottom"/>
          </w:tcPr>
          <w:p w14:paraId="7B7FCC9C" w14:textId="77777777" w:rsidR="008B2FC2" w:rsidRPr="008B2FC2" w:rsidRDefault="008B2FC2" w:rsidP="008B2FC2">
            <w:pPr>
              <w:spacing w:after="0" w:line="240" w:lineRule="auto"/>
              <w:ind w:leftChars="71" w:left="156"/>
              <w:rPr>
                <w:rFonts w:ascii="Calibri" w:eastAsia="Times New Roman" w:hAnsi="Calibri" w:cs="Arial"/>
                <w:sz w:val="20"/>
                <w:szCs w:val="20"/>
                <w:lang w:eastAsia="en-GB"/>
              </w:rPr>
            </w:pPr>
          </w:p>
        </w:tc>
      </w:tr>
      <w:tr w:rsidR="008B2FC2" w:rsidRPr="008B2FC2" w14:paraId="0890AA3D" w14:textId="77777777" w:rsidTr="00C34806">
        <w:trPr>
          <w:cantSplit/>
        </w:trPr>
        <w:tc>
          <w:tcPr>
            <w:tcW w:w="6062" w:type="dxa"/>
            <w:vMerge/>
            <w:vAlign w:val="bottom"/>
          </w:tcPr>
          <w:p w14:paraId="5F7C3305" w14:textId="77777777" w:rsidR="008B2FC2" w:rsidRPr="008B2FC2" w:rsidRDefault="008B2FC2" w:rsidP="008B2FC2">
            <w:pPr>
              <w:spacing w:after="0" w:line="240" w:lineRule="auto"/>
              <w:rPr>
                <w:rFonts w:ascii="Calibri" w:eastAsia="Times New Roman" w:hAnsi="Calibri" w:cs="Arial"/>
                <w:sz w:val="20"/>
                <w:szCs w:val="20"/>
                <w:lang w:eastAsia="en-GB"/>
              </w:rPr>
            </w:pPr>
          </w:p>
        </w:tc>
        <w:tc>
          <w:tcPr>
            <w:tcW w:w="2903" w:type="dxa"/>
            <w:vAlign w:val="bottom"/>
          </w:tcPr>
          <w:p w14:paraId="3ABE24DA" w14:textId="77777777" w:rsidR="008B2FC2" w:rsidRPr="008B2FC2" w:rsidRDefault="008B2FC2" w:rsidP="008B2FC2">
            <w:pPr>
              <w:spacing w:after="0" w:line="240" w:lineRule="auto"/>
              <w:rPr>
                <w:rFonts w:ascii="Calibri" w:eastAsia="Times New Roman" w:hAnsi="Calibri" w:cs="Arial"/>
                <w:b/>
                <w:bCs/>
                <w:sz w:val="16"/>
                <w:szCs w:val="16"/>
                <w:lang w:eastAsia="en-GB"/>
              </w:rPr>
            </w:pPr>
            <w:r w:rsidRPr="008B2FC2">
              <w:rPr>
                <w:rFonts w:ascii="Calibri" w:eastAsia="Times New Roman" w:hAnsi="Calibri" w:cs="Arial"/>
                <w:sz w:val="16"/>
                <w:szCs w:val="16"/>
                <w:lang w:eastAsia="en-GB"/>
              </w:rPr>
              <w:t>First Attempt?</w:t>
            </w:r>
          </w:p>
        </w:tc>
        <w:tc>
          <w:tcPr>
            <w:tcW w:w="425" w:type="dxa"/>
            <w:vAlign w:val="bottom"/>
          </w:tcPr>
          <w:p w14:paraId="2B989776" w14:textId="77777777" w:rsidR="008B2FC2" w:rsidRPr="008B2FC2" w:rsidRDefault="008B2FC2" w:rsidP="008B2FC2">
            <w:pPr>
              <w:spacing w:after="0" w:line="240" w:lineRule="auto"/>
              <w:jc w:val="center"/>
              <w:rPr>
                <w:rFonts w:ascii="Calibri" w:eastAsia="Times New Roman" w:hAnsi="Calibri" w:cs="Arial"/>
                <w:sz w:val="12"/>
                <w:szCs w:val="12"/>
                <w:lang w:eastAsia="en-GB"/>
              </w:rPr>
            </w:pPr>
            <w:bookmarkStart w:id="35" w:name="firstAttempt"/>
            <w:bookmarkEnd w:id="35"/>
          </w:p>
        </w:tc>
        <w:tc>
          <w:tcPr>
            <w:tcW w:w="1276" w:type="dxa"/>
            <w:vMerge/>
            <w:vAlign w:val="bottom"/>
          </w:tcPr>
          <w:p w14:paraId="17F762A9" w14:textId="77777777" w:rsidR="008B2FC2" w:rsidRPr="008B2FC2" w:rsidRDefault="008B2FC2" w:rsidP="008B2FC2">
            <w:pPr>
              <w:spacing w:after="0" w:line="240" w:lineRule="auto"/>
              <w:ind w:firstLineChars="141" w:firstLine="282"/>
              <w:rPr>
                <w:rFonts w:ascii="Calibri" w:eastAsia="Times New Roman" w:hAnsi="Calibri" w:cs="Arial"/>
                <w:sz w:val="20"/>
                <w:szCs w:val="20"/>
                <w:lang w:eastAsia="en-GB"/>
              </w:rPr>
            </w:pPr>
          </w:p>
        </w:tc>
      </w:tr>
    </w:tbl>
    <w:p w14:paraId="30DFAC85" w14:textId="77777777" w:rsidR="008B2FC2" w:rsidRPr="008B2FC2" w:rsidRDefault="008B2FC2" w:rsidP="008B2FC2">
      <w:pPr>
        <w:spacing w:after="200" w:line="276" w:lineRule="auto"/>
        <w:rPr>
          <w:rFonts w:ascii="Calibri" w:eastAsia="Calibri" w:hAnsi="Calibri" w:cs="Times New Roman"/>
        </w:rPr>
      </w:pPr>
    </w:p>
    <w:p w14:paraId="2A9535F7" w14:textId="1A770FB1" w:rsidR="00327D4B" w:rsidRPr="00327D4B" w:rsidRDefault="00327D4B" w:rsidP="00327D4B"/>
    <w:sectPr w:rsidR="00327D4B" w:rsidRPr="00327D4B" w:rsidSect="00C57238">
      <w:footerReference w:type="default" r:id="rId15"/>
      <w:pgSz w:w="11906" w:h="16838"/>
      <w:pgMar w:top="567" w:right="720" w:bottom="567"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15782" w14:textId="77777777" w:rsidR="005E54CC" w:rsidRDefault="005E54CC" w:rsidP="001F3EBA">
      <w:pPr>
        <w:spacing w:after="0" w:line="240" w:lineRule="auto"/>
      </w:pPr>
      <w:r>
        <w:separator/>
      </w:r>
    </w:p>
  </w:endnote>
  <w:endnote w:type="continuationSeparator" w:id="0">
    <w:p w14:paraId="3371EE4B" w14:textId="77777777" w:rsidR="005E54CC" w:rsidRDefault="005E54CC" w:rsidP="001F3E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 w:name="Arial">
    <w:altName w:val="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5143776"/>
      <w:docPartObj>
        <w:docPartGallery w:val="Page Numbers (Bottom of Page)"/>
        <w:docPartUnique/>
      </w:docPartObj>
    </w:sdtPr>
    <w:sdtEndPr>
      <w:rPr>
        <w:color w:val="7F7F7F" w:themeColor="background1" w:themeShade="7F"/>
        <w:spacing w:val="60"/>
      </w:rPr>
    </w:sdtEndPr>
    <w:sdtContent>
      <w:p w14:paraId="554F88E1" w14:textId="1370B7CA" w:rsidR="008E1EC2" w:rsidRPr="008E1EC2" w:rsidRDefault="008E1EC2" w:rsidP="008E1EC2">
        <w:pPr>
          <w:pStyle w:val="Footer"/>
          <w:rPr>
            <w:b/>
            <w:bCs/>
            <w:color w:val="A6A6A6" w:themeColor="background1" w:themeShade="A6"/>
            <w:sz w:val="18"/>
            <w:szCs w:val="18"/>
          </w:rPr>
        </w:pPr>
        <w:r w:rsidRPr="008E1EC2">
          <w:rPr>
            <w:b/>
            <w:bCs/>
            <w:color w:val="A6A6A6" w:themeColor="background1" w:themeShade="A6"/>
            <w:sz w:val="18"/>
            <w:szCs w:val="18"/>
          </w:rPr>
          <w:t>University of Wales</w:t>
        </w:r>
        <w:r w:rsidRPr="008E1EC2">
          <w:rPr>
            <w:b/>
            <w:bCs/>
            <w:color w:val="A6A6A6" w:themeColor="background1" w:themeShade="A6"/>
            <w:sz w:val="18"/>
            <w:szCs w:val="18"/>
          </w:rPr>
          <w:tab/>
          <w:t>ACCA7028</w:t>
        </w:r>
        <w:r w:rsidRPr="008E1EC2">
          <w:rPr>
            <w:b/>
            <w:bCs/>
            <w:color w:val="A6A6A6" w:themeColor="background1" w:themeShade="A6"/>
            <w:sz w:val="18"/>
            <w:szCs w:val="18"/>
          </w:rPr>
          <w:tab/>
        </w:r>
      </w:p>
      <w:p w14:paraId="6742FB13" w14:textId="21A1F5F1" w:rsidR="008E1EC2" w:rsidRPr="008E1EC2" w:rsidRDefault="008E1EC2" w:rsidP="008E1EC2">
        <w:pPr>
          <w:pStyle w:val="Footer"/>
          <w:rPr>
            <w:b/>
            <w:bCs/>
            <w:color w:val="A6A6A6" w:themeColor="background1" w:themeShade="A6"/>
            <w:sz w:val="18"/>
            <w:szCs w:val="18"/>
          </w:rPr>
        </w:pPr>
        <w:r w:rsidRPr="008E1EC2">
          <w:rPr>
            <w:b/>
            <w:bCs/>
            <w:color w:val="A6A6A6" w:themeColor="background1" w:themeShade="A6"/>
            <w:sz w:val="18"/>
            <w:szCs w:val="18"/>
          </w:rPr>
          <w:t xml:space="preserve"> Trinity Saint David</w:t>
        </w:r>
        <w:r w:rsidRPr="008E1EC2">
          <w:rPr>
            <w:b/>
            <w:bCs/>
            <w:color w:val="A6A6A6" w:themeColor="background1" w:themeShade="A6"/>
            <w:sz w:val="18"/>
            <w:szCs w:val="18"/>
          </w:rPr>
          <w:tab/>
        </w:r>
        <w:r>
          <w:rPr>
            <w:b/>
            <w:bCs/>
            <w:color w:val="A6A6A6" w:themeColor="background1" w:themeShade="A6"/>
            <w:sz w:val="18"/>
            <w:szCs w:val="18"/>
          </w:rPr>
          <w:t>Data Security, Governance and Compliance</w:t>
        </w:r>
        <w:r w:rsidR="00BD4BC4" w:rsidRPr="00BD4BC4">
          <w:rPr>
            <w:b/>
            <w:bCs/>
            <w:color w:val="A6A6A6" w:themeColor="background1" w:themeShade="A6"/>
            <w:sz w:val="18"/>
            <w:szCs w:val="18"/>
          </w:rPr>
          <w:t xml:space="preserve"> </w:t>
        </w:r>
        <w:r w:rsidR="00BD4BC4">
          <w:rPr>
            <w:b/>
            <w:bCs/>
            <w:color w:val="A6A6A6" w:themeColor="background1" w:themeShade="A6"/>
            <w:sz w:val="18"/>
            <w:szCs w:val="18"/>
          </w:rPr>
          <w:tab/>
        </w:r>
        <w:r w:rsidR="00BD4BC4" w:rsidRPr="008E1EC2">
          <w:rPr>
            <w:b/>
            <w:bCs/>
            <w:color w:val="A6A6A6" w:themeColor="background1" w:themeShade="A6"/>
            <w:sz w:val="18"/>
            <w:szCs w:val="18"/>
          </w:rPr>
          <w:t>Richard Harris</w:t>
        </w:r>
      </w:p>
      <w:p w14:paraId="32B514F6" w14:textId="0FA6F1DB" w:rsidR="009B64E2" w:rsidRDefault="009B64E2" w:rsidP="00BD4BC4">
        <w:pPr>
          <w:pStyle w:val="Footer"/>
          <w:pBdr>
            <w:top w:val="single" w:sz="4" w:space="1" w:color="000000" w:themeColor="text1"/>
          </w:pBdr>
          <w:jc w:val="right"/>
          <w:rPr>
            <w:color w:val="7F7F7F" w:themeColor="background1" w:themeShade="7F"/>
            <w:spacing w:val="60"/>
          </w:rPr>
        </w:pPr>
        <w:r w:rsidRPr="009B64E2">
          <w:rPr>
            <w:color w:val="D9D9D9" w:themeColor="background1" w:themeShade="D9"/>
          </w:rPr>
          <w:t xml:space="preserve"> </w:t>
        </w:r>
        <w:r w:rsidR="00D139E0" w:rsidRPr="008E1EC2">
          <w:rPr>
            <w:rFonts w:ascii="Arial Black" w:hAnsi="Arial Black"/>
            <w:sz w:val="18"/>
            <w:szCs w:val="18"/>
          </w:rPr>
          <w:fldChar w:fldCharType="begin"/>
        </w:r>
        <w:r w:rsidR="00D139E0" w:rsidRPr="008E1EC2">
          <w:rPr>
            <w:rFonts w:ascii="Arial Black" w:hAnsi="Arial Black"/>
            <w:sz w:val="18"/>
            <w:szCs w:val="18"/>
          </w:rPr>
          <w:instrText xml:space="preserve"> PAGE   \* MERGEFORMAT </w:instrText>
        </w:r>
        <w:r w:rsidR="00D139E0" w:rsidRPr="008E1EC2">
          <w:rPr>
            <w:rFonts w:ascii="Arial Black" w:hAnsi="Arial Black"/>
            <w:sz w:val="18"/>
            <w:szCs w:val="18"/>
          </w:rPr>
          <w:fldChar w:fldCharType="separate"/>
        </w:r>
        <w:r w:rsidR="00D139E0" w:rsidRPr="008E1EC2">
          <w:rPr>
            <w:rFonts w:ascii="Arial Black" w:hAnsi="Arial Black"/>
            <w:noProof/>
            <w:sz w:val="18"/>
            <w:szCs w:val="18"/>
          </w:rPr>
          <w:t>2</w:t>
        </w:r>
        <w:r w:rsidR="00D139E0" w:rsidRPr="008E1EC2">
          <w:rPr>
            <w:rFonts w:ascii="Arial Black" w:hAnsi="Arial Black"/>
            <w:noProof/>
            <w:sz w:val="18"/>
            <w:szCs w:val="18"/>
          </w:rPr>
          <w:fldChar w:fldCharType="end"/>
        </w:r>
        <w:r w:rsidR="00D139E0" w:rsidRPr="008E1EC2">
          <w:rPr>
            <w:sz w:val="18"/>
            <w:szCs w:val="18"/>
          </w:rPr>
          <w:t xml:space="preserve"> </w:t>
        </w:r>
      </w:p>
      <w:p w14:paraId="096123EE" w14:textId="746BC424" w:rsidR="00D139E0" w:rsidRDefault="005E54CC" w:rsidP="00BD4BC4">
        <w:pPr>
          <w:pStyle w:val="Footer"/>
          <w:pBdr>
            <w:top w:val="single" w:sz="4" w:space="1" w:color="000000" w:themeColor="text1"/>
          </w:pBdr>
          <w:jc w:val="right"/>
        </w:pPr>
      </w:p>
    </w:sdtContent>
  </w:sdt>
  <w:p w14:paraId="26EC0249" w14:textId="39A06C08" w:rsidR="00B85A56" w:rsidRDefault="00B85A5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A334D" w14:textId="77777777" w:rsidR="00C57238" w:rsidRDefault="005E54C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26BEC14E" w14:textId="77777777" w:rsidR="00C57238" w:rsidRDefault="005E54C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AE8B0" w14:textId="77777777" w:rsidR="005E54CC" w:rsidRDefault="005E54CC" w:rsidP="001F3EBA">
      <w:pPr>
        <w:spacing w:after="0" w:line="240" w:lineRule="auto"/>
      </w:pPr>
      <w:r>
        <w:separator/>
      </w:r>
    </w:p>
  </w:footnote>
  <w:footnote w:type="continuationSeparator" w:id="0">
    <w:p w14:paraId="169699DB" w14:textId="77777777" w:rsidR="005E54CC" w:rsidRDefault="005E54CC" w:rsidP="001F3E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7AE43F8"/>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4EB4A892"/>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2DC2BD14"/>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1954117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D9C052A0"/>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4B52141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38E17E"/>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0A45D6C"/>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5760949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D7B0FA44"/>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1BF131F5"/>
    <w:multiLevelType w:val="hybridMultilevel"/>
    <w:tmpl w:val="6BAC0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B55BF5"/>
    <w:multiLevelType w:val="hybridMultilevel"/>
    <w:tmpl w:val="2E8611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6C4910"/>
    <w:multiLevelType w:val="hybridMultilevel"/>
    <w:tmpl w:val="733EA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9"/>
  </w:num>
  <w:num w:numId="3">
    <w:abstractNumId w:val="7"/>
  </w:num>
  <w:num w:numId="4">
    <w:abstractNumId w:val="6"/>
  </w:num>
  <w:num w:numId="5">
    <w:abstractNumId w:val="5"/>
  </w:num>
  <w:num w:numId="6">
    <w:abstractNumId w:val="4"/>
  </w:num>
  <w:num w:numId="7">
    <w:abstractNumId w:val="8"/>
  </w:num>
  <w:num w:numId="8">
    <w:abstractNumId w:val="3"/>
  </w:num>
  <w:num w:numId="9">
    <w:abstractNumId w:val="2"/>
  </w:num>
  <w:num w:numId="10">
    <w:abstractNumId w:val="1"/>
  </w:num>
  <w:num w:numId="11">
    <w:abstractNumId w:val="0"/>
  </w:num>
  <w:num w:numId="12">
    <w:abstractNumId w:val="11"/>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Q2MzEysbA0NrQ0NDJU0lEKTi0uzszPAykwrQUASeLF7iwAAAA="/>
  </w:docVars>
  <w:rsids>
    <w:rsidRoot w:val="00396B32"/>
    <w:rsid w:val="000044E3"/>
    <w:rsid w:val="00023348"/>
    <w:rsid w:val="00027103"/>
    <w:rsid w:val="00032125"/>
    <w:rsid w:val="00051465"/>
    <w:rsid w:val="0006617F"/>
    <w:rsid w:val="00081239"/>
    <w:rsid w:val="0009015C"/>
    <w:rsid w:val="0009256D"/>
    <w:rsid w:val="00096F13"/>
    <w:rsid w:val="000B579F"/>
    <w:rsid w:val="000C53B2"/>
    <w:rsid w:val="000F2370"/>
    <w:rsid w:val="00111D97"/>
    <w:rsid w:val="00120672"/>
    <w:rsid w:val="00122222"/>
    <w:rsid w:val="00133D20"/>
    <w:rsid w:val="00134A09"/>
    <w:rsid w:val="0014057C"/>
    <w:rsid w:val="00175D7D"/>
    <w:rsid w:val="001763E5"/>
    <w:rsid w:val="00193871"/>
    <w:rsid w:val="001A68A0"/>
    <w:rsid w:val="001C5449"/>
    <w:rsid w:val="001F0E14"/>
    <w:rsid w:val="001F0EE6"/>
    <w:rsid w:val="001F3EBA"/>
    <w:rsid w:val="002105A7"/>
    <w:rsid w:val="0025235D"/>
    <w:rsid w:val="0028508E"/>
    <w:rsid w:val="002B4131"/>
    <w:rsid w:val="002D1936"/>
    <w:rsid w:val="00306003"/>
    <w:rsid w:val="003202FB"/>
    <w:rsid w:val="00327D4B"/>
    <w:rsid w:val="003930B5"/>
    <w:rsid w:val="00396B32"/>
    <w:rsid w:val="003A3AA0"/>
    <w:rsid w:val="003B3181"/>
    <w:rsid w:val="003F705D"/>
    <w:rsid w:val="004114A8"/>
    <w:rsid w:val="00412544"/>
    <w:rsid w:val="004224FB"/>
    <w:rsid w:val="004236D4"/>
    <w:rsid w:val="00450B40"/>
    <w:rsid w:val="00466A7C"/>
    <w:rsid w:val="004870D9"/>
    <w:rsid w:val="00493224"/>
    <w:rsid w:val="00496B21"/>
    <w:rsid w:val="004A0AD1"/>
    <w:rsid w:val="004C2698"/>
    <w:rsid w:val="004D1C9C"/>
    <w:rsid w:val="004D5764"/>
    <w:rsid w:val="004E405A"/>
    <w:rsid w:val="004F30AD"/>
    <w:rsid w:val="00500613"/>
    <w:rsid w:val="00504165"/>
    <w:rsid w:val="00510EDF"/>
    <w:rsid w:val="005228DF"/>
    <w:rsid w:val="0052391B"/>
    <w:rsid w:val="00531322"/>
    <w:rsid w:val="00572867"/>
    <w:rsid w:val="0058126B"/>
    <w:rsid w:val="005A0A3A"/>
    <w:rsid w:val="005B3EE8"/>
    <w:rsid w:val="005E54CC"/>
    <w:rsid w:val="005E5F00"/>
    <w:rsid w:val="005E6236"/>
    <w:rsid w:val="005F607A"/>
    <w:rsid w:val="005F77BA"/>
    <w:rsid w:val="006028F3"/>
    <w:rsid w:val="00604A3E"/>
    <w:rsid w:val="00660F34"/>
    <w:rsid w:val="006643D3"/>
    <w:rsid w:val="00677071"/>
    <w:rsid w:val="006E50F2"/>
    <w:rsid w:val="006E753D"/>
    <w:rsid w:val="006F0832"/>
    <w:rsid w:val="006F105E"/>
    <w:rsid w:val="00701E5F"/>
    <w:rsid w:val="00702D03"/>
    <w:rsid w:val="00712B74"/>
    <w:rsid w:val="00721272"/>
    <w:rsid w:val="0074084B"/>
    <w:rsid w:val="007445CC"/>
    <w:rsid w:val="00771C50"/>
    <w:rsid w:val="007907B2"/>
    <w:rsid w:val="007B79F1"/>
    <w:rsid w:val="008008C8"/>
    <w:rsid w:val="008128F0"/>
    <w:rsid w:val="008244CA"/>
    <w:rsid w:val="00827C84"/>
    <w:rsid w:val="008962C9"/>
    <w:rsid w:val="008B2FC2"/>
    <w:rsid w:val="008B581C"/>
    <w:rsid w:val="008B616A"/>
    <w:rsid w:val="008B6879"/>
    <w:rsid w:val="008D2AEB"/>
    <w:rsid w:val="008E10EE"/>
    <w:rsid w:val="008E1EC2"/>
    <w:rsid w:val="00914A9D"/>
    <w:rsid w:val="00965276"/>
    <w:rsid w:val="0097575D"/>
    <w:rsid w:val="009836AF"/>
    <w:rsid w:val="00997990"/>
    <w:rsid w:val="009A2D1B"/>
    <w:rsid w:val="009B4508"/>
    <w:rsid w:val="009B64E2"/>
    <w:rsid w:val="009D750D"/>
    <w:rsid w:val="009E5581"/>
    <w:rsid w:val="009F6D5E"/>
    <w:rsid w:val="00A27CAF"/>
    <w:rsid w:val="00A35E0F"/>
    <w:rsid w:val="00A65BB2"/>
    <w:rsid w:val="00A7220C"/>
    <w:rsid w:val="00A73FC3"/>
    <w:rsid w:val="00A74976"/>
    <w:rsid w:val="00A83B15"/>
    <w:rsid w:val="00A92A25"/>
    <w:rsid w:val="00A9479C"/>
    <w:rsid w:val="00AB06C6"/>
    <w:rsid w:val="00AC010B"/>
    <w:rsid w:val="00B115DC"/>
    <w:rsid w:val="00B30588"/>
    <w:rsid w:val="00B55AA9"/>
    <w:rsid w:val="00B62538"/>
    <w:rsid w:val="00B71A6A"/>
    <w:rsid w:val="00B80CF8"/>
    <w:rsid w:val="00B85A56"/>
    <w:rsid w:val="00BC04DB"/>
    <w:rsid w:val="00BC124C"/>
    <w:rsid w:val="00BD4BC4"/>
    <w:rsid w:val="00BD5A21"/>
    <w:rsid w:val="00BE0589"/>
    <w:rsid w:val="00BE05E7"/>
    <w:rsid w:val="00C11893"/>
    <w:rsid w:val="00C15A59"/>
    <w:rsid w:val="00C511C8"/>
    <w:rsid w:val="00C61280"/>
    <w:rsid w:val="00C646F6"/>
    <w:rsid w:val="00C713F2"/>
    <w:rsid w:val="00C7416B"/>
    <w:rsid w:val="00C91BC3"/>
    <w:rsid w:val="00CA1D2C"/>
    <w:rsid w:val="00CC1574"/>
    <w:rsid w:val="00CC476C"/>
    <w:rsid w:val="00CD2DAB"/>
    <w:rsid w:val="00CF48EE"/>
    <w:rsid w:val="00D0768B"/>
    <w:rsid w:val="00D106B1"/>
    <w:rsid w:val="00D139E0"/>
    <w:rsid w:val="00D22B80"/>
    <w:rsid w:val="00D256C0"/>
    <w:rsid w:val="00D4365C"/>
    <w:rsid w:val="00D73D42"/>
    <w:rsid w:val="00D815F1"/>
    <w:rsid w:val="00D85298"/>
    <w:rsid w:val="00DB7D6A"/>
    <w:rsid w:val="00DD4FE1"/>
    <w:rsid w:val="00DE2704"/>
    <w:rsid w:val="00DF200F"/>
    <w:rsid w:val="00DF2410"/>
    <w:rsid w:val="00E07424"/>
    <w:rsid w:val="00E73DE7"/>
    <w:rsid w:val="00E746F1"/>
    <w:rsid w:val="00E878B6"/>
    <w:rsid w:val="00EC2D14"/>
    <w:rsid w:val="00ED1276"/>
    <w:rsid w:val="00ED16AB"/>
    <w:rsid w:val="00EE02A8"/>
    <w:rsid w:val="00F41910"/>
    <w:rsid w:val="00F63C70"/>
    <w:rsid w:val="00F81F15"/>
    <w:rsid w:val="00FD66B1"/>
    <w:rsid w:val="00FF26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9B256E0"/>
  <w15:docId w15:val="{9570A3C5-E2A3-4FE1-9405-C93F13EC66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3AA0"/>
  </w:style>
  <w:style w:type="paragraph" w:styleId="Heading1">
    <w:name w:val="heading 1"/>
    <w:basedOn w:val="Normal"/>
    <w:next w:val="Normal"/>
    <w:link w:val="Heading1Char"/>
    <w:uiPriority w:val="9"/>
    <w:qFormat/>
    <w:rsid w:val="00DE2704"/>
    <w:pPr>
      <w:keepNext/>
      <w:keepLines/>
      <w:spacing w:before="240" w:after="0"/>
      <w:outlineLvl w:val="0"/>
    </w:pPr>
    <w:rPr>
      <w:rFonts w:asciiTheme="majorHAnsi" w:eastAsiaTheme="majorEastAsia" w:hAnsiTheme="majorHAnsi" w:cstheme="majorBidi"/>
      <w:color w:val="2F5496" w:themeColor="accent1" w:themeShade="BF"/>
      <w:sz w:val="36"/>
      <w:szCs w:val="32"/>
    </w:rPr>
  </w:style>
  <w:style w:type="paragraph" w:styleId="Heading2">
    <w:name w:val="heading 2"/>
    <w:basedOn w:val="Normal"/>
    <w:next w:val="Normal"/>
    <w:link w:val="Heading2Char"/>
    <w:uiPriority w:val="9"/>
    <w:unhideWhenUsed/>
    <w:qFormat/>
    <w:rsid w:val="00DE270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106B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704"/>
    <w:rPr>
      <w:rFonts w:asciiTheme="majorHAnsi" w:eastAsiaTheme="majorEastAsia" w:hAnsiTheme="majorHAnsi" w:cstheme="majorBidi"/>
      <w:color w:val="2F5496" w:themeColor="accent1" w:themeShade="BF"/>
      <w:sz w:val="36"/>
      <w:szCs w:val="32"/>
    </w:rPr>
  </w:style>
  <w:style w:type="paragraph" w:styleId="Title">
    <w:name w:val="Title"/>
    <w:basedOn w:val="Normal"/>
    <w:next w:val="Normal"/>
    <w:link w:val="TitleChar"/>
    <w:uiPriority w:val="10"/>
    <w:qFormat/>
    <w:rsid w:val="00DE270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2704"/>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DE2704"/>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1F3E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3EBA"/>
  </w:style>
  <w:style w:type="paragraph" w:styleId="Footer">
    <w:name w:val="footer"/>
    <w:basedOn w:val="Normal"/>
    <w:link w:val="FooterChar"/>
    <w:uiPriority w:val="99"/>
    <w:unhideWhenUsed/>
    <w:rsid w:val="001F3E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3EBA"/>
  </w:style>
  <w:style w:type="paragraph" w:styleId="TOCHeading">
    <w:name w:val="TOC Heading"/>
    <w:basedOn w:val="Heading1"/>
    <w:next w:val="Normal"/>
    <w:uiPriority w:val="39"/>
    <w:unhideWhenUsed/>
    <w:qFormat/>
    <w:rsid w:val="009E5581"/>
    <w:pPr>
      <w:outlineLvl w:val="9"/>
    </w:pPr>
    <w:rPr>
      <w:sz w:val="32"/>
      <w:lang w:val="en-US"/>
    </w:rPr>
  </w:style>
  <w:style w:type="paragraph" w:styleId="TOC1">
    <w:name w:val="toc 1"/>
    <w:basedOn w:val="Normal"/>
    <w:next w:val="Normal"/>
    <w:autoRedefine/>
    <w:uiPriority w:val="39"/>
    <w:unhideWhenUsed/>
    <w:rsid w:val="009E5581"/>
    <w:pPr>
      <w:spacing w:after="100"/>
    </w:pPr>
  </w:style>
  <w:style w:type="character" w:styleId="Hyperlink">
    <w:name w:val="Hyperlink"/>
    <w:basedOn w:val="DefaultParagraphFont"/>
    <w:uiPriority w:val="99"/>
    <w:unhideWhenUsed/>
    <w:rsid w:val="003A3AA0"/>
    <w:rPr>
      <w:b/>
      <w:color w:val="auto"/>
      <w:u w:val="single"/>
    </w:rPr>
  </w:style>
  <w:style w:type="paragraph" w:styleId="ListParagraph">
    <w:name w:val="List Paragraph"/>
    <w:basedOn w:val="Normal"/>
    <w:uiPriority w:val="34"/>
    <w:qFormat/>
    <w:rsid w:val="00466A7C"/>
    <w:pPr>
      <w:ind w:left="720"/>
      <w:contextualSpacing/>
    </w:pPr>
  </w:style>
  <w:style w:type="paragraph" w:styleId="Revision">
    <w:name w:val="Revision"/>
    <w:hidden/>
    <w:uiPriority w:val="99"/>
    <w:semiHidden/>
    <w:rsid w:val="003A3AA0"/>
    <w:pPr>
      <w:spacing w:after="0" w:line="240" w:lineRule="auto"/>
    </w:pPr>
  </w:style>
  <w:style w:type="table" w:styleId="TableGrid">
    <w:name w:val="Table Grid"/>
    <w:basedOn w:val="TableNormal"/>
    <w:uiPriority w:val="39"/>
    <w:rsid w:val="003A3AA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1">
    <w:name w:val="Grid Table 2 Accent 1"/>
    <w:basedOn w:val="TableNormal"/>
    <w:uiPriority w:val="47"/>
    <w:rsid w:val="003A3AA0"/>
    <w:pPr>
      <w:spacing w:after="0" w:line="240" w:lineRule="auto"/>
    </w:pPr>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UnresolvedMention">
    <w:name w:val="Unresolved Mention"/>
    <w:basedOn w:val="DefaultParagraphFont"/>
    <w:uiPriority w:val="99"/>
    <w:semiHidden/>
    <w:unhideWhenUsed/>
    <w:rsid w:val="003A3AA0"/>
    <w:rPr>
      <w:color w:val="605E5C"/>
      <w:shd w:val="clear" w:color="auto" w:fill="E1DFDD"/>
    </w:rPr>
  </w:style>
  <w:style w:type="character" w:styleId="FollowedHyperlink">
    <w:name w:val="FollowedHyperlink"/>
    <w:basedOn w:val="DefaultParagraphFont"/>
    <w:uiPriority w:val="99"/>
    <w:unhideWhenUsed/>
    <w:rsid w:val="003A3AA0"/>
    <w:rPr>
      <w:b w:val="0"/>
      <w:i/>
      <w:color w:val="7F7F7F" w:themeColor="text1" w:themeTint="80"/>
      <w:u w:val="single"/>
    </w:rPr>
  </w:style>
  <w:style w:type="character" w:customStyle="1" w:styleId="Heading3Char">
    <w:name w:val="Heading 3 Char"/>
    <w:basedOn w:val="DefaultParagraphFont"/>
    <w:link w:val="Heading3"/>
    <w:uiPriority w:val="9"/>
    <w:rsid w:val="00D106B1"/>
    <w:rPr>
      <w:rFonts w:asciiTheme="majorHAnsi" w:eastAsiaTheme="majorEastAsia" w:hAnsiTheme="majorHAnsi" w:cstheme="majorBidi"/>
      <w:color w:val="1F3763" w:themeColor="accent1" w:themeShade="7F"/>
      <w:sz w:val="24"/>
      <w:szCs w:val="24"/>
    </w:rPr>
  </w:style>
  <w:style w:type="paragraph" w:styleId="TOC2">
    <w:name w:val="toc 2"/>
    <w:basedOn w:val="Normal"/>
    <w:next w:val="Normal"/>
    <w:autoRedefine/>
    <w:uiPriority w:val="39"/>
    <w:unhideWhenUsed/>
    <w:rsid w:val="00C713F2"/>
    <w:pPr>
      <w:spacing w:after="100"/>
      <w:ind w:left="220"/>
    </w:pPr>
  </w:style>
  <w:style w:type="paragraph" w:styleId="Caption">
    <w:name w:val="caption"/>
    <w:basedOn w:val="Normal"/>
    <w:next w:val="Normal"/>
    <w:uiPriority w:val="35"/>
    <w:unhideWhenUsed/>
    <w:qFormat/>
    <w:rsid w:val="00C91BC3"/>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86951DC-CC49-401F-8B3D-8FC72129EB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18095</TotalTime>
  <Pages>14</Pages>
  <Words>9337</Words>
  <Characters>53224</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 Harris (P151406)</dc:creator>
  <cp:keywords/>
  <dc:description/>
  <cp:lastModifiedBy>Carlene Campbell</cp:lastModifiedBy>
  <cp:revision>16</cp:revision>
  <dcterms:created xsi:type="dcterms:W3CDTF">2021-10-19T13:48:00Z</dcterms:created>
  <dcterms:modified xsi:type="dcterms:W3CDTF">2022-02-07T04:11:00Z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59f60b53-ff72-3efd-a0aa-487352440bc4</vt:lpwstr>
  </property>
  <property fmtid="{D5CDD505-2E9C-101B-9397-08002B2CF9AE}" pid="24" name="Mendeley Citation Style_1">
    <vt:lpwstr>http://www.zotero.org/styles/ieee</vt:lpwstr>
  </property>
</Properties>
</file>