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C269B" w:rsidRDefault="0098029A" w:rsidP="0098029A">
      <w:pPr>
        <w:pStyle w:val="Title"/>
        <w:jc w:val="center"/>
      </w:pPr>
      <w:r>
        <w:t>McLaren Financial Review 2022</w:t>
      </w:r>
    </w:p>
    <w:p w:rsidR="0098029A" w:rsidRDefault="0098029A" w:rsidP="0098029A">
      <w:pPr>
        <w:pStyle w:val="Heading1"/>
      </w:pPr>
      <w:r>
        <w:t>Executive Summary</w:t>
      </w:r>
      <w:r w:rsidR="00C547FD">
        <w:t xml:space="preserve"> (3000 words)</w:t>
      </w:r>
    </w:p>
    <w:p w:rsidR="00C508DE" w:rsidRPr="00C508DE" w:rsidRDefault="00C508DE" w:rsidP="00C508DE">
      <w:pPr>
        <w:jc w:val="both"/>
      </w:pPr>
      <w:r>
        <w:t>McLarens financial outlook has been assessed, analysing their financial statements and using profitability, liquidity, activity, leverage and investor ratios. These ratios show a negative view on the financial health of McLaren, although this is during the COVID period. Furthermore the area that is to be invested in, the electrification of cars, is promising, as BMW have already seen potential and are collaborating with McLaren on an electric car. Therefore investing in McLaren will not initially generate revenue, but the companies finances are being invested in and generating greater operating profits over time. This is why I would recommend investing and partnering with McLaren.</w:t>
      </w:r>
    </w:p>
    <w:p w:rsidR="0098029A" w:rsidRDefault="0098029A" w:rsidP="0098029A">
      <w:pPr>
        <w:pStyle w:val="Heading1"/>
      </w:pPr>
      <w:r>
        <w:t>Introduction</w:t>
      </w:r>
    </w:p>
    <w:p w:rsidR="00342F88" w:rsidRPr="00342F88" w:rsidRDefault="00342F88" w:rsidP="005510BC">
      <w:pPr>
        <w:jc w:val="both"/>
      </w:pPr>
      <w:r>
        <w:t>Electric cars</w:t>
      </w:r>
      <w:r w:rsidR="005510BC">
        <w:t xml:space="preserve"> are becoming more mainstream, forcing car manufacturers to make critical decisions on whether to continue to improve combustion cars, which are tried and tested, or develop electric cars. McLaren have decided to develop electric cars, with their entire road car range to be electrified by 2026 </w:t>
      </w:r>
      <w:sdt>
        <w:sdtPr>
          <w:id w:val="1899168645"/>
          <w:citation/>
        </w:sdtPr>
        <w:sdtContent>
          <w:r w:rsidR="00DA5131">
            <w:fldChar w:fldCharType="begin"/>
          </w:r>
          <w:r w:rsidR="00DA5131">
            <w:instrText xml:space="preserve"> CITATION Kar21 \l 2057 </w:instrText>
          </w:r>
          <w:r w:rsidR="00DA5131">
            <w:fldChar w:fldCharType="separate"/>
          </w:r>
          <w:r w:rsidR="00DA5131" w:rsidRPr="00DA5131">
            <w:rPr>
              <w:noProof/>
            </w:rPr>
            <w:t>(Karkaria, 2021)</w:t>
          </w:r>
          <w:r w:rsidR="00DA5131">
            <w:fldChar w:fldCharType="end"/>
          </w:r>
        </w:sdtContent>
      </w:sdt>
      <w:r w:rsidR="005510BC">
        <w:t xml:space="preserve">. This is further supported by the release of their new car, the </w:t>
      </w:r>
      <w:proofErr w:type="spellStart"/>
      <w:r w:rsidR="005510BC">
        <w:t>Artura</w:t>
      </w:r>
      <w:proofErr w:type="spellEnd"/>
      <w:r w:rsidR="005510BC">
        <w:t xml:space="preserve">, which is a plug in hybrid allowing it to have </w:t>
      </w:r>
      <w:r w:rsidR="00746259">
        <w:t xml:space="preserve">a smaller combustion engine </w:t>
      </w:r>
      <w:sdt>
        <w:sdtPr>
          <w:id w:val="-2100714588"/>
          <w:citation/>
        </w:sdtPr>
        <w:sdtContent>
          <w:r w:rsidR="00DA5131">
            <w:fldChar w:fldCharType="begin"/>
          </w:r>
          <w:r w:rsidR="00DA5131">
            <w:instrText xml:space="preserve"> CITATION Fow21 \l 2057 </w:instrText>
          </w:r>
          <w:r w:rsidR="00DA5131">
            <w:fldChar w:fldCharType="separate"/>
          </w:r>
          <w:r w:rsidR="00DA5131" w:rsidRPr="00DA5131">
            <w:rPr>
              <w:noProof/>
            </w:rPr>
            <w:t>(Fowler, 2021)</w:t>
          </w:r>
          <w:r w:rsidR="00DA5131">
            <w:fldChar w:fldCharType="end"/>
          </w:r>
        </w:sdtContent>
      </w:sdt>
      <w:r w:rsidR="00746259">
        <w:t xml:space="preserve">. Furthermore McLaren have reduced the weight of the car, reducing the impact of the weight of the batteries. This enhancement, along with their participation in Formula 1, indicates that McLaren are keen to be at the forefront of the automotive industry with leading technological advancements. There is the potential to work with McLaren to utilise their research and development, applying it to mainstream city cars. To see if this is finically viable, McLarens </w:t>
      </w:r>
      <w:r w:rsidR="00C547FD">
        <w:t>financial health needs to be assessed through their financial statements.</w:t>
      </w:r>
      <w:r w:rsidR="00746259">
        <w:t xml:space="preserve"> </w:t>
      </w:r>
      <w:r w:rsidR="00C547FD">
        <w:t>From these</w:t>
      </w:r>
      <w:r w:rsidR="003C312C">
        <w:t xml:space="preserve"> statements</w:t>
      </w:r>
      <w:r w:rsidR="00C547FD">
        <w:t xml:space="preserve">, activity, profitability, liquidity, leverage and investor ratios can be formed. Using this, statements from McLarens board and understanding their next projects, a decision can be made on whether to proceed on a joint project with McLaren Holdings Company. </w:t>
      </w:r>
    </w:p>
    <w:p w:rsidR="0098029A" w:rsidRDefault="0098029A" w:rsidP="0098029A">
      <w:pPr>
        <w:pStyle w:val="Heading1"/>
      </w:pPr>
      <w:r>
        <w:t xml:space="preserve">Financial Ratios </w:t>
      </w:r>
    </w:p>
    <w:p w:rsidR="00AD7581" w:rsidRPr="00AD7581" w:rsidRDefault="00AD7581" w:rsidP="00AD7581">
      <w:pPr>
        <w:jc w:val="both"/>
      </w:pPr>
      <w:r>
        <w:t>McLarens financial statements were obtained from 2019 to the most rec</w:t>
      </w:r>
      <w:r w:rsidR="00803C1F">
        <w:t xml:space="preserve">ent statement in Q3 of 2021. These are the balance sheet, income statement and cash flow statement </w:t>
      </w:r>
      <w:sdt>
        <w:sdtPr>
          <w:id w:val="-1520225704"/>
          <w:citation/>
        </w:sdtPr>
        <w:sdtContent>
          <w:r w:rsidR="00DA5131">
            <w:fldChar w:fldCharType="begin"/>
          </w:r>
          <w:r w:rsidR="00DA5131">
            <w:instrText xml:space="preserve"> CITATION PWC20 \l 2057 </w:instrText>
          </w:r>
          <w:r w:rsidR="00DA5131">
            <w:fldChar w:fldCharType="separate"/>
          </w:r>
          <w:r w:rsidR="00DA5131" w:rsidRPr="00DA5131">
            <w:rPr>
              <w:noProof/>
            </w:rPr>
            <w:t>(PWC, 2020)</w:t>
          </w:r>
          <w:r w:rsidR="00DA5131">
            <w:fldChar w:fldCharType="end"/>
          </w:r>
        </w:sdtContent>
      </w:sdt>
      <w:r w:rsidR="00803C1F">
        <w:t>, showing the financial health of the company.</w:t>
      </w:r>
      <w:r w:rsidR="0048287E">
        <w:t xml:space="preserve"> The balance sheet shows the company’s assets and liabilities, highlighting what investments (long term financial assets) are within the company</w:t>
      </w:r>
      <w:r w:rsidR="001C13A8">
        <w:t xml:space="preserve">. Whilst these are some of the key things investors look for, their value can become volatile during economic turmoil </w:t>
      </w:r>
      <w:sdt>
        <w:sdtPr>
          <w:id w:val="2091502434"/>
          <w:citation/>
        </w:sdtPr>
        <w:sdtContent>
          <w:r w:rsidR="0068147F">
            <w:fldChar w:fldCharType="begin"/>
          </w:r>
          <w:r w:rsidR="0068147F">
            <w:instrText xml:space="preserve"> CITATION Lin18 \l 2057 </w:instrText>
          </w:r>
          <w:r w:rsidR="0068147F">
            <w:fldChar w:fldCharType="separate"/>
          </w:r>
          <w:r w:rsidR="0068147F" w:rsidRPr="0068147F">
            <w:rPr>
              <w:noProof/>
            </w:rPr>
            <w:t>(Lin, et al., 2018)</w:t>
          </w:r>
          <w:r w:rsidR="0068147F">
            <w:fldChar w:fldCharType="end"/>
          </w:r>
        </w:sdtContent>
      </w:sdt>
      <w:r w:rsidR="001C13A8">
        <w:t>.</w:t>
      </w:r>
      <w:r w:rsidR="00A67F59">
        <w:t xml:space="preserve"> The </w:t>
      </w:r>
      <w:r w:rsidR="00447C88">
        <w:t>total value of long term liabilities are shown, whereas the income statement is only concerned with the yearly in</w:t>
      </w:r>
      <w:r w:rsidR="00DA4F0A">
        <w:t>terest payments. This is because the income statement shows the progression from the total revenue made in a time period and then what the operating costs, admin costs and taxes are. Therefore t</w:t>
      </w:r>
      <w:r w:rsidR="00A67F59">
        <w:t>he income statement shows the profitabil</w:t>
      </w:r>
      <w:r w:rsidR="00DA4F0A">
        <w:t xml:space="preserve">ity of the company. Finally the cash flow statement shows the different cash flows within the company: operations, investments and financing </w:t>
      </w:r>
      <w:sdt>
        <w:sdtPr>
          <w:id w:val="581881184"/>
          <w:citation/>
        </w:sdtPr>
        <w:sdtContent>
          <w:r w:rsidR="0068147F">
            <w:fldChar w:fldCharType="begin"/>
          </w:r>
          <w:r w:rsidR="0068147F">
            <w:instrText xml:space="preserve"> CITATION PWC20 \l 2057 </w:instrText>
          </w:r>
          <w:r w:rsidR="0068147F">
            <w:fldChar w:fldCharType="separate"/>
          </w:r>
          <w:r w:rsidR="0068147F" w:rsidRPr="0068147F">
            <w:rPr>
              <w:noProof/>
            </w:rPr>
            <w:t>(PWC, 2020)</w:t>
          </w:r>
          <w:r w:rsidR="0068147F">
            <w:fldChar w:fldCharType="end"/>
          </w:r>
        </w:sdtContent>
      </w:sdt>
      <w:r w:rsidR="00DA4F0A">
        <w:t xml:space="preserve">. It therefore shows whether profits are internally invested or used to pay shareholders. </w:t>
      </w:r>
      <w:r w:rsidR="00A627C7">
        <w:t xml:space="preserve">Using these statements and statements from McLaren board members, they are trying to seem attractive to investors. This would therefore allow them to obtain cheap capital </w:t>
      </w:r>
      <w:sdt>
        <w:sdtPr>
          <w:id w:val="1443267379"/>
          <w:citation/>
        </w:sdtPr>
        <w:sdtContent>
          <w:r w:rsidR="0068147F">
            <w:fldChar w:fldCharType="begin"/>
          </w:r>
          <w:r w:rsidR="0068147F">
            <w:instrText xml:space="preserve"> CITATION Fri11 \l 2057 </w:instrText>
          </w:r>
          <w:r w:rsidR="0068147F">
            <w:fldChar w:fldCharType="separate"/>
          </w:r>
          <w:r w:rsidR="0068147F" w:rsidRPr="0068147F">
            <w:rPr>
              <w:noProof/>
            </w:rPr>
            <w:t>(Fridson &amp; Alvarez, 2011)</w:t>
          </w:r>
          <w:r w:rsidR="0068147F">
            <w:fldChar w:fldCharType="end"/>
          </w:r>
        </w:sdtContent>
      </w:sdt>
      <w:r w:rsidR="00135B03">
        <w:t xml:space="preserve"> to invest in developing the business</w:t>
      </w:r>
      <w:r w:rsidR="00A627C7">
        <w:t>.</w:t>
      </w:r>
    </w:p>
    <w:p w:rsidR="0098029A" w:rsidRDefault="0098029A" w:rsidP="0098029A">
      <w:pPr>
        <w:pStyle w:val="Heading2"/>
      </w:pPr>
      <w:r>
        <w:t>Profitability Ratios</w:t>
      </w:r>
    </w:p>
    <w:p w:rsidR="00135B03" w:rsidRPr="00135B03" w:rsidRDefault="00135B03" w:rsidP="00D2273E">
      <w:pPr>
        <w:jc w:val="both"/>
      </w:pPr>
      <w:r>
        <w:t>The profitability of the company can be determined from the financial statements</w:t>
      </w:r>
      <w:r w:rsidR="00BC3E4E">
        <w:t>, with the margin ratios highlighting where the majority of the expenditure is coming from.</w:t>
      </w:r>
      <w:r>
        <w:t xml:space="preserve"> </w:t>
      </w:r>
      <w:r w:rsidR="00BC3E4E">
        <w:t>The margin ratios are the gross profit margin, which is the margin after cost of goods, the operating margin which deducts the operating costs and finally the net profit which removes all administrative costs.</w:t>
      </w:r>
      <w:r w:rsidR="00D2273E">
        <w:t xml:space="preserve"> These ratios are not impacted by assets and shareholders involvement </w:t>
      </w:r>
      <w:sdt>
        <w:sdtPr>
          <w:id w:val="-1257824072"/>
          <w:citation/>
        </w:sdtPr>
        <w:sdtContent>
          <w:r w:rsidR="0068147F">
            <w:fldChar w:fldCharType="begin"/>
          </w:r>
          <w:r w:rsidR="0068147F">
            <w:instrText xml:space="preserve"> CITATION Ich21 \l 2057 </w:instrText>
          </w:r>
          <w:r w:rsidR="0068147F">
            <w:fldChar w:fldCharType="separate"/>
          </w:r>
          <w:r w:rsidR="0068147F" w:rsidRPr="0068147F">
            <w:rPr>
              <w:noProof/>
            </w:rPr>
            <w:t>(Ichsani, et al., 2021)</w:t>
          </w:r>
          <w:r w:rsidR="0068147F">
            <w:fldChar w:fldCharType="end"/>
          </w:r>
        </w:sdtContent>
      </w:sdt>
      <w:r w:rsidR="00D2273E">
        <w:t xml:space="preserve">, but show the amount of profit possibly available to investors, further highlighted by the return on assets and return on equity ratios. </w:t>
      </w:r>
      <w:r w:rsidR="00137479">
        <w:t xml:space="preserve">The most common ratio of interest to investors in the return on equity </w:t>
      </w:r>
      <w:r w:rsidR="00D165A6">
        <w:t xml:space="preserve">(ROE) </w:t>
      </w:r>
      <w:r w:rsidR="00137479">
        <w:t>as it sh</w:t>
      </w:r>
      <w:r w:rsidR="00B118DB">
        <w:t>ows the return on investment</w:t>
      </w:r>
      <w:r w:rsidR="00137479">
        <w:t xml:space="preserve">. However this has 3 problems: </w:t>
      </w:r>
      <w:r w:rsidR="00D165A6">
        <w:t xml:space="preserve">new products offer an initial low ROE, any risks are ignored and shows the book value not the market value </w:t>
      </w:r>
      <w:sdt>
        <w:sdtPr>
          <w:id w:val="1554887297"/>
          <w:citation/>
        </w:sdtPr>
        <w:sdtContent>
          <w:r w:rsidR="00B118DB">
            <w:fldChar w:fldCharType="begin"/>
          </w:r>
          <w:r w:rsidR="00B118DB">
            <w:instrText xml:space="preserve"> CITATION Les07 \l 2057 </w:instrText>
          </w:r>
          <w:r w:rsidR="00B118DB">
            <w:fldChar w:fldCharType="separate"/>
          </w:r>
          <w:r w:rsidR="00B118DB" w:rsidRPr="00B118DB">
            <w:rPr>
              <w:noProof/>
            </w:rPr>
            <w:t>(Lesakova, 2007)</w:t>
          </w:r>
          <w:r w:rsidR="00B118DB">
            <w:fldChar w:fldCharType="end"/>
          </w:r>
        </w:sdtContent>
      </w:sdt>
      <w:r w:rsidR="00D165A6">
        <w:t>. Therefore the other ratio types are designed to support these ratios.</w:t>
      </w:r>
    </w:p>
    <w:p w:rsidR="0098029A" w:rsidRDefault="0098029A" w:rsidP="0098029A">
      <w:pPr>
        <w:pStyle w:val="Heading2"/>
      </w:pPr>
      <w:r>
        <w:lastRenderedPageBreak/>
        <w:t>Liquidity Ratios</w:t>
      </w:r>
    </w:p>
    <w:p w:rsidR="00D165A6" w:rsidRPr="00D165A6" w:rsidRDefault="00D165A6" w:rsidP="00137B61">
      <w:pPr>
        <w:jc w:val="both"/>
      </w:pPr>
      <w:r>
        <w:t xml:space="preserve">The ability to cover all a company’s current liabilities is important </w:t>
      </w:r>
      <w:r w:rsidR="00137B61">
        <w:t>in case of payment being demanded.</w:t>
      </w:r>
      <w:r w:rsidR="009828CF">
        <w:t xml:space="preserve"> There are 2 ratios that look at this: the current ratio and the quick ratio. These both look at current assets over current liabilities, although the quick ratio</w:t>
      </w:r>
      <w:r w:rsidR="00C0632E">
        <w:t xml:space="preserve"> does not count inventory stock. This is because the conversion of inventory to cash takes time, which may not be suitable for the allowed time. This conveys that liquidity ratios show the inherent risk within a company, as a low current ratio indicates a higher chance of the business defaulting</w:t>
      </w:r>
      <w:r w:rsidR="009828CF">
        <w:t xml:space="preserve"> </w:t>
      </w:r>
      <w:sdt>
        <w:sdtPr>
          <w:id w:val="1492452155"/>
          <w:citation/>
        </w:sdtPr>
        <w:sdtContent>
          <w:r w:rsidR="00B118DB">
            <w:fldChar w:fldCharType="begin"/>
          </w:r>
          <w:r w:rsidR="00B118DB">
            <w:instrText xml:space="preserve"> CITATION Gru17 \l 2057 </w:instrText>
          </w:r>
          <w:r w:rsidR="00B118DB">
            <w:fldChar w:fldCharType="separate"/>
          </w:r>
          <w:r w:rsidR="00B118DB" w:rsidRPr="00B118DB">
            <w:rPr>
              <w:noProof/>
            </w:rPr>
            <w:t>(Grundke &amp; Kuhn, 2017)</w:t>
          </w:r>
          <w:r w:rsidR="00B118DB">
            <w:fldChar w:fldCharType="end"/>
          </w:r>
        </w:sdtContent>
      </w:sdt>
      <w:r w:rsidR="00C0632E">
        <w:t>.</w:t>
      </w:r>
    </w:p>
    <w:p w:rsidR="0098029A" w:rsidRDefault="006B5E6E" w:rsidP="0098029A">
      <w:pPr>
        <w:pStyle w:val="Heading2"/>
      </w:pPr>
      <w:r>
        <w:t>Activity</w:t>
      </w:r>
      <w:r w:rsidR="0098029A">
        <w:t xml:space="preserve"> Ratios</w:t>
      </w:r>
    </w:p>
    <w:p w:rsidR="00C0632E" w:rsidRPr="00C0632E" w:rsidRDefault="00C0632E" w:rsidP="0035093E">
      <w:pPr>
        <w:jc w:val="both"/>
      </w:pPr>
      <w:r>
        <w:t>The activity of a company is measured through the activity ratios</w:t>
      </w:r>
      <w:r w:rsidR="0035093E">
        <w:t>. The first one is the day’s sales outstanding, which is the average amount of money per day over the year that is owed to the company.</w:t>
      </w:r>
      <w:r>
        <w:t xml:space="preserve"> </w:t>
      </w:r>
      <w:r w:rsidR="0035093E">
        <w:t>This is shadowed by the day’s payable outstanding which is the average amount of money per day over the year that the company owes</w:t>
      </w:r>
      <w:r w:rsidR="004E609D">
        <w:t xml:space="preserve">. Finally there is the inventory turnover, which is the number of times the cost of the inventory goes in to the total revenue, indicating the annual number of times it has been replenished. These are used by investors to predict future cash flows, as it shows the financing of the company compared to the sales generated </w:t>
      </w:r>
      <w:sdt>
        <w:sdtPr>
          <w:id w:val="-1682274411"/>
          <w:citation/>
        </w:sdtPr>
        <w:sdtContent>
          <w:r w:rsidR="00B118DB">
            <w:fldChar w:fldCharType="begin"/>
          </w:r>
          <w:r w:rsidR="00B118DB">
            <w:instrText xml:space="preserve"> CITATION Zel90 \l 2057 </w:instrText>
          </w:r>
          <w:r w:rsidR="00B118DB">
            <w:fldChar w:fldCharType="separate"/>
          </w:r>
          <w:r w:rsidR="00B118DB" w:rsidRPr="00B118DB">
            <w:rPr>
              <w:noProof/>
            </w:rPr>
            <w:t>(Zeller, 1990)</w:t>
          </w:r>
          <w:r w:rsidR="00B118DB">
            <w:fldChar w:fldCharType="end"/>
          </w:r>
        </w:sdtContent>
      </w:sdt>
      <w:r w:rsidR="004E609D">
        <w:t xml:space="preserve"> giving a further insight into the company. </w:t>
      </w:r>
    </w:p>
    <w:p w:rsidR="0098029A" w:rsidRDefault="00C547FD" w:rsidP="0098029A">
      <w:pPr>
        <w:pStyle w:val="Heading2"/>
      </w:pPr>
      <w:r>
        <w:t>Leverage</w:t>
      </w:r>
      <w:r w:rsidR="0098029A">
        <w:t xml:space="preserve"> Ratios</w:t>
      </w:r>
    </w:p>
    <w:p w:rsidR="0098029A" w:rsidRDefault="00E16648" w:rsidP="00BE045D">
      <w:pPr>
        <w:jc w:val="both"/>
      </w:pPr>
      <w:r>
        <w:t xml:space="preserve">Leverage ratios show the ability to be able to pay back loans and interest to banks </w:t>
      </w:r>
      <w:sdt>
        <w:sdtPr>
          <w:id w:val="2005847631"/>
          <w:citation/>
        </w:sdtPr>
        <w:sdtContent>
          <w:r w:rsidR="00B118DB">
            <w:fldChar w:fldCharType="begin"/>
          </w:r>
          <w:r w:rsidR="00B118DB">
            <w:instrText xml:space="preserve"> CITATION Bar18 \l 2057 </w:instrText>
          </w:r>
          <w:r w:rsidR="00B118DB">
            <w:fldChar w:fldCharType="separate"/>
          </w:r>
          <w:r w:rsidR="00B118DB" w:rsidRPr="00B118DB">
            <w:rPr>
              <w:noProof/>
            </w:rPr>
            <w:t>(Barth &amp; Seckinger, 2018)</w:t>
          </w:r>
          <w:r w:rsidR="00B118DB">
            <w:fldChar w:fldCharType="end"/>
          </w:r>
        </w:sdtContent>
      </w:sdt>
      <w:r w:rsidR="00BE045D">
        <w:t xml:space="preserve">. They also indicate whether the company is growing quickly or slowly, as quick growing companies tend to have a lower amount of debt </w:t>
      </w:r>
      <w:sdt>
        <w:sdtPr>
          <w:id w:val="-1273621761"/>
          <w:citation/>
        </w:sdtPr>
        <w:sdtContent>
          <w:r w:rsidR="00B118DB">
            <w:fldChar w:fldCharType="begin"/>
          </w:r>
          <w:r w:rsidR="00B118DB">
            <w:instrText xml:space="preserve"> CITATION Col01 \l 2057 </w:instrText>
          </w:r>
          <w:r w:rsidR="00B118DB">
            <w:fldChar w:fldCharType="separate"/>
          </w:r>
          <w:r w:rsidR="00B118DB" w:rsidRPr="00B118DB">
            <w:rPr>
              <w:noProof/>
            </w:rPr>
            <w:t>(Collin-Dufresne &amp; Goldstein, 2001)</w:t>
          </w:r>
          <w:r w:rsidR="00B118DB">
            <w:fldChar w:fldCharType="end"/>
          </w:r>
        </w:sdtContent>
      </w:sdt>
      <w:r w:rsidR="00BE045D">
        <w:t xml:space="preserve">. The 2 ratios that show this, the first being the debt to equity ratio, showing the amount of investment within the company and therefore the firms value </w:t>
      </w:r>
      <w:sdt>
        <w:sdtPr>
          <w:id w:val="1991210413"/>
          <w:citation/>
        </w:sdtPr>
        <w:sdtContent>
          <w:r w:rsidR="00CB4ACF">
            <w:fldChar w:fldCharType="begin"/>
          </w:r>
          <w:r w:rsidR="00CB4ACF">
            <w:instrText xml:space="preserve"> CITATION Mor04 \l 2057 </w:instrText>
          </w:r>
          <w:r w:rsidR="00CB4ACF">
            <w:fldChar w:fldCharType="separate"/>
          </w:r>
          <w:r w:rsidR="00CB4ACF" w:rsidRPr="00CB4ACF">
            <w:rPr>
              <w:noProof/>
            </w:rPr>
            <w:t>(Morellec, 2004)</w:t>
          </w:r>
          <w:r w:rsidR="00CB4ACF">
            <w:fldChar w:fldCharType="end"/>
          </w:r>
        </w:sdtContent>
      </w:sdt>
      <w:r w:rsidR="00BE045D">
        <w:t>. The second is the interest coverage, which is the percentage of operating profits that are used towards paying the interest of the loans taken out.</w:t>
      </w:r>
    </w:p>
    <w:p w:rsidR="0098029A" w:rsidRDefault="00C547FD" w:rsidP="0098029A">
      <w:pPr>
        <w:pStyle w:val="Heading2"/>
      </w:pPr>
      <w:r>
        <w:t>Investor</w:t>
      </w:r>
      <w:r w:rsidR="0098029A">
        <w:t xml:space="preserve"> Ratios</w:t>
      </w:r>
    </w:p>
    <w:p w:rsidR="006C03BA" w:rsidRPr="006C03BA" w:rsidRDefault="006C03BA" w:rsidP="006C03BA">
      <w:pPr>
        <w:jc w:val="both"/>
      </w:pPr>
      <w:r>
        <w:t>Investor ratios look at the shares available within the company. The basis of these ratios are the earnings per ordinary share, which is the net income over the number of available shares</w:t>
      </w:r>
      <w:r w:rsidR="009132F2">
        <w:t xml:space="preserve">. Dividends are the payments investors receive, primarily on preferential shares. The coverage of these dividends is measured by dividend cover </w:t>
      </w:r>
      <w:sdt>
        <w:sdtPr>
          <w:id w:val="-1607726525"/>
          <w:citation/>
        </w:sdtPr>
        <w:sdtContent>
          <w:r w:rsidR="00CB4ACF">
            <w:fldChar w:fldCharType="begin"/>
          </w:r>
          <w:r w:rsidR="00CB4ACF">
            <w:instrText xml:space="preserve"> CITATION ICA20 \l 2057 </w:instrText>
          </w:r>
          <w:r w:rsidR="00CB4ACF">
            <w:fldChar w:fldCharType="separate"/>
          </w:r>
          <w:r w:rsidR="00CB4ACF" w:rsidRPr="00CB4ACF">
            <w:rPr>
              <w:noProof/>
            </w:rPr>
            <w:t>(ICAEW, 2020)</w:t>
          </w:r>
          <w:r w:rsidR="00CB4ACF">
            <w:fldChar w:fldCharType="end"/>
          </w:r>
        </w:sdtContent>
      </w:sdt>
      <w:r w:rsidR="009132F2">
        <w:t>, which is the number of times a share can be paid. This can then be converted to the dividend yield, giving a ratio</w:t>
      </w:r>
      <w:r w:rsidR="008F323F">
        <w:t xml:space="preserve"> of how much is paid to a company’s investors annually. However there is a negative relationship between dividend yield and stock prices, whereas price per earnings has a positive impact. This is because price earnings allows for anomalies to be exploited and therefore investors to earn money from their investment, however as the company develops these anomalies disappear and the dividend cover becomes a better measure </w:t>
      </w:r>
      <w:sdt>
        <w:sdtPr>
          <w:id w:val="452685422"/>
          <w:citation/>
        </w:sdtPr>
        <w:sdtContent>
          <w:r w:rsidR="00CB4ACF">
            <w:fldChar w:fldCharType="begin"/>
          </w:r>
          <w:r w:rsidR="00CB4ACF">
            <w:instrText xml:space="preserve"> CITATION Zam14 \l 2057 </w:instrText>
          </w:r>
          <w:r w:rsidR="00CB4ACF">
            <w:fldChar w:fldCharType="separate"/>
          </w:r>
          <w:r w:rsidR="00CB4ACF" w:rsidRPr="00CB4ACF">
            <w:rPr>
              <w:noProof/>
            </w:rPr>
            <w:t>(Zaman, 2014)</w:t>
          </w:r>
          <w:r w:rsidR="00CB4ACF">
            <w:fldChar w:fldCharType="end"/>
          </w:r>
        </w:sdtContent>
      </w:sdt>
      <w:r w:rsidR="008F323F">
        <w:t>.</w:t>
      </w:r>
    </w:p>
    <w:p w:rsidR="0098029A" w:rsidRDefault="0098029A" w:rsidP="0098029A">
      <w:pPr>
        <w:pStyle w:val="Heading2"/>
      </w:pPr>
      <w:r>
        <w:t>Rati</w:t>
      </w:r>
      <w:r w:rsidR="004E609D">
        <w:t>o Relationships</w:t>
      </w:r>
    </w:p>
    <w:p w:rsidR="008F323F" w:rsidRPr="008F323F" w:rsidRDefault="008F323F" w:rsidP="0082381D">
      <w:pPr>
        <w:jc w:val="both"/>
      </w:pPr>
      <w:r>
        <w:t xml:space="preserve">Profitability and liquidity ratios have a negative relationship </w:t>
      </w:r>
      <w:sdt>
        <w:sdtPr>
          <w:id w:val="663755105"/>
          <w:citation/>
        </w:sdtPr>
        <w:sdtContent>
          <w:r w:rsidR="00CB4ACF">
            <w:fldChar w:fldCharType="begin"/>
          </w:r>
          <w:r w:rsidR="00CB4ACF">
            <w:instrText xml:space="preserve"> CITATION Azi17 \l 2057 </w:instrText>
          </w:r>
          <w:r w:rsidR="00CB4ACF">
            <w:fldChar w:fldCharType="separate"/>
          </w:r>
          <w:r w:rsidR="00CB4ACF" w:rsidRPr="00CB4ACF">
            <w:rPr>
              <w:noProof/>
            </w:rPr>
            <w:t>(Aziz &amp; A. Abdul, 2017)</w:t>
          </w:r>
          <w:r w:rsidR="00CB4ACF">
            <w:fldChar w:fldCharType="end"/>
          </w:r>
        </w:sdtContent>
      </w:sdt>
      <w:r w:rsidR="0082381D">
        <w:t xml:space="preserve"> as liquidity ratios show the debt coverage within a company, whereas the profitability shows the amount of free cash available. Furthermore being able to show that the company is low risk by covering its debts supports the leverage ratios in showing that the business is low risk; this therefore makes it worthy of low interest loans. The profitability and investor ratios are intrinsically linked, as a greater net profit allows for greater dividend payments. Finally activity ratios show the rate of growth within the company as a high inventory turnover would imply high growth levels. This would indicate whether the price earnings or dividend cover should be used for comparison to other businesses.</w:t>
      </w:r>
    </w:p>
    <w:p w:rsidR="0098029A" w:rsidRDefault="0098029A" w:rsidP="0098029A">
      <w:pPr>
        <w:pStyle w:val="Heading1"/>
      </w:pPr>
      <w:r>
        <w:lastRenderedPageBreak/>
        <w:t>McLaren Ratio Analysis</w:t>
      </w:r>
    </w:p>
    <w:p w:rsidR="00993C45" w:rsidRDefault="00993C45" w:rsidP="007E1741">
      <w:pPr>
        <w:jc w:val="both"/>
      </w:pPr>
      <w:r>
        <w:t>McLaren’s financial statements were assessed from 2019 to the 3</w:t>
      </w:r>
      <w:r w:rsidRPr="00993C45">
        <w:rPr>
          <w:vertAlign w:val="superscript"/>
        </w:rPr>
        <w:t>rd</w:t>
      </w:r>
      <w:r w:rsidR="007E1741">
        <w:t xml:space="preserve"> quarter of 2021. A quarter review cannot be directly compared to an annual review, as the revenue only reflects 25% of the year; however by using ratios, a better comparison can be</w:t>
      </w:r>
      <w:r w:rsidR="001E11BE">
        <w:t xml:space="preserve"> made as the ratios dimensionless</w:t>
      </w:r>
      <w:r w:rsidR="007E1741">
        <w:t>.</w:t>
      </w:r>
      <w:r w:rsidR="001E11BE">
        <w:t xml:space="preserve"> Furthermore the quarterly report only contains selected information, so only the profitability ratios could be made. The outcome of the profitability ratios shows a negative picture as across the 3 years there has not been a net profit margin</w:t>
      </w:r>
      <w:r w:rsidR="00824E14">
        <w:t>, which has resulted in no return in assets or equity.</w:t>
      </w:r>
      <w:r w:rsidR="007E3B26">
        <w:t xml:space="preserve"> This means that there is currently no return on investments within McLaren.</w:t>
      </w:r>
      <w:r w:rsidR="00824E14">
        <w:t xml:space="preserve"> The greatest loss was in 2020 with a net profit margin of -83.09%, meaning that the company is recovering in 2021 with a margin of -13.93% and was relatively stable in 2019 at -2.89%. This implies that the sharp loss and rapid recovery</w:t>
      </w:r>
      <w:r w:rsidR="007E3B26">
        <w:t xml:space="preserve">, which is likely related to the COVID 19 pandemic. This is further supported by the reduced revenue in 2020, resulting in the administrative costs </w:t>
      </w:r>
      <w:r w:rsidR="00AB432A">
        <w:t>becoming the most significant costs within the business. Low operating costs would be due to reduced demand and operators on the furlough scheme during the pandemic, whereas administrative staff were able to work from home.</w:t>
      </w:r>
      <w:r w:rsidR="007E3B26">
        <w:t xml:space="preserve"> </w:t>
      </w:r>
    </w:p>
    <w:p w:rsidR="00E871EF" w:rsidRDefault="00E871EF" w:rsidP="007E1741">
      <w:pPr>
        <w:jc w:val="both"/>
      </w:pPr>
      <w:r>
        <w:t xml:space="preserve">The </w:t>
      </w:r>
      <w:r w:rsidR="003835EA">
        <w:t>ability for a business to definitely cover debts immediately is explored in the liquidity ratios. The current ratio covers all the liabilities in 2019, meaning that it is over 100%</w:t>
      </w:r>
      <w:r w:rsidR="00C76606">
        <w:t>, however the quick ra</w:t>
      </w:r>
      <w:r w:rsidR="000A7A1B">
        <w:t>tio is below 100% as the stock has been excluded. Due to a decrease in assets and increase in liabilities, the current ratio is 79.01% in 2020</w:t>
      </w:r>
      <w:r w:rsidR="00DC6FCB">
        <w:t>, which means that there are not enough current assets to cover all the current liabilities. However there is also less stock in the assets, meaning that the quick ratio is a far greater proportion of the current ratio. This implies a reduction in production, which runs concurrently with the pandemic. Nevertheless the strategic report states that production have altered to the new working measures from COVID, which has resulted in liabilities to manage the risk as well as a promising outlook on the increase in stock for production.</w:t>
      </w:r>
    </w:p>
    <w:p w:rsidR="00B0676D" w:rsidRDefault="001C406A" w:rsidP="007E1741">
      <w:pPr>
        <w:jc w:val="both"/>
      </w:pPr>
      <w:r>
        <w:t xml:space="preserve">McLarens annual inventory turnover decreased from 6.82 in 2019 to 5.57 in 2020, which supports the previous quick ratios implication of stock and production decrease. </w:t>
      </w:r>
      <w:r w:rsidR="00635911">
        <w:t xml:space="preserve">The accounts payable drastically increased in 2020, although this is due to an anomaly </w:t>
      </w:r>
      <w:r w:rsidR="00E729FD">
        <w:t xml:space="preserve">of a payment to preferred shares even though a loss was made. This was to ensure the continued support of the preferred shareholders as they were guaranteed a fixed income at regular intervals, however this means they can be removed from the creditors owed as they own shares in the business. </w:t>
      </w:r>
      <w:r w:rsidR="008C7046">
        <w:t xml:space="preserve">The primary credit source in McLaren are senior secured notes, which are preferential loans that are paid over an extended number of years. This is shown by a slight decrease of £281,000 in 2020 from 2019 despite a loss being made and an overdraft having to be setup in 2020. </w:t>
      </w:r>
      <w:r w:rsidR="00B0676D">
        <w:t>The overdraft, along with the reduced cost of goods from lower production, increased the day’s payable outstanding from 296 days in 2019 to 487 days in 2020. Furthermore it took longer to collect money from debtors and sales in 2020 when compared to 2019, as the days sales outstanding increased. This is because whilst the outstanding accounts remained roughly constant from 2019 through to 2020, the revenue halved which can be attributed to the pandemic.</w:t>
      </w:r>
    </w:p>
    <w:p w:rsidR="00B202CA" w:rsidRDefault="00B202CA" w:rsidP="007E1741">
      <w:pPr>
        <w:jc w:val="both"/>
      </w:pPr>
      <w:r>
        <w:t>In 2019, McLarens debt to equity ratio was only 14.34%</w:t>
      </w:r>
      <w:r w:rsidR="00DB05FA">
        <w:t>, however in 2020 this increased to 86.48%. This was due to McLaren paying their preference shares in accordance with their expected growth to 2025 which had been agreed before the pandemic. The interest charge also drastically increased in 2020 when compared to 2019</w:t>
      </w:r>
      <w:r w:rsidR="00647749">
        <w:t xml:space="preserve">, although this is due to the change in fair value of the preference shares. However all other interest expenditures also increased, showing the cost of increased debt due to the pandemic. The cash availability also drastically decreased in 2020 causing the interest coverage to be -12.19% due to making a loss in the operating profit. A positive operating profit in Q3 of 2021 implies </w:t>
      </w:r>
      <w:r w:rsidR="00023147">
        <w:t>that the interest coverage is improving and therefore McLaren is recovering from COVID restrictions.</w:t>
      </w:r>
    </w:p>
    <w:p w:rsidR="00023147" w:rsidRPr="00993C45" w:rsidRDefault="00023147" w:rsidP="007E1741">
      <w:pPr>
        <w:jc w:val="both"/>
      </w:pPr>
      <w:r>
        <w:lastRenderedPageBreak/>
        <w:t xml:space="preserve">The earnings per ordinary share show whether money is being made on share when compared to its market price. </w:t>
      </w:r>
      <w:r w:rsidR="00980ACC">
        <w:t>The market price has been taken from google finance to be £0.03 in both 2019 and 2020, although it increases to £0.07</w:t>
      </w:r>
      <w:r w:rsidR="00271E39">
        <w:t xml:space="preserve"> in 2021; this shows an increase in the resurgence of McLaren coming out of lockdown within the market. Due to no net profit being made in 2020 and 2019, no dividend was issued. This meant that the price per earnings and earnings per ordinary share was negative, therefore no money could be made from ordinary shares. Preference shares</w:t>
      </w:r>
      <w:r w:rsidR="00980ACC">
        <w:t xml:space="preserve"> </w:t>
      </w:r>
      <w:r w:rsidR="00271E39">
        <w:t>were paid based on 2025 predications</w:t>
      </w:r>
      <w:r w:rsidR="00BB6BA1">
        <w:t xml:space="preserve"> and were therefore not related to the earnings per ordinary share.</w:t>
      </w:r>
    </w:p>
    <w:p w:rsidR="005530D0" w:rsidRDefault="006B5E6E" w:rsidP="006B5E6E">
      <w:pPr>
        <w:pStyle w:val="Heading1"/>
      </w:pPr>
      <w:r>
        <w:t>Financial Analysis</w:t>
      </w:r>
    </w:p>
    <w:p w:rsidR="00F213AC" w:rsidRDefault="000A6280" w:rsidP="000A6280">
      <w:pPr>
        <w:jc w:val="both"/>
      </w:pPr>
      <w:r>
        <w:t>The</w:t>
      </w:r>
      <w:r w:rsidR="00F213AC">
        <w:t xml:space="preserve"> 2 primary areas of investment that McLaren are focusing on</w:t>
      </w:r>
      <w:r>
        <w:t xml:space="preserve"> are improving their racing credentials and the electrification of their range. McLaren racing has a new investor, MSP Sports Capital, which holds an initial 15% minority shareholding, giving </w:t>
      </w:r>
      <w:r w:rsidR="00473A0C">
        <w:t>MSP</w:t>
      </w:r>
      <w:r>
        <w:t xml:space="preserve"> stakes in sponsorships and content creation </w:t>
      </w:r>
      <w:sdt>
        <w:sdtPr>
          <w:id w:val="1266583408"/>
          <w:citation/>
        </w:sdtPr>
        <w:sdtContent>
          <w:r w:rsidR="000E068F">
            <w:fldChar w:fldCharType="begin"/>
          </w:r>
          <w:r w:rsidR="000E068F">
            <w:instrText xml:space="preserve"> CITATION McL20 \l 2057 </w:instrText>
          </w:r>
          <w:r w:rsidR="000E068F">
            <w:fldChar w:fldCharType="separate"/>
          </w:r>
          <w:r w:rsidR="000E068F" w:rsidRPr="000E068F">
            <w:rPr>
              <w:noProof/>
            </w:rPr>
            <w:t>(McLaren, 2020)</w:t>
          </w:r>
          <w:r w:rsidR="000E068F">
            <w:fldChar w:fldCharType="end"/>
          </w:r>
        </w:sdtContent>
      </w:sdt>
      <w:r>
        <w:t>.</w:t>
      </w:r>
      <w:r w:rsidR="00473A0C">
        <w:t xml:space="preserve"> This is in order to allow McLaren to carry on achieving podium finishes in the formula 1 racing as well as success in Indy Car racing. These successes generates higher level of sponsorships and greater financial rewards whilst promoting the McLaren brand.</w:t>
      </w:r>
      <w:r w:rsidR="006632F7">
        <w:t xml:space="preserve"> Furthermore investment levels have been capped by the Concorde agreement to $145,000,000, reducing operating costs.</w:t>
      </w:r>
      <w:r w:rsidR="00473A0C">
        <w:t xml:space="preserve"> However breaking even is predicted to take till 2023, with the prediction unreliable due to the historically high finical volatility; therefore further funding was secured from loan notes</w:t>
      </w:r>
      <w:r w:rsidR="006632F7">
        <w:t>.</w:t>
      </w:r>
    </w:p>
    <w:p w:rsidR="000F27B8" w:rsidRDefault="006632F7" w:rsidP="000A6280">
      <w:pPr>
        <w:jc w:val="both"/>
      </w:pPr>
      <w:r>
        <w:t xml:space="preserve">McLaren unveiled a new car at their headquarters as the Geneva Motorshow was cancelled; this new car (765LT) improves on performance through aerodynamics and </w:t>
      </w:r>
      <w:r w:rsidR="00FF29ED">
        <w:t>weight reduction</w:t>
      </w:r>
      <w:r w:rsidR="002A6535">
        <w:t>, showing progression in their car development. Furthermore, over the last 4 years there has been large amounts of investment into developing a world class hybrid platform, with £245,000,000 spent in 2020 on the project and £150,000,000 expected over the next few years.</w:t>
      </w:r>
      <w:r w:rsidR="009C749D">
        <w:t xml:space="preserve"> This </w:t>
      </w:r>
      <w:r w:rsidR="001770D8">
        <w:t xml:space="preserve">is so </w:t>
      </w:r>
      <w:r w:rsidR="009C749D">
        <w:t xml:space="preserve">that the weight of the batteries does not impact the performance </w:t>
      </w:r>
      <w:r w:rsidR="001A2365">
        <w:t xml:space="preserve">of future McLarens when </w:t>
      </w:r>
      <w:r w:rsidR="001770D8">
        <w:t xml:space="preserve">compared to petrol powered cars </w:t>
      </w:r>
      <w:sdt>
        <w:sdtPr>
          <w:id w:val="1197814449"/>
          <w:citation/>
        </w:sdtPr>
        <w:sdtContent>
          <w:r w:rsidR="000E068F">
            <w:fldChar w:fldCharType="begin"/>
          </w:r>
          <w:r w:rsidR="000E068F">
            <w:instrText xml:space="preserve"> CITATION Car21 \l 2057 </w:instrText>
          </w:r>
          <w:r w:rsidR="000E068F">
            <w:fldChar w:fldCharType="separate"/>
          </w:r>
          <w:r w:rsidR="000E068F" w:rsidRPr="000E068F">
            <w:rPr>
              <w:noProof/>
            </w:rPr>
            <w:t>(Carey, 2021)</w:t>
          </w:r>
          <w:r w:rsidR="000E068F">
            <w:fldChar w:fldCharType="end"/>
          </w:r>
        </w:sdtContent>
      </w:sdt>
      <w:r w:rsidR="001770D8">
        <w:t xml:space="preserve">. McLaren have a philosophy of being limited for the few highlights their target market, although developments made in the </w:t>
      </w:r>
      <w:proofErr w:type="spellStart"/>
      <w:r w:rsidR="001770D8">
        <w:t>Artura</w:t>
      </w:r>
      <w:proofErr w:type="spellEnd"/>
      <w:r w:rsidR="001770D8">
        <w:t xml:space="preserve"> (their newly launched hybrid car</w:t>
      </w:r>
      <w:r w:rsidR="00986F90">
        <w:t>) can be sold into mainstream car manufacturers. In 2022 it was rumoured that BMW was interested</w:t>
      </w:r>
      <w:r w:rsidR="000F27B8">
        <w:t xml:space="preserve"> in </w:t>
      </w:r>
      <w:r w:rsidR="00986F90">
        <w:t>a shareholders stake in McLaren; this is whilst they are in partnership developing further electric vehicle architecture</w:t>
      </w:r>
      <w:r w:rsidR="000F27B8">
        <w:t xml:space="preserve"> </w:t>
      </w:r>
      <w:sdt>
        <w:sdtPr>
          <w:id w:val="1530143523"/>
          <w:citation/>
        </w:sdtPr>
        <w:sdtContent>
          <w:r w:rsidR="000E068F">
            <w:fldChar w:fldCharType="begin"/>
          </w:r>
          <w:r w:rsidR="000E068F">
            <w:instrText xml:space="preserve"> CITATION Kar22 \l 2057 </w:instrText>
          </w:r>
          <w:r w:rsidR="000E068F">
            <w:fldChar w:fldCharType="separate"/>
          </w:r>
          <w:r w:rsidR="000E068F" w:rsidRPr="000E068F">
            <w:rPr>
              <w:noProof/>
            </w:rPr>
            <w:t>(Karr, 2022)</w:t>
          </w:r>
          <w:r w:rsidR="000E068F">
            <w:fldChar w:fldCharType="end"/>
          </w:r>
        </w:sdtContent>
      </w:sdt>
      <w:r w:rsidR="000F27B8">
        <w:t>. This implies that BMW are wanting to fund McLarens research to have sole access to the advancements.</w:t>
      </w:r>
    </w:p>
    <w:p w:rsidR="006632F7" w:rsidRDefault="000F27B8" w:rsidP="000A6280">
      <w:pPr>
        <w:jc w:val="both"/>
      </w:pPr>
      <w:r>
        <w:t>These investments are partially funded through senior secu</w:t>
      </w:r>
      <w:r w:rsidR="00E62383">
        <w:t xml:space="preserve">red notes, which tend to be low interest funds from lenders that are to be paid over a fixed period. </w:t>
      </w:r>
      <w:r w:rsidR="003921D9">
        <w:t>The secured aspect is because it is supported by collateral, whereas an unsecured note has no collateral, meaning the loan is not prioritised if the company goes into administration.</w:t>
      </w:r>
      <w:r w:rsidR="00560C9E">
        <w:t xml:space="preserve"> </w:t>
      </w:r>
      <w:sdt>
        <w:sdtPr>
          <w:id w:val="331260484"/>
          <w:citation/>
        </w:sdtPr>
        <w:sdtContent>
          <w:r w:rsidR="000E068F">
            <w:fldChar w:fldCharType="begin"/>
          </w:r>
          <w:r w:rsidR="000E068F">
            <w:instrText xml:space="preserve"> CITATION Wol17 \l 2057 </w:instrText>
          </w:r>
          <w:r w:rsidR="000E068F">
            <w:fldChar w:fldCharType="separate"/>
          </w:r>
          <w:r w:rsidR="000E068F" w:rsidRPr="000E068F">
            <w:rPr>
              <w:noProof/>
            </w:rPr>
            <w:t>(Wolber &amp; Yadav, 2017)</w:t>
          </w:r>
          <w:r w:rsidR="000E068F">
            <w:fldChar w:fldCharType="end"/>
          </w:r>
        </w:sdtContent>
      </w:sdt>
      <w:r w:rsidR="003921D9">
        <w:t xml:space="preserve"> McLarens senior notes were due to be repaid in August 2021</w:t>
      </w:r>
      <w:r w:rsidR="00560C9E">
        <w:t xml:space="preserve">, however due to losses made during COVID this was not achievable. Therefore, $620,000,000 senior notes were </w:t>
      </w:r>
      <w:r w:rsidR="0027753E">
        <w:t>taken till 2026</w:t>
      </w:r>
      <w:r w:rsidR="000E068F">
        <w:t xml:space="preserve"> </w:t>
      </w:r>
      <w:sdt>
        <w:sdtPr>
          <w:id w:val="1946264494"/>
          <w:citation/>
        </w:sdtPr>
        <w:sdtContent>
          <w:r w:rsidR="000E068F">
            <w:fldChar w:fldCharType="begin"/>
          </w:r>
          <w:r w:rsidR="000E068F">
            <w:instrText xml:space="preserve"> CITATION McL21 \l 2057 </w:instrText>
          </w:r>
          <w:r w:rsidR="000E068F">
            <w:fldChar w:fldCharType="separate"/>
          </w:r>
          <w:r w:rsidR="000E068F" w:rsidRPr="000E068F">
            <w:rPr>
              <w:noProof/>
            </w:rPr>
            <w:t>(McLaren, 2021)</w:t>
          </w:r>
          <w:r w:rsidR="000E068F">
            <w:fldChar w:fldCharType="end"/>
          </w:r>
        </w:sdtContent>
      </w:sdt>
      <w:r w:rsidR="0027753E">
        <w:t xml:space="preserve">, which are expected to be paid off as McLaren group recovers from COVID. This loan along with investment generated by McLaren group was used to pay off the senior notes due in 2021. The majority of the external investment (£400,000,000) is from the Saudi Public Investment firm, which is due to the increasing success of the formula 1 team. This means that currently McLarens cash-flow is healthy </w:t>
      </w:r>
      <w:sdt>
        <w:sdtPr>
          <w:id w:val="-118532516"/>
          <w:citation/>
        </w:sdtPr>
        <w:sdtContent>
          <w:r w:rsidR="000E068F">
            <w:fldChar w:fldCharType="begin"/>
          </w:r>
          <w:r w:rsidR="000E068F">
            <w:instrText xml:space="preserve"> CITATION Wil21 \l 2057 </w:instrText>
          </w:r>
          <w:r w:rsidR="000E068F">
            <w:fldChar w:fldCharType="separate"/>
          </w:r>
          <w:r w:rsidR="000E068F" w:rsidRPr="000E068F">
            <w:rPr>
              <w:noProof/>
            </w:rPr>
            <w:t>(Wilde, 2021)</w:t>
          </w:r>
          <w:r w:rsidR="000E068F">
            <w:fldChar w:fldCharType="end"/>
          </w:r>
        </w:sdtContent>
      </w:sdt>
      <w:r w:rsidR="0027753E">
        <w:t xml:space="preserve">, as these 2 capital </w:t>
      </w:r>
      <w:r w:rsidR="007067E4">
        <w:t>injections have negated the los</w:t>
      </w:r>
      <w:r w:rsidR="0027753E">
        <w:t xml:space="preserve">s accumulated through the pandemic. </w:t>
      </w:r>
    </w:p>
    <w:p w:rsidR="007067E4" w:rsidRPr="007067E4" w:rsidRDefault="007067E4" w:rsidP="000A6280">
      <w:pPr>
        <w:jc w:val="both"/>
      </w:pPr>
      <w:r>
        <w:t xml:space="preserve">One of the primary aims of McLaren group is to improve its envoirmental policy. </w:t>
      </w:r>
      <w:r w:rsidR="00C508DE">
        <w:t xml:space="preserve">This </w:t>
      </w:r>
      <w:r>
        <w:t>is why they aim to have an annual 2.5% reduction in CO</w:t>
      </w:r>
      <w:r>
        <w:rPr>
          <w:vertAlign w:val="subscript"/>
        </w:rPr>
        <w:t>2</w:t>
      </w:r>
      <w:r>
        <w:t xml:space="preserve"> and a zero waste policy. This they have done con</w:t>
      </w:r>
      <w:r w:rsidR="0095183A">
        <w:t>sistently from 2016 to 2019</w:t>
      </w:r>
      <w:r>
        <w:t xml:space="preserve">, showing their commitment to tackling climate change whilst supporting </w:t>
      </w:r>
      <w:r w:rsidR="0095183A">
        <w:t xml:space="preserve">the development of people </w:t>
      </w:r>
      <w:sdt>
        <w:sdtPr>
          <w:id w:val="-667086170"/>
          <w:citation/>
        </w:sdtPr>
        <w:sdtContent>
          <w:r w:rsidR="000E068F">
            <w:fldChar w:fldCharType="begin"/>
          </w:r>
          <w:r w:rsidR="000E068F">
            <w:instrText xml:space="preserve"> CITATION McL201 \l 2057 </w:instrText>
          </w:r>
          <w:r w:rsidR="000E068F">
            <w:fldChar w:fldCharType="separate"/>
          </w:r>
          <w:r w:rsidR="000E068F" w:rsidRPr="000E068F">
            <w:rPr>
              <w:noProof/>
            </w:rPr>
            <w:t>(McLaren, 2020)</w:t>
          </w:r>
          <w:r w:rsidR="000E068F">
            <w:fldChar w:fldCharType="end"/>
          </w:r>
        </w:sdtContent>
      </w:sdt>
      <w:r w:rsidR="0095183A">
        <w:t xml:space="preserve">. To be able to shift away from petrol power, McLaren opened the McLaren technology </w:t>
      </w:r>
      <w:r w:rsidR="0095183A">
        <w:lastRenderedPageBreak/>
        <w:t xml:space="preserve">centre opened in 2018 </w:t>
      </w:r>
      <w:sdt>
        <w:sdtPr>
          <w:id w:val="-462264857"/>
          <w:citation/>
        </w:sdtPr>
        <w:sdtContent>
          <w:r w:rsidR="000E068F">
            <w:fldChar w:fldCharType="begin"/>
          </w:r>
          <w:r w:rsidR="000E068F">
            <w:instrText xml:space="preserve"> CITATION SMN18 \l 2057 </w:instrText>
          </w:r>
          <w:r w:rsidR="000E068F">
            <w:fldChar w:fldCharType="separate"/>
          </w:r>
          <w:r w:rsidR="000E068F" w:rsidRPr="000E068F">
            <w:rPr>
              <w:noProof/>
            </w:rPr>
            <w:t>(SMNT, 2018)</w:t>
          </w:r>
          <w:r w:rsidR="000E068F">
            <w:fldChar w:fldCharType="end"/>
          </w:r>
        </w:sdtContent>
      </w:sdt>
      <w:r w:rsidR="0095183A">
        <w:t>, which when investments started to develop the electric hybrid platform for future cars. This positive contribution has been recognised within the formula 1 industry, as McLaren have achieved 3 start environmental</w:t>
      </w:r>
      <w:r w:rsidR="000C2590">
        <w:t xml:space="preserve"> accreditation from the FIA for 9 years in a row</w:t>
      </w:r>
      <w:r w:rsidR="00871633">
        <w:t xml:space="preserve"> </w:t>
      </w:r>
      <w:sdt>
        <w:sdtPr>
          <w:id w:val="-930973025"/>
          <w:citation/>
        </w:sdtPr>
        <w:sdtContent>
          <w:r w:rsidR="00871633">
            <w:fldChar w:fldCharType="begin"/>
          </w:r>
          <w:r w:rsidR="00871633">
            <w:instrText xml:space="preserve"> CITATION FiA22 \l 2057 </w:instrText>
          </w:r>
          <w:r w:rsidR="00871633">
            <w:fldChar w:fldCharType="separate"/>
          </w:r>
          <w:r w:rsidR="00871633" w:rsidRPr="00871633">
            <w:rPr>
              <w:noProof/>
            </w:rPr>
            <w:t>(FiA, 2022)</w:t>
          </w:r>
          <w:r w:rsidR="00871633">
            <w:fldChar w:fldCharType="end"/>
          </w:r>
        </w:sdtContent>
      </w:sdt>
      <w:r w:rsidR="00CD1E7F">
        <w:t>.</w:t>
      </w:r>
      <w:r w:rsidR="0095183A">
        <w:t xml:space="preserve"> </w:t>
      </w:r>
    </w:p>
    <w:p w:rsidR="001C406A" w:rsidRDefault="00F213AC" w:rsidP="00F213AC">
      <w:pPr>
        <w:jc w:val="both"/>
      </w:pPr>
      <w:r>
        <w:t xml:space="preserve">The impact of Brexit has been minimised by obtaining a Free Trade Agreement, which has negated any tariffs when selling to the EU. This has been achieved through a cross-functional team </w:t>
      </w:r>
      <w:r w:rsidR="000A6280">
        <w:t>monitoring</w:t>
      </w:r>
      <w:r>
        <w:t xml:space="preserve"> the impact of Brexit </w:t>
      </w:r>
      <w:r w:rsidR="000A6280">
        <w:t xml:space="preserve">and working with the government. Therefore the predicted short term disruption to sales has been mitigated </w:t>
      </w:r>
      <w:sdt>
        <w:sdtPr>
          <w:id w:val="-736549797"/>
          <w:citation/>
        </w:sdtPr>
        <w:sdtContent>
          <w:r w:rsidR="000E068F">
            <w:fldChar w:fldCharType="begin"/>
          </w:r>
          <w:r w:rsidR="000E068F">
            <w:instrText xml:space="preserve"> CITATION NgA19 \l 2057 </w:instrText>
          </w:r>
          <w:r w:rsidR="000E068F">
            <w:fldChar w:fldCharType="separate"/>
          </w:r>
          <w:r w:rsidR="000E068F" w:rsidRPr="000E068F">
            <w:rPr>
              <w:noProof/>
            </w:rPr>
            <w:t>(Ng., 2019)</w:t>
          </w:r>
          <w:r w:rsidR="000E068F">
            <w:fldChar w:fldCharType="end"/>
          </w:r>
        </w:sdtContent>
      </w:sdt>
      <w:r w:rsidR="000A6280">
        <w:t>, leaving no material impact so far due to Brexit.</w:t>
      </w:r>
      <w:r w:rsidR="000C2590">
        <w:t xml:space="preserve"> However COVID did initially bring a large amount of disruption in 2020, such as withdrawing from the Australian Grand Prix and the suspension of production. This </w:t>
      </w:r>
      <w:r w:rsidR="00C508DE">
        <w:t xml:space="preserve">along with </w:t>
      </w:r>
      <w:r w:rsidR="000C2590">
        <w:t>supply issues ca</w:t>
      </w:r>
      <w:r w:rsidR="00C508DE">
        <w:t>used further delays. T</w:t>
      </w:r>
      <w:r w:rsidR="000C2590">
        <w:t>his subsequently led to lower sales</w:t>
      </w:r>
      <w:r w:rsidR="00C508DE">
        <w:t xml:space="preserve"> in 2020</w:t>
      </w:r>
      <w:r w:rsidR="000C2590">
        <w:t>, although the final quarter saw a</w:t>
      </w:r>
      <w:r w:rsidR="00242E64">
        <w:t>n</w:t>
      </w:r>
      <w:r w:rsidR="000C2590">
        <w:t xml:space="preserve"> operating profit being made.</w:t>
      </w:r>
      <w:r w:rsidR="00242E64">
        <w:t xml:space="preserve"> This implies that the business structure can recover from COVID and therefore begin to make net profits for a financial return. </w:t>
      </w:r>
      <w:r w:rsidR="000C2590">
        <w:t xml:space="preserve"> </w:t>
      </w:r>
    </w:p>
    <w:p w:rsidR="005530D0" w:rsidRDefault="005530D0" w:rsidP="005530D0">
      <w:pPr>
        <w:pStyle w:val="Heading1"/>
      </w:pPr>
      <w:r>
        <w:t xml:space="preserve">Conclusion and Recommendations </w:t>
      </w:r>
    </w:p>
    <w:p w:rsidR="00242E64" w:rsidRDefault="00242E64" w:rsidP="00242E64">
      <w:pPr>
        <w:jc w:val="both"/>
      </w:pPr>
      <w:r>
        <w:t xml:space="preserve">The profitability of McLaren has shown to be currently poor, although they are on a positive </w:t>
      </w:r>
      <w:r w:rsidR="00AB624E">
        <w:t>trajectory. This was shown from the automotive recovery from COVID and the increasing performance of the formula 1 team. The profitability ratios support this statement and therefore should not detract from the potential of investing. The leverage ratios also support the COVID recovery and the ability to cover all debts as McLaren come out of lockdown. Senior secured notes are seen as a safe loan, so the increase in day’s payable outstanding should not be seen as critical. However the reduction in inventory turnover shows a reduction in production, although this increases in 2021. The investor ratios also show a negative return on investments</w:t>
      </w:r>
      <w:r w:rsidR="00CD1E7F">
        <w:t xml:space="preserve">, with the earnings per share never going positive in the assessed time period. However the debt to equity ratio shows that preferential shares are catered for despite this. </w:t>
      </w:r>
    </w:p>
    <w:p w:rsidR="00CD1E7F" w:rsidRPr="00242E64" w:rsidRDefault="00CD1E7F" w:rsidP="00242E64">
      <w:pPr>
        <w:jc w:val="both"/>
      </w:pPr>
      <w:r>
        <w:t>It is my recommendation that an investment in McLaren will not yield a profit in the short term. However, the calibration with BMW and increasing success in formula 1 should see a return on an investment within the next 5 years. In regards to developing an electric car, BMW have seen McLaren as a key market contender. This would mean despite the current negative financial outlook, investing in McLaren would likely lead to a successful electric car. Therefore my recommendation is to invest in McLaren and allow them to develop an electric car with BMW, who would then apply the technology to mainstream cars, which McLaren would profit from greatly.</w:t>
      </w:r>
    </w:p>
    <w:p w:rsidR="00871633" w:rsidRDefault="00871633">
      <w:pPr>
        <w:pStyle w:val="Heading1"/>
      </w:pPr>
    </w:p>
    <w:sdt>
      <w:sdtPr>
        <w:id w:val="-930191994"/>
        <w:docPartObj>
          <w:docPartGallery w:val="Bibliographies"/>
          <w:docPartUnique/>
        </w:docPartObj>
      </w:sdtPr>
      <w:sdtEndPr>
        <w:rPr>
          <w:rFonts w:asciiTheme="minorHAnsi" w:eastAsiaTheme="minorHAnsi" w:hAnsiTheme="minorHAnsi" w:cstheme="minorBidi"/>
          <w:color w:val="auto"/>
          <w:sz w:val="22"/>
          <w:szCs w:val="22"/>
        </w:rPr>
      </w:sdtEndPr>
      <w:sdtContent>
        <w:p w:rsidR="00871633" w:rsidRDefault="00871633">
          <w:pPr>
            <w:pStyle w:val="Heading1"/>
          </w:pPr>
          <w:r>
            <w:t>References</w:t>
          </w:r>
        </w:p>
        <w:sdt>
          <w:sdtPr>
            <w:id w:val="-573587230"/>
            <w:bibliography/>
          </w:sdtPr>
          <w:sdtContent>
            <w:p w:rsidR="00871633" w:rsidRDefault="00871633" w:rsidP="00871633">
              <w:pPr>
                <w:pStyle w:val="Bibliography"/>
                <w:rPr>
                  <w:noProof/>
                  <w:sz w:val="24"/>
                  <w:szCs w:val="24"/>
                </w:rPr>
              </w:pPr>
              <w:r>
                <w:fldChar w:fldCharType="begin"/>
              </w:r>
              <w:r>
                <w:instrText xml:space="preserve"> BIBLIOGRAPHY </w:instrText>
              </w:r>
              <w:r>
                <w:fldChar w:fldCharType="separate"/>
              </w:r>
              <w:r>
                <w:rPr>
                  <w:noProof/>
                </w:rPr>
                <w:t xml:space="preserve">Aziz, A. &amp; A. Abdul, R., 2017. The Relationship between Solvency Ratios and Profitability Ratios: Analytical Study in Food Industrial Companies listed in Amman Bursa. </w:t>
              </w:r>
              <w:r>
                <w:rPr>
                  <w:i/>
                  <w:iCs/>
                  <w:noProof/>
                </w:rPr>
                <w:t xml:space="preserve">International Journal of Economics and Financial Issues, </w:t>
              </w:r>
              <w:r>
                <w:rPr>
                  <w:noProof/>
                </w:rPr>
                <w:t>7(2), pp. 86-93.</w:t>
              </w:r>
            </w:p>
            <w:p w:rsidR="00871633" w:rsidRDefault="00871633" w:rsidP="00871633">
              <w:pPr>
                <w:pStyle w:val="Bibliography"/>
                <w:rPr>
                  <w:noProof/>
                </w:rPr>
              </w:pPr>
              <w:r>
                <w:rPr>
                  <w:noProof/>
                </w:rPr>
                <w:t xml:space="preserve">Barth, A. &amp; Seckinger, C., 2018. Capital regulation with heterogenous banks - Unintended consequences of a too strict leverage ratio. </w:t>
              </w:r>
              <w:r>
                <w:rPr>
                  <w:i/>
                  <w:iCs/>
                  <w:noProof/>
                </w:rPr>
                <w:t xml:space="preserve">Journal of Banking and Finance, </w:t>
              </w:r>
              <w:r>
                <w:rPr>
                  <w:noProof/>
                </w:rPr>
                <w:t>Volume 88, pp. 455-465.</w:t>
              </w:r>
            </w:p>
            <w:p w:rsidR="00871633" w:rsidRDefault="00871633" w:rsidP="00871633">
              <w:pPr>
                <w:pStyle w:val="Bibliography"/>
                <w:rPr>
                  <w:noProof/>
                </w:rPr>
              </w:pPr>
              <w:r>
                <w:rPr>
                  <w:noProof/>
                </w:rPr>
                <w:t xml:space="preserve">Carey, N., 2021. </w:t>
              </w:r>
              <w:r>
                <w:rPr>
                  <w:i/>
                  <w:iCs/>
                  <w:noProof/>
                </w:rPr>
                <w:t xml:space="preserve">How McLaren aims to rebuild supercars to roar into the electric era, </w:t>
              </w:r>
              <w:r>
                <w:rPr>
                  <w:noProof/>
                </w:rPr>
                <w:t>s.l.: Reuters.</w:t>
              </w:r>
            </w:p>
            <w:p w:rsidR="00871633" w:rsidRDefault="00871633" w:rsidP="00871633">
              <w:pPr>
                <w:pStyle w:val="Bibliography"/>
                <w:rPr>
                  <w:noProof/>
                </w:rPr>
              </w:pPr>
              <w:r>
                <w:rPr>
                  <w:noProof/>
                </w:rPr>
                <w:t xml:space="preserve">Collin-Dufresne, P. &amp; Goldstein, R. S., 2001. Do Credit Spreads Reflect Stationary Leverage Ratios?. </w:t>
              </w:r>
              <w:r>
                <w:rPr>
                  <w:i/>
                  <w:iCs/>
                  <w:noProof/>
                </w:rPr>
                <w:t xml:space="preserve">The Journal of Finance, </w:t>
              </w:r>
              <w:r>
                <w:rPr>
                  <w:noProof/>
                </w:rPr>
                <w:t>6(5).</w:t>
              </w:r>
            </w:p>
            <w:p w:rsidR="00871633" w:rsidRDefault="00871633" w:rsidP="00871633">
              <w:pPr>
                <w:pStyle w:val="Bibliography"/>
                <w:rPr>
                  <w:noProof/>
                </w:rPr>
              </w:pPr>
              <w:r>
                <w:rPr>
                  <w:noProof/>
                </w:rPr>
                <w:t xml:space="preserve">FiA, 2022. </w:t>
              </w:r>
              <w:r>
                <w:rPr>
                  <w:i/>
                  <w:iCs/>
                  <w:noProof/>
                </w:rPr>
                <w:t xml:space="preserve">McLaren recing retains FIA three-star environmental accreditation for ninth year, </w:t>
              </w:r>
              <w:r>
                <w:rPr>
                  <w:noProof/>
                </w:rPr>
                <w:t>s.l.: FiA.</w:t>
              </w:r>
            </w:p>
            <w:p w:rsidR="00871633" w:rsidRDefault="00871633" w:rsidP="00871633">
              <w:pPr>
                <w:pStyle w:val="Bibliography"/>
                <w:rPr>
                  <w:noProof/>
                </w:rPr>
              </w:pPr>
              <w:r>
                <w:rPr>
                  <w:noProof/>
                </w:rPr>
                <w:t xml:space="preserve">Fowler, S., 2021. </w:t>
              </w:r>
              <w:r>
                <w:rPr>
                  <w:i/>
                  <w:iCs/>
                  <w:noProof/>
                </w:rPr>
                <w:t xml:space="preserve">McLaren goes electric with new plug-in Artura, </w:t>
              </w:r>
              <w:r>
                <w:rPr>
                  <w:noProof/>
                </w:rPr>
                <w:t>s.l.: McLaren.</w:t>
              </w:r>
            </w:p>
            <w:p w:rsidR="00871633" w:rsidRDefault="00871633" w:rsidP="00871633">
              <w:pPr>
                <w:pStyle w:val="Bibliography"/>
                <w:rPr>
                  <w:noProof/>
                </w:rPr>
              </w:pPr>
              <w:r>
                <w:rPr>
                  <w:noProof/>
                </w:rPr>
                <w:t xml:space="preserve">Fridson, M. S. &amp; Alvarez, F., 2011. </w:t>
              </w:r>
              <w:r>
                <w:rPr>
                  <w:i/>
                  <w:iCs/>
                  <w:noProof/>
                </w:rPr>
                <w:t xml:space="preserve">Financial Statement Analysis A Practitioner's Guide. </w:t>
              </w:r>
              <w:r>
                <w:rPr>
                  <w:noProof/>
                </w:rPr>
                <w:t>s.l.:Wiley.</w:t>
              </w:r>
            </w:p>
            <w:p w:rsidR="00871633" w:rsidRDefault="00871633" w:rsidP="00871633">
              <w:pPr>
                <w:pStyle w:val="Bibliography"/>
                <w:rPr>
                  <w:noProof/>
                </w:rPr>
              </w:pPr>
              <w:r>
                <w:rPr>
                  <w:noProof/>
                </w:rPr>
                <w:t xml:space="preserve">Grundke, P. &amp; Kuhn, A., 2017. The impact of the Basel III liquidity ratios on banks: Evidence from a simulation study. </w:t>
              </w:r>
              <w:r>
                <w:rPr>
                  <w:i/>
                  <w:iCs/>
                  <w:noProof/>
                </w:rPr>
                <w:t xml:space="preserve">The Quarterly Review of Economics and Finance , </w:t>
              </w:r>
              <w:r>
                <w:rPr>
                  <w:noProof/>
                </w:rPr>
                <w:t>Volume 75, pp. 167-190.</w:t>
              </w:r>
            </w:p>
            <w:p w:rsidR="00871633" w:rsidRDefault="00871633" w:rsidP="00871633">
              <w:pPr>
                <w:pStyle w:val="Bibliography"/>
                <w:rPr>
                  <w:noProof/>
                </w:rPr>
              </w:pPr>
              <w:r>
                <w:rPr>
                  <w:noProof/>
                </w:rPr>
                <w:t xml:space="preserve">ICAEW, 2020. </w:t>
              </w:r>
              <w:r>
                <w:rPr>
                  <w:i/>
                  <w:iCs/>
                  <w:noProof/>
                </w:rPr>
                <w:t xml:space="preserve">Introduction to the law on dividends, </w:t>
              </w:r>
              <w:r>
                <w:rPr>
                  <w:noProof/>
                </w:rPr>
                <w:t>s.l.: ICAEW.</w:t>
              </w:r>
            </w:p>
            <w:p w:rsidR="00871633" w:rsidRDefault="00871633" w:rsidP="00871633">
              <w:pPr>
                <w:pStyle w:val="Bibliography"/>
                <w:rPr>
                  <w:noProof/>
                </w:rPr>
              </w:pPr>
              <w:r>
                <w:rPr>
                  <w:noProof/>
                </w:rPr>
                <w:t xml:space="preserve">Ichsani, S. et al., 2021. Effect of Good Corporate Governance Mechanism on Company Profitability Ratios. </w:t>
              </w:r>
              <w:r>
                <w:rPr>
                  <w:i/>
                  <w:iCs/>
                  <w:noProof/>
                </w:rPr>
                <w:t xml:space="preserve">Turkish Journal of Computer and Mathematics Education, </w:t>
              </w:r>
              <w:r>
                <w:rPr>
                  <w:noProof/>
                </w:rPr>
                <w:t>12(8), pp. 1793-1805.</w:t>
              </w:r>
            </w:p>
            <w:p w:rsidR="00871633" w:rsidRDefault="00871633" w:rsidP="00871633">
              <w:pPr>
                <w:pStyle w:val="Bibliography"/>
                <w:rPr>
                  <w:noProof/>
                </w:rPr>
              </w:pPr>
              <w:r>
                <w:rPr>
                  <w:noProof/>
                </w:rPr>
                <w:t xml:space="preserve">Karkaria, U., 2021. </w:t>
              </w:r>
              <w:r>
                <w:rPr>
                  <w:i/>
                  <w:iCs/>
                  <w:noProof/>
                </w:rPr>
                <w:t xml:space="preserve">McLaren moves to all-electrified by 2026, </w:t>
              </w:r>
              <w:r>
                <w:rPr>
                  <w:noProof/>
                </w:rPr>
                <w:t>Detroit: Automotive News.</w:t>
              </w:r>
            </w:p>
            <w:p w:rsidR="00871633" w:rsidRDefault="00871633" w:rsidP="00871633">
              <w:pPr>
                <w:pStyle w:val="Bibliography"/>
                <w:rPr>
                  <w:noProof/>
                </w:rPr>
              </w:pPr>
              <w:r>
                <w:rPr>
                  <w:noProof/>
                </w:rPr>
                <w:t xml:space="preserve">Karr, A., 2022. </w:t>
              </w:r>
              <w:r>
                <w:rPr>
                  <w:i/>
                  <w:iCs/>
                  <w:noProof/>
                </w:rPr>
                <w:t xml:space="preserve">McLaren and BMW working on electric car platform - report, </w:t>
              </w:r>
              <w:r>
                <w:rPr>
                  <w:noProof/>
                </w:rPr>
                <w:t>s.l.: Brain Potter.</w:t>
              </w:r>
            </w:p>
            <w:p w:rsidR="00871633" w:rsidRDefault="00871633" w:rsidP="00871633">
              <w:pPr>
                <w:pStyle w:val="Bibliography"/>
                <w:rPr>
                  <w:noProof/>
                </w:rPr>
              </w:pPr>
              <w:r>
                <w:rPr>
                  <w:noProof/>
                </w:rPr>
                <w:t xml:space="preserve">Lesakova, L., 2007. </w:t>
              </w:r>
              <w:r>
                <w:rPr>
                  <w:i/>
                  <w:iCs/>
                  <w:noProof/>
                </w:rPr>
                <w:t xml:space="preserve">Uses and Limitations of Profitability Ratio Analysis in Managerial Practice. </w:t>
              </w:r>
              <w:r>
                <w:rPr>
                  <w:noProof/>
                </w:rPr>
                <w:t>Budapest, s.n.</w:t>
              </w:r>
            </w:p>
            <w:p w:rsidR="00871633" w:rsidRDefault="00871633" w:rsidP="00871633">
              <w:pPr>
                <w:pStyle w:val="Bibliography"/>
                <w:rPr>
                  <w:noProof/>
                </w:rPr>
              </w:pPr>
              <w:r>
                <w:rPr>
                  <w:noProof/>
                </w:rPr>
                <w:t xml:space="preserve">Lin, S., Martinez, D., Wang, C. &amp; Yang, Y.-w., 2018. Is Other Comprehensive Income Reported in the Income Statement More Value Relevant? The Role of Financial Statement Presentation. </w:t>
              </w:r>
              <w:r>
                <w:rPr>
                  <w:i/>
                  <w:iCs/>
                  <w:noProof/>
                </w:rPr>
                <w:t xml:space="preserve">Journal of Accounting, </w:t>
              </w:r>
              <w:r>
                <w:rPr>
                  <w:noProof/>
                </w:rPr>
                <w:t>33(4), pp. 624-646.</w:t>
              </w:r>
            </w:p>
            <w:p w:rsidR="00871633" w:rsidRDefault="00871633" w:rsidP="00871633">
              <w:pPr>
                <w:pStyle w:val="Bibliography"/>
                <w:rPr>
                  <w:noProof/>
                </w:rPr>
              </w:pPr>
              <w:r>
                <w:rPr>
                  <w:noProof/>
                </w:rPr>
                <w:t xml:space="preserve">McLaren, 2020. </w:t>
              </w:r>
              <w:r>
                <w:rPr>
                  <w:i/>
                  <w:iCs/>
                  <w:noProof/>
                </w:rPr>
                <w:t xml:space="preserve">Annual Results, </w:t>
              </w:r>
              <w:r>
                <w:rPr>
                  <w:noProof/>
                </w:rPr>
                <w:t>s.l.: McLaren.</w:t>
              </w:r>
            </w:p>
            <w:p w:rsidR="00871633" w:rsidRDefault="00871633" w:rsidP="00871633">
              <w:pPr>
                <w:pStyle w:val="Bibliography"/>
                <w:rPr>
                  <w:noProof/>
                </w:rPr>
              </w:pPr>
              <w:r>
                <w:rPr>
                  <w:noProof/>
                </w:rPr>
                <w:t xml:space="preserve">McLaren, 2020. </w:t>
              </w:r>
              <w:r>
                <w:rPr>
                  <w:i/>
                  <w:iCs/>
                  <w:noProof/>
                </w:rPr>
                <w:t xml:space="preserve">McLaren group announces new investment in McLaren racing, </w:t>
              </w:r>
              <w:r>
                <w:rPr>
                  <w:noProof/>
                </w:rPr>
                <w:t>s.l.: McLaren.</w:t>
              </w:r>
            </w:p>
            <w:p w:rsidR="00871633" w:rsidRDefault="00871633" w:rsidP="00871633">
              <w:pPr>
                <w:pStyle w:val="Bibliography"/>
                <w:rPr>
                  <w:noProof/>
                </w:rPr>
              </w:pPr>
              <w:r>
                <w:rPr>
                  <w:noProof/>
                </w:rPr>
                <w:t xml:space="preserve">McLaren, 2020. </w:t>
              </w:r>
              <w:r>
                <w:rPr>
                  <w:i/>
                  <w:iCs/>
                  <w:noProof/>
                </w:rPr>
                <w:t xml:space="preserve">Our road to sustainability , </w:t>
              </w:r>
              <w:r>
                <w:rPr>
                  <w:noProof/>
                </w:rPr>
                <w:t>s.l.: McLaren automotive group limited.</w:t>
              </w:r>
            </w:p>
            <w:p w:rsidR="00871633" w:rsidRDefault="00871633" w:rsidP="00871633">
              <w:pPr>
                <w:pStyle w:val="Bibliography"/>
                <w:rPr>
                  <w:noProof/>
                </w:rPr>
              </w:pPr>
              <w:r>
                <w:rPr>
                  <w:noProof/>
                </w:rPr>
                <w:t xml:space="preserve">McLaren, 2021. </w:t>
              </w:r>
              <w:r>
                <w:rPr>
                  <w:i/>
                  <w:iCs/>
                  <w:noProof/>
                </w:rPr>
                <w:t xml:space="preserve">McLaren Group announces the pricing of $620 million aggregate principal amount of 7.50% senior secured notes due 2026, </w:t>
              </w:r>
              <w:r>
                <w:rPr>
                  <w:noProof/>
                </w:rPr>
                <w:t>s.l.: McLaren.</w:t>
              </w:r>
            </w:p>
            <w:p w:rsidR="00871633" w:rsidRDefault="00871633" w:rsidP="00871633">
              <w:pPr>
                <w:pStyle w:val="Bibliography"/>
                <w:rPr>
                  <w:noProof/>
                </w:rPr>
              </w:pPr>
              <w:r>
                <w:rPr>
                  <w:noProof/>
                </w:rPr>
                <w:t xml:space="preserve">McLaren, 2021. </w:t>
              </w:r>
              <w:r>
                <w:rPr>
                  <w:i/>
                  <w:iCs/>
                  <w:noProof/>
                </w:rPr>
                <w:t xml:space="preserve">Results - Q3 (YTD) 2021, </w:t>
              </w:r>
              <w:r>
                <w:rPr>
                  <w:noProof/>
                </w:rPr>
                <w:t>s.l.: McLaren.</w:t>
              </w:r>
            </w:p>
            <w:p w:rsidR="00871633" w:rsidRDefault="00871633" w:rsidP="00871633">
              <w:pPr>
                <w:pStyle w:val="Bibliography"/>
                <w:rPr>
                  <w:noProof/>
                </w:rPr>
              </w:pPr>
              <w:r>
                <w:rPr>
                  <w:noProof/>
                </w:rPr>
                <w:t xml:space="preserve">Morellec, E., 2004. Can Managerial Discretion Explain Observed Leverage Ratios?. </w:t>
              </w:r>
              <w:r>
                <w:rPr>
                  <w:i/>
                  <w:iCs/>
                  <w:noProof/>
                </w:rPr>
                <w:t xml:space="preserve">The Review of Financial Studies, </w:t>
              </w:r>
              <w:r>
                <w:rPr>
                  <w:noProof/>
                </w:rPr>
                <w:t>17(1).</w:t>
              </w:r>
            </w:p>
            <w:p w:rsidR="00871633" w:rsidRDefault="00871633" w:rsidP="00871633">
              <w:pPr>
                <w:pStyle w:val="Bibliography"/>
                <w:rPr>
                  <w:noProof/>
                </w:rPr>
              </w:pPr>
              <w:r>
                <w:rPr>
                  <w:noProof/>
                </w:rPr>
                <w:t xml:space="preserve">Ng., A., 2019. </w:t>
              </w:r>
              <w:r>
                <w:rPr>
                  <w:i/>
                  <w:iCs/>
                  <w:noProof/>
                </w:rPr>
                <w:t xml:space="preserve">British sports car maker McLaren Automotive will keep production in the UK despite Brexit, </w:t>
              </w:r>
              <w:r>
                <w:rPr>
                  <w:noProof/>
                </w:rPr>
                <w:t>s.l.: CNBC.</w:t>
              </w:r>
            </w:p>
            <w:p w:rsidR="00871633" w:rsidRDefault="00871633" w:rsidP="00871633">
              <w:pPr>
                <w:pStyle w:val="Bibliography"/>
                <w:rPr>
                  <w:noProof/>
                </w:rPr>
              </w:pPr>
              <w:r>
                <w:rPr>
                  <w:noProof/>
                </w:rPr>
                <w:t xml:space="preserve">PWC, 2020. </w:t>
              </w:r>
              <w:r>
                <w:rPr>
                  <w:i/>
                  <w:iCs/>
                  <w:noProof/>
                </w:rPr>
                <w:t xml:space="preserve">Basic understanding of a company's financial statements, </w:t>
              </w:r>
              <w:r>
                <w:rPr>
                  <w:noProof/>
                </w:rPr>
                <w:t>s.l.: PWC.</w:t>
              </w:r>
            </w:p>
            <w:p w:rsidR="00871633" w:rsidRDefault="00871633" w:rsidP="00871633">
              <w:pPr>
                <w:pStyle w:val="Bibliography"/>
                <w:rPr>
                  <w:noProof/>
                </w:rPr>
              </w:pPr>
              <w:r>
                <w:rPr>
                  <w:noProof/>
                </w:rPr>
                <w:t xml:space="preserve">SMNT, 2018. </w:t>
              </w:r>
              <w:r>
                <w:rPr>
                  <w:i/>
                  <w:iCs/>
                  <w:noProof/>
                </w:rPr>
                <w:t xml:space="preserve">2019 UK Automotive sustainability report, </w:t>
              </w:r>
              <w:r>
                <w:rPr>
                  <w:noProof/>
                </w:rPr>
                <w:t>s.l.: SMNT.</w:t>
              </w:r>
            </w:p>
            <w:p w:rsidR="00871633" w:rsidRDefault="00871633" w:rsidP="00871633">
              <w:pPr>
                <w:pStyle w:val="Bibliography"/>
                <w:rPr>
                  <w:noProof/>
                </w:rPr>
              </w:pPr>
              <w:r>
                <w:rPr>
                  <w:noProof/>
                </w:rPr>
                <w:t xml:space="preserve">Wilde, J., 2021. </w:t>
              </w:r>
              <w:r>
                <w:rPr>
                  <w:i/>
                  <w:iCs/>
                  <w:noProof/>
                </w:rPr>
                <w:t xml:space="preserve">McLaren Group receive £550m in new investment, </w:t>
              </w:r>
              <w:r>
                <w:rPr>
                  <w:noProof/>
                </w:rPr>
                <w:t>s.l.: planetf1.</w:t>
              </w:r>
            </w:p>
            <w:p w:rsidR="00871633" w:rsidRDefault="00871633" w:rsidP="00871633">
              <w:pPr>
                <w:pStyle w:val="Bibliography"/>
                <w:rPr>
                  <w:noProof/>
                </w:rPr>
              </w:pPr>
              <w:r>
                <w:rPr>
                  <w:noProof/>
                </w:rPr>
                <w:t xml:space="preserve">Wolber, B. &amp; Yadav, S., 2017. </w:t>
              </w:r>
              <w:r>
                <w:rPr>
                  <w:i/>
                  <w:iCs/>
                  <w:noProof/>
                </w:rPr>
                <w:t xml:space="preserve">Senior Secured Loans: Attractive current income coupled with a short duration profile and a history of low correlation of returns, </w:t>
              </w:r>
              <w:r>
                <w:rPr>
                  <w:noProof/>
                </w:rPr>
                <w:t>s.l.: Invesco.</w:t>
              </w:r>
            </w:p>
            <w:p w:rsidR="00871633" w:rsidRDefault="00871633" w:rsidP="00871633">
              <w:pPr>
                <w:pStyle w:val="Bibliography"/>
                <w:rPr>
                  <w:noProof/>
                </w:rPr>
              </w:pPr>
              <w:r>
                <w:rPr>
                  <w:noProof/>
                </w:rPr>
                <w:t xml:space="preserve">Zaman, R., 2014. Impact of Dividend Yield and Price Earnings Ratio on Stock Returns: A Study Non-Financial listed Firms of Pakistan. </w:t>
              </w:r>
              <w:r>
                <w:rPr>
                  <w:i/>
                  <w:iCs/>
                  <w:noProof/>
                </w:rPr>
                <w:t xml:space="preserve">Research Journal of Finance and Accounting, </w:t>
              </w:r>
              <w:r>
                <w:rPr>
                  <w:noProof/>
                </w:rPr>
                <w:t>5(19).</w:t>
              </w:r>
            </w:p>
            <w:p w:rsidR="00871633" w:rsidRDefault="00871633" w:rsidP="00871633">
              <w:pPr>
                <w:pStyle w:val="Bibliography"/>
                <w:rPr>
                  <w:noProof/>
                </w:rPr>
              </w:pPr>
              <w:r>
                <w:rPr>
                  <w:noProof/>
                </w:rPr>
                <w:t xml:space="preserve">Zeller, T., 1990. </w:t>
              </w:r>
              <w:r>
                <w:rPr>
                  <w:i/>
                  <w:iCs/>
                  <w:noProof/>
                </w:rPr>
                <w:t xml:space="preserve">New Investing and Financing Activity Ratios from the Statement of Cash Flows Enhance Traditional Ratio Analysis in Assessing Future Cash Flows, </w:t>
              </w:r>
              <w:r>
                <w:rPr>
                  <w:noProof/>
                </w:rPr>
                <w:t>Chicago: eCOMMONS.</w:t>
              </w:r>
            </w:p>
            <w:p w:rsidR="00871633" w:rsidRPr="00871633" w:rsidRDefault="00871633" w:rsidP="00871633">
              <w:r>
                <w:rPr>
                  <w:b/>
                  <w:bCs/>
                  <w:noProof/>
                </w:rPr>
                <w:fldChar w:fldCharType="end"/>
              </w:r>
            </w:p>
          </w:sdtContent>
        </w:sdt>
      </w:sdtContent>
    </w:sdt>
    <w:p w:rsidR="00871633" w:rsidRDefault="00871633">
      <w:pPr>
        <w:rPr>
          <w:rFonts w:asciiTheme="majorHAnsi" w:eastAsiaTheme="majorEastAsia" w:hAnsiTheme="majorHAnsi" w:cstheme="majorBidi"/>
          <w:color w:val="2E74B5" w:themeColor="accent1" w:themeShade="BF"/>
          <w:sz w:val="32"/>
          <w:szCs w:val="32"/>
        </w:rPr>
      </w:pPr>
      <w:r>
        <w:br w:type="page"/>
      </w:r>
    </w:p>
    <w:p w:rsidR="0098029A" w:rsidRDefault="005530D0" w:rsidP="00871633">
      <w:pPr>
        <w:pStyle w:val="Heading1"/>
      </w:pPr>
      <w:r>
        <w:t>Appendix</w:t>
      </w:r>
    </w:p>
    <w:tbl>
      <w:tblPr>
        <w:tblW w:w="7600" w:type="dxa"/>
        <w:tblLook w:val="04A0" w:firstRow="1" w:lastRow="0" w:firstColumn="1" w:lastColumn="0" w:noHBand="0" w:noVBand="1"/>
      </w:tblPr>
      <w:tblGrid>
        <w:gridCol w:w="1037"/>
        <w:gridCol w:w="3280"/>
        <w:gridCol w:w="1052"/>
        <w:gridCol w:w="1420"/>
        <w:gridCol w:w="1218"/>
      </w:tblGrid>
      <w:tr w:rsidR="00871633" w:rsidRPr="00871633" w:rsidTr="00871633">
        <w:trPr>
          <w:trHeight w:val="315"/>
        </w:trPr>
        <w:tc>
          <w:tcPr>
            <w:tcW w:w="940" w:type="dxa"/>
            <w:tcBorders>
              <w:top w:val="nil"/>
              <w:left w:val="nil"/>
              <w:bottom w:val="nil"/>
              <w:right w:val="nil"/>
            </w:tcBorders>
            <w:shd w:val="clear" w:color="auto" w:fill="auto"/>
            <w:noWrap/>
            <w:vAlign w:val="bottom"/>
            <w:hideMark/>
          </w:tcPr>
          <w:p w:rsidR="00871633" w:rsidRPr="00871633" w:rsidRDefault="00871633" w:rsidP="00871633">
            <w:pPr>
              <w:spacing w:after="0" w:line="240" w:lineRule="auto"/>
              <w:rPr>
                <w:rFonts w:ascii="Times New Roman" w:eastAsia="Times New Roman" w:hAnsi="Times New Roman" w:cs="Times New Roman"/>
                <w:sz w:val="24"/>
                <w:szCs w:val="24"/>
                <w:lang w:eastAsia="en-GB"/>
              </w:rPr>
            </w:pPr>
          </w:p>
        </w:tc>
        <w:tc>
          <w:tcPr>
            <w:tcW w:w="328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b/>
                <w:bCs/>
                <w:color w:val="000000"/>
                <w:lang w:eastAsia="en-GB"/>
              </w:rPr>
            </w:pPr>
            <w:r w:rsidRPr="00871633">
              <w:rPr>
                <w:rFonts w:ascii="Calibri" w:eastAsia="Times New Roman" w:hAnsi="Calibri" w:cs="Calibri"/>
                <w:b/>
                <w:bCs/>
                <w:color w:val="000000"/>
                <w:lang w:eastAsia="en-GB"/>
              </w:rPr>
              <w:t>Ratios</w:t>
            </w:r>
          </w:p>
        </w:tc>
        <w:tc>
          <w:tcPr>
            <w:tcW w:w="900" w:type="dxa"/>
            <w:tcBorders>
              <w:top w:val="single" w:sz="8" w:space="0" w:color="auto"/>
              <w:left w:val="nil"/>
              <w:bottom w:val="single" w:sz="8"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b/>
                <w:bCs/>
                <w:color w:val="000000"/>
                <w:lang w:eastAsia="en-GB"/>
              </w:rPr>
            </w:pPr>
            <w:r w:rsidRPr="00871633">
              <w:rPr>
                <w:rFonts w:ascii="Calibri" w:eastAsia="Times New Roman" w:hAnsi="Calibri" w:cs="Calibri"/>
                <w:b/>
                <w:bCs/>
                <w:color w:val="000000"/>
                <w:lang w:eastAsia="en-GB"/>
              </w:rPr>
              <w:t>2021 Q3</w:t>
            </w:r>
          </w:p>
        </w:tc>
        <w:tc>
          <w:tcPr>
            <w:tcW w:w="1420" w:type="dxa"/>
            <w:tcBorders>
              <w:top w:val="single" w:sz="8" w:space="0" w:color="auto"/>
              <w:left w:val="nil"/>
              <w:bottom w:val="single" w:sz="8"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b/>
                <w:bCs/>
                <w:color w:val="000000"/>
                <w:lang w:eastAsia="en-GB"/>
              </w:rPr>
            </w:pPr>
            <w:r w:rsidRPr="00871633">
              <w:rPr>
                <w:rFonts w:ascii="Calibri" w:eastAsia="Times New Roman" w:hAnsi="Calibri" w:cs="Calibri"/>
                <w:b/>
                <w:bCs/>
                <w:color w:val="000000"/>
                <w:lang w:eastAsia="en-GB"/>
              </w:rPr>
              <w:t>2020</w:t>
            </w:r>
          </w:p>
        </w:tc>
        <w:tc>
          <w:tcPr>
            <w:tcW w:w="1060" w:type="dxa"/>
            <w:tcBorders>
              <w:top w:val="single" w:sz="8" w:space="0" w:color="auto"/>
              <w:left w:val="nil"/>
              <w:bottom w:val="single" w:sz="8"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b/>
                <w:bCs/>
                <w:color w:val="000000"/>
                <w:lang w:eastAsia="en-GB"/>
              </w:rPr>
            </w:pPr>
            <w:r w:rsidRPr="00871633">
              <w:rPr>
                <w:rFonts w:ascii="Calibri" w:eastAsia="Times New Roman" w:hAnsi="Calibri" w:cs="Calibri"/>
                <w:b/>
                <w:bCs/>
                <w:color w:val="000000"/>
                <w:lang w:eastAsia="en-GB"/>
              </w:rPr>
              <w:t>2019</w:t>
            </w:r>
          </w:p>
        </w:tc>
      </w:tr>
      <w:tr w:rsidR="00871633" w:rsidRPr="00871633" w:rsidTr="00871633">
        <w:trPr>
          <w:trHeight w:val="300"/>
        </w:trPr>
        <w:tc>
          <w:tcPr>
            <w:tcW w:w="940" w:type="dxa"/>
            <w:vMerge w:val="restart"/>
            <w:tcBorders>
              <w:top w:val="single" w:sz="8" w:space="0" w:color="auto"/>
              <w:left w:val="single" w:sz="8" w:space="0" w:color="auto"/>
              <w:bottom w:val="single" w:sz="8" w:space="0" w:color="000000"/>
              <w:right w:val="single" w:sz="8" w:space="0" w:color="auto"/>
            </w:tcBorders>
            <w:shd w:val="clear" w:color="auto" w:fill="auto"/>
            <w:noWrap/>
            <w:textDirection w:val="btLr"/>
            <w:vAlign w:val="center"/>
            <w:hideMark/>
          </w:tcPr>
          <w:p w:rsidR="00871633" w:rsidRPr="00871633" w:rsidRDefault="00871633" w:rsidP="00871633">
            <w:pPr>
              <w:spacing w:after="0" w:line="240" w:lineRule="auto"/>
              <w:jc w:val="center"/>
              <w:rPr>
                <w:rFonts w:ascii="Calibri" w:eastAsia="Times New Roman" w:hAnsi="Calibri" w:cs="Calibri"/>
                <w:b/>
                <w:bCs/>
                <w:color w:val="000000"/>
                <w:lang w:eastAsia="en-GB"/>
              </w:rPr>
            </w:pPr>
            <w:r w:rsidRPr="00871633">
              <w:rPr>
                <w:rFonts w:ascii="Calibri" w:eastAsia="Times New Roman" w:hAnsi="Calibri" w:cs="Calibri"/>
                <w:b/>
                <w:bCs/>
                <w:color w:val="000000"/>
                <w:lang w:eastAsia="en-GB"/>
              </w:rPr>
              <w:t>Profitability</w:t>
            </w: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Gross Profit Margin</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31.69%</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18.64%</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30.42%</w:t>
            </w:r>
          </w:p>
        </w:tc>
      </w:tr>
      <w:tr w:rsidR="00871633" w:rsidRPr="00871633" w:rsidTr="00871633">
        <w:trPr>
          <w:trHeight w:val="300"/>
        </w:trPr>
        <w:tc>
          <w:tcPr>
            <w:tcW w:w="940" w:type="dxa"/>
            <w:vMerge/>
            <w:tcBorders>
              <w:top w:val="single" w:sz="8" w:space="0" w:color="auto"/>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Operating Profit Margin</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7.87%</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-6.49%</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13.76%</w:t>
            </w:r>
          </w:p>
        </w:tc>
      </w:tr>
      <w:tr w:rsidR="00871633" w:rsidRPr="00871633" w:rsidTr="00871633">
        <w:trPr>
          <w:trHeight w:val="300"/>
        </w:trPr>
        <w:tc>
          <w:tcPr>
            <w:tcW w:w="940" w:type="dxa"/>
            <w:vMerge/>
            <w:tcBorders>
              <w:top w:val="single" w:sz="8" w:space="0" w:color="auto"/>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Net Profit margin</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-13.93%</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-83.09%</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-2.30%</w:t>
            </w:r>
          </w:p>
        </w:tc>
      </w:tr>
      <w:tr w:rsidR="00871633" w:rsidRPr="00871633" w:rsidTr="00871633">
        <w:trPr>
          <w:trHeight w:val="300"/>
        </w:trPr>
        <w:tc>
          <w:tcPr>
            <w:tcW w:w="940" w:type="dxa"/>
            <w:vMerge/>
            <w:tcBorders>
              <w:top w:val="single" w:sz="8" w:space="0" w:color="auto"/>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Return on Assets</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-55.42%</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-2.89%</w:t>
            </w:r>
          </w:p>
        </w:tc>
      </w:tr>
      <w:tr w:rsidR="00871633" w:rsidRPr="00871633" w:rsidTr="00871633">
        <w:trPr>
          <w:trHeight w:val="315"/>
        </w:trPr>
        <w:tc>
          <w:tcPr>
            <w:tcW w:w="940" w:type="dxa"/>
            <w:vMerge/>
            <w:tcBorders>
              <w:top w:val="single" w:sz="8" w:space="0" w:color="auto"/>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8"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Return on Equity</w:t>
            </w:r>
          </w:p>
        </w:tc>
        <w:tc>
          <w:tcPr>
            <w:tcW w:w="900" w:type="dxa"/>
            <w:tcBorders>
              <w:top w:val="nil"/>
              <w:left w:val="nil"/>
              <w:bottom w:val="single" w:sz="8"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w:t>
            </w:r>
          </w:p>
        </w:tc>
        <w:tc>
          <w:tcPr>
            <w:tcW w:w="1420" w:type="dxa"/>
            <w:tcBorders>
              <w:top w:val="nil"/>
              <w:left w:val="nil"/>
              <w:bottom w:val="single" w:sz="8"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-168.87%</w:t>
            </w:r>
          </w:p>
        </w:tc>
        <w:tc>
          <w:tcPr>
            <w:tcW w:w="1060" w:type="dxa"/>
            <w:tcBorders>
              <w:top w:val="nil"/>
              <w:left w:val="nil"/>
              <w:bottom w:val="single" w:sz="8"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-13.19%</w:t>
            </w:r>
          </w:p>
        </w:tc>
      </w:tr>
      <w:tr w:rsidR="00871633" w:rsidRPr="00871633" w:rsidTr="00871633">
        <w:trPr>
          <w:trHeight w:val="300"/>
        </w:trPr>
        <w:tc>
          <w:tcPr>
            <w:tcW w:w="940" w:type="dxa"/>
            <w:vMerge w:val="restart"/>
            <w:tcBorders>
              <w:top w:val="nil"/>
              <w:left w:val="single" w:sz="8" w:space="0" w:color="auto"/>
              <w:bottom w:val="single" w:sz="8" w:space="0" w:color="000000"/>
              <w:right w:val="single" w:sz="8" w:space="0" w:color="auto"/>
            </w:tcBorders>
            <w:shd w:val="clear" w:color="auto" w:fill="auto"/>
            <w:noWrap/>
            <w:vAlign w:val="center"/>
            <w:hideMark/>
          </w:tcPr>
          <w:p w:rsidR="00871633" w:rsidRPr="00871633" w:rsidRDefault="00871633" w:rsidP="00871633">
            <w:pPr>
              <w:spacing w:after="0" w:line="240" w:lineRule="auto"/>
              <w:jc w:val="center"/>
              <w:rPr>
                <w:rFonts w:ascii="Calibri" w:eastAsia="Times New Roman" w:hAnsi="Calibri" w:cs="Calibri"/>
                <w:b/>
                <w:bCs/>
                <w:color w:val="000000"/>
                <w:lang w:eastAsia="en-GB"/>
              </w:rPr>
            </w:pPr>
            <w:r w:rsidRPr="00871633">
              <w:rPr>
                <w:rFonts w:ascii="Calibri" w:eastAsia="Times New Roman" w:hAnsi="Calibri" w:cs="Calibri"/>
                <w:b/>
                <w:bCs/>
                <w:color w:val="000000"/>
                <w:lang w:eastAsia="en-GB"/>
              </w:rPr>
              <w:t>Liquidity</w:t>
            </w: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Current Ratio</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79.01%</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103.09%</w:t>
            </w:r>
          </w:p>
        </w:tc>
      </w:tr>
      <w:tr w:rsidR="00871633" w:rsidRPr="00871633" w:rsidTr="00871633">
        <w:trPr>
          <w:trHeight w:val="315"/>
        </w:trPr>
        <w:tc>
          <w:tcPr>
            <w:tcW w:w="940" w:type="dxa"/>
            <w:vMerge/>
            <w:tcBorders>
              <w:top w:val="nil"/>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8"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Quick Ratio</w:t>
            </w:r>
          </w:p>
        </w:tc>
        <w:tc>
          <w:tcPr>
            <w:tcW w:w="900" w:type="dxa"/>
            <w:tcBorders>
              <w:top w:val="nil"/>
              <w:left w:val="nil"/>
              <w:bottom w:val="single" w:sz="8"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w:t>
            </w:r>
          </w:p>
        </w:tc>
        <w:tc>
          <w:tcPr>
            <w:tcW w:w="1420" w:type="dxa"/>
            <w:tcBorders>
              <w:top w:val="nil"/>
              <w:left w:val="nil"/>
              <w:bottom w:val="single" w:sz="8"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61.78%</w:t>
            </w:r>
          </w:p>
        </w:tc>
        <w:tc>
          <w:tcPr>
            <w:tcW w:w="1060" w:type="dxa"/>
            <w:tcBorders>
              <w:top w:val="nil"/>
              <w:left w:val="nil"/>
              <w:bottom w:val="single" w:sz="8"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77.24%</w:t>
            </w:r>
          </w:p>
        </w:tc>
      </w:tr>
      <w:tr w:rsidR="00871633" w:rsidRPr="00871633" w:rsidTr="00871633">
        <w:trPr>
          <w:trHeight w:val="300"/>
        </w:trPr>
        <w:tc>
          <w:tcPr>
            <w:tcW w:w="940" w:type="dxa"/>
            <w:vMerge w:val="restart"/>
            <w:tcBorders>
              <w:top w:val="nil"/>
              <w:left w:val="single" w:sz="8" w:space="0" w:color="auto"/>
              <w:bottom w:val="single" w:sz="8" w:space="0" w:color="000000"/>
              <w:right w:val="single" w:sz="8" w:space="0" w:color="auto"/>
            </w:tcBorders>
            <w:shd w:val="clear" w:color="auto" w:fill="auto"/>
            <w:noWrap/>
            <w:vAlign w:val="center"/>
            <w:hideMark/>
          </w:tcPr>
          <w:p w:rsidR="00871633" w:rsidRPr="00871633" w:rsidRDefault="00871633" w:rsidP="00871633">
            <w:pPr>
              <w:spacing w:after="0" w:line="240" w:lineRule="auto"/>
              <w:jc w:val="center"/>
              <w:rPr>
                <w:rFonts w:ascii="Calibri" w:eastAsia="Times New Roman" w:hAnsi="Calibri" w:cs="Calibri"/>
                <w:b/>
                <w:bCs/>
                <w:color w:val="000000"/>
                <w:lang w:eastAsia="en-GB"/>
              </w:rPr>
            </w:pPr>
            <w:r w:rsidRPr="00871633">
              <w:rPr>
                <w:rFonts w:ascii="Calibri" w:eastAsia="Times New Roman" w:hAnsi="Calibri" w:cs="Calibri"/>
                <w:b/>
                <w:bCs/>
                <w:color w:val="000000"/>
                <w:lang w:eastAsia="en-GB"/>
              </w:rPr>
              <w:t>Activity</w:t>
            </w: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Days Sales Outstanding (DSO)</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159.71</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97.47</w:t>
            </w:r>
          </w:p>
        </w:tc>
      </w:tr>
      <w:tr w:rsidR="00871633" w:rsidRPr="00871633" w:rsidTr="00871633">
        <w:trPr>
          <w:trHeight w:val="300"/>
        </w:trPr>
        <w:tc>
          <w:tcPr>
            <w:tcW w:w="940" w:type="dxa"/>
            <w:vMerge/>
            <w:tcBorders>
              <w:top w:val="nil"/>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Inventory Turnover</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5.57</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6.82</w:t>
            </w:r>
          </w:p>
        </w:tc>
      </w:tr>
      <w:tr w:rsidR="00871633" w:rsidRPr="00871633" w:rsidTr="00871633">
        <w:trPr>
          <w:trHeight w:val="315"/>
        </w:trPr>
        <w:tc>
          <w:tcPr>
            <w:tcW w:w="940" w:type="dxa"/>
            <w:vMerge/>
            <w:tcBorders>
              <w:top w:val="nil"/>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8"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Days Payable Outstanding (DPO)</w:t>
            </w:r>
          </w:p>
        </w:tc>
        <w:tc>
          <w:tcPr>
            <w:tcW w:w="900" w:type="dxa"/>
            <w:tcBorders>
              <w:top w:val="nil"/>
              <w:left w:val="nil"/>
              <w:bottom w:val="single" w:sz="8"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w:t>
            </w:r>
          </w:p>
        </w:tc>
        <w:tc>
          <w:tcPr>
            <w:tcW w:w="1420" w:type="dxa"/>
            <w:tcBorders>
              <w:top w:val="nil"/>
              <w:left w:val="nil"/>
              <w:bottom w:val="single" w:sz="8"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487.01</w:t>
            </w:r>
          </w:p>
        </w:tc>
        <w:tc>
          <w:tcPr>
            <w:tcW w:w="1060" w:type="dxa"/>
            <w:tcBorders>
              <w:top w:val="nil"/>
              <w:left w:val="nil"/>
              <w:bottom w:val="single" w:sz="8"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295.99</w:t>
            </w:r>
          </w:p>
        </w:tc>
      </w:tr>
      <w:tr w:rsidR="00871633" w:rsidRPr="00871633" w:rsidTr="00871633">
        <w:trPr>
          <w:trHeight w:val="300"/>
        </w:trPr>
        <w:tc>
          <w:tcPr>
            <w:tcW w:w="940" w:type="dxa"/>
            <w:vMerge w:val="restart"/>
            <w:tcBorders>
              <w:top w:val="nil"/>
              <w:left w:val="single" w:sz="8" w:space="0" w:color="auto"/>
              <w:bottom w:val="single" w:sz="8" w:space="0" w:color="000000"/>
              <w:right w:val="single" w:sz="8" w:space="0" w:color="auto"/>
            </w:tcBorders>
            <w:shd w:val="clear" w:color="auto" w:fill="auto"/>
            <w:noWrap/>
            <w:vAlign w:val="center"/>
            <w:hideMark/>
          </w:tcPr>
          <w:p w:rsidR="00871633" w:rsidRPr="00871633" w:rsidRDefault="00871633" w:rsidP="00871633">
            <w:pPr>
              <w:spacing w:after="0" w:line="240" w:lineRule="auto"/>
              <w:jc w:val="center"/>
              <w:rPr>
                <w:rFonts w:ascii="Calibri" w:eastAsia="Times New Roman" w:hAnsi="Calibri" w:cs="Calibri"/>
                <w:b/>
                <w:bCs/>
                <w:color w:val="000000"/>
                <w:lang w:eastAsia="en-GB"/>
              </w:rPr>
            </w:pPr>
            <w:r w:rsidRPr="00871633">
              <w:rPr>
                <w:rFonts w:ascii="Calibri" w:eastAsia="Times New Roman" w:hAnsi="Calibri" w:cs="Calibri"/>
                <w:b/>
                <w:bCs/>
                <w:color w:val="000000"/>
                <w:lang w:eastAsia="en-GB"/>
              </w:rPr>
              <w:t>Leverage</w:t>
            </w: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Debt/Equity Ratio (%)</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86.48%</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14.34%</w:t>
            </w:r>
          </w:p>
        </w:tc>
      </w:tr>
      <w:tr w:rsidR="00871633" w:rsidRPr="00871633" w:rsidTr="00871633">
        <w:trPr>
          <w:trHeight w:val="315"/>
        </w:trPr>
        <w:tc>
          <w:tcPr>
            <w:tcW w:w="940" w:type="dxa"/>
            <w:vMerge/>
            <w:tcBorders>
              <w:top w:val="nil"/>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8"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Interest Coverage (%)</w:t>
            </w:r>
          </w:p>
        </w:tc>
        <w:tc>
          <w:tcPr>
            <w:tcW w:w="900" w:type="dxa"/>
            <w:tcBorders>
              <w:top w:val="nil"/>
              <w:left w:val="nil"/>
              <w:bottom w:val="single" w:sz="8"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w:t>
            </w:r>
          </w:p>
        </w:tc>
        <w:tc>
          <w:tcPr>
            <w:tcW w:w="1420" w:type="dxa"/>
            <w:tcBorders>
              <w:top w:val="nil"/>
              <w:left w:val="nil"/>
              <w:bottom w:val="single" w:sz="8"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-12.19%</w:t>
            </w:r>
          </w:p>
        </w:tc>
        <w:tc>
          <w:tcPr>
            <w:tcW w:w="1060" w:type="dxa"/>
            <w:tcBorders>
              <w:top w:val="nil"/>
              <w:left w:val="nil"/>
              <w:bottom w:val="single" w:sz="8"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378.56%</w:t>
            </w:r>
          </w:p>
        </w:tc>
      </w:tr>
      <w:tr w:rsidR="00871633" w:rsidRPr="00871633" w:rsidTr="00871633">
        <w:trPr>
          <w:trHeight w:val="300"/>
        </w:trPr>
        <w:tc>
          <w:tcPr>
            <w:tcW w:w="940" w:type="dxa"/>
            <w:vMerge w:val="restart"/>
            <w:tcBorders>
              <w:top w:val="nil"/>
              <w:left w:val="single" w:sz="8" w:space="0" w:color="auto"/>
              <w:bottom w:val="single" w:sz="8" w:space="0" w:color="000000"/>
              <w:right w:val="single" w:sz="8" w:space="0" w:color="auto"/>
            </w:tcBorders>
            <w:shd w:val="clear" w:color="auto" w:fill="auto"/>
            <w:noWrap/>
            <w:vAlign w:val="center"/>
            <w:hideMark/>
          </w:tcPr>
          <w:p w:rsidR="00871633" w:rsidRPr="00871633" w:rsidRDefault="00871633" w:rsidP="00871633">
            <w:pPr>
              <w:spacing w:after="0" w:line="240" w:lineRule="auto"/>
              <w:jc w:val="center"/>
              <w:rPr>
                <w:rFonts w:ascii="Calibri" w:eastAsia="Times New Roman" w:hAnsi="Calibri" w:cs="Calibri"/>
                <w:b/>
                <w:bCs/>
                <w:color w:val="000000"/>
                <w:lang w:eastAsia="en-GB"/>
              </w:rPr>
            </w:pPr>
            <w:r w:rsidRPr="00871633">
              <w:rPr>
                <w:rFonts w:ascii="Calibri" w:eastAsia="Times New Roman" w:hAnsi="Calibri" w:cs="Calibri"/>
                <w:b/>
                <w:bCs/>
                <w:color w:val="000000"/>
                <w:lang w:eastAsia="en-GB"/>
              </w:rPr>
              <w:t>Investor</w:t>
            </w: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Earnings Per Ordinary Share (EPS)</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-£0.07</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£0.00</w:t>
            </w:r>
          </w:p>
        </w:tc>
      </w:tr>
      <w:tr w:rsidR="00871633" w:rsidRPr="00871633" w:rsidTr="00871633">
        <w:trPr>
          <w:trHeight w:val="300"/>
        </w:trPr>
        <w:tc>
          <w:tcPr>
            <w:tcW w:w="940" w:type="dxa"/>
            <w:vMerge/>
            <w:tcBorders>
              <w:top w:val="nil"/>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Dividend Cover (%)</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0.00%</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0.00%</w:t>
            </w:r>
          </w:p>
        </w:tc>
      </w:tr>
      <w:tr w:rsidR="00871633" w:rsidRPr="00871633" w:rsidTr="00871633">
        <w:trPr>
          <w:trHeight w:val="300"/>
        </w:trPr>
        <w:tc>
          <w:tcPr>
            <w:tcW w:w="940" w:type="dxa"/>
            <w:vMerge/>
            <w:tcBorders>
              <w:top w:val="nil"/>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xml:space="preserve">Price per Earnings </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-£0.42</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-£7.64</w:t>
            </w:r>
          </w:p>
        </w:tc>
      </w:tr>
      <w:tr w:rsidR="00871633" w:rsidRPr="00871633" w:rsidTr="00871633">
        <w:trPr>
          <w:trHeight w:val="315"/>
        </w:trPr>
        <w:tc>
          <w:tcPr>
            <w:tcW w:w="940" w:type="dxa"/>
            <w:vMerge/>
            <w:tcBorders>
              <w:top w:val="nil"/>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8"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Dividend Yield (%)</w:t>
            </w:r>
          </w:p>
        </w:tc>
        <w:tc>
          <w:tcPr>
            <w:tcW w:w="900" w:type="dxa"/>
            <w:tcBorders>
              <w:top w:val="nil"/>
              <w:left w:val="nil"/>
              <w:bottom w:val="single" w:sz="8"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w:t>
            </w:r>
          </w:p>
        </w:tc>
        <w:tc>
          <w:tcPr>
            <w:tcW w:w="1420" w:type="dxa"/>
            <w:tcBorders>
              <w:top w:val="nil"/>
              <w:left w:val="nil"/>
              <w:bottom w:val="single" w:sz="8"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0.00%</w:t>
            </w:r>
          </w:p>
        </w:tc>
        <w:tc>
          <w:tcPr>
            <w:tcW w:w="1060" w:type="dxa"/>
            <w:tcBorders>
              <w:top w:val="nil"/>
              <w:left w:val="nil"/>
              <w:bottom w:val="single" w:sz="8"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0.00%</w:t>
            </w:r>
          </w:p>
        </w:tc>
      </w:tr>
      <w:tr w:rsidR="00871633" w:rsidRPr="00871633" w:rsidTr="00871633">
        <w:trPr>
          <w:trHeight w:val="300"/>
        </w:trPr>
        <w:tc>
          <w:tcPr>
            <w:tcW w:w="940" w:type="dxa"/>
            <w:vMerge w:val="restart"/>
            <w:tcBorders>
              <w:top w:val="nil"/>
              <w:left w:val="single" w:sz="8" w:space="0" w:color="auto"/>
              <w:bottom w:val="single" w:sz="8" w:space="0" w:color="000000"/>
              <w:right w:val="single" w:sz="8" w:space="0" w:color="auto"/>
            </w:tcBorders>
            <w:shd w:val="clear" w:color="auto" w:fill="auto"/>
            <w:noWrap/>
            <w:textDirection w:val="btLr"/>
            <w:vAlign w:val="center"/>
            <w:hideMark/>
          </w:tcPr>
          <w:p w:rsidR="00871633" w:rsidRPr="00871633" w:rsidRDefault="00871633" w:rsidP="00871633">
            <w:pPr>
              <w:spacing w:after="0" w:line="240" w:lineRule="auto"/>
              <w:jc w:val="center"/>
              <w:rPr>
                <w:rFonts w:ascii="Calibri" w:eastAsia="Times New Roman" w:hAnsi="Calibri" w:cs="Calibri"/>
                <w:b/>
                <w:bCs/>
                <w:color w:val="000000"/>
                <w:lang w:eastAsia="en-GB"/>
              </w:rPr>
            </w:pPr>
            <w:r w:rsidRPr="00871633">
              <w:rPr>
                <w:rFonts w:ascii="Calibri" w:eastAsia="Times New Roman" w:hAnsi="Calibri" w:cs="Calibri"/>
                <w:b/>
                <w:bCs/>
                <w:color w:val="000000"/>
                <w:lang w:eastAsia="en-GB"/>
              </w:rPr>
              <w:t>Financial Information</w:t>
            </w: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Revenue (Sales)</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£495,500</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£771,660</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£1,485,785</w:t>
            </w:r>
          </w:p>
        </w:tc>
      </w:tr>
      <w:tr w:rsidR="00871633" w:rsidRPr="00871633" w:rsidTr="00871633">
        <w:trPr>
          <w:trHeight w:val="300"/>
        </w:trPr>
        <w:tc>
          <w:tcPr>
            <w:tcW w:w="940" w:type="dxa"/>
            <w:vMerge/>
            <w:tcBorders>
              <w:top w:val="nil"/>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Gross Profit</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£157,000</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£143,813</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£451,968</w:t>
            </w:r>
          </w:p>
        </w:tc>
      </w:tr>
      <w:tr w:rsidR="00871633" w:rsidRPr="00871633" w:rsidTr="00871633">
        <w:trPr>
          <w:trHeight w:val="300"/>
        </w:trPr>
        <w:tc>
          <w:tcPr>
            <w:tcW w:w="940" w:type="dxa"/>
            <w:vMerge/>
            <w:tcBorders>
              <w:top w:val="nil"/>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Net Income</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-£69,000</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-£641,162</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-£34,112</w:t>
            </w:r>
          </w:p>
        </w:tc>
      </w:tr>
      <w:tr w:rsidR="00871633" w:rsidRPr="00871633" w:rsidTr="00871633">
        <w:trPr>
          <w:trHeight w:val="300"/>
        </w:trPr>
        <w:tc>
          <w:tcPr>
            <w:tcW w:w="940" w:type="dxa"/>
            <w:vMerge/>
            <w:tcBorders>
              <w:top w:val="nil"/>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Operating Profit</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£39,000</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-£50,076</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£204,484</w:t>
            </w:r>
          </w:p>
        </w:tc>
      </w:tr>
      <w:tr w:rsidR="00871633" w:rsidRPr="00871633" w:rsidTr="00871633">
        <w:trPr>
          <w:trHeight w:val="300"/>
        </w:trPr>
        <w:tc>
          <w:tcPr>
            <w:tcW w:w="940" w:type="dxa"/>
            <w:vMerge/>
            <w:tcBorders>
              <w:top w:val="nil"/>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Assets</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£1,156,980</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£1,182,108</w:t>
            </w:r>
          </w:p>
        </w:tc>
      </w:tr>
      <w:tr w:rsidR="00871633" w:rsidRPr="00871633" w:rsidTr="00871633">
        <w:trPr>
          <w:trHeight w:val="300"/>
        </w:trPr>
        <w:tc>
          <w:tcPr>
            <w:tcW w:w="940" w:type="dxa"/>
            <w:vMerge/>
            <w:tcBorders>
              <w:top w:val="nil"/>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Shareholders’ Equity</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£379,689</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£258,709</w:t>
            </w:r>
          </w:p>
        </w:tc>
      </w:tr>
      <w:tr w:rsidR="00871633" w:rsidRPr="00871633" w:rsidTr="00871633">
        <w:trPr>
          <w:trHeight w:val="300"/>
        </w:trPr>
        <w:tc>
          <w:tcPr>
            <w:tcW w:w="940" w:type="dxa"/>
            <w:vMerge/>
            <w:tcBorders>
              <w:top w:val="nil"/>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Current Assets</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£517,215</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£604,663</w:t>
            </w:r>
          </w:p>
        </w:tc>
      </w:tr>
      <w:tr w:rsidR="00871633" w:rsidRPr="00871633" w:rsidTr="00871633">
        <w:trPr>
          <w:trHeight w:val="300"/>
        </w:trPr>
        <w:tc>
          <w:tcPr>
            <w:tcW w:w="940" w:type="dxa"/>
            <w:vMerge/>
            <w:tcBorders>
              <w:top w:val="nil"/>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xml:space="preserve">Current Liabilities </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£654,654</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£586,516</w:t>
            </w:r>
          </w:p>
        </w:tc>
      </w:tr>
      <w:tr w:rsidR="00871633" w:rsidRPr="00871633" w:rsidTr="00871633">
        <w:trPr>
          <w:trHeight w:val="300"/>
        </w:trPr>
        <w:tc>
          <w:tcPr>
            <w:tcW w:w="940" w:type="dxa"/>
            <w:vMerge/>
            <w:tcBorders>
              <w:top w:val="nil"/>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Stock (Inventory)</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£112,773</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£151,656</w:t>
            </w:r>
          </w:p>
        </w:tc>
      </w:tr>
      <w:tr w:rsidR="00871633" w:rsidRPr="00871633" w:rsidTr="00871633">
        <w:trPr>
          <w:trHeight w:val="300"/>
        </w:trPr>
        <w:tc>
          <w:tcPr>
            <w:tcW w:w="940" w:type="dxa"/>
            <w:vMerge/>
            <w:tcBorders>
              <w:top w:val="nil"/>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Debtors (Accounts Receivable)</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£337,658</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£396,755</w:t>
            </w:r>
          </w:p>
        </w:tc>
      </w:tr>
      <w:tr w:rsidR="00871633" w:rsidRPr="00871633" w:rsidTr="00871633">
        <w:trPr>
          <w:trHeight w:val="300"/>
        </w:trPr>
        <w:tc>
          <w:tcPr>
            <w:tcW w:w="940" w:type="dxa"/>
            <w:vMerge/>
            <w:tcBorders>
              <w:top w:val="nil"/>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Cost of Goods Sold</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£338,000</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£627,847</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£1,033,817</w:t>
            </w:r>
          </w:p>
        </w:tc>
      </w:tr>
      <w:tr w:rsidR="00871633" w:rsidRPr="00871633" w:rsidTr="00871633">
        <w:trPr>
          <w:trHeight w:val="300"/>
        </w:trPr>
        <w:tc>
          <w:tcPr>
            <w:tcW w:w="940" w:type="dxa"/>
            <w:vMerge/>
            <w:tcBorders>
              <w:top w:val="nil"/>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Creditors (Accounts Payable)</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£837,728</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£838,350</w:t>
            </w:r>
          </w:p>
        </w:tc>
      </w:tr>
      <w:tr w:rsidR="00871633" w:rsidRPr="00871633" w:rsidTr="00871633">
        <w:trPr>
          <w:trHeight w:val="300"/>
        </w:trPr>
        <w:tc>
          <w:tcPr>
            <w:tcW w:w="940" w:type="dxa"/>
            <w:vMerge/>
            <w:tcBorders>
              <w:top w:val="nil"/>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xml:space="preserve">Non-current Liabilities </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£328,367</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£37,098</w:t>
            </w:r>
          </w:p>
        </w:tc>
      </w:tr>
      <w:tr w:rsidR="00871633" w:rsidRPr="00871633" w:rsidTr="00871633">
        <w:trPr>
          <w:trHeight w:val="300"/>
        </w:trPr>
        <w:tc>
          <w:tcPr>
            <w:tcW w:w="940" w:type="dxa"/>
            <w:vMerge/>
            <w:tcBorders>
              <w:top w:val="nil"/>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Stockholders’ Equity</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£379,689</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£258,709</w:t>
            </w:r>
          </w:p>
        </w:tc>
      </w:tr>
      <w:tr w:rsidR="00871633" w:rsidRPr="00871633" w:rsidTr="00871633">
        <w:trPr>
          <w:trHeight w:val="300"/>
        </w:trPr>
        <w:tc>
          <w:tcPr>
            <w:tcW w:w="940" w:type="dxa"/>
            <w:vMerge/>
            <w:tcBorders>
              <w:top w:val="nil"/>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Interest Charge</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£410,788</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£54,016</w:t>
            </w:r>
          </w:p>
        </w:tc>
      </w:tr>
      <w:tr w:rsidR="00871633" w:rsidRPr="00871633" w:rsidTr="00871633">
        <w:trPr>
          <w:trHeight w:val="300"/>
        </w:trPr>
        <w:tc>
          <w:tcPr>
            <w:tcW w:w="940" w:type="dxa"/>
            <w:vMerge/>
            <w:tcBorders>
              <w:top w:val="nil"/>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No. of Shares</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8,888,135</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8,688,135</w:t>
            </w:r>
          </w:p>
        </w:tc>
      </w:tr>
      <w:tr w:rsidR="00871633" w:rsidRPr="00871633" w:rsidTr="00871633">
        <w:trPr>
          <w:trHeight w:val="300"/>
        </w:trPr>
        <w:tc>
          <w:tcPr>
            <w:tcW w:w="940" w:type="dxa"/>
            <w:vMerge/>
            <w:tcBorders>
              <w:top w:val="nil"/>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Dividend per Share</w:t>
            </w:r>
          </w:p>
        </w:tc>
        <w:tc>
          <w:tcPr>
            <w:tcW w:w="90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£0</w:t>
            </w:r>
          </w:p>
        </w:tc>
        <w:tc>
          <w:tcPr>
            <w:tcW w:w="1060" w:type="dxa"/>
            <w:tcBorders>
              <w:top w:val="nil"/>
              <w:left w:val="nil"/>
              <w:bottom w:val="single" w:sz="4"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£0</w:t>
            </w:r>
          </w:p>
        </w:tc>
      </w:tr>
      <w:tr w:rsidR="00871633" w:rsidRPr="00871633" w:rsidTr="00871633">
        <w:trPr>
          <w:trHeight w:val="315"/>
        </w:trPr>
        <w:tc>
          <w:tcPr>
            <w:tcW w:w="940" w:type="dxa"/>
            <w:vMerge/>
            <w:tcBorders>
              <w:top w:val="nil"/>
              <w:left w:val="single" w:sz="8" w:space="0" w:color="auto"/>
              <w:bottom w:val="single" w:sz="8" w:space="0" w:color="000000"/>
              <w:right w:val="single" w:sz="8" w:space="0" w:color="auto"/>
            </w:tcBorders>
            <w:vAlign w:val="center"/>
            <w:hideMark/>
          </w:tcPr>
          <w:p w:rsidR="00871633" w:rsidRPr="00871633" w:rsidRDefault="00871633" w:rsidP="00871633">
            <w:pPr>
              <w:spacing w:after="0" w:line="240" w:lineRule="auto"/>
              <w:rPr>
                <w:rFonts w:ascii="Calibri" w:eastAsia="Times New Roman" w:hAnsi="Calibri" w:cs="Calibri"/>
                <w:b/>
                <w:bCs/>
                <w:color w:val="000000"/>
                <w:lang w:eastAsia="en-GB"/>
              </w:rPr>
            </w:pPr>
          </w:p>
        </w:tc>
        <w:tc>
          <w:tcPr>
            <w:tcW w:w="3280" w:type="dxa"/>
            <w:tcBorders>
              <w:top w:val="nil"/>
              <w:left w:val="nil"/>
              <w:bottom w:val="single" w:sz="8" w:space="0" w:color="auto"/>
              <w:right w:val="single" w:sz="4" w:space="0" w:color="auto"/>
            </w:tcBorders>
            <w:shd w:val="clear" w:color="auto" w:fill="auto"/>
            <w:noWrap/>
            <w:vAlign w:val="bottom"/>
            <w:hideMark/>
          </w:tcPr>
          <w:p w:rsidR="00871633" w:rsidRPr="00871633" w:rsidRDefault="00871633" w:rsidP="00871633">
            <w:pPr>
              <w:spacing w:after="0" w:line="240" w:lineRule="auto"/>
              <w:rPr>
                <w:rFonts w:ascii="Calibri" w:eastAsia="Times New Roman" w:hAnsi="Calibri" w:cs="Calibri"/>
                <w:color w:val="000000"/>
                <w:lang w:eastAsia="en-GB"/>
              </w:rPr>
            </w:pPr>
            <w:r w:rsidRPr="00871633">
              <w:rPr>
                <w:rFonts w:ascii="Calibri" w:eastAsia="Times New Roman" w:hAnsi="Calibri" w:cs="Calibri"/>
                <w:color w:val="000000"/>
                <w:lang w:eastAsia="en-GB"/>
              </w:rPr>
              <w:t>Market Value per Share</w:t>
            </w:r>
          </w:p>
        </w:tc>
        <w:tc>
          <w:tcPr>
            <w:tcW w:w="900" w:type="dxa"/>
            <w:tcBorders>
              <w:top w:val="nil"/>
              <w:left w:val="nil"/>
              <w:bottom w:val="single" w:sz="8"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£0.07</w:t>
            </w:r>
          </w:p>
        </w:tc>
        <w:tc>
          <w:tcPr>
            <w:tcW w:w="1420" w:type="dxa"/>
            <w:tcBorders>
              <w:top w:val="nil"/>
              <w:left w:val="nil"/>
              <w:bottom w:val="single" w:sz="8" w:space="0" w:color="auto"/>
              <w:right w:val="single" w:sz="4"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£0.03</w:t>
            </w:r>
          </w:p>
        </w:tc>
        <w:tc>
          <w:tcPr>
            <w:tcW w:w="1060" w:type="dxa"/>
            <w:tcBorders>
              <w:top w:val="nil"/>
              <w:left w:val="nil"/>
              <w:bottom w:val="single" w:sz="8" w:space="0" w:color="auto"/>
              <w:right w:val="single" w:sz="8" w:space="0" w:color="auto"/>
            </w:tcBorders>
            <w:shd w:val="clear" w:color="auto" w:fill="auto"/>
            <w:noWrap/>
            <w:vAlign w:val="bottom"/>
            <w:hideMark/>
          </w:tcPr>
          <w:p w:rsidR="00871633" w:rsidRPr="00871633" w:rsidRDefault="00871633" w:rsidP="00871633">
            <w:pPr>
              <w:spacing w:after="0" w:line="240" w:lineRule="auto"/>
              <w:jc w:val="right"/>
              <w:rPr>
                <w:rFonts w:ascii="Calibri" w:eastAsia="Times New Roman" w:hAnsi="Calibri" w:cs="Calibri"/>
                <w:color w:val="000000"/>
                <w:lang w:eastAsia="en-GB"/>
              </w:rPr>
            </w:pPr>
            <w:r w:rsidRPr="00871633">
              <w:rPr>
                <w:rFonts w:ascii="Calibri" w:eastAsia="Times New Roman" w:hAnsi="Calibri" w:cs="Calibri"/>
                <w:color w:val="000000"/>
                <w:lang w:eastAsia="en-GB"/>
              </w:rPr>
              <w:t>£0.03</w:t>
            </w:r>
          </w:p>
        </w:tc>
      </w:tr>
    </w:tbl>
    <w:p w:rsidR="00871633" w:rsidRDefault="00871633" w:rsidP="00871633"/>
    <w:p w:rsidR="00871633" w:rsidRDefault="00871633">
      <w:r>
        <w:br w:type="page"/>
      </w:r>
    </w:p>
    <w:p w:rsidR="00871633" w:rsidRDefault="00871633" w:rsidP="00871633">
      <w:pPr>
        <w:pStyle w:val="Heading2"/>
      </w:pPr>
      <w:r>
        <w:t>Equation List</w:t>
      </w:r>
    </w:p>
    <w:p w:rsidR="00871633" w:rsidRDefault="00871633" w:rsidP="00871633">
      <w:pPr>
        <w:pStyle w:val="Heading3"/>
      </w:pPr>
      <w:r>
        <w:t>Profitability Ratios</w:t>
      </w:r>
    </w:p>
    <w:p w:rsidR="00871633" w:rsidRPr="00871633" w:rsidRDefault="00871633" w:rsidP="00871633">
      <w:pPr>
        <w:jc w:val="center"/>
        <w:rPr>
          <w:rFonts w:eastAsiaTheme="minorEastAsia"/>
        </w:rPr>
      </w:pPr>
      <m:oMathPara>
        <m:oMath>
          <m:r>
            <w:rPr>
              <w:rFonts w:ascii="Cambria Math" w:hAnsi="Cambria Math"/>
            </w:rPr>
            <m:t>Gross Profit Margin=</m:t>
          </m:r>
          <m:f>
            <m:fPr>
              <m:ctrlPr>
                <w:rPr>
                  <w:rFonts w:ascii="Cambria Math" w:hAnsi="Cambria Math"/>
                  <w:i/>
                </w:rPr>
              </m:ctrlPr>
            </m:fPr>
            <m:num>
              <m:r>
                <w:rPr>
                  <w:rFonts w:ascii="Cambria Math" w:hAnsi="Cambria Math"/>
                </w:rPr>
                <m:t>Gross Profit</m:t>
              </m:r>
            </m:num>
            <m:den>
              <m:r>
                <w:rPr>
                  <w:rFonts w:ascii="Cambria Math" w:hAnsi="Cambria Math"/>
                </w:rPr>
                <m:t>Revenue</m:t>
              </m:r>
            </m:den>
          </m:f>
        </m:oMath>
      </m:oMathPara>
    </w:p>
    <w:p w:rsidR="00871633" w:rsidRPr="00871633" w:rsidRDefault="00871633" w:rsidP="00871633">
      <w:pPr>
        <w:jc w:val="center"/>
      </w:pPr>
      <m:oMathPara>
        <m:oMath>
          <m:r>
            <w:rPr>
              <w:rFonts w:ascii="Cambria Math" w:hAnsi="Cambria Math"/>
            </w:rPr>
            <m:t>Operating Profit Margin=</m:t>
          </m:r>
          <m:f>
            <m:fPr>
              <m:ctrlPr>
                <w:rPr>
                  <w:rFonts w:ascii="Cambria Math" w:hAnsi="Cambria Math"/>
                  <w:i/>
                </w:rPr>
              </m:ctrlPr>
            </m:fPr>
            <m:num>
              <m:r>
                <w:rPr>
                  <w:rFonts w:ascii="Cambria Math" w:hAnsi="Cambria Math"/>
                </w:rPr>
                <m:t>Operating Profit (EBITDA)</m:t>
              </m:r>
            </m:num>
            <m:den>
              <m:r>
                <w:rPr>
                  <w:rFonts w:ascii="Cambria Math" w:hAnsi="Cambria Math"/>
                </w:rPr>
                <m:t>Revenue</m:t>
              </m:r>
            </m:den>
          </m:f>
        </m:oMath>
      </m:oMathPara>
    </w:p>
    <w:p w:rsidR="00871633" w:rsidRPr="00871633" w:rsidRDefault="00871633" w:rsidP="00871633">
      <w:pPr>
        <w:jc w:val="center"/>
      </w:pPr>
      <m:oMathPara>
        <m:oMath>
          <m:r>
            <w:rPr>
              <w:rFonts w:ascii="Cambria Math" w:hAnsi="Cambria Math"/>
            </w:rPr>
            <m:t>Net Profit Margin=</m:t>
          </m:r>
          <m:f>
            <m:fPr>
              <m:ctrlPr>
                <w:rPr>
                  <w:rFonts w:ascii="Cambria Math" w:hAnsi="Cambria Math"/>
                  <w:i/>
                </w:rPr>
              </m:ctrlPr>
            </m:fPr>
            <m:num>
              <m:r>
                <w:rPr>
                  <w:rFonts w:ascii="Cambria Math" w:hAnsi="Cambria Math"/>
                </w:rPr>
                <m:t xml:space="preserve">Net </m:t>
              </m:r>
              <m:r>
                <w:rPr>
                  <w:rFonts w:ascii="Cambria Math" w:hAnsi="Cambria Math"/>
                </w:rPr>
                <m:t>Income</m:t>
              </m:r>
            </m:num>
            <m:den>
              <m:r>
                <w:rPr>
                  <w:rFonts w:ascii="Cambria Math" w:hAnsi="Cambria Math"/>
                </w:rPr>
                <m:t>Revenue</m:t>
              </m:r>
            </m:den>
          </m:f>
        </m:oMath>
      </m:oMathPara>
    </w:p>
    <w:p w:rsidR="009C269B" w:rsidRPr="00871633" w:rsidRDefault="009C269B" w:rsidP="009C269B">
      <w:pPr>
        <w:jc w:val="center"/>
      </w:pPr>
      <m:oMathPara>
        <m:oMath>
          <m:r>
            <w:rPr>
              <w:rFonts w:ascii="Cambria Math" w:hAnsi="Cambria Math"/>
            </w:rPr>
            <m:t>Return on Assets=</m:t>
          </m:r>
          <m:f>
            <m:fPr>
              <m:ctrlPr>
                <w:rPr>
                  <w:rFonts w:ascii="Cambria Math" w:hAnsi="Cambria Math"/>
                  <w:i/>
                </w:rPr>
              </m:ctrlPr>
            </m:fPr>
            <m:num>
              <m:r>
                <w:rPr>
                  <w:rFonts w:ascii="Cambria Math" w:hAnsi="Cambria Math"/>
                </w:rPr>
                <m:t>Net Income</m:t>
              </m:r>
            </m:num>
            <m:den>
              <m:r>
                <w:rPr>
                  <w:rFonts w:ascii="Cambria Math" w:hAnsi="Cambria Math"/>
                </w:rPr>
                <m:t>Assets</m:t>
              </m:r>
            </m:den>
          </m:f>
        </m:oMath>
      </m:oMathPara>
    </w:p>
    <w:p w:rsidR="009C269B" w:rsidRPr="009C269B" w:rsidRDefault="009C269B" w:rsidP="009C269B">
      <w:pPr>
        <w:jc w:val="center"/>
        <w:rPr>
          <w:rFonts w:eastAsiaTheme="minorEastAsia"/>
        </w:rPr>
      </w:pPr>
      <m:oMathPara>
        <m:oMath>
          <m:r>
            <w:rPr>
              <w:rFonts w:ascii="Cambria Math" w:hAnsi="Cambria Math"/>
            </w:rPr>
            <m:t>Return on Equity=</m:t>
          </m:r>
          <m:f>
            <m:fPr>
              <m:ctrlPr>
                <w:rPr>
                  <w:rFonts w:ascii="Cambria Math" w:hAnsi="Cambria Math"/>
                  <w:i/>
                </w:rPr>
              </m:ctrlPr>
            </m:fPr>
            <m:num>
              <m:r>
                <w:rPr>
                  <w:rFonts w:ascii="Cambria Math" w:hAnsi="Cambria Math"/>
                </w:rPr>
                <m:t>Net Income</m:t>
              </m:r>
            </m:num>
            <m:den>
              <m:r>
                <w:rPr>
                  <w:rFonts w:ascii="Cambria Math" w:hAnsi="Cambria Math"/>
                </w:rPr>
                <m:t>Shareholders Equity</m:t>
              </m:r>
            </m:den>
          </m:f>
        </m:oMath>
      </m:oMathPara>
    </w:p>
    <w:p w:rsidR="009C269B" w:rsidRDefault="009C269B" w:rsidP="009C269B">
      <w:pPr>
        <w:pStyle w:val="Heading3"/>
      </w:pPr>
      <w:r>
        <w:t>Liquidity Ratios</w:t>
      </w:r>
    </w:p>
    <w:p w:rsidR="009C269B" w:rsidRPr="00871633" w:rsidRDefault="009C269B" w:rsidP="009C269B">
      <w:pPr>
        <w:jc w:val="center"/>
      </w:pPr>
      <m:oMathPara>
        <m:oMath>
          <m:r>
            <w:rPr>
              <w:rFonts w:ascii="Cambria Math" w:hAnsi="Cambria Math"/>
            </w:rPr>
            <m:t>Current Ratio=</m:t>
          </m:r>
          <m:f>
            <m:fPr>
              <m:ctrlPr>
                <w:rPr>
                  <w:rFonts w:ascii="Cambria Math" w:hAnsi="Cambria Math"/>
                  <w:i/>
                </w:rPr>
              </m:ctrlPr>
            </m:fPr>
            <m:num>
              <m:r>
                <w:rPr>
                  <w:rFonts w:ascii="Cambria Math" w:hAnsi="Cambria Math"/>
                </w:rPr>
                <m:t>Current Assets</m:t>
              </m:r>
            </m:num>
            <m:den>
              <m:r>
                <w:rPr>
                  <w:rFonts w:ascii="Cambria Math" w:hAnsi="Cambria Math"/>
                </w:rPr>
                <m:t>Current Liabilities</m:t>
              </m:r>
            </m:den>
          </m:f>
        </m:oMath>
      </m:oMathPara>
    </w:p>
    <w:p w:rsidR="009C269B" w:rsidRPr="009C269B" w:rsidRDefault="009C269B" w:rsidP="009C269B">
      <w:pPr>
        <w:jc w:val="center"/>
        <w:rPr>
          <w:rFonts w:eastAsiaTheme="minorEastAsia"/>
        </w:rPr>
      </w:pPr>
      <m:oMathPara>
        <m:oMath>
          <m:r>
            <w:rPr>
              <w:rFonts w:ascii="Cambria Math" w:hAnsi="Cambria Math"/>
            </w:rPr>
            <m:t>Quick Ratio=</m:t>
          </m:r>
          <m:f>
            <m:fPr>
              <m:ctrlPr>
                <w:rPr>
                  <w:rFonts w:ascii="Cambria Math" w:hAnsi="Cambria Math"/>
                  <w:i/>
                </w:rPr>
              </m:ctrlPr>
            </m:fPr>
            <m:num>
              <m:r>
                <w:rPr>
                  <w:rFonts w:ascii="Cambria Math" w:hAnsi="Cambria Math"/>
                </w:rPr>
                <m:t>Current Assets-Stock (Inventory)</m:t>
              </m:r>
            </m:num>
            <m:den>
              <m:r>
                <w:rPr>
                  <w:rFonts w:ascii="Cambria Math" w:hAnsi="Cambria Math"/>
                </w:rPr>
                <m:t>Current Liabilities</m:t>
              </m:r>
            </m:den>
          </m:f>
        </m:oMath>
      </m:oMathPara>
    </w:p>
    <w:p w:rsidR="009C269B" w:rsidRDefault="009C269B" w:rsidP="009C269B">
      <w:pPr>
        <w:pStyle w:val="Heading3"/>
      </w:pPr>
      <w:r>
        <w:t>Activity Ratios</w:t>
      </w:r>
    </w:p>
    <w:p w:rsidR="009C269B" w:rsidRPr="00871633" w:rsidRDefault="009C269B" w:rsidP="009C269B">
      <w:pPr>
        <w:jc w:val="center"/>
      </w:pPr>
      <m:oMathPara>
        <m:oMath>
          <m:r>
            <w:rPr>
              <w:rFonts w:ascii="Cambria Math" w:hAnsi="Cambria Math"/>
            </w:rPr>
            <m:t>Days Sales Outstanding (DSO)=</m:t>
          </m:r>
          <m:f>
            <m:fPr>
              <m:ctrlPr>
                <w:rPr>
                  <w:rFonts w:ascii="Cambria Math" w:hAnsi="Cambria Math"/>
                  <w:i/>
                </w:rPr>
              </m:ctrlPr>
            </m:fPr>
            <m:num>
              <m:r>
                <w:rPr>
                  <w:rFonts w:ascii="Cambria Math" w:hAnsi="Cambria Math"/>
                </w:rPr>
                <m:t>Debtors</m:t>
              </m:r>
            </m:num>
            <m:den>
              <m:d>
                <m:dPr>
                  <m:ctrlPr>
                    <w:rPr>
                      <w:rFonts w:ascii="Cambria Math" w:hAnsi="Cambria Math"/>
                      <w:i/>
                    </w:rPr>
                  </m:ctrlPr>
                </m:dPr>
                <m:e>
                  <m:f>
                    <m:fPr>
                      <m:type m:val="skw"/>
                      <m:ctrlPr>
                        <w:rPr>
                          <w:rFonts w:ascii="Cambria Math" w:hAnsi="Cambria Math"/>
                          <w:i/>
                        </w:rPr>
                      </m:ctrlPr>
                    </m:fPr>
                    <m:num>
                      <m:r>
                        <w:rPr>
                          <w:rFonts w:ascii="Cambria Math" w:hAnsi="Cambria Math"/>
                        </w:rPr>
                        <m:t>Revenue</m:t>
                      </m:r>
                    </m:num>
                    <m:den>
                      <m:r>
                        <w:rPr>
                          <w:rFonts w:ascii="Cambria Math" w:hAnsi="Cambria Math"/>
                        </w:rPr>
                        <m:t>365</m:t>
                      </m:r>
                    </m:den>
                  </m:f>
                </m:e>
              </m:d>
            </m:den>
          </m:f>
        </m:oMath>
      </m:oMathPara>
    </w:p>
    <w:p w:rsidR="009C269B" w:rsidRPr="00871633" w:rsidRDefault="009C269B" w:rsidP="009C269B">
      <w:pPr>
        <w:jc w:val="center"/>
      </w:pPr>
      <m:oMathPara>
        <m:oMath>
          <m:r>
            <w:rPr>
              <w:rFonts w:ascii="Cambria Math" w:hAnsi="Cambria Math"/>
            </w:rPr>
            <m:t>Inventory Turnover=</m:t>
          </m:r>
          <m:f>
            <m:fPr>
              <m:ctrlPr>
                <w:rPr>
                  <w:rFonts w:ascii="Cambria Math" w:hAnsi="Cambria Math"/>
                  <w:i/>
                </w:rPr>
              </m:ctrlPr>
            </m:fPr>
            <m:num>
              <m:r>
                <w:rPr>
                  <w:rFonts w:ascii="Cambria Math" w:hAnsi="Cambria Math"/>
                </w:rPr>
                <m:t>Stock (Inventory)</m:t>
              </m:r>
            </m:num>
            <m:den>
              <m:r>
                <w:rPr>
                  <w:rFonts w:ascii="Cambria Math" w:hAnsi="Cambria Math"/>
                </w:rPr>
                <m:t>Cost of Goods Sold</m:t>
              </m:r>
            </m:den>
          </m:f>
        </m:oMath>
      </m:oMathPara>
    </w:p>
    <w:p w:rsidR="009C269B" w:rsidRPr="009C269B" w:rsidRDefault="009C269B" w:rsidP="009C269B">
      <w:pPr>
        <w:jc w:val="center"/>
        <w:rPr>
          <w:rFonts w:eastAsiaTheme="minorEastAsia"/>
        </w:rPr>
      </w:pPr>
      <m:oMathPara>
        <m:oMath>
          <m:r>
            <w:rPr>
              <w:rFonts w:ascii="Cambria Math" w:hAnsi="Cambria Math"/>
            </w:rPr>
            <m:t>Days Payable Outstanding (DPO)=</m:t>
          </m:r>
          <m:f>
            <m:fPr>
              <m:ctrlPr>
                <w:rPr>
                  <w:rFonts w:ascii="Cambria Math" w:hAnsi="Cambria Math"/>
                  <w:i/>
                </w:rPr>
              </m:ctrlPr>
            </m:fPr>
            <m:num>
              <m:r>
                <w:rPr>
                  <w:rFonts w:ascii="Cambria Math" w:hAnsi="Cambria Math"/>
                </w:rPr>
                <m:t>Creditors</m:t>
              </m:r>
            </m:num>
            <m:den>
              <m:d>
                <m:dPr>
                  <m:ctrlPr>
                    <w:rPr>
                      <w:rFonts w:ascii="Cambria Math" w:hAnsi="Cambria Math"/>
                      <w:i/>
                    </w:rPr>
                  </m:ctrlPr>
                </m:dPr>
                <m:e>
                  <m:f>
                    <m:fPr>
                      <m:type m:val="skw"/>
                      <m:ctrlPr>
                        <w:rPr>
                          <w:rFonts w:ascii="Cambria Math" w:hAnsi="Cambria Math"/>
                          <w:i/>
                        </w:rPr>
                      </m:ctrlPr>
                    </m:fPr>
                    <m:num>
                      <m:r>
                        <w:rPr>
                          <w:rFonts w:ascii="Cambria Math" w:hAnsi="Cambria Math"/>
                        </w:rPr>
                        <m:t>Cost of Goods Sold</m:t>
                      </m:r>
                    </m:num>
                    <m:den>
                      <m:r>
                        <w:rPr>
                          <w:rFonts w:ascii="Cambria Math" w:hAnsi="Cambria Math"/>
                        </w:rPr>
                        <m:t>365</m:t>
                      </m:r>
                    </m:den>
                  </m:f>
                </m:e>
              </m:d>
            </m:den>
          </m:f>
        </m:oMath>
      </m:oMathPara>
    </w:p>
    <w:p w:rsidR="009C269B" w:rsidRDefault="009C269B" w:rsidP="009C269B">
      <w:pPr>
        <w:pStyle w:val="Heading3"/>
      </w:pPr>
      <w:r>
        <w:t>Leverage Ratios</w:t>
      </w:r>
    </w:p>
    <w:p w:rsidR="008B0AB6" w:rsidRPr="00871633" w:rsidRDefault="008B0AB6" w:rsidP="008B0AB6">
      <w:pPr>
        <w:jc w:val="center"/>
      </w:pPr>
      <m:oMathPara>
        <m:oMath>
          <m:f>
            <m:fPr>
              <m:type m:val="lin"/>
              <m:ctrlPr>
                <w:rPr>
                  <w:rFonts w:ascii="Cambria Math" w:hAnsi="Cambria Math"/>
                  <w:i/>
                </w:rPr>
              </m:ctrlPr>
            </m:fPr>
            <m:num>
              <m:r>
                <w:rPr>
                  <w:rFonts w:ascii="Cambria Math" w:hAnsi="Cambria Math"/>
                </w:rPr>
                <m:t>Debt</m:t>
              </m:r>
            </m:num>
            <m:den>
              <m:r>
                <w:rPr>
                  <w:rFonts w:ascii="Cambria Math" w:hAnsi="Cambria Math"/>
                </w:rPr>
                <m:t>Equity</m:t>
              </m:r>
            </m:den>
          </m:f>
          <m:r>
            <w:rPr>
              <w:rFonts w:ascii="Cambria Math" w:hAnsi="Cambria Math"/>
            </w:rPr>
            <m:t>Ratio</m:t>
          </m:r>
          <m:r>
            <w:rPr>
              <w:rFonts w:ascii="Cambria Math" w:hAnsi="Cambria Math"/>
            </w:rPr>
            <m:t>=</m:t>
          </m:r>
          <m:f>
            <m:fPr>
              <m:ctrlPr>
                <w:rPr>
                  <w:rFonts w:ascii="Cambria Math" w:hAnsi="Cambria Math"/>
                  <w:i/>
                </w:rPr>
              </m:ctrlPr>
            </m:fPr>
            <m:num>
              <m:r>
                <w:rPr>
                  <w:rFonts w:ascii="Cambria Math" w:hAnsi="Cambria Math"/>
                </w:rPr>
                <m:t>Non-current Liabilities</m:t>
              </m:r>
            </m:num>
            <m:den>
              <m:r>
                <w:rPr>
                  <w:rFonts w:ascii="Cambria Math" w:hAnsi="Cambria Math"/>
                </w:rPr>
                <m:t>Stockholders Equity</m:t>
              </m:r>
            </m:den>
          </m:f>
        </m:oMath>
      </m:oMathPara>
    </w:p>
    <w:p w:rsidR="008B0AB6" w:rsidRPr="008B0AB6" w:rsidRDefault="008B0AB6" w:rsidP="008B0AB6">
      <w:pPr>
        <w:jc w:val="center"/>
        <w:rPr>
          <w:rFonts w:eastAsiaTheme="minorEastAsia"/>
        </w:rPr>
      </w:pPr>
      <m:oMathPara>
        <m:oMath>
          <m:r>
            <w:rPr>
              <w:rFonts w:ascii="Cambria Math" w:hAnsi="Cambria Math"/>
            </w:rPr>
            <m:t>Interest Coverage</m:t>
          </m:r>
          <m:r>
            <w:rPr>
              <w:rFonts w:ascii="Cambria Math" w:hAnsi="Cambria Math"/>
            </w:rPr>
            <m:t>=</m:t>
          </m:r>
          <m:f>
            <m:fPr>
              <m:ctrlPr>
                <w:rPr>
                  <w:rFonts w:ascii="Cambria Math" w:hAnsi="Cambria Math"/>
                  <w:i/>
                </w:rPr>
              </m:ctrlPr>
            </m:fPr>
            <m:num>
              <m:r>
                <w:rPr>
                  <w:rFonts w:ascii="Cambria Math" w:hAnsi="Cambria Math"/>
                </w:rPr>
                <m:t>Interest Charge</m:t>
              </m:r>
            </m:num>
            <m:den>
              <m:r>
                <w:rPr>
                  <w:rFonts w:ascii="Cambria Math" w:hAnsi="Cambria Math"/>
                </w:rPr>
                <m:t>Operating Profit (EBITDA)</m:t>
              </m:r>
            </m:den>
          </m:f>
        </m:oMath>
      </m:oMathPara>
    </w:p>
    <w:p w:rsidR="008B0AB6" w:rsidRDefault="008B0AB6" w:rsidP="008B0AB6">
      <w:pPr>
        <w:pStyle w:val="Heading3"/>
      </w:pPr>
      <w:r>
        <w:t>Investor Ratios</w:t>
      </w:r>
    </w:p>
    <w:p w:rsidR="008B0AB6" w:rsidRPr="00871633" w:rsidRDefault="008B0AB6" w:rsidP="008B0AB6">
      <w:pPr>
        <w:jc w:val="center"/>
      </w:pPr>
      <m:oMathPara>
        <m:oMath>
          <m:r>
            <w:rPr>
              <w:rFonts w:ascii="Cambria Math" w:hAnsi="Cambria Math"/>
            </w:rPr>
            <m:t>Earnings per Ordinary Share (EPS)</m:t>
          </m:r>
          <m:r>
            <w:rPr>
              <w:rFonts w:ascii="Cambria Math" w:hAnsi="Cambria Math"/>
            </w:rPr>
            <m:t>=</m:t>
          </m:r>
          <m:f>
            <m:fPr>
              <m:ctrlPr>
                <w:rPr>
                  <w:rFonts w:ascii="Cambria Math" w:hAnsi="Cambria Math"/>
                  <w:i/>
                </w:rPr>
              </m:ctrlPr>
            </m:fPr>
            <m:num>
              <m:r>
                <w:rPr>
                  <w:rFonts w:ascii="Cambria Math" w:hAnsi="Cambria Math"/>
                </w:rPr>
                <m:t>Net Income</m:t>
              </m:r>
            </m:num>
            <m:den>
              <m:r>
                <w:rPr>
                  <w:rFonts w:ascii="Cambria Math" w:hAnsi="Cambria Math"/>
                </w:rPr>
                <m:t>No. of Shares</m:t>
              </m:r>
            </m:den>
          </m:f>
        </m:oMath>
      </m:oMathPara>
    </w:p>
    <w:p w:rsidR="008B0AB6" w:rsidRPr="00871633" w:rsidRDefault="008B0AB6" w:rsidP="008B0AB6">
      <w:pPr>
        <w:jc w:val="center"/>
      </w:pPr>
      <m:oMathPara>
        <m:oMath>
          <m:r>
            <w:rPr>
              <w:rFonts w:ascii="Cambria Math" w:hAnsi="Cambria Math"/>
            </w:rPr>
            <m:t>Dividend Cover</m:t>
          </m:r>
          <m:r>
            <w:rPr>
              <w:rFonts w:ascii="Cambria Math" w:hAnsi="Cambria Math"/>
            </w:rPr>
            <m:t>=</m:t>
          </m:r>
          <m:f>
            <m:fPr>
              <m:ctrlPr>
                <w:rPr>
                  <w:rFonts w:ascii="Cambria Math" w:hAnsi="Cambria Math"/>
                  <w:i/>
                </w:rPr>
              </m:ctrlPr>
            </m:fPr>
            <m:num>
              <m:r>
                <w:rPr>
                  <w:rFonts w:ascii="Cambria Math" w:hAnsi="Cambria Math"/>
                </w:rPr>
                <m:t>Earnings per Ordinary Share (EPS</m:t>
              </m:r>
              <m:r>
                <w:rPr>
                  <w:rFonts w:ascii="Cambria Math" w:hAnsi="Cambria Math"/>
                </w:rPr>
                <m:t>)</m:t>
              </m:r>
            </m:num>
            <m:den>
              <m:r>
                <w:rPr>
                  <w:rFonts w:ascii="Cambria Math" w:hAnsi="Cambria Math"/>
                </w:rPr>
                <m:t>Dividend per Share</m:t>
              </m:r>
            </m:den>
          </m:f>
        </m:oMath>
      </m:oMathPara>
      <w:bookmarkStart w:id="0" w:name="_GoBack"/>
      <w:bookmarkEnd w:id="0"/>
    </w:p>
    <w:p w:rsidR="008B0AB6" w:rsidRPr="00871633" w:rsidRDefault="008B0AB6" w:rsidP="008B0AB6">
      <w:pPr>
        <w:jc w:val="center"/>
      </w:pPr>
      <m:oMathPara>
        <m:oMath>
          <m:r>
            <w:rPr>
              <w:rFonts w:ascii="Cambria Math" w:hAnsi="Cambria Math"/>
            </w:rPr>
            <m:t>Price per Earnings</m:t>
          </m:r>
          <m:r>
            <w:rPr>
              <w:rFonts w:ascii="Cambria Math" w:hAnsi="Cambria Math"/>
            </w:rPr>
            <m:t>=</m:t>
          </m:r>
          <m:f>
            <m:fPr>
              <m:ctrlPr>
                <w:rPr>
                  <w:rFonts w:ascii="Cambria Math" w:hAnsi="Cambria Math"/>
                  <w:i/>
                </w:rPr>
              </m:ctrlPr>
            </m:fPr>
            <m:num>
              <m:r>
                <w:rPr>
                  <w:rFonts w:ascii="Cambria Math" w:hAnsi="Cambria Math"/>
                </w:rPr>
                <m:t>Earnings per Ordinary Share (EPS</m:t>
              </m:r>
            </m:num>
            <m:den>
              <m:r>
                <w:rPr>
                  <w:rFonts w:ascii="Cambria Math" w:hAnsi="Cambria Math"/>
                </w:rPr>
                <m:t>Market Value per Share</m:t>
              </m:r>
            </m:den>
          </m:f>
        </m:oMath>
      </m:oMathPara>
    </w:p>
    <w:p w:rsidR="008B0AB6" w:rsidRPr="00871633" w:rsidRDefault="008B0AB6" w:rsidP="008B0AB6">
      <w:pPr>
        <w:jc w:val="center"/>
      </w:pPr>
      <m:oMathPara>
        <m:oMath>
          <m:r>
            <w:rPr>
              <w:rFonts w:ascii="Cambria Math" w:hAnsi="Cambria Math"/>
            </w:rPr>
            <m:t>Dividend Yield</m:t>
          </m:r>
          <m:r>
            <w:rPr>
              <w:rFonts w:ascii="Cambria Math" w:hAnsi="Cambria Math"/>
            </w:rPr>
            <m:t>=</m:t>
          </m:r>
          <m:f>
            <m:fPr>
              <m:ctrlPr>
                <w:rPr>
                  <w:rFonts w:ascii="Cambria Math" w:hAnsi="Cambria Math"/>
                  <w:i/>
                </w:rPr>
              </m:ctrlPr>
            </m:fPr>
            <m:num>
              <m:r>
                <w:rPr>
                  <w:rFonts w:ascii="Cambria Math" w:hAnsi="Cambria Math"/>
                </w:rPr>
                <m:t>Dividend per Share</m:t>
              </m:r>
            </m:num>
            <m:den>
              <m:r>
                <w:rPr>
                  <w:rFonts w:ascii="Cambria Math" w:hAnsi="Cambria Math"/>
                </w:rPr>
                <m:t>Earnings per Ordinary Share (EPS</m:t>
              </m:r>
            </m:den>
          </m:f>
        </m:oMath>
      </m:oMathPara>
    </w:p>
    <w:p w:rsidR="008B0AB6" w:rsidRPr="008B0AB6" w:rsidRDefault="008B0AB6" w:rsidP="008B0AB6"/>
    <w:p w:rsidR="009C269B" w:rsidRPr="009C269B" w:rsidRDefault="009C269B" w:rsidP="009C269B"/>
    <w:p w:rsidR="009C269B" w:rsidRPr="009C269B" w:rsidRDefault="009C269B" w:rsidP="009C269B"/>
    <w:p w:rsidR="009C269B" w:rsidRPr="009C269B" w:rsidRDefault="009C269B" w:rsidP="009C269B">
      <w:pPr>
        <w:jc w:val="center"/>
      </w:pPr>
    </w:p>
    <w:p w:rsidR="00871633" w:rsidRPr="00871633" w:rsidRDefault="00871633" w:rsidP="00871633">
      <w:pPr>
        <w:jc w:val="center"/>
      </w:pPr>
    </w:p>
    <w:sectPr w:rsidR="00871633" w:rsidRPr="008716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7A43D7"/>
    <w:multiLevelType w:val="hybridMultilevel"/>
    <w:tmpl w:val="C71291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EB70A7"/>
    <w:multiLevelType w:val="hybridMultilevel"/>
    <w:tmpl w:val="12024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041561"/>
    <w:multiLevelType w:val="hybridMultilevel"/>
    <w:tmpl w:val="785CE1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573C56"/>
    <w:multiLevelType w:val="hybridMultilevel"/>
    <w:tmpl w:val="033080D6"/>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4" w15:restartNumberingAfterBreak="0">
    <w:nsid w:val="694E169F"/>
    <w:multiLevelType w:val="hybridMultilevel"/>
    <w:tmpl w:val="06404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E47"/>
    <w:rsid w:val="00001613"/>
    <w:rsid w:val="00023147"/>
    <w:rsid w:val="000A6280"/>
    <w:rsid w:val="000A7A1B"/>
    <w:rsid w:val="000C2590"/>
    <w:rsid w:val="000E068F"/>
    <w:rsid w:val="000F27B8"/>
    <w:rsid w:val="00135B03"/>
    <w:rsid w:val="00137479"/>
    <w:rsid w:val="00137B61"/>
    <w:rsid w:val="001770D8"/>
    <w:rsid w:val="001A2365"/>
    <w:rsid w:val="001B7FD0"/>
    <w:rsid w:val="001C13A8"/>
    <w:rsid w:val="001C406A"/>
    <w:rsid w:val="001E11BE"/>
    <w:rsid w:val="00242E64"/>
    <w:rsid w:val="00271E39"/>
    <w:rsid w:val="0027753E"/>
    <w:rsid w:val="002A6535"/>
    <w:rsid w:val="00342F88"/>
    <w:rsid w:val="0035093E"/>
    <w:rsid w:val="003835EA"/>
    <w:rsid w:val="003921D9"/>
    <w:rsid w:val="003C312C"/>
    <w:rsid w:val="00417E47"/>
    <w:rsid w:val="00427B44"/>
    <w:rsid w:val="00447C88"/>
    <w:rsid w:val="00473A0C"/>
    <w:rsid w:val="00475E2D"/>
    <w:rsid w:val="0048287E"/>
    <w:rsid w:val="004E609D"/>
    <w:rsid w:val="005510BC"/>
    <w:rsid w:val="005530D0"/>
    <w:rsid w:val="00560C9E"/>
    <w:rsid w:val="005E6CA1"/>
    <w:rsid w:val="00635911"/>
    <w:rsid w:val="00647749"/>
    <w:rsid w:val="006632F7"/>
    <w:rsid w:val="0068147F"/>
    <w:rsid w:val="006B5E6E"/>
    <w:rsid w:val="006C03BA"/>
    <w:rsid w:val="007067E4"/>
    <w:rsid w:val="00746259"/>
    <w:rsid w:val="007A4745"/>
    <w:rsid w:val="007E1741"/>
    <w:rsid w:val="007E3B26"/>
    <w:rsid w:val="00803C1F"/>
    <w:rsid w:val="0082381D"/>
    <w:rsid w:val="00824E14"/>
    <w:rsid w:val="00871633"/>
    <w:rsid w:val="008A3D2C"/>
    <w:rsid w:val="008B0AB6"/>
    <w:rsid w:val="008C7046"/>
    <w:rsid w:val="008F323F"/>
    <w:rsid w:val="009132F2"/>
    <w:rsid w:val="0095183A"/>
    <w:rsid w:val="0098029A"/>
    <w:rsid w:val="00980ACC"/>
    <w:rsid w:val="009828CF"/>
    <w:rsid w:val="00986F90"/>
    <w:rsid w:val="00993C45"/>
    <w:rsid w:val="009A7E27"/>
    <w:rsid w:val="009C269B"/>
    <w:rsid w:val="009C749D"/>
    <w:rsid w:val="00A627C7"/>
    <w:rsid w:val="00A67F59"/>
    <w:rsid w:val="00AB432A"/>
    <w:rsid w:val="00AB624E"/>
    <w:rsid w:val="00AD7581"/>
    <w:rsid w:val="00B0676D"/>
    <w:rsid w:val="00B118DB"/>
    <w:rsid w:val="00B202CA"/>
    <w:rsid w:val="00BB6BA1"/>
    <w:rsid w:val="00BC3E4E"/>
    <w:rsid w:val="00BE045D"/>
    <w:rsid w:val="00C0632E"/>
    <w:rsid w:val="00C508DE"/>
    <w:rsid w:val="00C547FD"/>
    <w:rsid w:val="00C76606"/>
    <w:rsid w:val="00CB4ACF"/>
    <w:rsid w:val="00CD1E7F"/>
    <w:rsid w:val="00D165A6"/>
    <w:rsid w:val="00D2273E"/>
    <w:rsid w:val="00DA4F0A"/>
    <w:rsid w:val="00DA5131"/>
    <w:rsid w:val="00DB05FA"/>
    <w:rsid w:val="00DC6FCB"/>
    <w:rsid w:val="00E16648"/>
    <w:rsid w:val="00E62383"/>
    <w:rsid w:val="00E729FD"/>
    <w:rsid w:val="00E871EF"/>
    <w:rsid w:val="00F213AC"/>
    <w:rsid w:val="00FF29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759EB84-2091-4EEA-948A-6235F3E41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8029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8029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7163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8B0AB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8029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029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8029A"/>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98029A"/>
    <w:pPr>
      <w:ind w:left="720"/>
      <w:contextualSpacing/>
    </w:pPr>
  </w:style>
  <w:style w:type="character" w:customStyle="1" w:styleId="Heading2Char">
    <w:name w:val="Heading 2 Char"/>
    <w:basedOn w:val="DefaultParagraphFont"/>
    <w:link w:val="Heading2"/>
    <w:uiPriority w:val="9"/>
    <w:rsid w:val="0098029A"/>
    <w:rPr>
      <w:rFonts w:asciiTheme="majorHAnsi" w:eastAsiaTheme="majorEastAsia" w:hAnsiTheme="majorHAnsi" w:cstheme="majorBidi"/>
      <w:color w:val="2E74B5" w:themeColor="accent1" w:themeShade="BF"/>
      <w:sz w:val="26"/>
      <w:szCs w:val="26"/>
    </w:rPr>
  </w:style>
  <w:style w:type="paragraph" w:styleId="BalloonText">
    <w:name w:val="Balloon Text"/>
    <w:basedOn w:val="Normal"/>
    <w:link w:val="BalloonTextChar"/>
    <w:uiPriority w:val="99"/>
    <w:semiHidden/>
    <w:unhideWhenUsed/>
    <w:rsid w:val="00242E6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42E64"/>
    <w:rPr>
      <w:rFonts w:ascii="Segoe UI" w:hAnsi="Segoe UI" w:cs="Segoe UI"/>
      <w:sz w:val="18"/>
      <w:szCs w:val="18"/>
    </w:rPr>
  </w:style>
  <w:style w:type="paragraph" w:styleId="Bibliography">
    <w:name w:val="Bibliography"/>
    <w:basedOn w:val="Normal"/>
    <w:next w:val="Normal"/>
    <w:uiPriority w:val="37"/>
    <w:unhideWhenUsed/>
    <w:rsid w:val="00871633"/>
  </w:style>
  <w:style w:type="character" w:customStyle="1" w:styleId="Heading3Char">
    <w:name w:val="Heading 3 Char"/>
    <w:basedOn w:val="DefaultParagraphFont"/>
    <w:link w:val="Heading3"/>
    <w:uiPriority w:val="9"/>
    <w:rsid w:val="00871633"/>
    <w:rPr>
      <w:rFonts w:asciiTheme="majorHAnsi" w:eastAsiaTheme="majorEastAsia" w:hAnsiTheme="majorHAnsi" w:cstheme="majorBidi"/>
      <w:color w:val="1F4D78" w:themeColor="accent1" w:themeShade="7F"/>
      <w:sz w:val="24"/>
      <w:szCs w:val="24"/>
    </w:rPr>
  </w:style>
  <w:style w:type="character" w:styleId="PlaceholderText">
    <w:name w:val="Placeholder Text"/>
    <w:basedOn w:val="DefaultParagraphFont"/>
    <w:uiPriority w:val="99"/>
    <w:semiHidden/>
    <w:rsid w:val="00871633"/>
    <w:rPr>
      <w:color w:val="808080"/>
    </w:rPr>
  </w:style>
  <w:style w:type="character" w:customStyle="1" w:styleId="Heading4Char">
    <w:name w:val="Heading 4 Char"/>
    <w:basedOn w:val="DefaultParagraphFont"/>
    <w:link w:val="Heading4"/>
    <w:uiPriority w:val="9"/>
    <w:rsid w:val="008B0AB6"/>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674415">
      <w:bodyDiv w:val="1"/>
      <w:marLeft w:val="0"/>
      <w:marRight w:val="0"/>
      <w:marTop w:val="0"/>
      <w:marBottom w:val="0"/>
      <w:divBdr>
        <w:top w:val="none" w:sz="0" w:space="0" w:color="auto"/>
        <w:left w:val="none" w:sz="0" w:space="0" w:color="auto"/>
        <w:bottom w:val="none" w:sz="0" w:space="0" w:color="auto"/>
        <w:right w:val="none" w:sz="0" w:space="0" w:color="auto"/>
      </w:divBdr>
    </w:div>
    <w:div w:id="48384891">
      <w:bodyDiv w:val="1"/>
      <w:marLeft w:val="0"/>
      <w:marRight w:val="0"/>
      <w:marTop w:val="0"/>
      <w:marBottom w:val="0"/>
      <w:divBdr>
        <w:top w:val="none" w:sz="0" w:space="0" w:color="auto"/>
        <w:left w:val="none" w:sz="0" w:space="0" w:color="auto"/>
        <w:bottom w:val="none" w:sz="0" w:space="0" w:color="auto"/>
        <w:right w:val="none" w:sz="0" w:space="0" w:color="auto"/>
      </w:divBdr>
    </w:div>
    <w:div w:id="370345823">
      <w:bodyDiv w:val="1"/>
      <w:marLeft w:val="0"/>
      <w:marRight w:val="0"/>
      <w:marTop w:val="0"/>
      <w:marBottom w:val="0"/>
      <w:divBdr>
        <w:top w:val="none" w:sz="0" w:space="0" w:color="auto"/>
        <w:left w:val="none" w:sz="0" w:space="0" w:color="auto"/>
        <w:bottom w:val="none" w:sz="0" w:space="0" w:color="auto"/>
        <w:right w:val="none" w:sz="0" w:space="0" w:color="auto"/>
      </w:divBdr>
    </w:div>
    <w:div w:id="372000277">
      <w:bodyDiv w:val="1"/>
      <w:marLeft w:val="0"/>
      <w:marRight w:val="0"/>
      <w:marTop w:val="0"/>
      <w:marBottom w:val="0"/>
      <w:divBdr>
        <w:top w:val="none" w:sz="0" w:space="0" w:color="auto"/>
        <w:left w:val="none" w:sz="0" w:space="0" w:color="auto"/>
        <w:bottom w:val="none" w:sz="0" w:space="0" w:color="auto"/>
        <w:right w:val="none" w:sz="0" w:space="0" w:color="auto"/>
      </w:divBdr>
    </w:div>
    <w:div w:id="541291080">
      <w:bodyDiv w:val="1"/>
      <w:marLeft w:val="0"/>
      <w:marRight w:val="0"/>
      <w:marTop w:val="0"/>
      <w:marBottom w:val="0"/>
      <w:divBdr>
        <w:top w:val="none" w:sz="0" w:space="0" w:color="auto"/>
        <w:left w:val="none" w:sz="0" w:space="0" w:color="auto"/>
        <w:bottom w:val="none" w:sz="0" w:space="0" w:color="auto"/>
        <w:right w:val="none" w:sz="0" w:space="0" w:color="auto"/>
      </w:divBdr>
    </w:div>
    <w:div w:id="548608407">
      <w:bodyDiv w:val="1"/>
      <w:marLeft w:val="0"/>
      <w:marRight w:val="0"/>
      <w:marTop w:val="0"/>
      <w:marBottom w:val="0"/>
      <w:divBdr>
        <w:top w:val="none" w:sz="0" w:space="0" w:color="auto"/>
        <w:left w:val="none" w:sz="0" w:space="0" w:color="auto"/>
        <w:bottom w:val="none" w:sz="0" w:space="0" w:color="auto"/>
        <w:right w:val="none" w:sz="0" w:space="0" w:color="auto"/>
      </w:divBdr>
    </w:div>
    <w:div w:id="626787605">
      <w:bodyDiv w:val="1"/>
      <w:marLeft w:val="0"/>
      <w:marRight w:val="0"/>
      <w:marTop w:val="0"/>
      <w:marBottom w:val="0"/>
      <w:divBdr>
        <w:top w:val="none" w:sz="0" w:space="0" w:color="auto"/>
        <w:left w:val="none" w:sz="0" w:space="0" w:color="auto"/>
        <w:bottom w:val="none" w:sz="0" w:space="0" w:color="auto"/>
        <w:right w:val="none" w:sz="0" w:space="0" w:color="auto"/>
      </w:divBdr>
    </w:div>
    <w:div w:id="682439555">
      <w:bodyDiv w:val="1"/>
      <w:marLeft w:val="0"/>
      <w:marRight w:val="0"/>
      <w:marTop w:val="0"/>
      <w:marBottom w:val="0"/>
      <w:divBdr>
        <w:top w:val="none" w:sz="0" w:space="0" w:color="auto"/>
        <w:left w:val="none" w:sz="0" w:space="0" w:color="auto"/>
        <w:bottom w:val="none" w:sz="0" w:space="0" w:color="auto"/>
        <w:right w:val="none" w:sz="0" w:space="0" w:color="auto"/>
      </w:divBdr>
    </w:div>
    <w:div w:id="771633555">
      <w:bodyDiv w:val="1"/>
      <w:marLeft w:val="0"/>
      <w:marRight w:val="0"/>
      <w:marTop w:val="0"/>
      <w:marBottom w:val="0"/>
      <w:divBdr>
        <w:top w:val="none" w:sz="0" w:space="0" w:color="auto"/>
        <w:left w:val="none" w:sz="0" w:space="0" w:color="auto"/>
        <w:bottom w:val="none" w:sz="0" w:space="0" w:color="auto"/>
        <w:right w:val="none" w:sz="0" w:space="0" w:color="auto"/>
      </w:divBdr>
    </w:div>
    <w:div w:id="813713539">
      <w:bodyDiv w:val="1"/>
      <w:marLeft w:val="0"/>
      <w:marRight w:val="0"/>
      <w:marTop w:val="0"/>
      <w:marBottom w:val="0"/>
      <w:divBdr>
        <w:top w:val="none" w:sz="0" w:space="0" w:color="auto"/>
        <w:left w:val="none" w:sz="0" w:space="0" w:color="auto"/>
        <w:bottom w:val="none" w:sz="0" w:space="0" w:color="auto"/>
        <w:right w:val="none" w:sz="0" w:space="0" w:color="auto"/>
      </w:divBdr>
    </w:div>
    <w:div w:id="908728069">
      <w:bodyDiv w:val="1"/>
      <w:marLeft w:val="0"/>
      <w:marRight w:val="0"/>
      <w:marTop w:val="0"/>
      <w:marBottom w:val="0"/>
      <w:divBdr>
        <w:top w:val="none" w:sz="0" w:space="0" w:color="auto"/>
        <w:left w:val="none" w:sz="0" w:space="0" w:color="auto"/>
        <w:bottom w:val="none" w:sz="0" w:space="0" w:color="auto"/>
        <w:right w:val="none" w:sz="0" w:space="0" w:color="auto"/>
      </w:divBdr>
    </w:div>
    <w:div w:id="934826286">
      <w:bodyDiv w:val="1"/>
      <w:marLeft w:val="0"/>
      <w:marRight w:val="0"/>
      <w:marTop w:val="0"/>
      <w:marBottom w:val="0"/>
      <w:divBdr>
        <w:top w:val="none" w:sz="0" w:space="0" w:color="auto"/>
        <w:left w:val="none" w:sz="0" w:space="0" w:color="auto"/>
        <w:bottom w:val="none" w:sz="0" w:space="0" w:color="auto"/>
        <w:right w:val="none" w:sz="0" w:space="0" w:color="auto"/>
      </w:divBdr>
    </w:div>
    <w:div w:id="953488598">
      <w:bodyDiv w:val="1"/>
      <w:marLeft w:val="0"/>
      <w:marRight w:val="0"/>
      <w:marTop w:val="0"/>
      <w:marBottom w:val="0"/>
      <w:divBdr>
        <w:top w:val="none" w:sz="0" w:space="0" w:color="auto"/>
        <w:left w:val="none" w:sz="0" w:space="0" w:color="auto"/>
        <w:bottom w:val="none" w:sz="0" w:space="0" w:color="auto"/>
        <w:right w:val="none" w:sz="0" w:space="0" w:color="auto"/>
      </w:divBdr>
    </w:div>
    <w:div w:id="1254121999">
      <w:bodyDiv w:val="1"/>
      <w:marLeft w:val="0"/>
      <w:marRight w:val="0"/>
      <w:marTop w:val="0"/>
      <w:marBottom w:val="0"/>
      <w:divBdr>
        <w:top w:val="none" w:sz="0" w:space="0" w:color="auto"/>
        <w:left w:val="none" w:sz="0" w:space="0" w:color="auto"/>
        <w:bottom w:val="none" w:sz="0" w:space="0" w:color="auto"/>
        <w:right w:val="none" w:sz="0" w:space="0" w:color="auto"/>
      </w:divBdr>
    </w:div>
    <w:div w:id="1380981083">
      <w:bodyDiv w:val="1"/>
      <w:marLeft w:val="0"/>
      <w:marRight w:val="0"/>
      <w:marTop w:val="0"/>
      <w:marBottom w:val="0"/>
      <w:divBdr>
        <w:top w:val="none" w:sz="0" w:space="0" w:color="auto"/>
        <w:left w:val="none" w:sz="0" w:space="0" w:color="auto"/>
        <w:bottom w:val="none" w:sz="0" w:space="0" w:color="auto"/>
        <w:right w:val="none" w:sz="0" w:space="0" w:color="auto"/>
      </w:divBdr>
    </w:div>
    <w:div w:id="1398940780">
      <w:bodyDiv w:val="1"/>
      <w:marLeft w:val="0"/>
      <w:marRight w:val="0"/>
      <w:marTop w:val="0"/>
      <w:marBottom w:val="0"/>
      <w:divBdr>
        <w:top w:val="none" w:sz="0" w:space="0" w:color="auto"/>
        <w:left w:val="none" w:sz="0" w:space="0" w:color="auto"/>
        <w:bottom w:val="none" w:sz="0" w:space="0" w:color="auto"/>
        <w:right w:val="none" w:sz="0" w:space="0" w:color="auto"/>
      </w:divBdr>
    </w:div>
    <w:div w:id="1409813814">
      <w:bodyDiv w:val="1"/>
      <w:marLeft w:val="0"/>
      <w:marRight w:val="0"/>
      <w:marTop w:val="0"/>
      <w:marBottom w:val="0"/>
      <w:divBdr>
        <w:top w:val="none" w:sz="0" w:space="0" w:color="auto"/>
        <w:left w:val="none" w:sz="0" w:space="0" w:color="auto"/>
        <w:bottom w:val="none" w:sz="0" w:space="0" w:color="auto"/>
        <w:right w:val="none" w:sz="0" w:space="0" w:color="auto"/>
      </w:divBdr>
    </w:div>
    <w:div w:id="1462920289">
      <w:bodyDiv w:val="1"/>
      <w:marLeft w:val="0"/>
      <w:marRight w:val="0"/>
      <w:marTop w:val="0"/>
      <w:marBottom w:val="0"/>
      <w:divBdr>
        <w:top w:val="none" w:sz="0" w:space="0" w:color="auto"/>
        <w:left w:val="none" w:sz="0" w:space="0" w:color="auto"/>
        <w:bottom w:val="none" w:sz="0" w:space="0" w:color="auto"/>
        <w:right w:val="none" w:sz="0" w:space="0" w:color="auto"/>
      </w:divBdr>
    </w:div>
    <w:div w:id="1498154790">
      <w:bodyDiv w:val="1"/>
      <w:marLeft w:val="0"/>
      <w:marRight w:val="0"/>
      <w:marTop w:val="0"/>
      <w:marBottom w:val="0"/>
      <w:divBdr>
        <w:top w:val="none" w:sz="0" w:space="0" w:color="auto"/>
        <w:left w:val="none" w:sz="0" w:space="0" w:color="auto"/>
        <w:bottom w:val="none" w:sz="0" w:space="0" w:color="auto"/>
        <w:right w:val="none" w:sz="0" w:space="0" w:color="auto"/>
      </w:divBdr>
    </w:div>
    <w:div w:id="1509129961">
      <w:bodyDiv w:val="1"/>
      <w:marLeft w:val="0"/>
      <w:marRight w:val="0"/>
      <w:marTop w:val="0"/>
      <w:marBottom w:val="0"/>
      <w:divBdr>
        <w:top w:val="none" w:sz="0" w:space="0" w:color="auto"/>
        <w:left w:val="none" w:sz="0" w:space="0" w:color="auto"/>
        <w:bottom w:val="none" w:sz="0" w:space="0" w:color="auto"/>
        <w:right w:val="none" w:sz="0" w:space="0" w:color="auto"/>
      </w:divBdr>
    </w:div>
    <w:div w:id="1570574639">
      <w:bodyDiv w:val="1"/>
      <w:marLeft w:val="0"/>
      <w:marRight w:val="0"/>
      <w:marTop w:val="0"/>
      <w:marBottom w:val="0"/>
      <w:divBdr>
        <w:top w:val="none" w:sz="0" w:space="0" w:color="auto"/>
        <w:left w:val="none" w:sz="0" w:space="0" w:color="auto"/>
        <w:bottom w:val="none" w:sz="0" w:space="0" w:color="auto"/>
        <w:right w:val="none" w:sz="0" w:space="0" w:color="auto"/>
      </w:divBdr>
    </w:div>
    <w:div w:id="1626352120">
      <w:bodyDiv w:val="1"/>
      <w:marLeft w:val="0"/>
      <w:marRight w:val="0"/>
      <w:marTop w:val="0"/>
      <w:marBottom w:val="0"/>
      <w:divBdr>
        <w:top w:val="none" w:sz="0" w:space="0" w:color="auto"/>
        <w:left w:val="none" w:sz="0" w:space="0" w:color="auto"/>
        <w:bottom w:val="none" w:sz="0" w:space="0" w:color="auto"/>
        <w:right w:val="none" w:sz="0" w:space="0" w:color="auto"/>
      </w:divBdr>
    </w:div>
    <w:div w:id="1665039572">
      <w:bodyDiv w:val="1"/>
      <w:marLeft w:val="0"/>
      <w:marRight w:val="0"/>
      <w:marTop w:val="0"/>
      <w:marBottom w:val="0"/>
      <w:divBdr>
        <w:top w:val="none" w:sz="0" w:space="0" w:color="auto"/>
        <w:left w:val="none" w:sz="0" w:space="0" w:color="auto"/>
        <w:bottom w:val="none" w:sz="0" w:space="0" w:color="auto"/>
        <w:right w:val="none" w:sz="0" w:space="0" w:color="auto"/>
      </w:divBdr>
    </w:div>
    <w:div w:id="1874658145">
      <w:bodyDiv w:val="1"/>
      <w:marLeft w:val="0"/>
      <w:marRight w:val="0"/>
      <w:marTop w:val="0"/>
      <w:marBottom w:val="0"/>
      <w:divBdr>
        <w:top w:val="none" w:sz="0" w:space="0" w:color="auto"/>
        <w:left w:val="none" w:sz="0" w:space="0" w:color="auto"/>
        <w:bottom w:val="none" w:sz="0" w:space="0" w:color="auto"/>
        <w:right w:val="none" w:sz="0" w:space="0" w:color="auto"/>
      </w:divBdr>
    </w:div>
    <w:div w:id="2014260264">
      <w:bodyDiv w:val="1"/>
      <w:marLeft w:val="0"/>
      <w:marRight w:val="0"/>
      <w:marTop w:val="0"/>
      <w:marBottom w:val="0"/>
      <w:divBdr>
        <w:top w:val="none" w:sz="0" w:space="0" w:color="auto"/>
        <w:left w:val="none" w:sz="0" w:space="0" w:color="auto"/>
        <w:bottom w:val="none" w:sz="0" w:space="0" w:color="auto"/>
        <w:right w:val="none" w:sz="0" w:space="0" w:color="auto"/>
      </w:divBdr>
    </w:div>
    <w:div w:id="2023780115">
      <w:bodyDiv w:val="1"/>
      <w:marLeft w:val="0"/>
      <w:marRight w:val="0"/>
      <w:marTop w:val="0"/>
      <w:marBottom w:val="0"/>
      <w:divBdr>
        <w:top w:val="none" w:sz="0" w:space="0" w:color="auto"/>
        <w:left w:val="none" w:sz="0" w:space="0" w:color="auto"/>
        <w:bottom w:val="none" w:sz="0" w:space="0" w:color="auto"/>
        <w:right w:val="none" w:sz="0" w:space="0" w:color="auto"/>
      </w:divBdr>
    </w:div>
    <w:div w:id="2112777992">
      <w:bodyDiv w:val="1"/>
      <w:marLeft w:val="0"/>
      <w:marRight w:val="0"/>
      <w:marTop w:val="0"/>
      <w:marBottom w:val="0"/>
      <w:divBdr>
        <w:top w:val="none" w:sz="0" w:space="0" w:color="auto"/>
        <w:left w:val="none" w:sz="0" w:space="0" w:color="auto"/>
        <w:bottom w:val="none" w:sz="0" w:space="0" w:color="auto"/>
        <w:right w:val="none" w:sz="0" w:space="0" w:color="auto"/>
      </w:divBdr>
    </w:div>
    <w:div w:id="2118401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4A11"/>
    <w:rsid w:val="00204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04A1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Kar21</b:Tag>
    <b:SourceType>Report</b:SourceType>
    <b:Guid>{B102683C-0F64-4C26-B9CC-554529D0D6BC}</b:Guid>
    <b:Title>McLaren moves to all-electrified by 2026</b:Title>
    <b:Year>2021</b:Year>
    <b:Publisher>Automotive News</b:Publisher>
    <b:City>Detroit</b:City>
    <b:Author>
      <b:Author>
        <b:NameList>
          <b:Person>
            <b:Last>Karkaria</b:Last>
            <b:First>Urvaksh</b:First>
          </b:Person>
        </b:NameList>
      </b:Author>
    </b:Author>
    <b:RefOrder>1</b:RefOrder>
  </b:Source>
  <b:Source>
    <b:Tag>Fow21</b:Tag>
    <b:SourceType>Report</b:SourceType>
    <b:Guid>{564F96EA-61B3-432C-83D4-48538363D035}</b:Guid>
    <b:Title>McLaren goes electric with new plug-in Artura</b:Title>
    <b:Year>2021</b:Year>
    <b:Publisher>McLaren</b:Publisher>
    <b:Author>
      <b:Author>
        <b:NameList>
          <b:Person>
            <b:Last>Fowler</b:Last>
            <b:First>Steve</b:First>
          </b:Person>
        </b:NameList>
      </b:Author>
    </b:Author>
    <b:RefOrder>2</b:RefOrder>
  </b:Source>
  <b:Source>
    <b:Tag>PWC20</b:Tag>
    <b:SourceType>Report</b:SourceType>
    <b:Guid>{0C1470EC-F2B3-4DCD-B375-71A4B30BE136}</b:Guid>
    <b:Title>Basic understanding of a company's financial statements</b:Title>
    <b:Year>2020</b:Year>
    <b:Publisher>PWC</b:Publisher>
    <b:Author>
      <b:Author>
        <b:Corporate>PWC</b:Corporate>
      </b:Author>
    </b:Author>
    <b:RefOrder>3</b:RefOrder>
  </b:Source>
  <b:Source>
    <b:Tag>Lin18</b:Tag>
    <b:SourceType>JournalArticle</b:SourceType>
    <b:Guid>{A3E49690-53AD-41F5-86B4-1EFD2082F911}</b:Guid>
    <b:Title>Is Other Comprehensive Income Reported in the Income Statement More Value Relevant? The Role of Financial Statement Presentation</b:Title>
    <b:Year>2018</b:Year>
    <b:JournalName>Journal of Accounting</b:JournalName>
    <b:Pages>624-646</b:Pages>
    <b:Volume>33</b:Volume>
    <b:Issue>4</b:Issue>
    <b:Author>
      <b:Author>
        <b:NameList>
          <b:Person>
            <b:Last>Lin</b:Last>
            <b:First>Steve</b:First>
          </b:Person>
          <b:Person>
            <b:Last>Martinez</b:Last>
            <b:First>Donel</b:First>
          </b:Person>
          <b:Person>
            <b:Last>Wang</b:Last>
            <b:First>Changjiang</b:First>
          </b:Person>
          <b:Person>
            <b:Last>Yang</b:Last>
            <b:First>Ya-wen</b:First>
          </b:Person>
        </b:NameList>
      </b:Author>
    </b:Author>
    <b:RefOrder>4</b:RefOrder>
  </b:Source>
  <b:Source>
    <b:Tag>Fri11</b:Tag>
    <b:SourceType>Book</b:SourceType>
    <b:Guid>{E1F75FB6-0133-41A3-8F90-1753C570EACA}</b:Guid>
    <b:Title>Financial Statement Analysis A Practitioner's Guide</b:Title>
    <b:Year>2011</b:Year>
    <b:Publisher>Wiley</b:Publisher>
    <b:Author>
      <b:Author>
        <b:NameList>
          <b:Person>
            <b:Last>Fridson</b:Last>
            <b:First>Martin S.</b:First>
          </b:Person>
          <b:Person>
            <b:Last>Alvarez</b:Last>
            <b:First>Fernando</b:First>
          </b:Person>
        </b:NameList>
      </b:Author>
    </b:Author>
    <b:RefOrder>5</b:RefOrder>
  </b:Source>
  <b:Source>
    <b:Tag>Ich21</b:Tag>
    <b:SourceType>JournalArticle</b:SourceType>
    <b:Guid>{33EA6740-7400-4B68-86A1-15DFB93B4D68}</b:Guid>
    <b:Title>Effect of Good Corporate Governance Mechanism on Company Profitability Ratios</b:Title>
    <b:Year>2021</b:Year>
    <b:JournalName>Turkish Journal of Computer and Mathematics Education</b:JournalName>
    <b:Pages>1793-1805</b:Pages>
    <b:Volume>12</b:Volume>
    <b:Issue>8</b:Issue>
    <b:Author>
      <b:Author>
        <b:NameList>
          <b:Person>
            <b:Last>Ichsani</b:Last>
            <b:First>Sakina</b:First>
          </b:Person>
          <b:Person>
            <b:Last>Putri</b:Last>
            <b:First>Audrey Ratu Pramewari Taswa</b:First>
          </b:Person>
          <b:Person>
            <b:Last>Aprianto</b:Last>
            <b:First>Fahrizal</b:First>
          </b:Person>
          <b:Person>
            <b:Last>Hermawan</b:Last>
            <b:First>Hendra</b:First>
          </b:Person>
          <b:Person>
            <b:Last>Hanavi</b:Last>
            <b:First>Rully</b:First>
          </b:Person>
        </b:NameList>
      </b:Author>
    </b:Author>
    <b:RefOrder>6</b:RefOrder>
  </b:Source>
  <b:Source>
    <b:Tag>Les07</b:Tag>
    <b:SourceType>ConferenceProceedings</b:SourceType>
    <b:Guid>{858A09FC-3F85-4B11-A816-5E266E0675C0}</b:Guid>
    <b:Title>Uses and Limitations of Profitability Ratio Analysis in Managerial Practice</b:Title>
    <b:Year>2007</b:Year>
    <b:City>Budapest</b:City>
    <b:Author>
      <b:Author>
        <b:NameList>
          <b:Person>
            <b:Last>Lesakova</b:Last>
            <b:First>Lubica</b:First>
          </b:Person>
        </b:NameList>
      </b:Author>
    </b:Author>
    <b:RefOrder>7</b:RefOrder>
  </b:Source>
  <b:Source>
    <b:Tag>Gru17</b:Tag>
    <b:SourceType>JournalArticle</b:SourceType>
    <b:Guid>{857A5ED6-CCC3-4945-A3D0-DE21520741CB}</b:Guid>
    <b:Title>The impact of the Basel III liquidity ratios on banks: Evidence from a simulation study</b:Title>
    <b:Year>2017</b:Year>
    <b:JournalName>The Quarterly Review of Economics and Finance </b:JournalName>
    <b:Pages>167-190</b:Pages>
    <b:Volume>75</b:Volume>
    <b:Author>
      <b:Author>
        <b:NameList>
          <b:Person>
            <b:Last>Grundke</b:Last>
            <b:First>Peter</b:First>
          </b:Person>
          <b:Person>
            <b:Last>Kuhn</b:Last>
            <b:First>Andre</b:First>
          </b:Person>
        </b:NameList>
      </b:Author>
    </b:Author>
    <b:RefOrder>8</b:RefOrder>
  </b:Source>
  <b:Source>
    <b:Tag>Zel90</b:Tag>
    <b:SourceType>Report</b:SourceType>
    <b:Guid>{3177E3BB-2099-47E1-975A-B7F44CA0A5CA}</b:Guid>
    <b:Title>New Investing and Financing Activity Ratios from the Statement of Cash Flows Enhance Traditional Ratio Analysis in Assessing Future Cash Flows</b:Title>
    <b:Year>1990</b:Year>
    <b:Author>
      <b:Author>
        <b:NameList>
          <b:Person>
            <b:Last>Zeller</b:Last>
            <b:First>Thomas</b:First>
          </b:Person>
        </b:NameList>
      </b:Author>
    </b:Author>
    <b:Publisher>eCOMMONS</b:Publisher>
    <b:City>Chicago</b:City>
    <b:RefOrder>9</b:RefOrder>
  </b:Source>
  <b:Source>
    <b:Tag>Bar18</b:Tag>
    <b:SourceType>JournalArticle</b:SourceType>
    <b:Guid>{3F2E8E18-4392-4055-937E-6FBBF136D15C}</b:Guid>
    <b:Title>Capital regulation with heterogenous banks - Unintended consequences of a too strict leverage ratio</b:Title>
    <b:Year>2018</b:Year>
    <b:JournalName>Journal of Banking and Finance</b:JournalName>
    <b:Pages>455-465</b:Pages>
    <b:Volume>88</b:Volume>
    <b:Author>
      <b:Author>
        <b:NameList>
          <b:Person>
            <b:Last>Barth</b:Last>
            <b:First>Andreas</b:First>
          </b:Person>
          <b:Person>
            <b:Last>Seckinger</b:Last>
            <b:First>Christian</b:First>
          </b:Person>
        </b:NameList>
      </b:Author>
    </b:Author>
    <b:RefOrder>10</b:RefOrder>
  </b:Source>
  <b:Source>
    <b:Tag>Col01</b:Tag>
    <b:SourceType>JournalArticle</b:SourceType>
    <b:Guid>{AC285C40-EB59-4FB8-A655-BE905AB87A92}</b:Guid>
    <b:Title>Do Credit Spreads Reflect Stationary Leverage Ratios?</b:Title>
    <b:JournalName>The Journal of Finance</b:JournalName>
    <b:Year>2001</b:Year>
    <b:Volume>6</b:Volume>
    <b:Issue>5</b:Issue>
    <b:Author>
      <b:Author>
        <b:NameList>
          <b:Person>
            <b:Last>Collin-Dufresne</b:Last>
            <b:First>Pierre</b:First>
          </b:Person>
          <b:Person>
            <b:Last>Goldstein</b:Last>
            <b:First>Robert S</b:First>
          </b:Person>
        </b:NameList>
      </b:Author>
    </b:Author>
    <b:RefOrder>11</b:RefOrder>
  </b:Source>
  <b:Source>
    <b:Tag>Mor04</b:Tag>
    <b:SourceType>JournalArticle</b:SourceType>
    <b:Guid>{A823AE9D-927D-47BC-87EA-63097D675E72}</b:Guid>
    <b:Title>Can Managerial Discretion Explain Observed Leverage Ratios?</b:Title>
    <b:JournalName>The Review of Financial Studies</b:JournalName>
    <b:Year>2004</b:Year>
    <b:Volume>17</b:Volume>
    <b:Issue>1</b:Issue>
    <b:Author>
      <b:Author>
        <b:NameList>
          <b:Person>
            <b:Last>Morellec</b:Last>
            <b:First>Erwan</b:First>
          </b:Person>
        </b:NameList>
      </b:Author>
    </b:Author>
    <b:RefOrder>12</b:RefOrder>
  </b:Source>
  <b:Source>
    <b:Tag>ICA20</b:Tag>
    <b:SourceType>Report</b:SourceType>
    <b:Guid>{021F07CD-47F9-4C84-B3A6-A64F099CE13A}</b:Guid>
    <b:Title>Introduction to the law on dividends</b:Title>
    <b:Year>2020</b:Year>
    <b:Author>
      <b:Author>
        <b:Corporate>ICAEW</b:Corporate>
      </b:Author>
    </b:Author>
    <b:Publisher>ICAEW</b:Publisher>
    <b:RefOrder>13</b:RefOrder>
  </b:Source>
  <b:Source>
    <b:Tag>Zam14</b:Tag>
    <b:SourceType>JournalArticle</b:SourceType>
    <b:Guid>{D122A89A-2007-4FEF-AAF8-1BAA658D15CC}</b:Guid>
    <b:Title>Impact of Dividend Yield and Price Earnings Ratio on Stock Returns: A Study Non-Financial listed Firms of Pakistan</b:Title>
    <b:Year>2014</b:Year>
    <b:JournalName>Research Journal of Finance and Accounting</b:JournalName>
    <b:Volume>5</b:Volume>
    <b:Issue>19</b:Issue>
    <b:Author>
      <b:Author>
        <b:NameList>
          <b:Person>
            <b:Last>Zaman</b:Last>
            <b:First>Rashid</b:First>
          </b:Person>
        </b:NameList>
      </b:Author>
    </b:Author>
    <b:RefOrder>14</b:RefOrder>
  </b:Source>
  <b:Source>
    <b:Tag>Azi17</b:Tag>
    <b:SourceType>JournalArticle</b:SourceType>
    <b:Guid>{8A972C13-FBDD-4DD4-BA7C-BC1604BFB0A8}</b:Guid>
    <b:Title>The Relationship between Solvency Ratios and Profitability Ratios: Analytical Study in Food Industrial Companies listed in Amman Bursa</b:Title>
    <b:JournalName>International Journal of Economics and Financial Issues</b:JournalName>
    <b:Year>2017</b:Year>
    <b:Pages>86-93</b:Pages>
    <b:Volume>7</b:Volume>
    <b:Issue>2</b:Issue>
    <b:Author>
      <b:Author>
        <b:NameList>
          <b:Person>
            <b:Last>Aziz</b:Last>
            <b:First>Abdul</b:First>
          </b:Person>
          <b:Person>
            <b:Last>A. Abdul</b:Last>
            <b:First>Rahman</b:First>
          </b:Person>
        </b:NameList>
      </b:Author>
    </b:Author>
    <b:RefOrder>15</b:RefOrder>
  </b:Source>
  <b:Source>
    <b:Tag>McL21</b:Tag>
    <b:SourceType>Report</b:SourceType>
    <b:Guid>{308FD0C3-A7C3-4B1E-806D-B77F636BEB40}</b:Guid>
    <b:Title>McLaren Group announces the pricing of $620 million aggregate principal amount of 7.50% senior secured notes due 2026</b:Title>
    <b:Year>2021</b:Year>
    <b:Author>
      <b:Author>
        <b:Corporate>McLaren</b:Corporate>
      </b:Author>
    </b:Author>
    <b:Publisher>McLaren</b:Publisher>
    <b:RefOrder>20</b:RefOrder>
  </b:Source>
  <b:Source>
    <b:Tag>NgA19</b:Tag>
    <b:SourceType>Report</b:SourceType>
    <b:Guid>{214F9415-102E-4403-B76F-C2B8B5EBFF63}</b:Guid>
    <b:Title>British sports car maker McLaren Automotive will keep production in the UK despite Brexit</b:Title>
    <b:Year>2019</b:Year>
    <b:Publisher>CNBC</b:Publisher>
    <b:Author>
      <b:Author>
        <b:NameList>
          <b:Person>
            <b:Last>Ng.</b:Last>
            <b:First>Abigail</b:First>
          </b:Person>
        </b:NameList>
      </b:Author>
    </b:Author>
    <b:RefOrder>25</b:RefOrder>
  </b:Source>
  <b:Source>
    <b:Tag>McL20</b:Tag>
    <b:SourceType>Report</b:SourceType>
    <b:Guid>{BC3D0AB4-B8F8-444A-ABA4-98E7DA676A44}</b:Guid>
    <b:Author>
      <b:Author>
        <b:Corporate>McLaren</b:Corporate>
      </b:Author>
    </b:Author>
    <b:Title>McLaren group announces new investment in McLaren racing</b:Title>
    <b:Year>2020</b:Year>
    <b:Publisher>McLaren</b:Publisher>
    <b:RefOrder>16</b:RefOrder>
  </b:Source>
  <b:Source>
    <b:Tag>Car21</b:Tag>
    <b:SourceType>Report</b:SourceType>
    <b:Guid>{9DA09EA6-FE6B-4D36-A809-D738DD0464B3}</b:Guid>
    <b:Title>How McLaren aims to rebuild supercars to roar into the electric era</b:Title>
    <b:Year>2021</b:Year>
    <b:Publisher>Reuters</b:Publisher>
    <b:Author>
      <b:Author>
        <b:NameList>
          <b:Person>
            <b:Last>Carey</b:Last>
            <b:First>Nick</b:First>
          </b:Person>
        </b:NameList>
      </b:Author>
    </b:Author>
    <b:RefOrder>17</b:RefOrder>
  </b:Source>
  <b:Source>
    <b:Tag>Kar22</b:Tag>
    <b:SourceType>Report</b:SourceType>
    <b:Guid>{022E3771-0FB6-4820-BAE5-1A8259C45442}</b:Guid>
    <b:Title>McLaren and BMW working on electric car platform - report</b:Title>
    <b:Year>2022</b:Year>
    <b:Publisher>Brain Potter</b:Publisher>
    <b:Author>
      <b:Author>
        <b:NameList>
          <b:Person>
            <b:Last>Karr</b:Last>
            <b:First>Anthony</b:First>
          </b:Person>
        </b:NameList>
      </b:Author>
    </b:Author>
    <b:RefOrder>18</b:RefOrder>
  </b:Source>
  <b:Source>
    <b:Tag>Wol17</b:Tag>
    <b:SourceType>Report</b:SourceType>
    <b:Guid>{AC7A0F7A-AFE5-474F-9AAF-624EB33FFC16}</b:Guid>
    <b:Title>Senior Secured Loans: Attractive current income coupled with a short duration profile and a history of low correlation of returns</b:Title>
    <b:Year>2017</b:Year>
    <b:Publisher>Invesco</b:Publisher>
    <b:Author>
      <b:Author>
        <b:NameList>
          <b:Person>
            <b:Last>Wolber</b:Last>
            <b:First>Bjorn</b:First>
          </b:Person>
          <b:Person>
            <b:Last>Yadav</b:Last>
            <b:First>Sanyog</b:First>
          </b:Person>
        </b:NameList>
      </b:Author>
    </b:Author>
    <b:RefOrder>19</b:RefOrder>
  </b:Source>
  <b:Source>
    <b:Tag>Wil21</b:Tag>
    <b:SourceType>Report</b:SourceType>
    <b:Guid>{728D13FB-0C35-4C03-8ED2-61205EC94B69}</b:Guid>
    <b:Title>McLaren Group receive £550m in new investment</b:Title>
    <b:Year>2021</b:Year>
    <b:Publisher>planetf1</b:Publisher>
    <b:Author>
      <b:Author>
        <b:NameList>
          <b:Person>
            <b:Last>Wilde</b:Last>
            <b:First>Jon</b:First>
          </b:Person>
        </b:NameList>
      </b:Author>
    </b:Author>
    <b:RefOrder>21</b:RefOrder>
  </b:Source>
  <b:Source>
    <b:Tag>McL201</b:Tag>
    <b:SourceType>Report</b:SourceType>
    <b:Guid>{9232DE69-1C01-4ED0-963F-FBF6DA5FF13D}</b:Guid>
    <b:Author>
      <b:Author>
        <b:Corporate>McLaren</b:Corporate>
      </b:Author>
    </b:Author>
    <b:Title>Our road to sustainability </b:Title>
    <b:Year>2020</b:Year>
    <b:Publisher>McLaren automotive group limited</b:Publisher>
    <b:RefOrder>22</b:RefOrder>
  </b:Source>
  <b:Source>
    <b:Tag>SMN18</b:Tag>
    <b:SourceType>Report</b:SourceType>
    <b:Guid>{BF6E2895-4F88-4A34-B852-AC0F003AE755}</b:Guid>
    <b:Author>
      <b:Author>
        <b:Corporate>SMNT</b:Corporate>
      </b:Author>
    </b:Author>
    <b:Title>2019 UK Automotive sustainability report</b:Title>
    <b:Year>2018</b:Year>
    <b:Publisher>SMNT</b:Publisher>
    <b:RefOrder>23</b:RefOrder>
  </b:Source>
  <b:Source>
    <b:Tag>FiA22</b:Tag>
    <b:SourceType>Report</b:SourceType>
    <b:Guid>{61459E02-FD6C-432B-BCE0-E453C18FEBD5}</b:Guid>
    <b:Author>
      <b:Author>
        <b:Corporate>FiA</b:Corporate>
      </b:Author>
    </b:Author>
    <b:Title>McLaren recing retains FIA three-star environmental accreditation for ninth year</b:Title>
    <b:Year>2022</b:Year>
    <b:Publisher>FiA</b:Publisher>
    <b:RefOrder>24</b:RefOrder>
  </b:Source>
  <b:Source>
    <b:Tag>McL211</b:Tag>
    <b:SourceType>Report</b:SourceType>
    <b:Guid>{321D5C34-EB51-4CA7-AE41-7F482CACE17D}</b:Guid>
    <b:Author>
      <b:Author>
        <b:Corporate>McLaren</b:Corporate>
      </b:Author>
    </b:Author>
    <b:Title>Results - Q3 (YTD) 2021</b:Title>
    <b:Year>2021</b:Year>
    <b:Publisher>McLaren</b:Publisher>
    <b:RefOrder>26</b:RefOrder>
  </b:Source>
  <b:Source>
    <b:Tag>McL202</b:Tag>
    <b:SourceType>Report</b:SourceType>
    <b:Guid>{2CEC14A4-CF58-4971-909E-491A262F58FF}</b:Guid>
    <b:Author>
      <b:Author>
        <b:Corporate>McLaren</b:Corporate>
      </b:Author>
    </b:Author>
    <b:Title>Annual Results</b:Title>
    <b:Year>2020</b:Year>
    <b:Publisher>McLaren</b:Publisher>
    <b:RefOrder>27</b:RefOrder>
  </b:Source>
</b:Sources>
</file>

<file path=customXml/itemProps1.xml><?xml version="1.0" encoding="utf-8"?>
<ds:datastoreItem xmlns:ds="http://schemas.openxmlformats.org/officeDocument/2006/customXml" ds:itemID="{463C6DDE-5737-4B80-8799-A18F066A11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1795</TotalTime>
  <Pages>10</Pages>
  <Words>3970</Words>
  <Characters>22634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Williams</dc:creator>
  <cp:keywords/>
  <dc:description/>
  <cp:lastModifiedBy>Rhys Williams</cp:lastModifiedBy>
  <cp:revision>15</cp:revision>
  <cp:lastPrinted>2022-05-31T17:16:00Z</cp:lastPrinted>
  <dcterms:created xsi:type="dcterms:W3CDTF">2022-05-16T16:21:00Z</dcterms:created>
  <dcterms:modified xsi:type="dcterms:W3CDTF">2022-05-31T19:32:00Z</dcterms:modified>
</cp:coreProperties>
</file>