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844E2" w14:textId="77777777" w:rsidR="004A00E0" w:rsidRPr="004A00E0" w:rsidRDefault="004A00E0" w:rsidP="004A00E0">
      <w:pPr>
        <w:spacing w:after="0" w:line="480" w:lineRule="auto"/>
        <w:jc w:val="both"/>
        <w:rPr>
          <w:rFonts w:ascii="Arial" w:eastAsia="Times New Roman" w:hAnsi="Arial" w:cs="Arial"/>
          <w:b/>
          <w:bCs/>
          <w:kern w:val="0"/>
          <w:sz w:val="32"/>
          <w:szCs w:val="32"/>
          <w:lang w:eastAsia="en-GB"/>
          <w14:ligatures w14:val="none"/>
        </w:rPr>
      </w:pPr>
      <w:r w:rsidRPr="004A00E0">
        <w:rPr>
          <w:rFonts w:ascii="Arial" w:eastAsia="Times New Roman" w:hAnsi="Arial" w:cs="Arial"/>
          <w:b/>
          <w:bCs/>
          <w:kern w:val="0"/>
          <w:sz w:val="32"/>
          <w:szCs w:val="32"/>
          <w:lang w:eastAsia="en-GB"/>
          <w14:ligatures w14:val="none"/>
        </w:rPr>
        <w:t xml:space="preserve">University of Wales Trinity Saint David </w:t>
      </w:r>
    </w:p>
    <w:p w14:paraId="1C616086" w14:textId="5EC0B245" w:rsidR="004A00E0" w:rsidRPr="004A00E0" w:rsidRDefault="004A00E0" w:rsidP="004A00E0">
      <w:pPr>
        <w:spacing w:line="480" w:lineRule="auto"/>
        <w:rPr>
          <w:rFonts w:ascii="Arial" w:hAnsi="Arial" w:cs="Arial"/>
          <w:b/>
          <w:bCs/>
          <w:sz w:val="32"/>
          <w:szCs w:val="32"/>
        </w:rPr>
      </w:pPr>
      <w:r w:rsidRPr="004A00E0">
        <w:rPr>
          <w:rFonts w:ascii="Arial" w:hAnsi="Arial" w:cs="Arial"/>
          <w:b/>
          <w:sz w:val="32"/>
          <w:szCs w:val="32"/>
        </w:rPr>
        <w:t>BSc (Hons) Health and Social Care</w:t>
      </w:r>
    </w:p>
    <w:p w14:paraId="4B8E15B9" w14:textId="0B10BE4E" w:rsidR="004A00E0" w:rsidRPr="004A00E0" w:rsidRDefault="004A00E0" w:rsidP="004A00E0">
      <w:pPr>
        <w:spacing w:line="480" w:lineRule="auto"/>
        <w:rPr>
          <w:rFonts w:ascii="Arial" w:hAnsi="Arial" w:cs="Arial"/>
          <w:b/>
          <w:bCs/>
          <w:sz w:val="32"/>
          <w:szCs w:val="32"/>
        </w:rPr>
      </w:pPr>
      <w:r w:rsidRPr="004A00E0">
        <w:rPr>
          <w:rFonts w:ascii="Arial" w:hAnsi="Arial" w:cs="Arial"/>
          <w:b/>
          <w:bCs/>
          <w:sz w:val="32"/>
          <w:szCs w:val="32"/>
        </w:rPr>
        <w:t xml:space="preserve">Module: </w:t>
      </w:r>
      <w:r w:rsidRPr="004A00E0">
        <w:rPr>
          <w:rFonts w:ascii="Arial" w:hAnsi="Arial" w:cs="Arial"/>
          <w:b/>
          <w:sz w:val="32"/>
          <w:szCs w:val="32"/>
        </w:rPr>
        <w:t>Digital Transformation in the Health and Care Professions</w:t>
      </w:r>
    </w:p>
    <w:p w14:paraId="24E43C71" w14:textId="68248A64" w:rsidR="004A00E0" w:rsidRPr="004A00E0" w:rsidRDefault="004A00E0" w:rsidP="004A00E0">
      <w:pPr>
        <w:spacing w:line="480" w:lineRule="auto"/>
        <w:rPr>
          <w:rFonts w:ascii="Arial" w:hAnsi="Arial" w:cs="Arial"/>
          <w:b/>
          <w:bCs/>
          <w:sz w:val="32"/>
          <w:szCs w:val="32"/>
        </w:rPr>
      </w:pPr>
      <w:r w:rsidRPr="004A00E0">
        <w:rPr>
          <w:rFonts w:ascii="Arial" w:hAnsi="Arial" w:cs="Arial"/>
          <w:b/>
          <w:bCs/>
          <w:sz w:val="32"/>
          <w:szCs w:val="32"/>
        </w:rPr>
        <w:t xml:space="preserve">Module code: </w:t>
      </w:r>
      <w:r w:rsidRPr="004A00E0">
        <w:rPr>
          <w:rFonts w:ascii="Arial" w:hAnsi="Arial" w:cs="Arial"/>
          <w:b/>
          <w:sz w:val="32"/>
          <w:szCs w:val="32"/>
        </w:rPr>
        <w:t>BMHP6026</w:t>
      </w:r>
    </w:p>
    <w:p w14:paraId="62EF738B" w14:textId="77777777" w:rsidR="004A00E0" w:rsidRPr="004A00E0" w:rsidRDefault="004A00E0" w:rsidP="004A00E0">
      <w:pPr>
        <w:spacing w:line="480" w:lineRule="auto"/>
        <w:rPr>
          <w:rFonts w:ascii="Arial" w:hAnsi="Arial" w:cs="Arial"/>
          <w:b/>
          <w:bCs/>
          <w:sz w:val="32"/>
          <w:szCs w:val="32"/>
        </w:rPr>
      </w:pPr>
      <w:r w:rsidRPr="004A00E0">
        <w:rPr>
          <w:rFonts w:ascii="Arial" w:hAnsi="Arial" w:cs="Arial"/>
          <w:b/>
          <w:bCs/>
          <w:sz w:val="32"/>
          <w:szCs w:val="32"/>
        </w:rPr>
        <w:t>Student name: Melania Ciornei</w:t>
      </w:r>
    </w:p>
    <w:p w14:paraId="17309A0E" w14:textId="77777777" w:rsidR="004A00E0" w:rsidRPr="004A00E0" w:rsidRDefault="004A00E0" w:rsidP="004A00E0">
      <w:pPr>
        <w:spacing w:line="480" w:lineRule="auto"/>
        <w:rPr>
          <w:rFonts w:ascii="Arial" w:hAnsi="Arial" w:cs="Arial"/>
          <w:b/>
          <w:bCs/>
          <w:sz w:val="32"/>
          <w:szCs w:val="32"/>
        </w:rPr>
      </w:pPr>
      <w:r w:rsidRPr="004A00E0">
        <w:rPr>
          <w:rFonts w:ascii="Arial" w:hAnsi="Arial" w:cs="Arial"/>
          <w:b/>
          <w:bCs/>
          <w:sz w:val="32"/>
          <w:szCs w:val="32"/>
        </w:rPr>
        <w:t>Student number: 2329516</w:t>
      </w:r>
    </w:p>
    <w:p w14:paraId="3E92B68B" w14:textId="2D2561B3" w:rsidR="004A00E0" w:rsidRPr="004A00E0" w:rsidRDefault="004A00E0" w:rsidP="004A00E0">
      <w:pPr>
        <w:spacing w:line="480" w:lineRule="auto"/>
        <w:rPr>
          <w:rFonts w:ascii="Arial" w:hAnsi="Arial" w:cs="Arial"/>
          <w:b/>
          <w:bCs/>
          <w:sz w:val="32"/>
          <w:szCs w:val="32"/>
        </w:rPr>
      </w:pPr>
      <w:r w:rsidRPr="004A00E0">
        <w:rPr>
          <w:rFonts w:ascii="Arial" w:hAnsi="Arial" w:cs="Arial"/>
          <w:b/>
          <w:bCs/>
          <w:sz w:val="32"/>
          <w:szCs w:val="32"/>
        </w:rPr>
        <w:t>Lecturer: Zakiyyah Ahmed</w:t>
      </w:r>
    </w:p>
    <w:p w14:paraId="03F1C2AF" w14:textId="77777777" w:rsidR="00637E8E" w:rsidRDefault="00637E8E"/>
    <w:p w14:paraId="000B9CBD" w14:textId="77777777" w:rsidR="0030753A" w:rsidRDefault="0030753A"/>
    <w:p w14:paraId="0DA2ABDA" w14:textId="77777777" w:rsidR="0030753A" w:rsidRDefault="0030753A"/>
    <w:p w14:paraId="36BED204" w14:textId="77777777" w:rsidR="0048576D" w:rsidRDefault="00790211" w:rsidP="00CE6410">
      <w:pPr>
        <w:jc w:val="center"/>
        <w:rPr>
          <w:rFonts w:ascii="Arial" w:hAnsi="Arial" w:cs="Arial"/>
          <w:sz w:val="40"/>
          <w:szCs w:val="40"/>
        </w:rPr>
      </w:pPr>
      <w:r w:rsidRPr="0048576D">
        <w:rPr>
          <w:rFonts w:ascii="Arial" w:hAnsi="Arial" w:cs="Arial"/>
          <w:sz w:val="40"/>
          <w:szCs w:val="40"/>
        </w:rPr>
        <w:t>Oxevision</w:t>
      </w:r>
      <w:r w:rsidR="00CE6410" w:rsidRPr="0048576D">
        <w:rPr>
          <w:rFonts w:ascii="Arial" w:hAnsi="Arial" w:cs="Arial"/>
          <w:sz w:val="40"/>
          <w:szCs w:val="40"/>
        </w:rPr>
        <w:t xml:space="preserve">, </w:t>
      </w:r>
      <w:r w:rsidRPr="0048576D">
        <w:rPr>
          <w:rFonts w:ascii="Arial" w:hAnsi="Arial" w:cs="Arial"/>
          <w:sz w:val="40"/>
          <w:szCs w:val="40"/>
        </w:rPr>
        <w:t xml:space="preserve">a Digital </w:t>
      </w:r>
      <w:r w:rsidR="00CE6410" w:rsidRPr="0048576D">
        <w:rPr>
          <w:rFonts w:ascii="Arial" w:hAnsi="Arial" w:cs="Arial"/>
          <w:sz w:val="40"/>
          <w:szCs w:val="40"/>
        </w:rPr>
        <w:t>Innovation in</w:t>
      </w:r>
      <w:r w:rsidRPr="0048576D">
        <w:rPr>
          <w:rFonts w:ascii="Arial" w:hAnsi="Arial" w:cs="Arial"/>
          <w:sz w:val="40"/>
          <w:szCs w:val="40"/>
        </w:rPr>
        <w:t xml:space="preserve"> UK </w:t>
      </w:r>
    </w:p>
    <w:p w14:paraId="57D84FF1" w14:textId="15957DFF" w:rsidR="0030753A" w:rsidRPr="0048576D" w:rsidRDefault="00CE6410" w:rsidP="00CE6410">
      <w:pPr>
        <w:jc w:val="center"/>
        <w:rPr>
          <w:rFonts w:ascii="Arial" w:hAnsi="Arial" w:cs="Arial"/>
          <w:sz w:val="40"/>
          <w:szCs w:val="40"/>
        </w:rPr>
      </w:pPr>
      <w:r w:rsidRPr="0048576D">
        <w:rPr>
          <w:rFonts w:ascii="Arial" w:hAnsi="Arial" w:cs="Arial"/>
          <w:sz w:val="40"/>
          <w:szCs w:val="40"/>
        </w:rPr>
        <w:t xml:space="preserve">   </w:t>
      </w:r>
      <w:r w:rsidR="00790211" w:rsidRPr="0048576D">
        <w:rPr>
          <w:rFonts w:ascii="Arial" w:hAnsi="Arial" w:cs="Arial"/>
          <w:sz w:val="40"/>
          <w:szCs w:val="40"/>
        </w:rPr>
        <w:t>Mental Health Care</w:t>
      </w:r>
    </w:p>
    <w:p w14:paraId="5C11D780" w14:textId="77777777" w:rsidR="0030753A" w:rsidRDefault="0030753A"/>
    <w:p w14:paraId="16EB83CC" w14:textId="77777777" w:rsidR="0030753A" w:rsidRDefault="0030753A"/>
    <w:p w14:paraId="017AFB03" w14:textId="77777777" w:rsidR="0030753A" w:rsidRDefault="0030753A"/>
    <w:p w14:paraId="1E70D613" w14:textId="77777777" w:rsidR="0030753A" w:rsidRDefault="0030753A"/>
    <w:p w14:paraId="1CD76025" w14:textId="77777777" w:rsidR="0030753A" w:rsidRDefault="0030753A"/>
    <w:p w14:paraId="187BA02F" w14:textId="77777777" w:rsidR="00790211" w:rsidRDefault="00790211"/>
    <w:p w14:paraId="3E846F74" w14:textId="77777777" w:rsidR="00790211" w:rsidRDefault="00790211"/>
    <w:p w14:paraId="3E31D4C3" w14:textId="77777777" w:rsidR="0030753A" w:rsidRDefault="0030753A"/>
    <w:p w14:paraId="4BFCBE41" w14:textId="42A3EBF0" w:rsidR="00B16996" w:rsidRDefault="00B16996" w:rsidP="00CE6410">
      <w:pPr>
        <w:spacing w:line="360" w:lineRule="auto"/>
        <w:jc w:val="both"/>
        <w:rPr>
          <w:rFonts w:ascii="Arial" w:hAnsi="Arial" w:cs="Arial"/>
          <w:b/>
          <w:bCs/>
        </w:rPr>
      </w:pPr>
      <w:r>
        <w:rPr>
          <w:rFonts w:ascii="Arial" w:hAnsi="Arial" w:cs="Arial"/>
          <w:b/>
          <w:bCs/>
        </w:rPr>
        <w:lastRenderedPageBreak/>
        <w:t>Table of contents</w:t>
      </w:r>
    </w:p>
    <w:p w14:paraId="6780C886" w14:textId="77777777" w:rsidR="00B16996" w:rsidRDefault="00B16996" w:rsidP="00CE6410">
      <w:pPr>
        <w:spacing w:line="360" w:lineRule="auto"/>
        <w:jc w:val="both"/>
        <w:rPr>
          <w:rFonts w:ascii="Arial" w:hAnsi="Arial" w:cs="Arial"/>
          <w:b/>
          <w:bCs/>
        </w:rPr>
      </w:pPr>
    </w:p>
    <w:p w14:paraId="6AB16CA8" w14:textId="77777777" w:rsidR="00B16996" w:rsidRDefault="00B16996" w:rsidP="00CE6410">
      <w:pPr>
        <w:spacing w:line="360" w:lineRule="auto"/>
        <w:jc w:val="both"/>
        <w:rPr>
          <w:rFonts w:ascii="Arial" w:hAnsi="Arial" w:cs="Arial"/>
          <w:b/>
          <w:bCs/>
        </w:rPr>
      </w:pPr>
    </w:p>
    <w:p w14:paraId="3B3E43A1" w14:textId="5AFA0C78" w:rsidR="00B16996" w:rsidRPr="00154783" w:rsidRDefault="00B16996" w:rsidP="00BA2F95">
      <w:pPr>
        <w:spacing w:line="360" w:lineRule="auto"/>
        <w:jc w:val="both"/>
        <w:rPr>
          <w:rFonts w:ascii="Arial" w:hAnsi="Arial" w:cs="Arial"/>
          <w:sz w:val="22"/>
          <w:szCs w:val="22"/>
        </w:rPr>
      </w:pPr>
      <w:r w:rsidRPr="00154783">
        <w:rPr>
          <w:rFonts w:ascii="Arial" w:hAnsi="Arial" w:cs="Arial"/>
          <w:sz w:val="22"/>
          <w:szCs w:val="22"/>
        </w:rPr>
        <w:t>Abstract…………………………………………………………………………….…</w:t>
      </w:r>
      <w:r w:rsidR="00154783">
        <w:rPr>
          <w:rFonts w:ascii="Arial" w:hAnsi="Arial" w:cs="Arial"/>
          <w:sz w:val="22"/>
          <w:szCs w:val="22"/>
        </w:rPr>
        <w:t>…</w:t>
      </w:r>
      <w:r w:rsidR="005C6BE0">
        <w:rPr>
          <w:rFonts w:ascii="Arial" w:hAnsi="Arial" w:cs="Arial"/>
          <w:sz w:val="22"/>
          <w:szCs w:val="22"/>
        </w:rPr>
        <w:t>………</w:t>
      </w:r>
      <w:r w:rsidR="00154783">
        <w:rPr>
          <w:rFonts w:ascii="Arial" w:hAnsi="Arial" w:cs="Arial"/>
          <w:sz w:val="22"/>
          <w:szCs w:val="22"/>
        </w:rPr>
        <w:t>…</w:t>
      </w:r>
      <w:r w:rsidRPr="00154783">
        <w:rPr>
          <w:rFonts w:ascii="Arial" w:hAnsi="Arial" w:cs="Arial"/>
          <w:sz w:val="22"/>
          <w:szCs w:val="22"/>
        </w:rPr>
        <w:t>…</w:t>
      </w:r>
      <w:r w:rsidR="005C6BE0">
        <w:rPr>
          <w:rFonts w:ascii="Arial" w:hAnsi="Arial" w:cs="Arial"/>
          <w:sz w:val="22"/>
          <w:szCs w:val="22"/>
        </w:rPr>
        <w:t>3</w:t>
      </w:r>
    </w:p>
    <w:p w14:paraId="4B5CB55C" w14:textId="096E3AD9" w:rsidR="00B16996" w:rsidRPr="00154783" w:rsidRDefault="00B16996" w:rsidP="00BA2F95">
      <w:pPr>
        <w:spacing w:line="360" w:lineRule="auto"/>
        <w:jc w:val="both"/>
        <w:rPr>
          <w:rFonts w:ascii="Arial" w:hAnsi="Arial" w:cs="Arial"/>
          <w:sz w:val="22"/>
          <w:szCs w:val="22"/>
        </w:rPr>
      </w:pPr>
      <w:r w:rsidRPr="00154783">
        <w:rPr>
          <w:rFonts w:ascii="Arial" w:hAnsi="Arial" w:cs="Arial"/>
          <w:sz w:val="22"/>
          <w:szCs w:val="22"/>
        </w:rPr>
        <w:t>Workforce………………………………………………………………………….…</w:t>
      </w:r>
      <w:r w:rsidR="00154783">
        <w:rPr>
          <w:rFonts w:ascii="Arial" w:hAnsi="Arial" w:cs="Arial"/>
          <w:sz w:val="22"/>
          <w:szCs w:val="22"/>
        </w:rPr>
        <w:t>……</w:t>
      </w:r>
      <w:r w:rsidR="005C6BE0">
        <w:rPr>
          <w:rFonts w:ascii="Arial" w:hAnsi="Arial" w:cs="Arial"/>
          <w:sz w:val="22"/>
          <w:szCs w:val="22"/>
        </w:rPr>
        <w:t>…….…...4</w:t>
      </w:r>
    </w:p>
    <w:p w14:paraId="7D5DF23E" w14:textId="1419562B" w:rsidR="00B16996" w:rsidRPr="00154783" w:rsidRDefault="00B16996" w:rsidP="005C6BE0">
      <w:pPr>
        <w:spacing w:line="360" w:lineRule="auto"/>
        <w:jc w:val="both"/>
        <w:rPr>
          <w:rFonts w:ascii="Arial" w:hAnsi="Arial" w:cs="Arial"/>
          <w:sz w:val="22"/>
          <w:szCs w:val="22"/>
        </w:rPr>
      </w:pPr>
      <w:r w:rsidRPr="00154783">
        <w:rPr>
          <w:rFonts w:ascii="Arial" w:hAnsi="Arial" w:cs="Arial"/>
          <w:sz w:val="22"/>
          <w:szCs w:val="22"/>
        </w:rPr>
        <w:t>Positive Impacts on the Workforce……………………………………………</w:t>
      </w:r>
      <w:r w:rsidR="00154783">
        <w:rPr>
          <w:rFonts w:ascii="Arial" w:hAnsi="Arial" w:cs="Arial"/>
          <w:sz w:val="22"/>
          <w:szCs w:val="22"/>
        </w:rPr>
        <w:t>…………</w:t>
      </w:r>
      <w:r w:rsidR="005C6BE0">
        <w:rPr>
          <w:rFonts w:ascii="Arial" w:hAnsi="Arial" w:cs="Arial"/>
          <w:sz w:val="22"/>
          <w:szCs w:val="22"/>
        </w:rPr>
        <w:t>………...5</w:t>
      </w:r>
    </w:p>
    <w:p w14:paraId="6677DAE3" w14:textId="6C423EEA" w:rsidR="00B16996" w:rsidRPr="00154783" w:rsidRDefault="00B16996" w:rsidP="00BA2F95">
      <w:pPr>
        <w:spacing w:line="360" w:lineRule="auto"/>
        <w:jc w:val="both"/>
        <w:rPr>
          <w:rFonts w:ascii="Arial" w:hAnsi="Arial" w:cs="Arial"/>
          <w:sz w:val="22"/>
          <w:szCs w:val="22"/>
        </w:rPr>
      </w:pPr>
      <w:r w:rsidRPr="00154783">
        <w:rPr>
          <w:rFonts w:ascii="Arial" w:hAnsi="Arial" w:cs="Arial"/>
          <w:sz w:val="22"/>
          <w:szCs w:val="22"/>
        </w:rPr>
        <w:t>Challenges and Critical Evaluation…………………………………………</w:t>
      </w:r>
      <w:r w:rsidR="00154783">
        <w:rPr>
          <w:rFonts w:ascii="Arial" w:hAnsi="Arial" w:cs="Arial"/>
          <w:sz w:val="22"/>
          <w:szCs w:val="22"/>
        </w:rPr>
        <w:t>………….</w:t>
      </w:r>
      <w:r w:rsidRPr="00154783">
        <w:rPr>
          <w:rFonts w:ascii="Arial" w:hAnsi="Arial" w:cs="Arial"/>
          <w:sz w:val="22"/>
          <w:szCs w:val="22"/>
        </w:rPr>
        <w:t>…</w:t>
      </w:r>
      <w:r w:rsidR="005C6BE0">
        <w:rPr>
          <w:rFonts w:ascii="Arial" w:hAnsi="Arial" w:cs="Arial"/>
          <w:sz w:val="22"/>
          <w:szCs w:val="22"/>
        </w:rPr>
        <w:t>………...6</w:t>
      </w:r>
    </w:p>
    <w:p w14:paraId="7893EEF1" w14:textId="3ACF4FFF" w:rsidR="00B16996" w:rsidRPr="00154783" w:rsidRDefault="00B16996" w:rsidP="00BA2F95">
      <w:pPr>
        <w:spacing w:line="360" w:lineRule="auto"/>
        <w:jc w:val="both"/>
        <w:rPr>
          <w:rFonts w:ascii="Arial" w:hAnsi="Arial" w:cs="Arial"/>
          <w:sz w:val="22"/>
          <w:szCs w:val="22"/>
        </w:rPr>
      </w:pPr>
      <w:r w:rsidRPr="00154783">
        <w:rPr>
          <w:rFonts w:ascii="Arial" w:hAnsi="Arial" w:cs="Arial"/>
          <w:sz w:val="22"/>
          <w:szCs w:val="22"/>
        </w:rPr>
        <w:t>Changes to Patient and Service User Experience……………………………</w:t>
      </w:r>
      <w:r w:rsidR="00154783">
        <w:rPr>
          <w:rFonts w:ascii="Arial" w:hAnsi="Arial" w:cs="Arial"/>
          <w:sz w:val="22"/>
          <w:szCs w:val="22"/>
        </w:rPr>
        <w:t>…………</w:t>
      </w:r>
      <w:r w:rsidR="005C6BE0">
        <w:rPr>
          <w:rFonts w:ascii="Arial" w:hAnsi="Arial" w:cs="Arial"/>
          <w:sz w:val="22"/>
          <w:szCs w:val="22"/>
        </w:rPr>
        <w:t>………...7</w:t>
      </w:r>
    </w:p>
    <w:p w14:paraId="1FBDE48D" w14:textId="5730477F" w:rsidR="00BA2F95" w:rsidRPr="00154783" w:rsidRDefault="00BA2F95" w:rsidP="00BA2F95">
      <w:pPr>
        <w:spacing w:line="360" w:lineRule="auto"/>
        <w:jc w:val="both"/>
        <w:rPr>
          <w:rFonts w:ascii="Arial" w:hAnsi="Arial" w:cs="Arial"/>
          <w:sz w:val="22"/>
          <w:szCs w:val="22"/>
        </w:rPr>
      </w:pPr>
      <w:r w:rsidRPr="00154783">
        <w:rPr>
          <w:rFonts w:ascii="Arial" w:hAnsi="Arial" w:cs="Arial"/>
          <w:sz w:val="22"/>
          <w:szCs w:val="22"/>
        </w:rPr>
        <w:t>Challenges and Critical Evaluation…………………………………………</w:t>
      </w:r>
      <w:r w:rsidR="00154783">
        <w:rPr>
          <w:rFonts w:ascii="Arial" w:hAnsi="Arial" w:cs="Arial"/>
          <w:sz w:val="22"/>
          <w:szCs w:val="22"/>
        </w:rPr>
        <w:t>…………...</w:t>
      </w:r>
      <w:r w:rsidRPr="00154783">
        <w:rPr>
          <w:rFonts w:ascii="Arial" w:hAnsi="Arial" w:cs="Arial"/>
          <w:sz w:val="22"/>
          <w:szCs w:val="22"/>
        </w:rPr>
        <w:t>……….….8</w:t>
      </w:r>
    </w:p>
    <w:p w14:paraId="77159104" w14:textId="451BECBC" w:rsidR="00795D91" w:rsidRPr="00154783" w:rsidRDefault="00795D91" w:rsidP="00795D91">
      <w:pPr>
        <w:spacing w:line="360" w:lineRule="auto"/>
        <w:jc w:val="both"/>
        <w:rPr>
          <w:rFonts w:ascii="Arial" w:hAnsi="Arial" w:cs="Arial"/>
          <w:sz w:val="22"/>
          <w:szCs w:val="22"/>
        </w:rPr>
      </w:pPr>
      <w:r w:rsidRPr="00154783">
        <w:rPr>
          <w:rFonts w:ascii="Arial" w:hAnsi="Arial" w:cs="Arial"/>
          <w:sz w:val="22"/>
          <w:szCs w:val="22"/>
        </w:rPr>
        <w:t>Conclusion and Recommendations………………………………………………</w:t>
      </w:r>
      <w:r w:rsidR="00154783">
        <w:rPr>
          <w:rFonts w:ascii="Arial" w:hAnsi="Arial" w:cs="Arial"/>
          <w:sz w:val="22"/>
          <w:szCs w:val="22"/>
        </w:rPr>
        <w:t>…………</w:t>
      </w:r>
      <w:r w:rsidR="005C6BE0">
        <w:rPr>
          <w:rFonts w:ascii="Arial" w:hAnsi="Arial" w:cs="Arial"/>
          <w:sz w:val="22"/>
          <w:szCs w:val="22"/>
        </w:rPr>
        <w:t>………9</w:t>
      </w:r>
    </w:p>
    <w:p w14:paraId="4D4F524F" w14:textId="77777777" w:rsidR="00795D91" w:rsidRPr="00154783" w:rsidRDefault="00795D91" w:rsidP="00BA2F95">
      <w:pPr>
        <w:spacing w:line="360" w:lineRule="auto"/>
        <w:jc w:val="both"/>
        <w:rPr>
          <w:rFonts w:ascii="Arial" w:hAnsi="Arial" w:cs="Arial"/>
          <w:sz w:val="22"/>
          <w:szCs w:val="22"/>
        </w:rPr>
      </w:pPr>
    </w:p>
    <w:p w14:paraId="08F2380B" w14:textId="77777777" w:rsidR="00BA2F95" w:rsidRPr="005B5A7D" w:rsidRDefault="00BA2F95" w:rsidP="00BA2F95">
      <w:pPr>
        <w:spacing w:line="360" w:lineRule="auto"/>
        <w:jc w:val="both"/>
        <w:rPr>
          <w:rFonts w:ascii="Arial" w:hAnsi="Arial" w:cs="Arial"/>
          <w:b/>
          <w:bCs/>
        </w:rPr>
      </w:pPr>
    </w:p>
    <w:p w14:paraId="1F8DD8AB" w14:textId="77777777" w:rsidR="00BA2F95" w:rsidRDefault="00BA2F95" w:rsidP="00BA2F95">
      <w:pPr>
        <w:spacing w:line="360" w:lineRule="auto"/>
        <w:jc w:val="both"/>
        <w:rPr>
          <w:rFonts w:ascii="Arial" w:hAnsi="Arial" w:cs="Arial"/>
          <w:b/>
          <w:bCs/>
        </w:rPr>
      </w:pPr>
    </w:p>
    <w:p w14:paraId="1A2A95B3" w14:textId="77777777" w:rsidR="00B16996" w:rsidRDefault="00B16996" w:rsidP="00B16996">
      <w:pPr>
        <w:spacing w:line="360" w:lineRule="auto"/>
        <w:jc w:val="both"/>
        <w:rPr>
          <w:rFonts w:ascii="Arial" w:hAnsi="Arial" w:cs="Arial"/>
          <w:b/>
          <w:bCs/>
        </w:rPr>
      </w:pPr>
    </w:p>
    <w:p w14:paraId="51773D4F" w14:textId="77777777" w:rsidR="00B16996" w:rsidRPr="005B5A7D" w:rsidRDefault="00B16996" w:rsidP="00B16996">
      <w:pPr>
        <w:spacing w:line="360" w:lineRule="auto"/>
        <w:jc w:val="both"/>
        <w:rPr>
          <w:rFonts w:ascii="Arial" w:hAnsi="Arial" w:cs="Arial"/>
          <w:b/>
          <w:bCs/>
        </w:rPr>
      </w:pPr>
    </w:p>
    <w:p w14:paraId="1EF0223B" w14:textId="77777777" w:rsidR="00B16996" w:rsidRDefault="00B16996" w:rsidP="00CE6410">
      <w:pPr>
        <w:spacing w:line="360" w:lineRule="auto"/>
        <w:jc w:val="both"/>
        <w:rPr>
          <w:rFonts w:ascii="Arial" w:hAnsi="Arial" w:cs="Arial"/>
          <w:b/>
          <w:bCs/>
        </w:rPr>
      </w:pPr>
    </w:p>
    <w:p w14:paraId="2ECF6623" w14:textId="77777777" w:rsidR="00B16996" w:rsidRDefault="00B16996" w:rsidP="00CE6410">
      <w:pPr>
        <w:spacing w:line="360" w:lineRule="auto"/>
        <w:jc w:val="both"/>
        <w:rPr>
          <w:rFonts w:ascii="Arial" w:hAnsi="Arial" w:cs="Arial"/>
          <w:b/>
          <w:bCs/>
        </w:rPr>
      </w:pPr>
    </w:p>
    <w:p w14:paraId="33420EE3" w14:textId="77777777" w:rsidR="00B16996" w:rsidRDefault="00B16996" w:rsidP="00CE6410">
      <w:pPr>
        <w:spacing w:line="360" w:lineRule="auto"/>
        <w:jc w:val="both"/>
        <w:rPr>
          <w:rFonts w:ascii="Arial" w:hAnsi="Arial" w:cs="Arial"/>
          <w:b/>
          <w:bCs/>
        </w:rPr>
      </w:pPr>
    </w:p>
    <w:p w14:paraId="13C86AA9" w14:textId="77777777" w:rsidR="00B16996" w:rsidRPr="00B16996" w:rsidRDefault="00B16996" w:rsidP="00CE6410">
      <w:pPr>
        <w:spacing w:line="360" w:lineRule="auto"/>
        <w:jc w:val="both"/>
        <w:rPr>
          <w:rFonts w:ascii="Arial" w:hAnsi="Arial" w:cs="Arial"/>
          <w:b/>
          <w:bCs/>
          <w:sz w:val="22"/>
          <w:szCs w:val="22"/>
        </w:rPr>
      </w:pPr>
    </w:p>
    <w:p w14:paraId="1902FFAD" w14:textId="77777777" w:rsidR="00B16996" w:rsidRDefault="00B16996" w:rsidP="00CE6410">
      <w:pPr>
        <w:spacing w:line="360" w:lineRule="auto"/>
        <w:jc w:val="both"/>
        <w:rPr>
          <w:rFonts w:ascii="Arial" w:hAnsi="Arial" w:cs="Arial"/>
          <w:b/>
          <w:bCs/>
        </w:rPr>
      </w:pPr>
    </w:p>
    <w:p w14:paraId="4DF77EE7" w14:textId="77777777" w:rsidR="00B16996" w:rsidRDefault="00B16996" w:rsidP="00CE6410">
      <w:pPr>
        <w:spacing w:line="360" w:lineRule="auto"/>
        <w:jc w:val="both"/>
        <w:rPr>
          <w:rFonts w:ascii="Arial" w:hAnsi="Arial" w:cs="Arial"/>
          <w:b/>
          <w:bCs/>
        </w:rPr>
      </w:pPr>
    </w:p>
    <w:p w14:paraId="78A0AAB0" w14:textId="77777777" w:rsidR="00B16996" w:rsidRDefault="00B16996" w:rsidP="00CE6410">
      <w:pPr>
        <w:spacing w:line="360" w:lineRule="auto"/>
        <w:jc w:val="both"/>
        <w:rPr>
          <w:rFonts w:ascii="Arial" w:hAnsi="Arial" w:cs="Arial"/>
          <w:b/>
          <w:bCs/>
        </w:rPr>
      </w:pPr>
    </w:p>
    <w:p w14:paraId="79F9F43D" w14:textId="77777777" w:rsidR="00B16996" w:rsidRDefault="00B16996" w:rsidP="00CE6410">
      <w:pPr>
        <w:spacing w:line="360" w:lineRule="auto"/>
        <w:jc w:val="both"/>
        <w:rPr>
          <w:rFonts w:ascii="Arial" w:hAnsi="Arial" w:cs="Arial"/>
          <w:b/>
          <w:bCs/>
        </w:rPr>
      </w:pPr>
    </w:p>
    <w:p w14:paraId="417A0B29" w14:textId="77777777" w:rsidR="00B16996" w:rsidRDefault="00B16996" w:rsidP="00CE6410">
      <w:pPr>
        <w:spacing w:line="360" w:lineRule="auto"/>
        <w:jc w:val="both"/>
        <w:rPr>
          <w:rFonts w:ascii="Arial" w:hAnsi="Arial" w:cs="Arial"/>
          <w:b/>
          <w:bCs/>
        </w:rPr>
      </w:pPr>
    </w:p>
    <w:p w14:paraId="78258474" w14:textId="77777777" w:rsidR="00B16996" w:rsidRDefault="00B16996" w:rsidP="00CE6410">
      <w:pPr>
        <w:spacing w:line="360" w:lineRule="auto"/>
        <w:jc w:val="both"/>
        <w:rPr>
          <w:rFonts w:ascii="Arial" w:hAnsi="Arial" w:cs="Arial"/>
          <w:b/>
          <w:bCs/>
        </w:rPr>
      </w:pPr>
    </w:p>
    <w:p w14:paraId="517CB8CF" w14:textId="020AECA7" w:rsidR="00CE6410" w:rsidRPr="005B5A7D" w:rsidRDefault="00CE6410" w:rsidP="00CE6410">
      <w:pPr>
        <w:spacing w:line="360" w:lineRule="auto"/>
        <w:jc w:val="both"/>
        <w:rPr>
          <w:rFonts w:ascii="Arial" w:hAnsi="Arial" w:cs="Arial"/>
          <w:b/>
          <w:bCs/>
        </w:rPr>
      </w:pPr>
      <w:r w:rsidRPr="005B5A7D">
        <w:rPr>
          <w:rFonts w:ascii="Arial" w:hAnsi="Arial" w:cs="Arial"/>
          <w:b/>
          <w:bCs/>
        </w:rPr>
        <w:lastRenderedPageBreak/>
        <w:t>Abstract</w:t>
      </w:r>
    </w:p>
    <w:p w14:paraId="38CAC1C1" w14:textId="77777777" w:rsidR="00CE6410" w:rsidRPr="005B5A7D" w:rsidRDefault="00CE6410" w:rsidP="00CE6410">
      <w:pPr>
        <w:spacing w:line="360" w:lineRule="auto"/>
        <w:jc w:val="both"/>
        <w:rPr>
          <w:rFonts w:ascii="Arial" w:hAnsi="Arial" w:cs="Arial"/>
        </w:rPr>
      </w:pPr>
      <w:r w:rsidRPr="005B5A7D">
        <w:rPr>
          <w:rFonts w:ascii="Arial" w:hAnsi="Arial" w:cs="Arial"/>
        </w:rPr>
        <w:t>Digital transformation has become increasingly important within UK health and social care to improve patient safety, service quality and workforce efficiency. Oxevision is a Vision-Based Patient Monitoring System (VBPMS) implemented within NHS mental health inpatient settings to support non-contact patient monitoring. This report examines Oxevision as a digital innovation introduced within the last ten years by exploring its impact on workforce practice and patient/service user outcomes.</w:t>
      </w:r>
      <w:r>
        <w:rPr>
          <w:rFonts w:ascii="Arial" w:hAnsi="Arial" w:cs="Arial"/>
        </w:rPr>
        <w:t xml:space="preserve"> </w:t>
      </w:r>
      <w:r w:rsidRPr="005B5A7D">
        <w:rPr>
          <w:rFonts w:ascii="Arial" w:hAnsi="Arial" w:cs="Arial"/>
        </w:rPr>
        <w:t>While the report highlights the benefits of integrating digital monitoring technologies into modern healthcare practices, it also emphasises ongoing concerns regarding privacy, consent, and the ethical implications of remote monitoring.</w:t>
      </w:r>
    </w:p>
    <w:p w14:paraId="5577D9CF" w14:textId="77777777" w:rsidR="00CE6410" w:rsidRPr="005B5A7D" w:rsidRDefault="00CE6410" w:rsidP="00CE6410">
      <w:pPr>
        <w:spacing w:line="360" w:lineRule="auto"/>
        <w:jc w:val="both"/>
        <w:rPr>
          <w:rFonts w:ascii="Arial" w:hAnsi="Arial" w:cs="Arial"/>
          <w:b/>
          <w:bCs/>
        </w:rPr>
      </w:pPr>
      <w:r w:rsidRPr="005B5A7D">
        <w:rPr>
          <w:rFonts w:ascii="Arial" w:hAnsi="Arial" w:cs="Arial"/>
          <w:b/>
          <w:bCs/>
        </w:rPr>
        <w:t>Introduction</w:t>
      </w:r>
    </w:p>
    <w:p w14:paraId="71EBCC16" w14:textId="77777777" w:rsidR="00CE6410" w:rsidRPr="00D132F7" w:rsidRDefault="00CE6410" w:rsidP="00CE6410">
      <w:pPr>
        <w:spacing w:line="360" w:lineRule="auto"/>
        <w:jc w:val="both"/>
        <w:rPr>
          <w:rFonts w:ascii="Arial" w:hAnsi="Arial" w:cs="Arial"/>
        </w:rPr>
      </w:pPr>
      <w:r w:rsidRPr="00D132F7">
        <w:rPr>
          <w:rFonts w:ascii="Arial" w:hAnsi="Arial" w:cs="Arial"/>
        </w:rPr>
        <w:t>Across the UK, healthcare organisations face ongoing pressure to improve patient safety, service quality and efficiency while responding to increasing demand and workforce shortages (Department of Health and Social Care, 2022). As a result, digital innovation has become an important factor in NHS modernisation strategies aimed at delivering safer and more person-centred care (NHS England, 2021).</w:t>
      </w:r>
    </w:p>
    <w:p w14:paraId="7E016BCA" w14:textId="564AB24B" w:rsidR="00CE6410" w:rsidRPr="00D132F7" w:rsidRDefault="00CE6410" w:rsidP="00CE6410">
      <w:pPr>
        <w:spacing w:line="360" w:lineRule="auto"/>
        <w:jc w:val="both"/>
        <w:rPr>
          <w:rFonts w:ascii="Arial" w:hAnsi="Arial" w:cs="Arial"/>
        </w:rPr>
      </w:pPr>
      <w:r w:rsidRPr="00D132F7">
        <w:rPr>
          <w:rFonts w:ascii="Arial" w:hAnsi="Arial" w:cs="Arial"/>
        </w:rPr>
        <w:t xml:space="preserve">Digital transformation extends beyond technology adoption and involves redesigning care processes, workforce practices and patient experiences to improve outcomes. </w:t>
      </w:r>
    </w:p>
    <w:p w14:paraId="179111B5" w14:textId="5DBFE64C" w:rsidR="00CE6410" w:rsidRPr="00D132F7" w:rsidRDefault="00CE6410" w:rsidP="00CE6410">
      <w:pPr>
        <w:spacing w:line="360" w:lineRule="auto"/>
        <w:jc w:val="both"/>
        <w:rPr>
          <w:rFonts w:ascii="Arial" w:hAnsi="Arial" w:cs="Arial"/>
        </w:rPr>
      </w:pPr>
      <w:r w:rsidRPr="00D132F7">
        <w:rPr>
          <w:rFonts w:ascii="Arial" w:hAnsi="Arial" w:cs="Arial"/>
        </w:rPr>
        <w:t>Within mental health settings, maintaining patient safety alongside dignity and therapeutic relationships remains a daily challenge. Traditional observation methods can be labour-intensive and potentially disruptive, leading to increased interest in digital monitoring technologies such as Oxevision (Buckley</w:t>
      </w:r>
      <w:r>
        <w:rPr>
          <w:rFonts w:ascii="Arial" w:hAnsi="Arial" w:cs="Arial"/>
        </w:rPr>
        <w:t xml:space="preserve"> et al., </w:t>
      </w:r>
      <w:r w:rsidRPr="00D132F7">
        <w:rPr>
          <w:rFonts w:ascii="Arial" w:hAnsi="Arial" w:cs="Arial"/>
        </w:rPr>
        <w:t>2024).</w:t>
      </w:r>
      <w:r w:rsidR="00196DC0" w:rsidRPr="00196DC0">
        <w:t xml:space="preserve"> </w:t>
      </w:r>
      <w:r w:rsidR="00196DC0" w:rsidRPr="00196DC0">
        <w:rPr>
          <w:rFonts w:ascii="Arial" w:hAnsi="Arial" w:cs="Arial"/>
        </w:rPr>
        <w:t>Oxevision is a contactless vision-based patient monitoring system that uses optical sensing technology to monitor movement, breathing and clinical observations within mental health inpatient environments.</w:t>
      </w:r>
      <w:r w:rsidR="00196DC0" w:rsidRPr="00196DC0">
        <w:t xml:space="preserve"> </w:t>
      </w:r>
      <w:r w:rsidR="00196DC0" w:rsidRPr="00196DC0">
        <w:rPr>
          <w:rFonts w:ascii="Arial" w:hAnsi="Arial" w:cs="Arial"/>
        </w:rPr>
        <w:t xml:space="preserve">As a digital innovation, </w:t>
      </w:r>
      <w:r w:rsidR="009E28C1">
        <w:rPr>
          <w:rFonts w:ascii="Arial" w:hAnsi="Arial" w:cs="Arial"/>
        </w:rPr>
        <w:t xml:space="preserve">Oxevision </w:t>
      </w:r>
      <w:r w:rsidR="00196DC0" w:rsidRPr="00196DC0">
        <w:rPr>
          <w:rFonts w:ascii="Arial" w:hAnsi="Arial" w:cs="Arial"/>
        </w:rPr>
        <w:t>represents a shift from traditional observational approaches towards data-supported and more responsive models of inpatient mental healthcare.</w:t>
      </w:r>
    </w:p>
    <w:p w14:paraId="336100D5" w14:textId="7C7653E0" w:rsidR="00CE6410" w:rsidRPr="005B5A7D" w:rsidRDefault="007602BC" w:rsidP="00CE6410">
      <w:pPr>
        <w:spacing w:line="360" w:lineRule="auto"/>
        <w:jc w:val="both"/>
        <w:rPr>
          <w:rFonts w:ascii="Arial" w:hAnsi="Arial" w:cs="Arial"/>
        </w:rPr>
      </w:pPr>
      <w:r w:rsidRPr="007602BC">
        <w:rPr>
          <w:rFonts w:ascii="Arial" w:hAnsi="Arial" w:cs="Arial"/>
        </w:rPr>
        <w:t>This report critically evaluates Oxevision within UK mental health services by examining its impact on workforce and patient/service user outcomes.</w:t>
      </w:r>
      <w:r>
        <w:rPr>
          <w:rFonts w:ascii="Arial" w:hAnsi="Arial" w:cs="Arial"/>
        </w:rPr>
        <w:t xml:space="preserve"> </w:t>
      </w:r>
      <w:r w:rsidR="00CE6410" w:rsidRPr="00D132F7">
        <w:rPr>
          <w:rFonts w:ascii="Arial" w:hAnsi="Arial" w:cs="Arial"/>
        </w:rPr>
        <w:t xml:space="preserve">While Oxevision may support more efficient observation and enhance patient safety, its implementation </w:t>
      </w:r>
      <w:r w:rsidR="00CE6410" w:rsidRPr="00D132F7">
        <w:rPr>
          <w:rFonts w:ascii="Arial" w:hAnsi="Arial" w:cs="Arial"/>
        </w:rPr>
        <w:lastRenderedPageBreak/>
        <w:t>also raises important questions regarding privacy, professional practice and the extent to which digital monitoring can support person-centred mental healthcare.</w:t>
      </w:r>
    </w:p>
    <w:p w14:paraId="2B69A813" w14:textId="18D08E75" w:rsidR="00CE6410" w:rsidRPr="005B5A7D" w:rsidRDefault="00CE6410" w:rsidP="00CE6410">
      <w:pPr>
        <w:spacing w:line="360" w:lineRule="auto"/>
        <w:jc w:val="both"/>
        <w:rPr>
          <w:rFonts w:ascii="Arial" w:hAnsi="Arial" w:cs="Arial"/>
          <w:b/>
          <w:bCs/>
        </w:rPr>
      </w:pPr>
      <w:r w:rsidRPr="005B5A7D">
        <w:rPr>
          <w:rFonts w:ascii="Arial" w:hAnsi="Arial" w:cs="Arial"/>
          <w:b/>
          <w:bCs/>
        </w:rPr>
        <w:t>2.</w:t>
      </w:r>
      <w:r w:rsidR="00A73915">
        <w:rPr>
          <w:rFonts w:ascii="Arial" w:hAnsi="Arial" w:cs="Arial"/>
          <w:b/>
          <w:bCs/>
        </w:rPr>
        <w:t xml:space="preserve"> </w:t>
      </w:r>
      <w:r w:rsidRPr="005B5A7D">
        <w:rPr>
          <w:rFonts w:ascii="Arial" w:hAnsi="Arial" w:cs="Arial"/>
          <w:b/>
          <w:bCs/>
        </w:rPr>
        <w:t>Workforce</w:t>
      </w:r>
    </w:p>
    <w:p w14:paraId="0F619954" w14:textId="77777777" w:rsidR="00CE6410" w:rsidRPr="005B5A7D" w:rsidRDefault="00CE6410" w:rsidP="00CE6410">
      <w:pPr>
        <w:spacing w:line="360" w:lineRule="auto"/>
        <w:jc w:val="both"/>
        <w:rPr>
          <w:rFonts w:ascii="Arial" w:hAnsi="Arial" w:cs="Arial"/>
          <w:b/>
          <w:bCs/>
        </w:rPr>
      </w:pPr>
      <w:r w:rsidRPr="005B5A7D">
        <w:rPr>
          <w:rFonts w:ascii="Arial" w:hAnsi="Arial" w:cs="Arial"/>
          <w:b/>
          <w:bCs/>
        </w:rPr>
        <w:t>2.1 Changes to Professional Roles</w:t>
      </w:r>
    </w:p>
    <w:p w14:paraId="2E43D660" w14:textId="77777777" w:rsidR="00CE6410" w:rsidRPr="00A000EE" w:rsidRDefault="00CE6410" w:rsidP="00CE6410">
      <w:pPr>
        <w:spacing w:line="360" w:lineRule="auto"/>
        <w:jc w:val="both"/>
        <w:rPr>
          <w:rFonts w:ascii="Arial" w:hAnsi="Arial" w:cs="Arial"/>
          <w:sz w:val="22"/>
          <w:szCs w:val="22"/>
        </w:rPr>
      </w:pPr>
      <w:r w:rsidRPr="00A000EE">
        <w:rPr>
          <w:rFonts w:ascii="Arial" w:hAnsi="Arial" w:cs="Arial"/>
          <w:sz w:val="22"/>
          <w:szCs w:val="22"/>
        </w:rPr>
        <w:t>Digital transformation has increasingly changed professional practice within UK health and social care by introducing technologies intended to improve safety and efficiency (The King’s Fund, 2022). Within mental health inpatient services, staff have traditionally relied on direct observation methods, including scheduled checks and one-to-one monitoring, to manage patient safety and clinical risk (NHS England, 2019). However, these approaches require significant staff input and can increase pressure on already stretched services. Although observation is intended to promote patient safety, repeated physical monitoring may also reduce opportunities for therapeutic engagement and increase workforce burden.</w:t>
      </w:r>
    </w:p>
    <w:p w14:paraId="7B83F6D0" w14:textId="77777777" w:rsidR="00CE6410" w:rsidRPr="00A000EE" w:rsidRDefault="00CE6410" w:rsidP="00CE6410">
      <w:pPr>
        <w:spacing w:line="360" w:lineRule="auto"/>
        <w:jc w:val="both"/>
        <w:rPr>
          <w:rFonts w:ascii="Arial" w:hAnsi="Arial" w:cs="Arial"/>
          <w:sz w:val="22"/>
          <w:szCs w:val="22"/>
        </w:rPr>
      </w:pPr>
      <w:r w:rsidRPr="00A000EE">
        <w:rPr>
          <w:rFonts w:ascii="Arial" w:hAnsi="Arial" w:cs="Arial"/>
          <w:sz w:val="22"/>
          <w:szCs w:val="22"/>
        </w:rPr>
        <w:t>The implementation of Oxevision has altered observation practices by enabling staff to access remote patient information and digitally supported monitoring rather than relying solely on repeated physical observation (Buckley</w:t>
      </w:r>
      <w:r>
        <w:rPr>
          <w:rFonts w:ascii="Arial" w:hAnsi="Arial" w:cs="Arial"/>
          <w:sz w:val="22"/>
          <w:szCs w:val="22"/>
        </w:rPr>
        <w:t xml:space="preserve"> et al., </w:t>
      </w:r>
      <w:r w:rsidRPr="00A000EE">
        <w:rPr>
          <w:rFonts w:ascii="Arial" w:hAnsi="Arial" w:cs="Arial"/>
          <w:sz w:val="22"/>
          <w:szCs w:val="22"/>
        </w:rPr>
        <w:t>2024). Although this may improve workflow efficiency, professional judgement remains essential in interpreting information and prioritising care. This suggests that digital monitoring reshapes clinical work rather than reducing professional responsibility, requiring staff to balance technological input with contextual and relational aspects of care.</w:t>
      </w:r>
    </w:p>
    <w:p w14:paraId="10A096E1" w14:textId="77777777" w:rsidR="00CE6410" w:rsidRPr="00A000EE" w:rsidRDefault="00CE6410" w:rsidP="00CE6410">
      <w:pPr>
        <w:spacing w:line="360" w:lineRule="auto"/>
        <w:jc w:val="both"/>
        <w:rPr>
          <w:rFonts w:ascii="Arial" w:hAnsi="Arial" w:cs="Arial"/>
          <w:sz w:val="22"/>
          <w:szCs w:val="22"/>
        </w:rPr>
      </w:pPr>
      <w:r w:rsidRPr="00A000EE">
        <w:rPr>
          <w:rFonts w:ascii="Arial" w:hAnsi="Arial" w:cs="Arial"/>
          <w:sz w:val="22"/>
          <w:szCs w:val="22"/>
        </w:rPr>
        <w:t>As a result, workforce roles increasingly require digital competencies, including interpreting digital information and maintaining accountability in technology-supported decision making. This aligns with NHS objectives to strengthen workforce digital capability (Health Education England, 2023). Digital transformation should not be viewed as replacing staff; instead, it shifts responsibilities towards clinical oversight and data-informed decision making, reflecting wider recognition that technology changes professional roles rather than clinical expertise (Topol, 2019).</w:t>
      </w:r>
    </w:p>
    <w:p w14:paraId="7BC8FF64" w14:textId="77777777" w:rsidR="00CE6410" w:rsidRDefault="00CE6410" w:rsidP="00CE6410">
      <w:pPr>
        <w:spacing w:line="360" w:lineRule="auto"/>
        <w:jc w:val="both"/>
        <w:rPr>
          <w:rFonts w:ascii="Arial" w:hAnsi="Arial" w:cs="Arial"/>
          <w:sz w:val="22"/>
          <w:szCs w:val="22"/>
        </w:rPr>
      </w:pPr>
      <w:r w:rsidRPr="00A000EE">
        <w:rPr>
          <w:rFonts w:ascii="Arial" w:hAnsi="Arial" w:cs="Arial"/>
          <w:sz w:val="22"/>
          <w:szCs w:val="22"/>
        </w:rPr>
        <w:t>However, increased reliance on digital systems may create concerns regarding technological dependency and the potential erosion of observational skills if implementation is not accompanied by ongoing professional development. Therefore, successful implementation should not be evaluated solely by improvements in efficiency or observation capacity, but by whether digital monitoring enhances therapeutic relationships, preserves professional autonomy and supports person-centred mental healthcare (Coulter et al., 2015).</w:t>
      </w:r>
    </w:p>
    <w:p w14:paraId="57C4C485" w14:textId="77777777" w:rsidR="00A73915" w:rsidRPr="00CB7C9E" w:rsidRDefault="00A73915" w:rsidP="00CE6410">
      <w:pPr>
        <w:spacing w:line="360" w:lineRule="auto"/>
        <w:jc w:val="both"/>
        <w:rPr>
          <w:rFonts w:ascii="Arial" w:hAnsi="Arial" w:cs="Arial"/>
          <w:sz w:val="22"/>
          <w:szCs w:val="22"/>
        </w:rPr>
      </w:pPr>
    </w:p>
    <w:p w14:paraId="68FA8E5F" w14:textId="77777777" w:rsidR="00CE6410" w:rsidRPr="005B5A7D" w:rsidRDefault="00CE6410" w:rsidP="00CE6410">
      <w:pPr>
        <w:spacing w:line="360" w:lineRule="auto"/>
        <w:jc w:val="both"/>
        <w:rPr>
          <w:rFonts w:ascii="Arial" w:hAnsi="Arial" w:cs="Arial"/>
          <w:b/>
          <w:bCs/>
        </w:rPr>
      </w:pPr>
      <w:r w:rsidRPr="005B5A7D">
        <w:rPr>
          <w:rFonts w:ascii="Arial" w:hAnsi="Arial" w:cs="Arial"/>
          <w:b/>
          <w:bCs/>
        </w:rPr>
        <w:lastRenderedPageBreak/>
        <w:t>2.2 Positive Impacts on the Workforce</w:t>
      </w:r>
    </w:p>
    <w:p w14:paraId="234C7BB6" w14:textId="77777777" w:rsidR="00B125B7" w:rsidRPr="00B125B7" w:rsidRDefault="00B125B7" w:rsidP="00B125B7">
      <w:pPr>
        <w:spacing w:line="360" w:lineRule="auto"/>
        <w:jc w:val="both"/>
        <w:rPr>
          <w:rFonts w:ascii="Arial" w:hAnsi="Arial" w:cs="Arial"/>
          <w:sz w:val="22"/>
          <w:szCs w:val="22"/>
        </w:rPr>
      </w:pPr>
      <w:r w:rsidRPr="00B125B7">
        <w:rPr>
          <w:rFonts w:ascii="Arial" w:hAnsi="Arial" w:cs="Arial"/>
          <w:sz w:val="22"/>
          <w:szCs w:val="22"/>
        </w:rPr>
        <w:t>Digital monitoring technologies are increasingly recognised for supporting workforce efficiency while maintaining patient safety. Within mental health inpatient services, staff are required to balance routine observations with therapeutic, administrative and risk management responsibilities, creating pressure within an already stretched workforce (Health Foundation, 2020).</w:t>
      </w:r>
    </w:p>
    <w:p w14:paraId="4832B7E1" w14:textId="77777777" w:rsidR="00B125B7" w:rsidRPr="00B125B7" w:rsidRDefault="00B125B7" w:rsidP="00B125B7">
      <w:pPr>
        <w:spacing w:line="360" w:lineRule="auto"/>
        <w:jc w:val="both"/>
        <w:rPr>
          <w:rFonts w:ascii="Arial" w:hAnsi="Arial" w:cs="Arial"/>
          <w:sz w:val="22"/>
          <w:szCs w:val="22"/>
        </w:rPr>
      </w:pPr>
      <w:r w:rsidRPr="00B125B7">
        <w:rPr>
          <w:rFonts w:ascii="Arial" w:hAnsi="Arial" w:cs="Arial"/>
          <w:sz w:val="22"/>
          <w:szCs w:val="22"/>
        </w:rPr>
        <w:t>Research examining Oxevision within NHS settings reported measurable reductions in staff time spent undertaking night-time observations and lower use of one-to-one observation hours across inpatient services (NHS Confederation, 2020). This suggests that workforce capacity may be redirected towards patient engagement and clinical priorities rather than repetitive monitoring tasks. However, improvements in workforce efficiency should be interpreted cautiously, as reduced observation time does not necessarily indicate improved quality of care and may instead reflect redistribution of workload rather than enhanced therapeutic engagement, highlighting the need to evaluate whether efficiency gains produce meaningful improvements in patient care.</w:t>
      </w:r>
    </w:p>
    <w:p w14:paraId="5CC50682" w14:textId="77777777" w:rsidR="00B125B7" w:rsidRPr="00B125B7" w:rsidRDefault="00B125B7" w:rsidP="00B125B7">
      <w:pPr>
        <w:spacing w:line="360" w:lineRule="auto"/>
        <w:jc w:val="both"/>
        <w:rPr>
          <w:rFonts w:ascii="Arial" w:hAnsi="Arial" w:cs="Arial"/>
          <w:sz w:val="22"/>
          <w:szCs w:val="22"/>
        </w:rPr>
      </w:pPr>
      <w:r w:rsidRPr="00B125B7">
        <w:rPr>
          <w:rFonts w:ascii="Arial" w:hAnsi="Arial" w:cs="Arial"/>
          <w:sz w:val="22"/>
          <w:szCs w:val="22"/>
        </w:rPr>
        <w:t>Reduced reliance on intensive observation procedures may also support continuity of care and lessen pressure associated with staffing shortages. However, wider evidence suggests that efficiency gains do not always translate directly into improved quality of care (Nuffield Trust, 2021). Time released through digital monitoring may instead be absorbed by administrative demands or organisational pressures rather than improving patient-facing care. In addition, remote monitoring may strengthen professional decision-making by providing continuous access to patient information and supporting workflow management within inpatient settings (Lewis et al., 2024).</w:t>
      </w:r>
    </w:p>
    <w:p w14:paraId="0D9785EB" w14:textId="77777777" w:rsidR="00B125B7" w:rsidRPr="00B125B7" w:rsidRDefault="00B125B7" w:rsidP="00B125B7">
      <w:pPr>
        <w:spacing w:line="360" w:lineRule="auto"/>
        <w:jc w:val="both"/>
        <w:rPr>
          <w:rFonts w:ascii="Arial" w:hAnsi="Arial" w:cs="Arial"/>
          <w:sz w:val="22"/>
          <w:szCs w:val="22"/>
        </w:rPr>
      </w:pPr>
      <w:r w:rsidRPr="00B125B7">
        <w:rPr>
          <w:rFonts w:ascii="Arial" w:hAnsi="Arial" w:cs="Arial"/>
          <w:sz w:val="22"/>
          <w:szCs w:val="22"/>
        </w:rPr>
        <w:t>Therefore, the effectiveness of Oxevision should be evaluated not only by reduced workload but by whether released capacity enhances professional practice, supports meaningful patient engagement and contributes to improved patient outcomes (The King’s Fund, 2022).</w:t>
      </w:r>
    </w:p>
    <w:p w14:paraId="374E2F02" w14:textId="77777777" w:rsidR="00CE6410" w:rsidRPr="005B5A7D" w:rsidRDefault="00CE6410" w:rsidP="00CE6410">
      <w:pPr>
        <w:spacing w:line="360" w:lineRule="auto"/>
        <w:jc w:val="both"/>
        <w:rPr>
          <w:rFonts w:ascii="Arial" w:hAnsi="Arial" w:cs="Arial"/>
          <w:b/>
          <w:bCs/>
        </w:rPr>
      </w:pPr>
    </w:p>
    <w:p w14:paraId="4D6E1F1E" w14:textId="77777777" w:rsidR="00CE6410" w:rsidRDefault="00CE6410" w:rsidP="00CE6410">
      <w:pPr>
        <w:spacing w:line="360" w:lineRule="auto"/>
        <w:jc w:val="both"/>
        <w:rPr>
          <w:rFonts w:ascii="Arial" w:hAnsi="Arial" w:cs="Arial"/>
          <w:b/>
          <w:bCs/>
        </w:rPr>
      </w:pPr>
      <w:r w:rsidRPr="005B5A7D">
        <w:rPr>
          <w:rFonts w:ascii="Arial" w:hAnsi="Arial" w:cs="Arial"/>
          <w:b/>
          <w:bCs/>
        </w:rPr>
        <w:t>2.3 Challenges and Critical Evaluation</w:t>
      </w:r>
    </w:p>
    <w:p w14:paraId="14AC8F01" w14:textId="77777777" w:rsidR="00CE6410" w:rsidRPr="009D6B1B" w:rsidRDefault="00CE6410" w:rsidP="00CE6410">
      <w:pPr>
        <w:spacing w:line="360" w:lineRule="auto"/>
        <w:jc w:val="both"/>
        <w:rPr>
          <w:rFonts w:ascii="Arial" w:hAnsi="Arial" w:cs="Arial"/>
          <w:sz w:val="22"/>
          <w:szCs w:val="22"/>
        </w:rPr>
      </w:pPr>
      <w:r w:rsidRPr="009D6B1B">
        <w:rPr>
          <w:rFonts w:ascii="Arial" w:hAnsi="Arial" w:cs="Arial"/>
          <w:sz w:val="22"/>
          <w:szCs w:val="22"/>
        </w:rPr>
        <w:t>Despite potential workforce benefits, digital innovation does not automatically result in improved professional outcomes. Successful implementation depends on staff readiness, organisational culture and the ability of professionals to adapt to changing models of care (Westbrook et al., 2020).</w:t>
      </w:r>
    </w:p>
    <w:p w14:paraId="3AF6C951" w14:textId="77777777" w:rsidR="00CE6410" w:rsidRPr="009D6B1B" w:rsidRDefault="00CE6410" w:rsidP="00CE6410">
      <w:pPr>
        <w:spacing w:line="360" w:lineRule="auto"/>
        <w:jc w:val="both"/>
        <w:rPr>
          <w:rFonts w:ascii="Arial" w:hAnsi="Arial" w:cs="Arial"/>
          <w:sz w:val="22"/>
          <w:szCs w:val="22"/>
        </w:rPr>
      </w:pPr>
      <w:r w:rsidRPr="009D6B1B">
        <w:rPr>
          <w:rFonts w:ascii="Arial" w:hAnsi="Arial" w:cs="Arial"/>
          <w:sz w:val="22"/>
          <w:szCs w:val="22"/>
        </w:rPr>
        <w:lastRenderedPageBreak/>
        <w:t>A key challenge relates to technological dependency. Excessive reliance on automated monitoring may reduce observational skills and limit opportunities for meaningful patient interaction. Within mental health services, therapeutic relationships remain central to recovery and cannot be fully replicated through digital observation systems (Topol, 2019). Although digital tools may support decision-making, over-reliance on technology risks shifting attention away from relational aspects of care that remain essential within mental health practice.</w:t>
      </w:r>
    </w:p>
    <w:p w14:paraId="28960BDB" w14:textId="77777777" w:rsidR="00CE6410" w:rsidRPr="009D6B1B" w:rsidRDefault="00CE6410" w:rsidP="00CE6410">
      <w:pPr>
        <w:spacing w:line="360" w:lineRule="auto"/>
        <w:jc w:val="both"/>
        <w:rPr>
          <w:rFonts w:ascii="Arial" w:hAnsi="Arial" w:cs="Arial"/>
          <w:sz w:val="22"/>
          <w:szCs w:val="22"/>
        </w:rPr>
      </w:pPr>
      <w:r w:rsidRPr="009D6B1B">
        <w:rPr>
          <w:rFonts w:ascii="Arial" w:hAnsi="Arial" w:cs="Arial"/>
          <w:sz w:val="22"/>
          <w:szCs w:val="22"/>
        </w:rPr>
        <w:t>Digital transformation also increases expectations for workforce development. Healthcare professionals require competencies beyond clinical expertise, including digital literacy, data interpretation and confidence in technology-supported environments. The NHS identifies workforce digital capability as essential to sustainable transformation (Health Education England, 2023). However, workforce adaptation may be uneven, and differences in digital confidence could influence staff acceptance and implementation outcomes.</w:t>
      </w:r>
    </w:p>
    <w:p w14:paraId="1F51ABD3" w14:textId="2A211329" w:rsidR="00CE6410" w:rsidRPr="009D6B1B" w:rsidRDefault="00CE6410" w:rsidP="00CE6410">
      <w:pPr>
        <w:spacing w:line="360" w:lineRule="auto"/>
        <w:jc w:val="both"/>
        <w:rPr>
          <w:rFonts w:ascii="Arial" w:hAnsi="Arial" w:cs="Arial"/>
          <w:sz w:val="22"/>
          <w:szCs w:val="22"/>
        </w:rPr>
      </w:pPr>
      <w:r w:rsidRPr="009D6B1B">
        <w:rPr>
          <w:rFonts w:ascii="Arial" w:hAnsi="Arial" w:cs="Arial"/>
          <w:sz w:val="22"/>
          <w:szCs w:val="22"/>
        </w:rPr>
        <w:t>Additional concerns relate to governance and accountability. Expanding digital monitoring requires organisations to maintain transparency and responsible handling of patient information in accordance with legal and ethical standards (ICO, 2023). Failure to establish clear governance processes may weaken professional trust and create uncertainty regarding accountability in technology-supported care.</w:t>
      </w:r>
      <w:r w:rsidR="004F443B" w:rsidRPr="004F443B">
        <w:t xml:space="preserve"> </w:t>
      </w:r>
      <w:r w:rsidR="004F443B" w:rsidRPr="004F443B">
        <w:rPr>
          <w:rFonts w:ascii="Arial" w:hAnsi="Arial" w:cs="Arial"/>
          <w:sz w:val="22"/>
          <w:szCs w:val="22"/>
        </w:rPr>
        <w:t>Effective implementation therefore depends not only on legal compliance but also on maintaining informed consent, confidentiality and public trust in how patient data are collected, monitored and used.</w:t>
      </w:r>
    </w:p>
    <w:p w14:paraId="1B397A46" w14:textId="77777777" w:rsidR="00CE6410" w:rsidRPr="009D6B1B" w:rsidRDefault="00CE6410" w:rsidP="00CE6410">
      <w:pPr>
        <w:spacing w:line="360" w:lineRule="auto"/>
        <w:jc w:val="both"/>
        <w:rPr>
          <w:rFonts w:ascii="Arial" w:hAnsi="Arial" w:cs="Arial"/>
          <w:sz w:val="22"/>
          <w:szCs w:val="22"/>
        </w:rPr>
      </w:pPr>
      <w:r w:rsidRPr="009D6B1B">
        <w:rPr>
          <w:rFonts w:ascii="Arial" w:hAnsi="Arial" w:cs="Arial"/>
          <w:sz w:val="22"/>
          <w:szCs w:val="22"/>
        </w:rPr>
        <w:t>Therefore, workforce efficiency should not be viewed as evidence of successful transformation alone. Long-term value depends on balancing innovation with professional judgement, workforce support and person-centred care.</w:t>
      </w:r>
    </w:p>
    <w:p w14:paraId="071480E3" w14:textId="77777777" w:rsidR="00CE6410" w:rsidRPr="005B5A7D" w:rsidRDefault="00CE6410" w:rsidP="00CE6410">
      <w:pPr>
        <w:spacing w:line="360" w:lineRule="auto"/>
        <w:jc w:val="both"/>
        <w:rPr>
          <w:rFonts w:ascii="Arial" w:hAnsi="Arial" w:cs="Arial"/>
          <w:b/>
          <w:bCs/>
        </w:rPr>
      </w:pPr>
    </w:p>
    <w:p w14:paraId="38A13372" w14:textId="32B40346" w:rsidR="00CE6410" w:rsidRPr="005B5A7D" w:rsidRDefault="00CE6410" w:rsidP="00CE6410">
      <w:pPr>
        <w:spacing w:line="360" w:lineRule="auto"/>
        <w:jc w:val="both"/>
        <w:rPr>
          <w:rFonts w:ascii="Arial" w:hAnsi="Arial" w:cs="Arial"/>
          <w:b/>
          <w:bCs/>
        </w:rPr>
      </w:pPr>
      <w:r w:rsidRPr="005B5A7D">
        <w:rPr>
          <w:rFonts w:ascii="Arial" w:hAnsi="Arial" w:cs="Arial"/>
          <w:b/>
          <w:bCs/>
        </w:rPr>
        <w:t>3.</w:t>
      </w:r>
      <w:r w:rsidR="00A73915">
        <w:rPr>
          <w:rFonts w:ascii="Arial" w:hAnsi="Arial" w:cs="Arial"/>
          <w:b/>
          <w:bCs/>
        </w:rPr>
        <w:t xml:space="preserve"> </w:t>
      </w:r>
      <w:r w:rsidRPr="005B5A7D">
        <w:rPr>
          <w:rFonts w:ascii="Arial" w:hAnsi="Arial" w:cs="Arial"/>
          <w:b/>
          <w:bCs/>
        </w:rPr>
        <w:t>Patient / Service User</w:t>
      </w:r>
    </w:p>
    <w:p w14:paraId="1B3F71FC" w14:textId="77777777" w:rsidR="00CE6410" w:rsidRDefault="00CE6410" w:rsidP="00CE6410">
      <w:pPr>
        <w:spacing w:line="360" w:lineRule="auto"/>
        <w:jc w:val="both"/>
        <w:rPr>
          <w:rFonts w:ascii="Arial" w:hAnsi="Arial" w:cs="Arial"/>
          <w:b/>
          <w:bCs/>
        </w:rPr>
      </w:pPr>
      <w:r w:rsidRPr="005B5A7D">
        <w:rPr>
          <w:rFonts w:ascii="Arial" w:hAnsi="Arial" w:cs="Arial"/>
          <w:b/>
          <w:bCs/>
        </w:rPr>
        <w:t>3.1 Changes to Patient and Service User Experience</w:t>
      </w:r>
    </w:p>
    <w:p w14:paraId="6C0494A8" w14:textId="77777777" w:rsidR="00CE6410" w:rsidRPr="00DA7272" w:rsidRDefault="00CE6410" w:rsidP="00CE6410">
      <w:pPr>
        <w:spacing w:line="360" w:lineRule="auto"/>
        <w:jc w:val="both"/>
        <w:rPr>
          <w:rFonts w:ascii="Arial" w:hAnsi="Arial" w:cs="Arial"/>
          <w:sz w:val="22"/>
          <w:szCs w:val="22"/>
        </w:rPr>
      </w:pPr>
      <w:r w:rsidRPr="00DA7272">
        <w:rPr>
          <w:rFonts w:ascii="Arial" w:hAnsi="Arial" w:cs="Arial"/>
          <w:sz w:val="22"/>
          <w:szCs w:val="22"/>
        </w:rPr>
        <w:t>Digital innovation has increasingly influenced expectations surrounding health and social care delivery, with greater emphasis placed on personalised, accessible and patient-centred services. Within mental health inpatient care, maintaining patient safety while preserving dignity and autonomy remains a continuing challenge. Traditional observation approaches often involve repeated staff presence and scheduled checks, which may affect comfort, rest and perceptions of independence among service users (National Institute for Health and Care Excellence, 2022).</w:t>
      </w:r>
    </w:p>
    <w:p w14:paraId="06C7CF25" w14:textId="77777777" w:rsidR="00CE6410" w:rsidRPr="00DA7272" w:rsidRDefault="00CE6410" w:rsidP="00CE6410">
      <w:pPr>
        <w:spacing w:line="360" w:lineRule="auto"/>
        <w:jc w:val="both"/>
        <w:rPr>
          <w:rFonts w:ascii="Arial" w:hAnsi="Arial" w:cs="Arial"/>
          <w:sz w:val="22"/>
          <w:szCs w:val="22"/>
        </w:rPr>
      </w:pPr>
      <w:r w:rsidRPr="00DA7272">
        <w:rPr>
          <w:rFonts w:ascii="Arial" w:hAnsi="Arial" w:cs="Arial"/>
          <w:sz w:val="22"/>
          <w:szCs w:val="22"/>
        </w:rPr>
        <w:lastRenderedPageBreak/>
        <w:t>The development of remote monitoring technologies reflects wider changes in healthcare delivery, where digital systems are increasingly used to support more responsive and individualised approaches to care (World Health Organization, 2021). National policy frameworks emphasise that digital transformation should improve patient experience alongside service efficiency (NHS</w:t>
      </w:r>
      <w:r>
        <w:rPr>
          <w:rFonts w:ascii="Arial" w:hAnsi="Arial" w:cs="Arial"/>
          <w:sz w:val="22"/>
          <w:szCs w:val="22"/>
        </w:rPr>
        <w:t xml:space="preserve"> England</w:t>
      </w:r>
      <w:r w:rsidRPr="00DA7272">
        <w:rPr>
          <w:rFonts w:ascii="Arial" w:hAnsi="Arial" w:cs="Arial"/>
          <w:sz w:val="22"/>
          <w:szCs w:val="22"/>
        </w:rPr>
        <w:t>, 2021). However, improvements in service delivery do not necessarily translate into improved patient experience, particularly where digital systems influence perceptions of privacy and control.</w:t>
      </w:r>
    </w:p>
    <w:p w14:paraId="3A627750" w14:textId="0AA6CF40" w:rsidR="00CE6410" w:rsidRPr="00DA7272" w:rsidRDefault="00CE6410" w:rsidP="00CE6410">
      <w:pPr>
        <w:spacing w:line="360" w:lineRule="auto"/>
        <w:jc w:val="both"/>
        <w:rPr>
          <w:rFonts w:ascii="Arial" w:hAnsi="Arial" w:cs="Arial"/>
          <w:sz w:val="22"/>
          <w:szCs w:val="22"/>
        </w:rPr>
      </w:pPr>
      <w:r w:rsidRPr="00DA7272">
        <w:rPr>
          <w:rFonts w:ascii="Arial" w:hAnsi="Arial" w:cs="Arial"/>
          <w:sz w:val="22"/>
          <w:szCs w:val="22"/>
        </w:rPr>
        <w:t xml:space="preserve">For service users, digital monitoring may alter how care is experienced by reducing disruption associated with observation routines and enabling more continuous approaches to monitoring. However, these developments also increase expectations for transparent communication, informed participation and clarity regarding how patient information is collected and used (Care Quality Commission, 2023). </w:t>
      </w:r>
    </w:p>
    <w:p w14:paraId="6E880CBB" w14:textId="77777777" w:rsidR="00CE6410" w:rsidRPr="00DA7272" w:rsidRDefault="00CE6410" w:rsidP="00CE6410">
      <w:pPr>
        <w:spacing w:line="360" w:lineRule="auto"/>
        <w:jc w:val="both"/>
        <w:rPr>
          <w:rFonts w:ascii="Arial" w:hAnsi="Arial" w:cs="Arial"/>
          <w:sz w:val="22"/>
          <w:szCs w:val="22"/>
        </w:rPr>
      </w:pPr>
      <w:r w:rsidRPr="00DA7272">
        <w:rPr>
          <w:rFonts w:ascii="Arial" w:hAnsi="Arial" w:cs="Arial"/>
          <w:sz w:val="22"/>
          <w:szCs w:val="22"/>
        </w:rPr>
        <w:t>Consequently, evaluating patient outcomes requires consideration beyond clinical effectiveness alone. Patient experience, perceptions of safety, trust in technology and the extent to which innovation supports dignity and autonomy remain central to assessing the wider impact of digital transformation within contemporary health and social care practice.</w:t>
      </w:r>
    </w:p>
    <w:p w14:paraId="745D4583" w14:textId="77777777" w:rsidR="00CE6410" w:rsidRPr="005B5A7D" w:rsidRDefault="00CE6410" w:rsidP="00CE6410">
      <w:pPr>
        <w:spacing w:line="360" w:lineRule="auto"/>
        <w:jc w:val="both"/>
        <w:rPr>
          <w:rFonts w:ascii="Arial" w:hAnsi="Arial" w:cs="Arial"/>
          <w:b/>
          <w:bCs/>
        </w:rPr>
      </w:pPr>
    </w:p>
    <w:p w14:paraId="39409BDD" w14:textId="77777777" w:rsidR="00CE6410" w:rsidRDefault="00CE6410" w:rsidP="00CE6410">
      <w:pPr>
        <w:spacing w:line="360" w:lineRule="auto"/>
        <w:jc w:val="both"/>
        <w:rPr>
          <w:rFonts w:ascii="Arial" w:hAnsi="Arial" w:cs="Arial"/>
          <w:b/>
          <w:bCs/>
        </w:rPr>
      </w:pPr>
      <w:r w:rsidRPr="005B5A7D">
        <w:rPr>
          <w:rFonts w:ascii="Arial" w:hAnsi="Arial" w:cs="Arial"/>
          <w:b/>
          <w:bCs/>
        </w:rPr>
        <w:t>3.2 Positive Impacts on Patient and Service User Outcomes</w:t>
      </w:r>
    </w:p>
    <w:p w14:paraId="7EA84F10" w14:textId="77777777" w:rsidR="00CE6410" w:rsidRPr="00C1003C" w:rsidRDefault="00CE6410" w:rsidP="00CE6410">
      <w:pPr>
        <w:spacing w:line="360" w:lineRule="auto"/>
        <w:jc w:val="both"/>
        <w:rPr>
          <w:rFonts w:ascii="Arial" w:hAnsi="Arial" w:cs="Arial"/>
          <w:sz w:val="22"/>
          <w:szCs w:val="22"/>
        </w:rPr>
      </w:pPr>
      <w:r w:rsidRPr="00C1003C">
        <w:rPr>
          <w:rFonts w:ascii="Arial" w:hAnsi="Arial" w:cs="Arial"/>
          <w:sz w:val="22"/>
          <w:szCs w:val="22"/>
        </w:rPr>
        <w:t>A central aim of digital innovation within health and social care is to improve patient outcomes while supporting more responsive and person-centred care. Within mental health inpatient settings, remote monitoring technologies have been introduced to enhance patient safety while reducing disruption associated with traditional observation practices.</w:t>
      </w:r>
    </w:p>
    <w:p w14:paraId="19EE1A97" w14:textId="533825E9" w:rsidR="00CE6410" w:rsidRPr="00C1003C" w:rsidRDefault="00CE6410" w:rsidP="00CE6410">
      <w:pPr>
        <w:spacing w:line="360" w:lineRule="auto"/>
        <w:jc w:val="both"/>
        <w:rPr>
          <w:rFonts w:ascii="Arial" w:hAnsi="Arial" w:cs="Arial"/>
          <w:sz w:val="22"/>
          <w:szCs w:val="22"/>
        </w:rPr>
      </w:pPr>
      <w:r w:rsidRPr="00C1003C">
        <w:rPr>
          <w:rFonts w:ascii="Arial" w:hAnsi="Arial" w:cs="Arial"/>
          <w:sz w:val="22"/>
          <w:szCs w:val="22"/>
        </w:rPr>
        <w:t xml:space="preserve">Evidence suggests that digital monitoring may contribute to improved safety outcomes. Evaluation of Oxevision within NHS mental health services reported reductions in incidents including self-harm in acute settings and falls among older adult populations, indicating that technology-supported observation may enable earlier risk identification and timely intervention </w:t>
      </w:r>
      <w:r w:rsidRPr="00D132F7">
        <w:rPr>
          <w:rFonts w:ascii="Arial" w:hAnsi="Arial" w:cs="Arial"/>
        </w:rPr>
        <w:t>(Buckley</w:t>
      </w:r>
      <w:r>
        <w:rPr>
          <w:rFonts w:ascii="Arial" w:hAnsi="Arial" w:cs="Arial"/>
        </w:rPr>
        <w:t xml:space="preserve"> et al., </w:t>
      </w:r>
      <w:r w:rsidRPr="00D132F7">
        <w:rPr>
          <w:rFonts w:ascii="Arial" w:hAnsi="Arial" w:cs="Arial"/>
        </w:rPr>
        <w:t>2024)</w:t>
      </w:r>
      <w:r w:rsidRPr="00C1003C">
        <w:rPr>
          <w:rFonts w:ascii="Arial" w:hAnsi="Arial" w:cs="Arial"/>
          <w:sz w:val="22"/>
          <w:szCs w:val="22"/>
        </w:rPr>
        <w:t>. However, improvements in measurable safety indicators should be interpreted cautiously, as reductions in incidents do not necessarily reflect how service users experience care.</w:t>
      </w:r>
      <w:r w:rsidR="00831B7A" w:rsidRPr="00831B7A">
        <w:t xml:space="preserve"> </w:t>
      </w:r>
      <w:r w:rsidR="00831B7A" w:rsidRPr="00831B7A">
        <w:rPr>
          <w:rFonts w:ascii="Arial" w:hAnsi="Arial" w:cs="Arial"/>
          <w:sz w:val="22"/>
          <w:szCs w:val="22"/>
        </w:rPr>
        <w:t>Furthermore, long-term evidence regarding patient satisfaction and therapeutic outcomes remains limited, suggesting continued evaluation is necessary before improvements can be interpreted as sustained improvements in care quality.</w:t>
      </w:r>
    </w:p>
    <w:p w14:paraId="5E7EDD68" w14:textId="7EE0A789" w:rsidR="00CE6410" w:rsidRPr="00C1003C" w:rsidRDefault="00CE6410" w:rsidP="00CE6410">
      <w:pPr>
        <w:spacing w:line="360" w:lineRule="auto"/>
        <w:jc w:val="both"/>
        <w:rPr>
          <w:rFonts w:ascii="Arial" w:hAnsi="Arial" w:cs="Arial"/>
          <w:sz w:val="22"/>
          <w:szCs w:val="22"/>
        </w:rPr>
      </w:pPr>
      <w:r w:rsidRPr="00C1003C">
        <w:rPr>
          <w:rFonts w:ascii="Arial" w:hAnsi="Arial" w:cs="Arial"/>
          <w:sz w:val="22"/>
          <w:szCs w:val="22"/>
        </w:rPr>
        <w:t xml:space="preserve">Patient experience may also improve through reduced intrusion and fewer interruptions during rest periods. Continuous monitoring enables staff to access information without repeated room </w:t>
      </w:r>
      <w:r w:rsidRPr="00C1003C">
        <w:rPr>
          <w:rFonts w:ascii="Arial" w:hAnsi="Arial" w:cs="Arial"/>
          <w:sz w:val="22"/>
          <w:szCs w:val="22"/>
        </w:rPr>
        <w:lastRenderedPageBreak/>
        <w:t xml:space="preserve">entry, which may support sleep quality, dignity and privacy during admission (Manabe et al., 2000). In addition, continuous observation may reduce anxiety associated with delayed staff response and contribute to perceptions of safer and more coordinated care (Wachter, 2016). </w:t>
      </w:r>
    </w:p>
    <w:p w14:paraId="6EED6CEF" w14:textId="3EEE6FEB" w:rsidR="00CE6410" w:rsidRPr="00A73915" w:rsidRDefault="00CE6410" w:rsidP="00CE6410">
      <w:pPr>
        <w:spacing w:line="360" w:lineRule="auto"/>
        <w:jc w:val="both"/>
        <w:rPr>
          <w:rFonts w:ascii="Arial" w:hAnsi="Arial" w:cs="Arial"/>
          <w:sz w:val="22"/>
          <w:szCs w:val="22"/>
        </w:rPr>
      </w:pPr>
      <w:r w:rsidRPr="00C1003C">
        <w:rPr>
          <w:rFonts w:ascii="Arial" w:hAnsi="Arial" w:cs="Arial"/>
          <w:sz w:val="22"/>
          <w:szCs w:val="22"/>
        </w:rPr>
        <w:t>Nevertheless, positive outcomes should be interpreted cautiously. Reduced disruption and fewer reported incidents should not automatically be interpreted as improved patient experience, as perceptions of dignity, autonomy and therapeutic engagement remain equally important indicators of care quality.</w:t>
      </w:r>
    </w:p>
    <w:p w14:paraId="257901B7" w14:textId="77777777" w:rsidR="00CE6410" w:rsidRPr="005B5A7D" w:rsidRDefault="00CE6410" w:rsidP="00CE6410">
      <w:pPr>
        <w:spacing w:line="360" w:lineRule="auto"/>
        <w:jc w:val="both"/>
        <w:rPr>
          <w:rFonts w:ascii="Arial" w:hAnsi="Arial" w:cs="Arial"/>
          <w:b/>
          <w:bCs/>
        </w:rPr>
      </w:pPr>
      <w:r w:rsidRPr="005B5A7D">
        <w:rPr>
          <w:rFonts w:ascii="Arial" w:hAnsi="Arial" w:cs="Arial"/>
          <w:b/>
          <w:bCs/>
        </w:rPr>
        <w:t>3.3 Challenges and Critical Evaluation</w:t>
      </w:r>
    </w:p>
    <w:p w14:paraId="2E438ABF" w14:textId="77777777" w:rsidR="00CE6410" w:rsidRPr="004C7C50" w:rsidRDefault="00CE6410" w:rsidP="00CE6410">
      <w:pPr>
        <w:spacing w:line="360" w:lineRule="auto"/>
        <w:jc w:val="both"/>
        <w:rPr>
          <w:rFonts w:ascii="Arial" w:hAnsi="Arial" w:cs="Arial"/>
        </w:rPr>
      </w:pPr>
      <w:r w:rsidRPr="004C7C50">
        <w:rPr>
          <w:rFonts w:ascii="Arial" w:hAnsi="Arial" w:cs="Arial"/>
        </w:rPr>
        <w:t>Despite potential benefits, patient outcomes should not be evaluated solely through improvements in safety and efficiency. Digital innovation introduces ethical concerns that influence how care is experienced and whether monitoring technologies are viewed as acceptable (Lupton, 2018).</w:t>
      </w:r>
    </w:p>
    <w:p w14:paraId="702E7CE1" w14:textId="1A7F6715" w:rsidR="00CE6410" w:rsidRPr="004C7C50" w:rsidRDefault="00CE6410" w:rsidP="00A73915">
      <w:pPr>
        <w:spacing w:line="360" w:lineRule="auto"/>
        <w:rPr>
          <w:rFonts w:ascii="Arial" w:hAnsi="Arial" w:cs="Arial"/>
        </w:rPr>
      </w:pPr>
      <w:r w:rsidRPr="004C7C50">
        <w:rPr>
          <w:rFonts w:ascii="Arial" w:hAnsi="Arial" w:cs="Arial"/>
        </w:rPr>
        <w:t>A major concern relates to privacy and autonomy. Remote monitoring involves continuous observation, which may create perceptions of surveillance and reduced personal space. Within mental health settings, where trust and therapeutic relationships remain central, patients may view monitoring systems as intrusive if implementation lacks transparency and involvement in decision-making (Rothstein, 2017).</w:t>
      </w:r>
      <w:r w:rsidR="00A73915">
        <w:rPr>
          <w:rFonts w:ascii="Arial" w:hAnsi="Arial" w:cs="Arial"/>
        </w:rPr>
        <w:t xml:space="preserve"> </w:t>
      </w:r>
      <w:r w:rsidRPr="004C7C50">
        <w:rPr>
          <w:rFonts w:ascii="Arial" w:hAnsi="Arial" w:cs="Arial"/>
        </w:rPr>
        <w:t>Qualitative evidence from remote monitoring within forensic psychiatric environments also suggests that patient acceptance may vary according to perceptions of privacy, communication and trust (Dewa et al., 2023). Consequently, improvements in monitoring capability should not automatically be interpreted as improvements in perceived quality of care.</w:t>
      </w:r>
    </w:p>
    <w:p w14:paraId="4279A61F" w14:textId="77777777" w:rsidR="00CE6410" w:rsidRPr="004C7C50" w:rsidRDefault="00CE6410" w:rsidP="00CE6410">
      <w:pPr>
        <w:spacing w:line="360" w:lineRule="auto"/>
        <w:jc w:val="both"/>
        <w:rPr>
          <w:rFonts w:ascii="Arial" w:hAnsi="Arial" w:cs="Arial"/>
        </w:rPr>
      </w:pPr>
      <w:r w:rsidRPr="004C7C50">
        <w:rPr>
          <w:rFonts w:ascii="Arial" w:hAnsi="Arial" w:cs="Arial"/>
        </w:rPr>
        <w:t>Consent and patient understanding are also important considerations. Acceptance of digital technologies may vary according to personal values, previous experiences and levels of digital confidence. Research suggests implementation is more effective when service users understand how technologies operate and participate in decisions affecting their care (Greenhalgh et al., 2017). However, obtaining meaningful consent within mental health settings may be complex where patients experience acute distress, fluctuating capacity or limited understanding of digital systems. These expectations align with wider requirements for transparency and responsible handling of patient information within digital healthcare systems (ICO, 2023).</w:t>
      </w:r>
    </w:p>
    <w:p w14:paraId="4FE6B9C5" w14:textId="77777777" w:rsidR="00CE6410" w:rsidRPr="004C7C50" w:rsidRDefault="00CE6410" w:rsidP="00CE6410">
      <w:pPr>
        <w:spacing w:line="360" w:lineRule="auto"/>
        <w:jc w:val="both"/>
        <w:rPr>
          <w:rFonts w:ascii="Arial" w:hAnsi="Arial" w:cs="Arial"/>
        </w:rPr>
      </w:pPr>
      <w:r w:rsidRPr="004C7C50">
        <w:rPr>
          <w:rFonts w:ascii="Arial" w:hAnsi="Arial" w:cs="Arial"/>
        </w:rPr>
        <w:lastRenderedPageBreak/>
        <w:t>Additionally, digital innovation may not benefit all service users equally, as differences in digital literacy, communication needs and health status may contribute to inequalities in care (World Health Organization, 2021). Digital transformation therefore risks reinforcing existing inequalities if implementation does not account for diverse patient needs and experiences.</w:t>
      </w:r>
    </w:p>
    <w:p w14:paraId="6171917B" w14:textId="77777777" w:rsidR="00CE6410" w:rsidRPr="004C7C50" w:rsidRDefault="00CE6410" w:rsidP="00CE6410">
      <w:pPr>
        <w:spacing w:line="360" w:lineRule="auto"/>
        <w:jc w:val="both"/>
        <w:rPr>
          <w:rFonts w:ascii="Arial" w:hAnsi="Arial" w:cs="Arial"/>
        </w:rPr>
      </w:pPr>
      <w:r w:rsidRPr="004C7C50">
        <w:rPr>
          <w:rFonts w:ascii="Arial" w:hAnsi="Arial" w:cs="Arial"/>
        </w:rPr>
        <w:t>Therefore, reductions in adverse events should not automatically be interpreted as improved patient experience. Long-term success depends not only on maintaining trust, dignity and person-centred care but also on ensuring that digital innovation remains responsive to individual needs and supports meaningful patient involvement.</w:t>
      </w:r>
    </w:p>
    <w:p w14:paraId="5CE7107F" w14:textId="77777777" w:rsidR="00CE6410" w:rsidRPr="005B5A7D" w:rsidRDefault="00CE6410" w:rsidP="00CE6410">
      <w:pPr>
        <w:spacing w:line="360" w:lineRule="auto"/>
        <w:jc w:val="both"/>
        <w:rPr>
          <w:rFonts w:ascii="Arial" w:hAnsi="Arial" w:cs="Arial"/>
        </w:rPr>
      </w:pPr>
    </w:p>
    <w:p w14:paraId="2770B8CC" w14:textId="77777777" w:rsidR="00CE6410" w:rsidRPr="005B5A7D" w:rsidRDefault="00CE6410" w:rsidP="00CE6410">
      <w:pPr>
        <w:spacing w:line="360" w:lineRule="auto"/>
        <w:jc w:val="both"/>
        <w:rPr>
          <w:rFonts w:ascii="Arial" w:hAnsi="Arial" w:cs="Arial"/>
          <w:b/>
          <w:bCs/>
        </w:rPr>
      </w:pPr>
      <w:r>
        <w:rPr>
          <w:rFonts w:ascii="Arial" w:hAnsi="Arial" w:cs="Arial"/>
          <w:b/>
          <w:bCs/>
        </w:rPr>
        <w:t xml:space="preserve">4. </w:t>
      </w:r>
      <w:r w:rsidRPr="005B5A7D">
        <w:rPr>
          <w:rFonts w:ascii="Arial" w:hAnsi="Arial" w:cs="Arial"/>
          <w:b/>
          <w:bCs/>
        </w:rPr>
        <w:t>Conclusion and Recommendations</w:t>
      </w:r>
    </w:p>
    <w:p w14:paraId="2A6E29BA" w14:textId="77777777" w:rsidR="00CE6410" w:rsidRPr="005B5A7D" w:rsidRDefault="00CE6410" w:rsidP="00CE6410">
      <w:pPr>
        <w:spacing w:line="360" w:lineRule="auto"/>
        <w:jc w:val="both"/>
        <w:rPr>
          <w:rFonts w:ascii="Arial" w:hAnsi="Arial" w:cs="Arial"/>
          <w:sz w:val="22"/>
          <w:szCs w:val="22"/>
        </w:rPr>
      </w:pPr>
      <w:r w:rsidRPr="005B5A7D">
        <w:rPr>
          <w:rFonts w:ascii="Arial" w:hAnsi="Arial" w:cs="Arial"/>
          <w:sz w:val="22"/>
          <w:szCs w:val="22"/>
        </w:rPr>
        <w:t>This report critically evaluated Oxevision as a contemporary digital innovation implemented within UK mental health services, focusing on its impact on workforce practice and patient/service user outcomes. Findings suggest that digital monitoring technologies may support more efficient observation processes, improve workforce capacity and contribute to safer care environments with reduced disruption to patients.</w:t>
      </w:r>
    </w:p>
    <w:p w14:paraId="16A3D27A" w14:textId="6B8DA7DF" w:rsidR="001F1B09" w:rsidRDefault="00CE6410" w:rsidP="00CE6410">
      <w:pPr>
        <w:spacing w:line="360" w:lineRule="auto"/>
        <w:jc w:val="both"/>
        <w:rPr>
          <w:rFonts w:ascii="Arial" w:hAnsi="Arial" w:cs="Arial"/>
          <w:sz w:val="22"/>
          <w:szCs w:val="22"/>
        </w:rPr>
      </w:pPr>
      <w:r w:rsidRPr="005B5A7D">
        <w:rPr>
          <w:rFonts w:ascii="Arial" w:hAnsi="Arial" w:cs="Arial"/>
          <w:sz w:val="22"/>
          <w:szCs w:val="22"/>
        </w:rPr>
        <w:t>However, technological innovation alone does not guarantee improved healthcare outcomes. Workforce adaptation, training requirements and concerns relating to privacy, autonomy and trust remain significant challenges. Therefore, successful implementation depends on balancing technological capability with ethical, person-centred practice.</w:t>
      </w:r>
    </w:p>
    <w:p w14:paraId="3B9A87EF" w14:textId="0B882989" w:rsidR="00CE6410" w:rsidRPr="005B5A7D" w:rsidRDefault="001F1B09" w:rsidP="00CE6410">
      <w:pPr>
        <w:spacing w:line="360" w:lineRule="auto"/>
        <w:jc w:val="both"/>
        <w:rPr>
          <w:rFonts w:ascii="Arial" w:hAnsi="Arial" w:cs="Arial"/>
          <w:sz w:val="22"/>
          <w:szCs w:val="22"/>
        </w:rPr>
      </w:pPr>
      <w:r w:rsidRPr="001F1B09">
        <w:rPr>
          <w:rFonts w:ascii="Arial" w:hAnsi="Arial" w:cs="Arial"/>
          <w:sz w:val="22"/>
          <w:szCs w:val="22"/>
        </w:rPr>
        <w:t>Future implementation should prioritise workforce digital competency, stronger governance surrounding patient data and greater patient involvement in implementation decisions. However, implementation may be constrained by workforce shortages, financial pressures and variation in digital confidence across services, suggesting that phased workforce development and continued staff support are necessary to achieve sustainable transformation.</w:t>
      </w:r>
      <w:r>
        <w:rPr>
          <w:rFonts w:ascii="Arial" w:hAnsi="Arial" w:cs="Arial"/>
          <w:sz w:val="22"/>
          <w:szCs w:val="22"/>
        </w:rPr>
        <w:t xml:space="preserve"> </w:t>
      </w:r>
      <w:r w:rsidR="00CE6410" w:rsidRPr="005B5A7D">
        <w:rPr>
          <w:rFonts w:ascii="Arial" w:hAnsi="Arial" w:cs="Arial"/>
          <w:sz w:val="22"/>
          <w:szCs w:val="22"/>
        </w:rPr>
        <w:t xml:space="preserve">Healthcare organisations should adopt hybrid approaches that combine technological monitoring with therapeutic engagement and continue evaluating whether efficiency gains translate into meaningful improvements in patient experience and quality of care. </w:t>
      </w:r>
      <w:r w:rsidR="009E28C1" w:rsidRPr="009E28C1">
        <w:rPr>
          <w:rFonts w:ascii="Arial" w:hAnsi="Arial" w:cs="Arial"/>
          <w:sz w:val="22"/>
          <w:szCs w:val="22"/>
        </w:rPr>
        <w:t>Overall, Oxevision appears most effective when implemented as a complement to, rather than a replacement for, professional judgement and therapeutic mental healthcare practice.</w:t>
      </w:r>
      <w:r w:rsidR="009E28C1" w:rsidRPr="005B5A7D">
        <w:rPr>
          <w:rFonts w:ascii="Arial" w:hAnsi="Arial" w:cs="Arial"/>
          <w:sz w:val="22"/>
          <w:szCs w:val="22"/>
        </w:rPr>
        <w:t xml:space="preserve"> </w:t>
      </w:r>
    </w:p>
    <w:p w14:paraId="7BB6D7BC" w14:textId="77777777" w:rsidR="00065EB0" w:rsidRDefault="00065EB0" w:rsidP="00867E33">
      <w:pPr>
        <w:spacing w:line="360" w:lineRule="auto"/>
        <w:jc w:val="both"/>
        <w:rPr>
          <w:rFonts w:ascii="Arial" w:hAnsi="Arial" w:cs="Arial"/>
          <w:sz w:val="20"/>
          <w:szCs w:val="20"/>
        </w:rPr>
      </w:pPr>
    </w:p>
    <w:p w14:paraId="7C182797" w14:textId="77777777" w:rsidR="009B219A" w:rsidRDefault="009B219A" w:rsidP="00867E33">
      <w:pPr>
        <w:spacing w:line="360" w:lineRule="auto"/>
        <w:jc w:val="both"/>
        <w:rPr>
          <w:rFonts w:ascii="Arial" w:hAnsi="Arial" w:cs="Arial"/>
          <w:sz w:val="20"/>
          <w:szCs w:val="20"/>
        </w:rPr>
      </w:pPr>
    </w:p>
    <w:p w14:paraId="1EAA4274" w14:textId="122F64BB" w:rsidR="00065EB0" w:rsidRPr="006B4086" w:rsidRDefault="00176EAD" w:rsidP="00867E33">
      <w:pPr>
        <w:spacing w:line="360" w:lineRule="auto"/>
        <w:jc w:val="both"/>
        <w:rPr>
          <w:rFonts w:ascii="Arial" w:hAnsi="Arial" w:cs="Arial"/>
          <w:b/>
          <w:bCs/>
        </w:rPr>
      </w:pPr>
      <w:r w:rsidRPr="006B4086">
        <w:rPr>
          <w:rFonts w:ascii="Arial" w:hAnsi="Arial" w:cs="Arial"/>
          <w:b/>
          <w:bCs/>
        </w:rPr>
        <w:lastRenderedPageBreak/>
        <w:t xml:space="preserve">Reference </w:t>
      </w:r>
      <w:r w:rsidR="0082048E" w:rsidRPr="006B4086">
        <w:rPr>
          <w:rFonts w:ascii="Arial" w:hAnsi="Arial" w:cs="Arial"/>
          <w:b/>
          <w:bCs/>
        </w:rPr>
        <w:t>list</w:t>
      </w:r>
    </w:p>
    <w:p w14:paraId="4469057B" w14:textId="77777777"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Buckley, C., Malcolm, R. and Hanlon, P. (2024) ‘Economic impact of a vision-based patient monitoring system across five NHS mental health trusts’, PLOS Digital Health, 3(9), e0000559. Available at: </w:t>
      </w:r>
      <w:hyperlink r:id="rId7" w:history="1">
        <w:r w:rsidRPr="00D12D63">
          <w:rPr>
            <w:rStyle w:val="Hyperlink"/>
            <w:rFonts w:ascii="Arial" w:hAnsi="Arial" w:cs="Arial"/>
            <w:sz w:val="20"/>
            <w:szCs w:val="20"/>
          </w:rPr>
          <w:t>https://doi.org/10.1371/journal.pdig.0000559</w:t>
        </w:r>
      </w:hyperlink>
      <w:r w:rsidRPr="00D12D63">
        <w:rPr>
          <w:rFonts w:ascii="Arial" w:hAnsi="Arial" w:cs="Arial"/>
          <w:sz w:val="20"/>
          <w:szCs w:val="20"/>
        </w:rPr>
        <w:t>.</w:t>
      </w:r>
    </w:p>
    <w:p w14:paraId="0C0417A7" w14:textId="3582E055"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Care Quality Commission (2023) Regulation and digital care. Available at: </w:t>
      </w:r>
      <w:hyperlink r:id="rId8" w:history="1">
        <w:r w:rsidRPr="00D12D63">
          <w:rPr>
            <w:rStyle w:val="Hyperlink"/>
            <w:rFonts w:ascii="Arial" w:hAnsi="Arial" w:cs="Arial"/>
            <w:sz w:val="20"/>
            <w:szCs w:val="20"/>
          </w:rPr>
          <w:t>https://www.cqc.org.uk</w:t>
        </w:r>
      </w:hyperlink>
      <w:r w:rsidRPr="00D12D63">
        <w:rPr>
          <w:rFonts w:ascii="Arial" w:hAnsi="Arial" w:cs="Arial"/>
          <w:sz w:val="20"/>
          <w:szCs w:val="20"/>
        </w:rPr>
        <w:t xml:space="preserve"> (Accessed: </w:t>
      </w:r>
      <w:r w:rsidR="006B4086">
        <w:rPr>
          <w:rFonts w:ascii="Arial" w:hAnsi="Arial" w:cs="Arial"/>
          <w:sz w:val="20"/>
          <w:szCs w:val="20"/>
        </w:rPr>
        <w:t>18</w:t>
      </w:r>
      <w:r w:rsidR="00044074">
        <w:rPr>
          <w:rFonts w:ascii="Arial" w:hAnsi="Arial" w:cs="Arial"/>
          <w:sz w:val="20"/>
          <w:szCs w:val="20"/>
        </w:rPr>
        <w:t xml:space="preserve"> 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140C1E96" w14:textId="77777777" w:rsidR="00D12D63" w:rsidRPr="00F1319A" w:rsidRDefault="00D12D63" w:rsidP="00D57347">
      <w:pPr>
        <w:spacing w:line="360" w:lineRule="auto"/>
        <w:jc w:val="both"/>
        <w:rPr>
          <w:rFonts w:ascii="Arial" w:hAnsi="Arial" w:cs="Arial"/>
          <w:sz w:val="20"/>
          <w:szCs w:val="20"/>
        </w:rPr>
      </w:pPr>
      <w:r w:rsidRPr="00F1319A">
        <w:rPr>
          <w:rFonts w:ascii="Arial" w:hAnsi="Arial" w:cs="Arial"/>
          <w:sz w:val="20"/>
          <w:szCs w:val="20"/>
        </w:rPr>
        <w:t>Coulter, A., Roberts, S. and Dixon, A. (2015) Delivering better services for people with long-term conditions: Building the house of care. London: The King’s Fund.</w:t>
      </w:r>
    </w:p>
    <w:p w14:paraId="2FFE2DD2" w14:textId="4CAE6A5B"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Department of Health and Social Care (2022) A plan for digital health and social care. Available at: </w:t>
      </w:r>
      <w:hyperlink r:id="rId9" w:history="1">
        <w:r w:rsidRPr="00D12D63">
          <w:rPr>
            <w:rStyle w:val="Hyperlink"/>
            <w:rFonts w:ascii="Arial" w:hAnsi="Arial" w:cs="Arial"/>
            <w:sz w:val="20"/>
            <w:szCs w:val="20"/>
          </w:rPr>
          <w:t>https://www.gov.uk/government/publications/a-plan-for-digital-health-and-social-care</w:t>
        </w:r>
      </w:hyperlink>
      <w:r w:rsidRPr="00D12D63">
        <w:rPr>
          <w:rFonts w:ascii="Arial" w:hAnsi="Arial" w:cs="Arial"/>
          <w:sz w:val="20"/>
          <w:szCs w:val="20"/>
        </w:rPr>
        <w:t xml:space="preserve"> (Accessed: 1</w:t>
      </w:r>
      <w:r w:rsidR="006B4086">
        <w:rPr>
          <w:rFonts w:ascii="Arial" w:hAnsi="Arial" w:cs="Arial"/>
          <w:sz w:val="20"/>
          <w:szCs w:val="20"/>
        </w:rPr>
        <w:t>5</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45309626" w14:textId="3F77B804"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Department of Health and Social Care (2023) Data saves lives: reshaping health and social care with data. Available at: </w:t>
      </w:r>
      <w:hyperlink r:id="rId10" w:history="1">
        <w:r w:rsidRPr="00D12D63">
          <w:rPr>
            <w:rStyle w:val="Hyperlink"/>
            <w:rFonts w:ascii="Arial" w:hAnsi="Arial" w:cs="Arial"/>
            <w:sz w:val="20"/>
            <w:szCs w:val="20"/>
          </w:rPr>
          <w:t>https://www.gov.uk/government/publications/data-saves-lives-reshaping-health-and-social-care-with-data</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613C113A" w14:textId="05B89CE9" w:rsidR="00662DCD" w:rsidRPr="00662DCD" w:rsidRDefault="00662DCD" w:rsidP="00D57347">
      <w:pPr>
        <w:spacing w:line="360" w:lineRule="auto"/>
        <w:jc w:val="both"/>
        <w:rPr>
          <w:rFonts w:ascii="Arial" w:hAnsi="Arial" w:cs="Arial"/>
          <w:sz w:val="20"/>
          <w:szCs w:val="20"/>
        </w:rPr>
      </w:pPr>
      <w:r w:rsidRPr="00662DCD">
        <w:rPr>
          <w:rFonts w:ascii="Arial" w:hAnsi="Arial" w:cs="Arial"/>
          <w:sz w:val="20"/>
          <w:szCs w:val="20"/>
        </w:rPr>
        <w:t xml:space="preserve">Dewa, L.H., Broyd, J., Hira, R., Dudley, A., Hafferty, J.D., Bates, R. and Aylin, P. (2023) ‘A service evaluation of passive remote monitoring technology for patients in a high-secure forensic psychiatric hospital: a qualitative study’, </w:t>
      </w:r>
      <w:r w:rsidRPr="00662DCD">
        <w:rPr>
          <w:rFonts w:ascii="Arial" w:hAnsi="Arial" w:cs="Arial"/>
          <w:i/>
          <w:iCs/>
          <w:sz w:val="20"/>
          <w:szCs w:val="20"/>
        </w:rPr>
        <w:t>BMC Psychiatry</w:t>
      </w:r>
      <w:r w:rsidRPr="00662DCD">
        <w:rPr>
          <w:rFonts w:ascii="Arial" w:hAnsi="Arial" w:cs="Arial"/>
          <w:sz w:val="20"/>
          <w:szCs w:val="20"/>
        </w:rPr>
        <w:t>, 23, article 946. Available at: https://doi.org/10.1186/s12888-023-05437-w.</w:t>
      </w:r>
    </w:p>
    <w:p w14:paraId="4CFD7566" w14:textId="0617FC70"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Greenhalgh, T., Wherton, J., Papoutsi, C., Lynch, J., Hughes, G., A’Court, C., Hinder, S., Fahy, N., Procter, R. and Shaw, S. (2017) ‘Beyond adoption: a new framework for theorising and evaluating non-adoption, abandonment and challenges to the scale-up, spread and sustainability of health and care technologies’, Journal of Medical Internet Research, 19(11). Available at: </w:t>
      </w:r>
      <w:hyperlink r:id="rId11" w:history="1">
        <w:r w:rsidRPr="00D12D63">
          <w:rPr>
            <w:rStyle w:val="Hyperlink"/>
            <w:rFonts w:ascii="Arial" w:hAnsi="Arial" w:cs="Arial"/>
            <w:sz w:val="20"/>
            <w:szCs w:val="20"/>
          </w:rPr>
          <w:t>https://doi.org/10.2196/jmir.8775</w:t>
        </w:r>
      </w:hyperlink>
      <w:r w:rsidRPr="00D12D63">
        <w:rPr>
          <w:rFonts w:ascii="Arial" w:hAnsi="Arial" w:cs="Arial"/>
          <w:sz w:val="20"/>
          <w:szCs w:val="20"/>
        </w:rPr>
        <w:t>.</w:t>
      </w:r>
    </w:p>
    <w:p w14:paraId="328DA28C" w14:textId="067F4C02"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Health Education England (2023) A digital framework for the healthcare workforce. Available at: </w:t>
      </w:r>
      <w:hyperlink r:id="rId12" w:history="1">
        <w:r w:rsidRPr="00D12D63">
          <w:rPr>
            <w:rStyle w:val="Hyperlink"/>
            <w:rFonts w:ascii="Arial" w:hAnsi="Arial" w:cs="Arial"/>
            <w:sz w:val="20"/>
            <w:szCs w:val="20"/>
          </w:rPr>
          <w:t>https://www.hee.nhs.uk</w:t>
        </w:r>
      </w:hyperlink>
      <w:r w:rsidRPr="00D12D63">
        <w:rPr>
          <w:rFonts w:ascii="Arial" w:hAnsi="Arial" w:cs="Arial"/>
          <w:sz w:val="20"/>
          <w:szCs w:val="20"/>
        </w:rPr>
        <w:t xml:space="preserve"> (Accessed: 1</w:t>
      </w:r>
      <w:r w:rsidR="00044074">
        <w:rPr>
          <w:rFonts w:ascii="Arial" w:hAnsi="Arial" w:cs="Arial"/>
          <w:sz w:val="20"/>
          <w:szCs w:val="20"/>
        </w:rPr>
        <w:t>8</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7EA19C30" w14:textId="48FC6A22"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Health Foundation (2020) The health care workforce in England: make or break? Available at: </w:t>
      </w:r>
      <w:hyperlink r:id="rId13" w:history="1">
        <w:r w:rsidRPr="00D12D63">
          <w:rPr>
            <w:rStyle w:val="Hyperlink"/>
            <w:rFonts w:ascii="Arial" w:hAnsi="Arial" w:cs="Arial"/>
            <w:sz w:val="20"/>
            <w:szCs w:val="20"/>
          </w:rPr>
          <w:t>https://www.health.org.uk</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18F1DAA5" w14:textId="483FAC0D"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Information Commissioner’s Office (2023) Guide to the UK General Data Protection Regulation (UK GDPR). Available at: </w:t>
      </w:r>
      <w:hyperlink r:id="rId14" w:history="1">
        <w:r w:rsidRPr="00D12D63">
          <w:rPr>
            <w:rStyle w:val="Hyperlink"/>
            <w:rFonts w:ascii="Arial" w:hAnsi="Arial" w:cs="Arial"/>
            <w:sz w:val="20"/>
            <w:szCs w:val="20"/>
          </w:rPr>
          <w:t>https://ico.org.uk</w:t>
        </w:r>
      </w:hyperlink>
      <w:r w:rsidRPr="00D12D63">
        <w:rPr>
          <w:rFonts w:ascii="Arial" w:hAnsi="Arial" w:cs="Arial"/>
          <w:sz w:val="20"/>
          <w:szCs w:val="20"/>
        </w:rPr>
        <w:t xml:space="preserve"> (Accessed: 1</w:t>
      </w:r>
      <w:r w:rsidR="00044074">
        <w:rPr>
          <w:rFonts w:ascii="Arial" w:hAnsi="Arial" w:cs="Arial"/>
          <w:sz w:val="20"/>
          <w:szCs w:val="20"/>
        </w:rPr>
        <w:t>8 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357AC2AF" w14:textId="585BC02F" w:rsidR="00D81421" w:rsidRPr="00D81421" w:rsidRDefault="00D81421" w:rsidP="00D57347">
      <w:pPr>
        <w:spacing w:line="360" w:lineRule="auto"/>
        <w:jc w:val="both"/>
        <w:rPr>
          <w:rFonts w:ascii="Arial" w:hAnsi="Arial" w:cs="Arial"/>
          <w:sz w:val="20"/>
          <w:szCs w:val="20"/>
        </w:rPr>
      </w:pPr>
      <w:r w:rsidRPr="00D81421">
        <w:rPr>
          <w:rFonts w:ascii="Arial" w:hAnsi="Arial" w:cs="Arial"/>
          <w:sz w:val="20"/>
          <w:szCs w:val="20"/>
        </w:rPr>
        <w:t xml:space="preserve">Lewis, A., Venugopal, B., Gandhi, V., Gibson, O., Swanton, L., Green, M., Bowen, J. and Polkey, M.I. (2024) ‘Remote vision-based digital patient monitoring of pulse and respiratory rates in acute medical wards’, </w:t>
      </w:r>
      <w:r w:rsidRPr="00D81421">
        <w:rPr>
          <w:rFonts w:ascii="Arial" w:hAnsi="Arial" w:cs="Arial"/>
          <w:i/>
          <w:iCs/>
          <w:sz w:val="20"/>
          <w:szCs w:val="20"/>
        </w:rPr>
        <w:t>Thorax</w:t>
      </w:r>
      <w:r w:rsidRPr="00D81421">
        <w:rPr>
          <w:rFonts w:ascii="Arial" w:hAnsi="Arial" w:cs="Arial"/>
          <w:sz w:val="20"/>
          <w:szCs w:val="20"/>
        </w:rPr>
        <w:t>, 79, pp. 363–365. Available at</w:t>
      </w:r>
      <w:r w:rsidR="009F06D1">
        <w:rPr>
          <w:rFonts w:ascii="Arial" w:hAnsi="Arial" w:cs="Arial"/>
          <w:sz w:val="20"/>
          <w:szCs w:val="20"/>
        </w:rPr>
        <w:t xml:space="preserve">: </w:t>
      </w:r>
      <w:hyperlink r:id="rId15" w:tgtFrame="_new" w:history="1">
        <w:r w:rsidR="009F06D1" w:rsidRPr="009F06D1">
          <w:rPr>
            <w:rStyle w:val="Hyperlink"/>
            <w:rFonts w:ascii="Arial" w:hAnsi="Arial" w:cs="Arial"/>
            <w:sz w:val="20"/>
            <w:szCs w:val="20"/>
          </w:rPr>
          <w:t>https://doi.org/10.1136/thorax-2023-220968</w:t>
        </w:r>
      </w:hyperlink>
      <w:r w:rsidR="009F06D1" w:rsidRPr="00D81421">
        <w:rPr>
          <w:rFonts w:ascii="Arial" w:hAnsi="Arial" w:cs="Arial"/>
          <w:sz w:val="20"/>
          <w:szCs w:val="20"/>
        </w:rPr>
        <w:t xml:space="preserve"> </w:t>
      </w:r>
    </w:p>
    <w:p w14:paraId="52BBFAE2" w14:textId="5DA8F2E2" w:rsidR="00D12D63" w:rsidRPr="00436604" w:rsidRDefault="00D12D63" w:rsidP="00D57347">
      <w:pPr>
        <w:spacing w:line="360" w:lineRule="auto"/>
        <w:jc w:val="both"/>
        <w:rPr>
          <w:rFonts w:ascii="Arial" w:hAnsi="Arial" w:cs="Arial"/>
          <w:sz w:val="20"/>
          <w:szCs w:val="20"/>
        </w:rPr>
      </w:pPr>
      <w:r w:rsidRPr="00436604">
        <w:rPr>
          <w:rFonts w:ascii="Arial" w:hAnsi="Arial" w:cs="Arial"/>
          <w:sz w:val="20"/>
          <w:szCs w:val="20"/>
        </w:rPr>
        <w:t>Lupton, D. (2018) Digital health: critical and cross-disciplinary perspectives. London: Routledge.</w:t>
      </w:r>
    </w:p>
    <w:p w14:paraId="10949196" w14:textId="285E5A24" w:rsidR="00D12D63" w:rsidRDefault="00436604" w:rsidP="00D57347">
      <w:pPr>
        <w:spacing w:line="360" w:lineRule="auto"/>
        <w:jc w:val="both"/>
        <w:rPr>
          <w:rFonts w:ascii="Arial" w:hAnsi="Arial" w:cs="Arial"/>
          <w:sz w:val="20"/>
          <w:szCs w:val="20"/>
        </w:rPr>
      </w:pPr>
      <w:r w:rsidRPr="00436604">
        <w:rPr>
          <w:rFonts w:ascii="Arial" w:hAnsi="Arial" w:cs="Arial"/>
          <w:sz w:val="20"/>
          <w:szCs w:val="20"/>
        </w:rPr>
        <w:lastRenderedPageBreak/>
        <w:t xml:space="preserve">Malcolm, R. et al. (2022) ‘Evaluation of vision-based monitoring systems’, </w:t>
      </w:r>
      <w:r w:rsidRPr="00436604">
        <w:rPr>
          <w:rFonts w:ascii="Arial" w:hAnsi="Arial" w:cs="Arial"/>
          <w:i/>
          <w:iCs/>
          <w:sz w:val="20"/>
          <w:szCs w:val="20"/>
        </w:rPr>
        <w:t>Digital Health</w:t>
      </w:r>
      <w:r w:rsidRPr="00436604">
        <w:rPr>
          <w:rFonts w:ascii="Arial" w:hAnsi="Arial" w:cs="Arial"/>
          <w:sz w:val="20"/>
          <w:szCs w:val="20"/>
        </w:rPr>
        <w:t xml:space="preserve">, 8, pp. 1–12. Available at: </w:t>
      </w:r>
      <w:hyperlink r:id="rId16" w:history="1">
        <w:r w:rsidRPr="0099761B">
          <w:rPr>
            <w:rStyle w:val="Hyperlink"/>
            <w:rFonts w:ascii="Arial" w:hAnsi="Arial" w:cs="Arial"/>
            <w:sz w:val="20"/>
            <w:szCs w:val="20"/>
          </w:rPr>
          <w:t>https://doi.org/10.1177/20552076221126761</w:t>
        </w:r>
      </w:hyperlink>
    </w:p>
    <w:p w14:paraId="161D91AD" w14:textId="4287CFE2" w:rsidR="00436604" w:rsidRPr="00436604" w:rsidRDefault="00436604" w:rsidP="00D57347">
      <w:pPr>
        <w:spacing w:line="360" w:lineRule="auto"/>
        <w:jc w:val="both"/>
        <w:rPr>
          <w:rFonts w:ascii="Arial" w:hAnsi="Arial" w:cs="Arial"/>
          <w:sz w:val="20"/>
          <w:szCs w:val="20"/>
        </w:rPr>
      </w:pPr>
      <w:r w:rsidRPr="00436604">
        <w:rPr>
          <w:rFonts w:ascii="Arial" w:hAnsi="Arial" w:cs="Arial"/>
          <w:sz w:val="20"/>
          <w:szCs w:val="20"/>
        </w:rPr>
        <w:t xml:space="preserve">Manabe, K., Matsui, T., Yamaya, M. and Sasaki, H. (2000) ‘Effects of environmental disruption on sleep quality’, </w:t>
      </w:r>
      <w:r w:rsidRPr="00436604">
        <w:rPr>
          <w:rFonts w:ascii="Arial" w:hAnsi="Arial" w:cs="Arial"/>
          <w:i/>
          <w:iCs/>
          <w:sz w:val="20"/>
          <w:szCs w:val="20"/>
        </w:rPr>
        <w:t>Sleep Medicine</w:t>
      </w:r>
      <w:r w:rsidRPr="00436604">
        <w:rPr>
          <w:rFonts w:ascii="Arial" w:hAnsi="Arial" w:cs="Arial"/>
          <w:sz w:val="20"/>
          <w:szCs w:val="20"/>
        </w:rPr>
        <w:t>, 1(3), pp. 213–219.</w:t>
      </w:r>
    </w:p>
    <w:p w14:paraId="1428F8F2" w14:textId="5538AAED"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National Institute for Health and Care Excellence (2022) Mental health inpatient care guidance. Available at: </w:t>
      </w:r>
      <w:hyperlink r:id="rId17" w:history="1">
        <w:r w:rsidRPr="00D12D63">
          <w:rPr>
            <w:rStyle w:val="Hyperlink"/>
            <w:rFonts w:ascii="Arial" w:hAnsi="Arial" w:cs="Arial"/>
            <w:sz w:val="20"/>
            <w:szCs w:val="20"/>
          </w:rPr>
          <w:t>https://www.nice.org.uk</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02E329FE" w14:textId="4E8039B2"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NHS Confederation (2020) Digital transformation and workforce efficiency. Available at: </w:t>
      </w:r>
      <w:hyperlink r:id="rId18" w:history="1">
        <w:r w:rsidRPr="00D12D63">
          <w:rPr>
            <w:rStyle w:val="Hyperlink"/>
            <w:rFonts w:ascii="Arial" w:hAnsi="Arial" w:cs="Arial"/>
            <w:sz w:val="20"/>
            <w:szCs w:val="20"/>
          </w:rPr>
          <w:t>https://www.nhsconfed.org</w:t>
        </w:r>
      </w:hyperlink>
      <w:r w:rsidRPr="00D12D63">
        <w:rPr>
          <w:rFonts w:ascii="Arial" w:hAnsi="Arial" w:cs="Arial"/>
          <w:sz w:val="20"/>
          <w:szCs w:val="20"/>
        </w:rPr>
        <w:t xml:space="preserve"> (Accessed: 1</w:t>
      </w:r>
      <w:r w:rsidR="00044074">
        <w:rPr>
          <w:rFonts w:ascii="Arial" w:hAnsi="Arial" w:cs="Arial"/>
          <w:sz w:val="20"/>
          <w:szCs w:val="20"/>
        </w:rPr>
        <w:t>8</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5FCEB316" w14:textId="46F8FDAE"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NHS England (2019) Mental health inpatient observation guidance. Available at: </w:t>
      </w:r>
      <w:hyperlink r:id="rId19" w:history="1">
        <w:r w:rsidRPr="00D12D63">
          <w:rPr>
            <w:rStyle w:val="Hyperlink"/>
            <w:rFonts w:ascii="Arial" w:hAnsi="Arial" w:cs="Arial"/>
            <w:sz w:val="20"/>
            <w:szCs w:val="20"/>
          </w:rPr>
          <w:t>https://www.england.nhs.uk</w:t>
        </w:r>
      </w:hyperlink>
      <w:r w:rsidRPr="00D12D63">
        <w:rPr>
          <w:rFonts w:ascii="Arial" w:hAnsi="Arial" w:cs="Arial"/>
          <w:sz w:val="20"/>
          <w:szCs w:val="20"/>
        </w:rPr>
        <w:t xml:space="preserve"> (Accessed: </w:t>
      </w:r>
      <w:r w:rsidR="00662DCD">
        <w:rPr>
          <w:rFonts w:ascii="Arial" w:hAnsi="Arial" w:cs="Arial"/>
          <w:sz w:val="20"/>
          <w:szCs w:val="20"/>
        </w:rPr>
        <w:t>14</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17B94D94" w14:textId="08269572"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NHS England (2021) What good looks like. Available at: </w:t>
      </w:r>
      <w:hyperlink r:id="rId20" w:history="1">
        <w:r w:rsidRPr="00D12D63">
          <w:rPr>
            <w:rStyle w:val="Hyperlink"/>
            <w:rFonts w:ascii="Arial" w:hAnsi="Arial" w:cs="Arial"/>
            <w:sz w:val="20"/>
            <w:szCs w:val="20"/>
          </w:rPr>
          <w:t>https://www.england.nhs.uk/long-read/what-good-looks-like/</w:t>
        </w:r>
      </w:hyperlink>
      <w:r w:rsidRPr="00D12D63">
        <w:rPr>
          <w:rFonts w:ascii="Arial" w:hAnsi="Arial" w:cs="Arial"/>
          <w:sz w:val="20"/>
          <w:szCs w:val="20"/>
        </w:rPr>
        <w:t xml:space="preserve"> (Accessed: 1</w:t>
      </w:r>
      <w:r w:rsidR="00044074">
        <w:rPr>
          <w:rFonts w:ascii="Arial" w:hAnsi="Arial" w:cs="Arial"/>
          <w:sz w:val="20"/>
          <w:szCs w:val="20"/>
        </w:rPr>
        <w:t>8</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3AE1F78A" w14:textId="0609FA18"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NHS England (2022) Data Security and Protection Toolkit. Available at: </w:t>
      </w:r>
      <w:hyperlink r:id="rId21" w:history="1">
        <w:r w:rsidRPr="00D12D63">
          <w:rPr>
            <w:rStyle w:val="Hyperlink"/>
            <w:rFonts w:ascii="Arial" w:hAnsi="Arial" w:cs="Arial"/>
            <w:sz w:val="20"/>
            <w:szCs w:val="20"/>
          </w:rPr>
          <w:t>https://www.dsptoolkit.nhs.uk</w:t>
        </w:r>
      </w:hyperlink>
      <w:r w:rsidRPr="00D12D63">
        <w:rPr>
          <w:rFonts w:ascii="Arial" w:hAnsi="Arial" w:cs="Arial"/>
          <w:sz w:val="20"/>
          <w:szCs w:val="20"/>
        </w:rPr>
        <w:t xml:space="preserve"> (Accessed: 1</w:t>
      </w:r>
      <w:r w:rsidR="00044074">
        <w:rPr>
          <w:rFonts w:ascii="Arial" w:hAnsi="Arial" w:cs="Arial"/>
          <w:sz w:val="20"/>
          <w:szCs w:val="20"/>
        </w:rPr>
        <w:t>8</w:t>
      </w:r>
      <w:r w:rsidRPr="00D12D63">
        <w:rPr>
          <w:rFonts w:ascii="Arial" w:hAnsi="Arial" w:cs="Arial"/>
          <w:sz w:val="20"/>
          <w:szCs w:val="20"/>
        </w:rPr>
        <w:t xml:space="preserve">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09E23BA2" w14:textId="5172F89D"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Nuffield Trust (2021) Digital technology and quality of care. Available at: </w:t>
      </w:r>
      <w:hyperlink r:id="rId22" w:history="1">
        <w:r w:rsidRPr="00D12D63">
          <w:rPr>
            <w:rStyle w:val="Hyperlink"/>
            <w:rFonts w:ascii="Arial" w:hAnsi="Arial" w:cs="Arial"/>
            <w:sz w:val="20"/>
            <w:szCs w:val="20"/>
          </w:rPr>
          <w:t>https://www.nuffieldtrust.org.uk</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41BF6E18" w14:textId="662FBF63" w:rsidR="00D12D63" w:rsidRPr="00D12D63" w:rsidRDefault="00436604" w:rsidP="00D57347">
      <w:pPr>
        <w:spacing w:line="360" w:lineRule="auto"/>
        <w:jc w:val="both"/>
        <w:rPr>
          <w:rFonts w:ascii="Arial" w:hAnsi="Arial" w:cs="Arial"/>
          <w:sz w:val="20"/>
          <w:szCs w:val="20"/>
        </w:rPr>
      </w:pPr>
      <w:r w:rsidRPr="00436604">
        <w:rPr>
          <w:rFonts w:ascii="Arial" w:hAnsi="Arial" w:cs="Arial"/>
          <w:sz w:val="20"/>
          <w:szCs w:val="20"/>
        </w:rPr>
        <w:t xml:space="preserve">Rothstein, M.A. (2017) ‘Ethical issues in digital surveillance and healthcare monitoring’, </w:t>
      </w:r>
      <w:r w:rsidRPr="00436604">
        <w:rPr>
          <w:rFonts w:ascii="Arial" w:hAnsi="Arial" w:cs="Arial"/>
          <w:i/>
          <w:iCs/>
          <w:sz w:val="20"/>
          <w:szCs w:val="20"/>
        </w:rPr>
        <w:t>The Journal of Law, Medicine &amp; Ethics</w:t>
      </w:r>
      <w:r w:rsidRPr="00436604">
        <w:rPr>
          <w:rFonts w:ascii="Arial" w:hAnsi="Arial" w:cs="Arial"/>
          <w:sz w:val="20"/>
          <w:szCs w:val="20"/>
        </w:rPr>
        <w:t>, 45(2), pp. 204–208.</w:t>
      </w:r>
      <w:r w:rsidR="00D12D63" w:rsidRPr="00D12D63">
        <w:rPr>
          <w:rFonts w:ascii="Arial" w:hAnsi="Arial" w:cs="Arial"/>
          <w:sz w:val="20"/>
          <w:szCs w:val="20"/>
        </w:rPr>
        <w:t xml:space="preserve">The King’s Fund (2022) The digital transformation of healthcare. Available at: </w:t>
      </w:r>
      <w:hyperlink r:id="rId23" w:history="1">
        <w:r w:rsidR="00D12D63" w:rsidRPr="00D12D63">
          <w:rPr>
            <w:rStyle w:val="Hyperlink"/>
            <w:rFonts w:ascii="Arial" w:hAnsi="Arial" w:cs="Arial"/>
            <w:sz w:val="20"/>
            <w:szCs w:val="20"/>
          </w:rPr>
          <w:t>https://www.kingsfund.org.uk</w:t>
        </w:r>
      </w:hyperlink>
      <w:r w:rsidR="00D12D63" w:rsidRPr="00D12D63">
        <w:rPr>
          <w:rFonts w:ascii="Arial" w:hAnsi="Arial" w:cs="Arial"/>
          <w:sz w:val="20"/>
          <w:szCs w:val="20"/>
        </w:rPr>
        <w:t xml:space="preserve"> (Accessed: 1</w:t>
      </w:r>
      <w:r w:rsidR="00662DCD">
        <w:rPr>
          <w:rFonts w:ascii="Arial" w:hAnsi="Arial" w:cs="Arial"/>
          <w:sz w:val="20"/>
          <w:szCs w:val="20"/>
        </w:rPr>
        <w:t>8</w:t>
      </w:r>
      <w:r w:rsidR="00D12D63" w:rsidRPr="00D12D63">
        <w:rPr>
          <w:rFonts w:ascii="Arial" w:hAnsi="Arial" w:cs="Arial"/>
          <w:sz w:val="20"/>
          <w:szCs w:val="20"/>
        </w:rPr>
        <w:t xml:space="preserve"> </w:t>
      </w:r>
      <w:r w:rsidR="00044074">
        <w:rPr>
          <w:rFonts w:ascii="Arial" w:hAnsi="Arial" w:cs="Arial"/>
          <w:sz w:val="20"/>
          <w:szCs w:val="20"/>
        </w:rPr>
        <w:t>June</w:t>
      </w:r>
      <w:r w:rsidR="00D12D63" w:rsidRPr="00D12D63">
        <w:rPr>
          <w:rFonts w:ascii="Arial" w:hAnsi="Arial" w:cs="Arial"/>
          <w:sz w:val="20"/>
          <w:szCs w:val="20"/>
        </w:rPr>
        <w:t xml:space="preserve"> 202</w:t>
      </w:r>
      <w:r w:rsidR="00044074">
        <w:rPr>
          <w:rFonts w:ascii="Arial" w:hAnsi="Arial" w:cs="Arial"/>
          <w:sz w:val="20"/>
          <w:szCs w:val="20"/>
        </w:rPr>
        <w:t>6</w:t>
      </w:r>
      <w:r w:rsidR="00D12D63" w:rsidRPr="00D12D63">
        <w:rPr>
          <w:rFonts w:ascii="Arial" w:hAnsi="Arial" w:cs="Arial"/>
          <w:sz w:val="20"/>
          <w:szCs w:val="20"/>
        </w:rPr>
        <w:t>).</w:t>
      </w:r>
    </w:p>
    <w:p w14:paraId="67EF5E97" w14:textId="63EEA6B4"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Topol, E. (2019) The Topol review: preparing the healthcare workforce to deliver the digital future. Available at: </w:t>
      </w:r>
      <w:hyperlink r:id="rId24" w:history="1">
        <w:r w:rsidRPr="00D12D63">
          <w:rPr>
            <w:rStyle w:val="Hyperlink"/>
            <w:rFonts w:ascii="Arial" w:hAnsi="Arial" w:cs="Arial"/>
            <w:sz w:val="20"/>
            <w:szCs w:val="20"/>
          </w:rPr>
          <w:t>https://topol.hee.nhs.uk</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650CB8D2" w14:textId="77777777" w:rsidR="00D12D63" w:rsidRPr="00436604" w:rsidRDefault="00D12D63" w:rsidP="00D57347">
      <w:pPr>
        <w:spacing w:line="360" w:lineRule="auto"/>
        <w:jc w:val="both"/>
        <w:rPr>
          <w:rFonts w:ascii="Arial" w:hAnsi="Arial" w:cs="Arial"/>
          <w:sz w:val="20"/>
          <w:szCs w:val="20"/>
        </w:rPr>
      </w:pPr>
      <w:r w:rsidRPr="00436604">
        <w:rPr>
          <w:rFonts w:ascii="Arial" w:hAnsi="Arial" w:cs="Arial"/>
          <w:sz w:val="20"/>
          <w:szCs w:val="20"/>
        </w:rPr>
        <w:t>Wachter, R.M. (2016) The digital doctor: hope, hype and harm at the dawn of medicine’s computer age. New York: McGraw-Hill.</w:t>
      </w:r>
    </w:p>
    <w:p w14:paraId="76585188" w14:textId="0DC29E29" w:rsidR="00436604" w:rsidRDefault="00436604" w:rsidP="00D57347">
      <w:pPr>
        <w:spacing w:line="360" w:lineRule="auto"/>
        <w:jc w:val="both"/>
        <w:rPr>
          <w:rFonts w:ascii="Arial" w:hAnsi="Arial" w:cs="Arial"/>
          <w:color w:val="FF0000"/>
          <w:sz w:val="20"/>
          <w:szCs w:val="20"/>
        </w:rPr>
      </w:pPr>
      <w:r w:rsidRPr="00436604">
        <w:rPr>
          <w:rFonts w:ascii="Arial" w:hAnsi="Arial" w:cs="Arial"/>
          <w:sz w:val="20"/>
          <w:szCs w:val="20"/>
        </w:rPr>
        <w:t xml:space="preserve">Westbrook, J.I., Braithwaite, J. and Georgiou, A. (2020) ‘The impact of digital technologies on professional practice’, </w:t>
      </w:r>
      <w:r w:rsidRPr="00436604">
        <w:rPr>
          <w:rFonts w:ascii="Arial" w:hAnsi="Arial" w:cs="Arial"/>
          <w:i/>
          <w:iCs/>
          <w:sz w:val="20"/>
          <w:szCs w:val="20"/>
        </w:rPr>
        <w:t>International Journal of Medical Informatics</w:t>
      </w:r>
      <w:r w:rsidRPr="00436604">
        <w:rPr>
          <w:rFonts w:ascii="Arial" w:hAnsi="Arial" w:cs="Arial"/>
          <w:sz w:val="20"/>
          <w:szCs w:val="20"/>
        </w:rPr>
        <w:t xml:space="preserve">, 141, 104241. Available at: </w:t>
      </w:r>
      <w:hyperlink r:id="rId25" w:tgtFrame="_new" w:history="1">
        <w:r w:rsidRPr="00436604">
          <w:rPr>
            <w:rStyle w:val="Hyperlink"/>
            <w:rFonts w:ascii="Arial" w:hAnsi="Arial" w:cs="Arial"/>
            <w:sz w:val="20"/>
            <w:szCs w:val="20"/>
          </w:rPr>
          <w:t>https://doi.org/10.1016/j.ijmedinf.2020.104241</w:t>
        </w:r>
      </w:hyperlink>
    </w:p>
    <w:p w14:paraId="12C1536E" w14:textId="1D8E4777" w:rsidR="00D12D63" w:rsidRPr="00D12D63" w:rsidRDefault="00D12D63" w:rsidP="00D57347">
      <w:pPr>
        <w:spacing w:line="360" w:lineRule="auto"/>
        <w:jc w:val="both"/>
        <w:rPr>
          <w:rFonts w:ascii="Arial" w:hAnsi="Arial" w:cs="Arial"/>
          <w:sz w:val="20"/>
          <w:szCs w:val="20"/>
        </w:rPr>
      </w:pPr>
      <w:r w:rsidRPr="00D12D63">
        <w:rPr>
          <w:rFonts w:ascii="Arial" w:hAnsi="Arial" w:cs="Arial"/>
          <w:sz w:val="20"/>
          <w:szCs w:val="20"/>
        </w:rPr>
        <w:t xml:space="preserve">World Health Organization (2021) Global strategy on digital health 2020–2025. Available at: </w:t>
      </w:r>
      <w:hyperlink r:id="rId26" w:history="1">
        <w:r w:rsidRPr="00D12D63">
          <w:rPr>
            <w:rStyle w:val="Hyperlink"/>
            <w:rFonts w:ascii="Arial" w:hAnsi="Arial" w:cs="Arial"/>
            <w:sz w:val="20"/>
            <w:szCs w:val="20"/>
          </w:rPr>
          <w:t>https://www.who.int/publications/i/item/9789240020924</w:t>
        </w:r>
      </w:hyperlink>
      <w:r w:rsidRPr="00D12D63">
        <w:rPr>
          <w:rFonts w:ascii="Arial" w:hAnsi="Arial" w:cs="Arial"/>
          <w:sz w:val="20"/>
          <w:szCs w:val="20"/>
        </w:rPr>
        <w:t xml:space="preserve"> (Accessed: 17 </w:t>
      </w:r>
      <w:r w:rsidR="00044074">
        <w:rPr>
          <w:rFonts w:ascii="Arial" w:hAnsi="Arial" w:cs="Arial"/>
          <w:sz w:val="20"/>
          <w:szCs w:val="20"/>
        </w:rPr>
        <w:t>June</w:t>
      </w:r>
      <w:r w:rsidRPr="00D12D63">
        <w:rPr>
          <w:rFonts w:ascii="Arial" w:hAnsi="Arial" w:cs="Arial"/>
          <w:sz w:val="20"/>
          <w:szCs w:val="20"/>
        </w:rPr>
        <w:t xml:space="preserve"> 202</w:t>
      </w:r>
      <w:r w:rsidR="00044074">
        <w:rPr>
          <w:rFonts w:ascii="Arial" w:hAnsi="Arial" w:cs="Arial"/>
          <w:sz w:val="20"/>
          <w:szCs w:val="20"/>
        </w:rPr>
        <w:t>6</w:t>
      </w:r>
      <w:r w:rsidRPr="00D12D63">
        <w:rPr>
          <w:rFonts w:ascii="Arial" w:hAnsi="Arial" w:cs="Arial"/>
          <w:sz w:val="20"/>
          <w:szCs w:val="20"/>
        </w:rPr>
        <w:t>)</w:t>
      </w:r>
    </w:p>
    <w:p w14:paraId="759158C7" w14:textId="77777777" w:rsidR="00065EB0" w:rsidRDefault="00065EB0" w:rsidP="00867E33">
      <w:pPr>
        <w:spacing w:line="360" w:lineRule="auto"/>
        <w:jc w:val="both"/>
        <w:rPr>
          <w:rFonts w:ascii="Arial" w:hAnsi="Arial" w:cs="Arial"/>
          <w:sz w:val="20"/>
          <w:szCs w:val="20"/>
        </w:rPr>
      </w:pPr>
    </w:p>
    <w:p w14:paraId="167DC384" w14:textId="77777777" w:rsidR="00065EB0" w:rsidRPr="0076777F" w:rsidRDefault="00065EB0" w:rsidP="00867E33">
      <w:pPr>
        <w:spacing w:line="360" w:lineRule="auto"/>
        <w:jc w:val="both"/>
        <w:rPr>
          <w:rFonts w:ascii="Arial" w:hAnsi="Arial" w:cs="Arial"/>
          <w:sz w:val="20"/>
          <w:szCs w:val="20"/>
        </w:rPr>
      </w:pPr>
    </w:p>
    <w:sectPr w:rsidR="00065EB0" w:rsidRPr="0076777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79B9A" w14:textId="77777777" w:rsidR="003B0C8A" w:rsidRDefault="003B0C8A" w:rsidP="003B0C8A">
      <w:pPr>
        <w:spacing w:after="0" w:line="240" w:lineRule="auto"/>
      </w:pPr>
      <w:r>
        <w:separator/>
      </w:r>
    </w:p>
  </w:endnote>
  <w:endnote w:type="continuationSeparator" w:id="0">
    <w:p w14:paraId="1548A80B" w14:textId="77777777" w:rsidR="003B0C8A" w:rsidRDefault="003B0C8A" w:rsidP="003B0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148488"/>
      <w:docPartObj>
        <w:docPartGallery w:val="Page Numbers (Bottom of Page)"/>
        <w:docPartUnique/>
      </w:docPartObj>
    </w:sdtPr>
    <w:sdtEndPr>
      <w:rPr>
        <w:noProof/>
      </w:rPr>
    </w:sdtEndPr>
    <w:sdtContent>
      <w:p w14:paraId="190B6393" w14:textId="5CFCAB09" w:rsidR="003B0C8A" w:rsidRDefault="003B0C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82452F" w14:textId="77777777" w:rsidR="003B0C8A" w:rsidRDefault="003B0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B2F64" w14:textId="77777777" w:rsidR="003B0C8A" w:rsidRDefault="003B0C8A" w:rsidP="003B0C8A">
      <w:pPr>
        <w:spacing w:after="0" w:line="240" w:lineRule="auto"/>
      </w:pPr>
      <w:r>
        <w:separator/>
      </w:r>
    </w:p>
  </w:footnote>
  <w:footnote w:type="continuationSeparator" w:id="0">
    <w:p w14:paraId="6C4B1F0B" w14:textId="77777777" w:rsidR="003B0C8A" w:rsidRDefault="003B0C8A" w:rsidP="003B0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D5E36"/>
    <w:multiLevelType w:val="multilevel"/>
    <w:tmpl w:val="12AE0C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421848"/>
    <w:multiLevelType w:val="multilevel"/>
    <w:tmpl w:val="51687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F82B15"/>
    <w:multiLevelType w:val="multilevel"/>
    <w:tmpl w:val="F87A13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447809"/>
    <w:multiLevelType w:val="multilevel"/>
    <w:tmpl w:val="7C24D0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C33DA5"/>
    <w:multiLevelType w:val="multilevel"/>
    <w:tmpl w:val="2F3ED6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FA7C09"/>
    <w:multiLevelType w:val="multilevel"/>
    <w:tmpl w:val="718A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732109">
    <w:abstractNumId w:val="1"/>
  </w:num>
  <w:num w:numId="2" w16cid:durableId="1614706575">
    <w:abstractNumId w:val="5"/>
  </w:num>
  <w:num w:numId="3" w16cid:durableId="1124613094">
    <w:abstractNumId w:val="4"/>
  </w:num>
  <w:num w:numId="4" w16cid:durableId="1957981692">
    <w:abstractNumId w:val="3"/>
  </w:num>
  <w:num w:numId="5" w16cid:durableId="474614036">
    <w:abstractNumId w:val="2"/>
  </w:num>
  <w:num w:numId="6" w16cid:durableId="2071690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3B9"/>
    <w:rsid w:val="0002128D"/>
    <w:rsid w:val="00042237"/>
    <w:rsid w:val="00043DD3"/>
    <w:rsid w:val="00044074"/>
    <w:rsid w:val="00065EB0"/>
    <w:rsid w:val="00084709"/>
    <w:rsid w:val="00092101"/>
    <w:rsid w:val="00100A01"/>
    <w:rsid w:val="0010161F"/>
    <w:rsid w:val="00111347"/>
    <w:rsid w:val="00135572"/>
    <w:rsid w:val="00154783"/>
    <w:rsid w:val="00176EAD"/>
    <w:rsid w:val="00196DC0"/>
    <w:rsid w:val="001D2CB9"/>
    <w:rsid w:val="001D768E"/>
    <w:rsid w:val="001F1B09"/>
    <w:rsid w:val="002062C9"/>
    <w:rsid w:val="00226089"/>
    <w:rsid w:val="00231CF8"/>
    <w:rsid w:val="0023764A"/>
    <w:rsid w:val="00246F0D"/>
    <w:rsid w:val="00267AE4"/>
    <w:rsid w:val="002775F7"/>
    <w:rsid w:val="002A02C2"/>
    <w:rsid w:val="002C0302"/>
    <w:rsid w:val="002C364D"/>
    <w:rsid w:val="002E78B9"/>
    <w:rsid w:val="0030753A"/>
    <w:rsid w:val="0033208A"/>
    <w:rsid w:val="003955A7"/>
    <w:rsid w:val="003B0C8A"/>
    <w:rsid w:val="003C2D9C"/>
    <w:rsid w:val="004234B0"/>
    <w:rsid w:val="00436604"/>
    <w:rsid w:val="004442E0"/>
    <w:rsid w:val="0048576D"/>
    <w:rsid w:val="004A00E0"/>
    <w:rsid w:val="004F443B"/>
    <w:rsid w:val="004F68B3"/>
    <w:rsid w:val="005025DD"/>
    <w:rsid w:val="00523AED"/>
    <w:rsid w:val="005A537C"/>
    <w:rsid w:val="005B06BE"/>
    <w:rsid w:val="005B2653"/>
    <w:rsid w:val="005C542D"/>
    <w:rsid w:val="005C6008"/>
    <w:rsid w:val="005C6BE0"/>
    <w:rsid w:val="005E45CB"/>
    <w:rsid w:val="006315D2"/>
    <w:rsid w:val="00637611"/>
    <w:rsid w:val="00637E8E"/>
    <w:rsid w:val="00645BF2"/>
    <w:rsid w:val="00662DCD"/>
    <w:rsid w:val="00675AE2"/>
    <w:rsid w:val="00697F6B"/>
    <w:rsid w:val="006A4BF3"/>
    <w:rsid w:val="006B4086"/>
    <w:rsid w:val="006D064A"/>
    <w:rsid w:val="006D129F"/>
    <w:rsid w:val="00711A80"/>
    <w:rsid w:val="007466B5"/>
    <w:rsid w:val="007602BC"/>
    <w:rsid w:val="0076777F"/>
    <w:rsid w:val="00790211"/>
    <w:rsid w:val="00793D55"/>
    <w:rsid w:val="00795D91"/>
    <w:rsid w:val="007964AD"/>
    <w:rsid w:val="007B53B2"/>
    <w:rsid w:val="0082048E"/>
    <w:rsid w:val="00824BF0"/>
    <w:rsid w:val="00831B7A"/>
    <w:rsid w:val="0086536C"/>
    <w:rsid w:val="00867E33"/>
    <w:rsid w:val="008738CC"/>
    <w:rsid w:val="008D031A"/>
    <w:rsid w:val="008D6ED8"/>
    <w:rsid w:val="008E3358"/>
    <w:rsid w:val="00913DD9"/>
    <w:rsid w:val="009978CD"/>
    <w:rsid w:val="009B219A"/>
    <w:rsid w:val="009E28C1"/>
    <w:rsid w:val="009E7E7D"/>
    <w:rsid w:val="009F06D1"/>
    <w:rsid w:val="00A60BC4"/>
    <w:rsid w:val="00A73915"/>
    <w:rsid w:val="00A96413"/>
    <w:rsid w:val="00AD6E0A"/>
    <w:rsid w:val="00AE7E73"/>
    <w:rsid w:val="00B125B7"/>
    <w:rsid w:val="00B16996"/>
    <w:rsid w:val="00B8386A"/>
    <w:rsid w:val="00BA03CE"/>
    <w:rsid w:val="00BA2F95"/>
    <w:rsid w:val="00BA6522"/>
    <w:rsid w:val="00BA6F77"/>
    <w:rsid w:val="00C07352"/>
    <w:rsid w:val="00C37D51"/>
    <w:rsid w:val="00C513B9"/>
    <w:rsid w:val="00CA75F1"/>
    <w:rsid w:val="00CD6C43"/>
    <w:rsid w:val="00CE6410"/>
    <w:rsid w:val="00CF0D00"/>
    <w:rsid w:val="00CF1E1C"/>
    <w:rsid w:val="00D12D63"/>
    <w:rsid w:val="00D222BA"/>
    <w:rsid w:val="00D54BC9"/>
    <w:rsid w:val="00D57347"/>
    <w:rsid w:val="00D81421"/>
    <w:rsid w:val="00D81A40"/>
    <w:rsid w:val="00DF5D20"/>
    <w:rsid w:val="00E05F18"/>
    <w:rsid w:val="00E36B04"/>
    <w:rsid w:val="00EB768B"/>
    <w:rsid w:val="00ED0146"/>
    <w:rsid w:val="00EE444E"/>
    <w:rsid w:val="00F1319A"/>
    <w:rsid w:val="00F7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3469"/>
  <w15:chartTrackingRefBased/>
  <w15:docId w15:val="{2BC8A224-811F-4DAD-9DFF-1A607B0C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E0"/>
  </w:style>
  <w:style w:type="paragraph" w:styleId="Heading1">
    <w:name w:val="heading 1"/>
    <w:basedOn w:val="Normal"/>
    <w:next w:val="Normal"/>
    <w:link w:val="Heading1Char"/>
    <w:uiPriority w:val="9"/>
    <w:qFormat/>
    <w:rsid w:val="00C513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13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3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3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3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1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3B9"/>
    <w:rPr>
      <w:rFonts w:eastAsiaTheme="majorEastAsia" w:cstheme="majorBidi"/>
      <w:color w:val="272727" w:themeColor="text1" w:themeTint="D8"/>
    </w:rPr>
  </w:style>
  <w:style w:type="paragraph" w:styleId="Title">
    <w:name w:val="Title"/>
    <w:basedOn w:val="Normal"/>
    <w:next w:val="Normal"/>
    <w:link w:val="TitleChar"/>
    <w:uiPriority w:val="10"/>
    <w:qFormat/>
    <w:rsid w:val="00C51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3B9"/>
    <w:pPr>
      <w:spacing w:before="160"/>
      <w:jc w:val="center"/>
    </w:pPr>
    <w:rPr>
      <w:i/>
      <w:iCs/>
      <w:color w:val="404040" w:themeColor="text1" w:themeTint="BF"/>
    </w:rPr>
  </w:style>
  <w:style w:type="character" w:customStyle="1" w:styleId="QuoteChar">
    <w:name w:val="Quote Char"/>
    <w:basedOn w:val="DefaultParagraphFont"/>
    <w:link w:val="Quote"/>
    <w:uiPriority w:val="29"/>
    <w:rsid w:val="00C513B9"/>
    <w:rPr>
      <w:i/>
      <w:iCs/>
      <w:color w:val="404040" w:themeColor="text1" w:themeTint="BF"/>
    </w:rPr>
  </w:style>
  <w:style w:type="paragraph" w:styleId="ListParagraph">
    <w:name w:val="List Paragraph"/>
    <w:basedOn w:val="Normal"/>
    <w:uiPriority w:val="34"/>
    <w:qFormat/>
    <w:rsid w:val="00C513B9"/>
    <w:pPr>
      <w:ind w:left="720"/>
      <w:contextualSpacing/>
    </w:pPr>
  </w:style>
  <w:style w:type="character" w:styleId="IntenseEmphasis">
    <w:name w:val="Intense Emphasis"/>
    <w:basedOn w:val="DefaultParagraphFont"/>
    <w:uiPriority w:val="21"/>
    <w:qFormat/>
    <w:rsid w:val="00C513B9"/>
    <w:rPr>
      <w:i/>
      <w:iCs/>
      <w:color w:val="0F4761" w:themeColor="accent1" w:themeShade="BF"/>
    </w:rPr>
  </w:style>
  <w:style w:type="paragraph" w:styleId="IntenseQuote">
    <w:name w:val="Intense Quote"/>
    <w:basedOn w:val="Normal"/>
    <w:next w:val="Normal"/>
    <w:link w:val="IntenseQuoteChar"/>
    <w:uiPriority w:val="30"/>
    <w:qFormat/>
    <w:rsid w:val="00C51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3B9"/>
    <w:rPr>
      <w:i/>
      <w:iCs/>
      <w:color w:val="0F4761" w:themeColor="accent1" w:themeShade="BF"/>
    </w:rPr>
  </w:style>
  <w:style w:type="character" w:styleId="IntenseReference">
    <w:name w:val="Intense Reference"/>
    <w:basedOn w:val="DefaultParagraphFont"/>
    <w:uiPriority w:val="32"/>
    <w:qFormat/>
    <w:rsid w:val="00C513B9"/>
    <w:rPr>
      <w:b/>
      <w:bCs/>
      <w:smallCaps/>
      <w:color w:val="0F4761" w:themeColor="accent1" w:themeShade="BF"/>
      <w:spacing w:val="5"/>
    </w:rPr>
  </w:style>
  <w:style w:type="paragraph" w:customStyle="1" w:styleId="isselectedend">
    <w:name w:val="isselectedend"/>
    <w:basedOn w:val="Normal"/>
    <w:rsid w:val="00267A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267A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65EB0"/>
    <w:rPr>
      <w:color w:val="467886" w:themeColor="hyperlink"/>
      <w:u w:val="single"/>
    </w:rPr>
  </w:style>
  <w:style w:type="character" w:styleId="UnresolvedMention">
    <w:name w:val="Unresolved Mention"/>
    <w:basedOn w:val="DefaultParagraphFont"/>
    <w:uiPriority w:val="99"/>
    <w:semiHidden/>
    <w:unhideWhenUsed/>
    <w:rsid w:val="00065EB0"/>
    <w:rPr>
      <w:color w:val="605E5C"/>
      <w:shd w:val="clear" w:color="auto" w:fill="E1DFDD"/>
    </w:rPr>
  </w:style>
  <w:style w:type="character" w:styleId="FollowedHyperlink">
    <w:name w:val="FollowedHyperlink"/>
    <w:basedOn w:val="DefaultParagraphFont"/>
    <w:uiPriority w:val="99"/>
    <w:semiHidden/>
    <w:unhideWhenUsed/>
    <w:rsid w:val="0010161F"/>
    <w:rPr>
      <w:color w:val="96607D" w:themeColor="followedHyperlink"/>
      <w:u w:val="single"/>
    </w:rPr>
  </w:style>
  <w:style w:type="paragraph" w:styleId="Header">
    <w:name w:val="header"/>
    <w:basedOn w:val="Normal"/>
    <w:link w:val="HeaderChar"/>
    <w:uiPriority w:val="99"/>
    <w:unhideWhenUsed/>
    <w:rsid w:val="003B0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C8A"/>
  </w:style>
  <w:style w:type="paragraph" w:styleId="Footer">
    <w:name w:val="footer"/>
    <w:basedOn w:val="Normal"/>
    <w:link w:val="FooterChar"/>
    <w:uiPriority w:val="99"/>
    <w:unhideWhenUsed/>
    <w:rsid w:val="003B0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3919">
      <w:bodyDiv w:val="1"/>
      <w:marLeft w:val="0"/>
      <w:marRight w:val="0"/>
      <w:marTop w:val="0"/>
      <w:marBottom w:val="0"/>
      <w:divBdr>
        <w:top w:val="none" w:sz="0" w:space="0" w:color="auto"/>
        <w:left w:val="none" w:sz="0" w:space="0" w:color="auto"/>
        <w:bottom w:val="none" w:sz="0" w:space="0" w:color="auto"/>
        <w:right w:val="none" w:sz="0" w:space="0" w:color="auto"/>
      </w:divBdr>
    </w:div>
    <w:div w:id="24841233">
      <w:bodyDiv w:val="1"/>
      <w:marLeft w:val="0"/>
      <w:marRight w:val="0"/>
      <w:marTop w:val="0"/>
      <w:marBottom w:val="0"/>
      <w:divBdr>
        <w:top w:val="none" w:sz="0" w:space="0" w:color="auto"/>
        <w:left w:val="none" w:sz="0" w:space="0" w:color="auto"/>
        <w:bottom w:val="none" w:sz="0" w:space="0" w:color="auto"/>
        <w:right w:val="none" w:sz="0" w:space="0" w:color="auto"/>
      </w:divBdr>
    </w:div>
    <w:div w:id="40834026">
      <w:bodyDiv w:val="1"/>
      <w:marLeft w:val="0"/>
      <w:marRight w:val="0"/>
      <w:marTop w:val="0"/>
      <w:marBottom w:val="0"/>
      <w:divBdr>
        <w:top w:val="none" w:sz="0" w:space="0" w:color="auto"/>
        <w:left w:val="none" w:sz="0" w:space="0" w:color="auto"/>
        <w:bottom w:val="none" w:sz="0" w:space="0" w:color="auto"/>
        <w:right w:val="none" w:sz="0" w:space="0" w:color="auto"/>
      </w:divBdr>
    </w:div>
    <w:div w:id="67579855">
      <w:bodyDiv w:val="1"/>
      <w:marLeft w:val="0"/>
      <w:marRight w:val="0"/>
      <w:marTop w:val="0"/>
      <w:marBottom w:val="0"/>
      <w:divBdr>
        <w:top w:val="none" w:sz="0" w:space="0" w:color="auto"/>
        <w:left w:val="none" w:sz="0" w:space="0" w:color="auto"/>
        <w:bottom w:val="none" w:sz="0" w:space="0" w:color="auto"/>
        <w:right w:val="none" w:sz="0" w:space="0" w:color="auto"/>
      </w:divBdr>
    </w:div>
    <w:div w:id="92672026">
      <w:bodyDiv w:val="1"/>
      <w:marLeft w:val="0"/>
      <w:marRight w:val="0"/>
      <w:marTop w:val="0"/>
      <w:marBottom w:val="0"/>
      <w:divBdr>
        <w:top w:val="none" w:sz="0" w:space="0" w:color="auto"/>
        <w:left w:val="none" w:sz="0" w:space="0" w:color="auto"/>
        <w:bottom w:val="none" w:sz="0" w:space="0" w:color="auto"/>
        <w:right w:val="none" w:sz="0" w:space="0" w:color="auto"/>
      </w:divBdr>
    </w:div>
    <w:div w:id="135605160">
      <w:bodyDiv w:val="1"/>
      <w:marLeft w:val="0"/>
      <w:marRight w:val="0"/>
      <w:marTop w:val="0"/>
      <w:marBottom w:val="0"/>
      <w:divBdr>
        <w:top w:val="none" w:sz="0" w:space="0" w:color="auto"/>
        <w:left w:val="none" w:sz="0" w:space="0" w:color="auto"/>
        <w:bottom w:val="none" w:sz="0" w:space="0" w:color="auto"/>
        <w:right w:val="none" w:sz="0" w:space="0" w:color="auto"/>
      </w:divBdr>
    </w:div>
    <w:div w:id="169412510">
      <w:bodyDiv w:val="1"/>
      <w:marLeft w:val="0"/>
      <w:marRight w:val="0"/>
      <w:marTop w:val="0"/>
      <w:marBottom w:val="0"/>
      <w:divBdr>
        <w:top w:val="none" w:sz="0" w:space="0" w:color="auto"/>
        <w:left w:val="none" w:sz="0" w:space="0" w:color="auto"/>
        <w:bottom w:val="none" w:sz="0" w:space="0" w:color="auto"/>
        <w:right w:val="none" w:sz="0" w:space="0" w:color="auto"/>
      </w:divBdr>
    </w:div>
    <w:div w:id="196239424">
      <w:bodyDiv w:val="1"/>
      <w:marLeft w:val="0"/>
      <w:marRight w:val="0"/>
      <w:marTop w:val="0"/>
      <w:marBottom w:val="0"/>
      <w:divBdr>
        <w:top w:val="none" w:sz="0" w:space="0" w:color="auto"/>
        <w:left w:val="none" w:sz="0" w:space="0" w:color="auto"/>
        <w:bottom w:val="none" w:sz="0" w:space="0" w:color="auto"/>
        <w:right w:val="none" w:sz="0" w:space="0" w:color="auto"/>
      </w:divBdr>
    </w:div>
    <w:div w:id="203490277">
      <w:bodyDiv w:val="1"/>
      <w:marLeft w:val="0"/>
      <w:marRight w:val="0"/>
      <w:marTop w:val="0"/>
      <w:marBottom w:val="0"/>
      <w:divBdr>
        <w:top w:val="none" w:sz="0" w:space="0" w:color="auto"/>
        <w:left w:val="none" w:sz="0" w:space="0" w:color="auto"/>
        <w:bottom w:val="none" w:sz="0" w:space="0" w:color="auto"/>
        <w:right w:val="none" w:sz="0" w:space="0" w:color="auto"/>
      </w:divBdr>
    </w:div>
    <w:div w:id="212426981">
      <w:bodyDiv w:val="1"/>
      <w:marLeft w:val="0"/>
      <w:marRight w:val="0"/>
      <w:marTop w:val="0"/>
      <w:marBottom w:val="0"/>
      <w:divBdr>
        <w:top w:val="none" w:sz="0" w:space="0" w:color="auto"/>
        <w:left w:val="none" w:sz="0" w:space="0" w:color="auto"/>
        <w:bottom w:val="none" w:sz="0" w:space="0" w:color="auto"/>
        <w:right w:val="none" w:sz="0" w:space="0" w:color="auto"/>
      </w:divBdr>
    </w:div>
    <w:div w:id="261105963">
      <w:bodyDiv w:val="1"/>
      <w:marLeft w:val="0"/>
      <w:marRight w:val="0"/>
      <w:marTop w:val="0"/>
      <w:marBottom w:val="0"/>
      <w:divBdr>
        <w:top w:val="none" w:sz="0" w:space="0" w:color="auto"/>
        <w:left w:val="none" w:sz="0" w:space="0" w:color="auto"/>
        <w:bottom w:val="none" w:sz="0" w:space="0" w:color="auto"/>
        <w:right w:val="none" w:sz="0" w:space="0" w:color="auto"/>
      </w:divBdr>
    </w:div>
    <w:div w:id="272399168">
      <w:bodyDiv w:val="1"/>
      <w:marLeft w:val="0"/>
      <w:marRight w:val="0"/>
      <w:marTop w:val="0"/>
      <w:marBottom w:val="0"/>
      <w:divBdr>
        <w:top w:val="none" w:sz="0" w:space="0" w:color="auto"/>
        <w:left w:val="none" w:sz="0" w:space="0" w:color="auto"/>
        <w:bottom w:val="none" w:sz="0" w:space="0" w:color="auto"/>
        <w:right w:val="none" w:sz="0" w:space="0" w:color="auto"/>
      </w:divBdr>
    </w:div>
    <w:div w:id="273758623">
      <w:bodyDiv w:val="1"/>
      <w:marLeft w:val="0"/>
      <w:marRight w:val="0"/>
      <w:marTop w:val="0"/>
      <w:marBottom w:val="0"/>
      <w:divBdr>
        <w:top w:val="none" w:sz="0" w:space="0" w:color="auto"/>
        <w:left w:val="none" w:sz="0" w:space="0" w:color="auto"/>
        <w:bottom w:val="none" w:sz="0" w:space="0" w:color="auto"/>
        <w:right w:val="none" w:sz="0" w:space="0" w:color="auto"/>
      </w:divBdr>
    </w:div>
    <w:div w:id="334039651">
      <w:bodyDiv w:val="1"/>
      <w:marLeft w:val="0"/>
      <w:marRight w:val="0"/>
      <w:marTop w:val="0"/>
      <w:marBottom w:val="0"/>
      <w:divBdr>
        <w:top w:val="none" w:sz="0" w:space="0" w:color="auto"/>
        <w:left w:val="none" w:sz="0" w:space="0" w:color="auto"/>
        <w:bottom w:val="none" w:sz="0" w:space="0" w:color="auto"/>
        <w:right w:val="none" w:sz="0" w:space="0" w:color="auto"/>
      </w:divBdr>
    </w:div>
    <w:div w:id="387916792">
      <w:bodyDiv w:val="1"/>
      <w:marLeft w:val="0"/>
      <w:marRight w:val="0"/>
      <w:marTop w:val="0"/>
      <w:marBottom w:val="0"/>
      <w:divBdr>
        <w:top w:val="none" w:sz="0" w:space="0" w:color="auto"/>
        <w:left w:val="none" w:sz="0" w:space="0" w:color="auto"/>
        <w:bottom w:val="none" w:sz="0" w:space="0" w:color="auto"/>
        <w:right w:val="none" w:sz="0" w:space="0" w:color="auto"/>
      </w:divBdr>
    </w:div>
    <w:div w:id="405958875">
      <w:bodyDiv w:val="1"/>
      <w:marLeft w:val="0"/>
      <w:marRight w:val="0"/>
      <w:marTop w:val="0"/>
      <w:marBottom w:val="0"/>
      <w:divBdr>
        <w:top w:val="none" w:sz="0" w:space="0" w:color="auto"/>
        <w:left w:val="none" w:sz="0" w:space="0" w:color="auto"/>
        <w:bottom w:val="none" w:sz="0" w:space="0" w:color="auto"/>
        <w:right w:val="none" w:sz="0" w:space="0" w:color="auto"/>
      </w:divBdr>
    </w:div>
    <w:div w:id="461925280">
      <w:bodyDiv w:val="1"/>
      <w:marLeft w:val="0"/>
      <w:marRight w:val="0"/>
      <w:marTop w:val="0"/>
      <w:marBottom w:val="0"/>
      <w:divBdr>
        <w:top w:val="none" w:sz="0" w:space="0" w:color="auto"/>
        <w:left w:val="none" w:sz="0" w:space="0" w:color="auto"/>
        <w:bottom w:val="none" w:sz="0" w:space="0" w:color="auto"/>
        <w:right w:val="none" w:sz="0" w:space="0" w:color="auto"/>
      </w:divBdr>
    </w:div>
    <w:div w:id="600799319">
      <w:bodyDiv w:val="1"/>
      <w:marLeft w:val="0"/>
      <w:marRight w:val="0"/>
      <w:marTop w:val="0"/>
      <w:marBottom w:val="0"/>
      <w:divBdr>
        <w:top w:val="none" w:sz="0" w:space="0" w:color="auto"/>
        <w:left w:val="none" w:sz="0" w:space="0" w:color="auto"/>
        <w:bottom w:val="none" w:sz="0" w:space="0" w:color="auto"/>
        <w:right w:val="none" w:sz="0" w:space="0" w:color="auto"/>
      </w:divBdr>
    </w:div>
    <w:div w:id="643436161">
      <w:bodyDiv w:val="1"/>
      <w:marLeft w:val="0"/>
      <w:marRight w:val="0"/>
      <w:marTop w:val="0"/>
      <w:marBottom w:val="0"/>
      <w:divBdr>
        <w:top w:val="none" w:sz="0" w:space="0" w:color="auto"/>
        <w:left w:val="none" w:sz="0" w:space="0" w:color="auto"/>
        <w:bottom w:val="none" w:sz="0" w:space="0" w:color="auto"/>
        <w:right w:val="none" w:sz="0" w:space="0" w:color="auto"/>
      </w:divBdr>
    </w:div>
    <w:div w:id="649096302">
      <w:bodyDiv w:val="1"/>
      <w:marLeft w:val="0"/>
      <w:marRight w:val="0"/>
      <w:marTop w:val="0"/>
      <w:marBottom w:val="0"/>
      <w:divBdr>
        <w:top w:val="none" w:sz="0" w:space="0" w:color="auto"/>
        <w:left w:val="none" w:sz="0" w:space="0" w:color="auto"/>
        <w:bottom w:val="none" w:sz="0" w:space="0" w:color="auto"/>
        <w:right w:val="none" w:sz="0" w:space="0" w:color="auto"/>
      </w:divBdr>
    </w:div>
    <w:div w:id="781076939">
      <w:bodyDiv w:val="1"/>
      <w:marLeft w:val="0"/>
      <w:marRight w:val="0"/>
      <w:marTop w:val="0"/>
      <w:marBottom w:val="0"/>
      <w:divBdr>
        <w:top w:val="none" w:sz="0" w:space="0" w:color="auto"/>
        <w:left w:val="none" w:sz="0" w:space="0" w:color="auto"/>
        <w:bottom w:val="none" w:sz="0" w:space="0" w:color="auto"/>
        <w:right w:val="none" w:sz="0" w:space="0" w:color="auto"/>
      </w:divBdr>
    </w:div>
    <w:div w:id="797070328">
      <w:bodyDiv w:val="1"/>
      <w:marLeft w:val="0"/>
      <w:marRight w:val="0"/>
      <w:marTop w:val="0"/>
      <w:marBottom w:val="0"/>
      <w:divBdr>
        <w:top w:val="none" w:sz="0" w:space="0" w:color="auto"/>
        <w:left w:val="none" w:sz="0" w:space="0" w:color="auto"/>
        <w:bottom w:val="none" w:sz="0" w:space="0" w:color="auto"/>
        <w:right w:val="none" w:sz="0" w:space="0" w:color="auto"/>
      </w:divBdr>
    </w:div>
    <w:div w:id="803087238">
      <w:bodyDiv w:val="1"/>
      <w:marLeft w:val="0"/>
      <w:marRight w:val="0"/>
      <w:marTop w:val="0"/>
      <w:marBottom w:val="0"/>
      <w:divBdr>
        <w:top w:val="none" w:sz="0" w:space="0" w:color="auto"/>
        <w:left w:val="none" w:sz="0" w:space="0" w:color="auto"/>
        <w:bottom w:val="none" w:sz="0" w:space="0" w:color="auto"/>
        <w:right w:val="none" w:sz="0" w:space="0" w:color="auto"/>
      </w:divBdr>
    </w:div>
    <w:div w:id="819424955">
      <w:bodyDiv w:val="1"/>
      <w:marLeft w:val="0"/>
      <w:marRight w:val="0"/>
      <w:marTop w:val="0"/>
      <w:marBottom w:val="0"/>
      <w:divBdr>
        <w:top w:val="none" w:sz="0" w:space="0" w:color="auto"/>
        <w:left w:val="none" w:sz="0" w:space="0" w:color="auto"/>
        <w:bottom w:val="none" w:sz="0" w:space="0" w:color="auto"/>
        <w:right w:val="none" w:sz="0" w:space="0" w:color="auto"/>
      </w:divBdr>
    </w:div>
    <w:div w:id="827743971">
      <w:bodyDiv w:val="1"/>
      <w:marLeft w:val="0"/>
      <w:marRight w:val="0"/>
      <w:marTop w:val="0"/>
      <w:marBottom w:val="0"/>
      <w:divBdr>
        <w:top w:val="none" w:sz="0" w:space="0" w:color="auto"/>
        <w:left w:val="none" w:sz="0" w:space="0" w:color="auto"/>
        <w:bottom w:val="none" w:sz="0" w:space="0" w:color="auto"/>
        <w:right w:val="none" w:sz="0" w:space="0" w:color="auto"/>
      </w:divBdr>
    </w:div>
    <w:div w:id="828249687">
      <w:bodyDiv w:val="1"/>
      <w:marLeft w:val="0"/>
      <w:marRight w:val="0"/>
      <w:marTop w:val="0"/>
      <w:marBottom w:val="0"/>
      <w:divBdr>
        <w:top w:val="none" w:sz="0" w:space="0" w:color="auto"/>
        <w:left w:val="none" w:sz="0" w:space="0" w:color="auto"/>
        <w:bottom w:val="none" w:sz="0" w:space="0" w:color="auto"/>
        <w:right w:val="none" w:sz="0" w:space="0" w:color="auto"/>
      </w:divBdr>
    </w:div>
    <w:div w:id="834995599">
      <w:bodyDiv w:val="1"/>
      <w:marLeft w:val="0"/>
      <w:marRight w:val="0"/>
      <w:marTop w:val="0"/>
      <w:marBottom w:val="0"/>
      <w:divBdr>
        <w:top w:val="none" w:sz="0" w:space="0" w:color="auto"/>
        <w:left w:val="none" w:sz="0" w:space="0" w:color="auto"/>
        <w:bottom w:val="none" w:sz="0" w:space="0" w:color="auto"/>
        <w:right w:val="none" w:sz="0" w:space="0" w:color="auto"/>
      </w:divBdr>
    </w:div>
    <w:div w:id="872107760">
      <w:bodyDiv w:val="1"/>
      <w:marLeft w:val="0"/>
      <w:marRight w:val="0"/>
      <w:marTop w:val="0"/>
      <w:marBottom w:val="0"/>
      <w:divBdr>
        <w:top w:val="none" w:sz="0" w:space="0" w:color="auto"/>
        <w:left w:val="none" w:sz="0" w:space="0" w:color="auto"/>
        <w:bottom w:val="none" w:sz="0" w:space="0" w:color="auto"/>
        <w:right w:val="none" w:sz="0" w:space="0" w:color="auto"/>
      </w:divBdr>
    </w:div>
    <w:div w:id="875318101">
      <w:bodyDiv w:val="1"/>
      <w:marLeft w:val="0"/>
      <w:marRight w:val="0"/>
      <w:marTop w:val="0"/>
      <w:marBottom w:val="0"/>
      <w:divBdr>
        <w:top w:val="none" w:sz="0" w:space="0" w:color="auto"/>
        <w:left w:val="none" w:sz="0" w:space="0" w:color="auto"/>
        <w:bottom w:val="none" w:sz="0" w:space="0" w:color="auto"/>
        <w:right w:val="none" w:sz="0" w:space="0" w:color="auto"/>
      </w:divBdr>
    </w:div>
    <w:div w:id="879828528">
      <w:bodyDiv w:val="1"/>
      <w:marLeft w:val="0"/>
      <w:marRight w:val="0"/>
      <w:marTop w:val="0"/>
      <w:marBottom w:val="0"/>
      <w:divBdr>
        <w:top w:val="none" w:sz="0" w:space="0" w:color="auto"/>
        <w:left w:val="none" w:sz="0" w:space="0" w:color="auto"/>
        <w:bottom w:val="none" w:sz="0" w:space="0" w:color="auto"/>
        <w:right w:val="none" w:sz="0" w:space="0" w:color="auto"/>
      </w:divBdr>
    </w:div>
    <w:div w:id="943265719">
      <w:bodyDiv w:val="1"/>
      <w:marLeft w:val="0"/>
      <w:marRight w:val="0"/>
      <w:marTop w:val="0"/>
      <w:marBottom w:val="0"/>
      <w:divBdr>
        <w:top w:val="none" w:sz="0" w:space="0" w:color="auto"/>
        <w:left w:val="none" w:sz="0" w:space="0" w:color="auto"/>
        <w:bottom w:val="none" w:sz="0" w:space="0" w:color="auto"/>
        <w:right w:val="none" w:sz="0" w:space="0" w:color="auto"/>
      </w:divBdr>
    </w:div>
    <w:div w:id="944188072">
      <w:bodyDiv w:val="1"/>
      <w:marLeft w:val="0"/>
      <w:marRight w:val="0"/>
      <w:marTop w:val="0"/>
      <w:marBottom w:val="0"/>
      <w:divBdr>
        <w:top w:val="none" w:sz="0" w:space="0" w:color="auto"/>
        <w:left w:val="none" w:sz="0" w:space="0" w:color="auto"/>
        <w:bottom w:val="none" w:sz="0" w:space="0" w:color="auto"/>
        <w:right w:val="none" w:sz="0" w:space="0" w:color="auto"/>
      </w:divBdr>
    </w:div>
    <w:div w:id="945113857">
      <w:bodyDiv w:val="1"/>
      <w:marLeft w:val="0"/>
      <w:marRight w:val="0"/>
      <w:marTop w:val="0"/>
      <w:marBottom w:val="0"/>
      <w:divBdr>
        <w:top w:val="none" w:sz="0" w:space="0" w:color="auto"/>
        <w:left w:val="none" w:sz="0" w:space="0" w:color="auto"/>
        <w:bottom w:val="none" w:sz="0" w:space="0" w:color="auto"/>
        <w:right w:val="none" w:sz="0" w:space="0" w:color="auto"/>
      </w:divBdr>
    </w:div>
    <w:div w:id="949553918">
      <w:bodyDiv w:val="1"/>
      <w:marLeft w:val="0"/>
      <w:marRight w:val="0"/>
      <w:marTop w:val="0"/>
      <w:marBottom w:val="0"/>
      <w:divBdr>
        <w:top w:val="none" w:sz="0" w:space="0" w:color="auto"/>
        <w:left w:val="none" w:sz="0" w:space="0" w:color="auto"/>
        <w:bottom w:val="none" w:sz="0" w:space="0" w:color="auto"/>
        <w:right w:val="none" w:sz="0" w:space="0" w:color="auto"/>
      </w:divBdr>
    </w:div>
    <w:div w:id="951058744">
      <w:bodyDiv w:val="1"/>
      <w:marLeft w:val="0"/>
      <w:marRight w:val="0"/>
      <w:marTop w:val="0"/>
      <w:marBottom w:val="0"/>
      <w:divBdr>
        <w:top w:val="none" w:sz="0" w:space="0" w:color="auto"/>
        <w:left w:val="none" w:sz="0" w:space="0" w:color="auto"/>
        <w:bottom w:val="none" w:sz="0" w:space="0" w:color="auto"/>
        <w:right w:val="none" w:sz="0" w:space="0" w:color="auto"/>
      </w:divBdr>
    </w:div>
    <w:div w:id="975063238">
      <w:bodyDiv w:val="1"/>
      <w:marLeft w:val="0"/>
      <w:marRight w:val="0"/>
      <w:marTop w:val="0"/>
      <w:marBottom w:val="0"/>
      <w:divBdr>
        <w:top w:val="none" w:sz="0" w:space="0" w:color="auto"/>
        <w:left w:val="none" w:sz="0" w:space="0" w:color="auto"/>
        <w:bottom w:val="none" w:sz="0" w:space="0" w:color="auto"/>
        <w:right w:val="none" w:sz="0" w:space="0" w:color="auto"/>
      </w:divBdr>
    </w:div>
    <w:div w:id="982781906">
      <w:bodyDiv w:val="1"/>
      <w:marLeft w:val="0"/>
      <w:marRight w:val="0"/>
      <w:marTop w:val="0"/>
      <w:marBottom w:val="0"/>
      <w:divBdr>
        <w:top w:val="none" w:sz="0" w:space="0" w:color="auto"/>
        <w:left w:val="none" w:sz="0" w:space="0" w:color="auto"/>
        <w:bottom w:val="none" w:sz="0" w:space="0" w:color="auto"/>
        <w:right w:val="none" w:sz="0" w:space="0" w:color="auto"/>
      </w:divBdr>
    </w:div>
    <w:div w:id="1109012089">
      <w:bodyDiv w:val="1"/>
      <w:marLeft w:val="0"/>
      <w:marRight w:val="0"/>
      <w:marTop w:val="0"/>
      <w:marBottom w:val="0"/>
      <w:divBdr>
        <w:top w:val="none" w:sz="0" w:space="0" w:color="auto"/>
        <w:left w:val="none" w:sz="0" w:space="0" w:color="auto"/>
        <w:bottom w:val="none" w:sz="0" w:space="0" w:color="auto"/>
        <w:right w:val="none" w:sz="0" w:space="0" w:color="auto"/>
      </w:divBdr>
    </w:div>
    <w:div w:id="1160735616">
      <w:bodyDiv w:val="1"/>
      <w:marLeft w:val="0"/>
      <w:marRight w:val="0"/>
      <w:marTop w:val="0"/>
      <w:marBottom w:val="0"/>
      <w:divBdr>
        <w:top w:val="none" w:sz="0" w:space="0" w:color="auto"/>
        <w:left w:val="none" w:sz="0" w:space="0" w:color="auto"/>
        <w:bottom w:val="none" w:sz="0" w:space="0" w:color="auto"/>
        <w:right w:val="none" w:sz="0" w:space="0" w:color="auto"/>
      </w:divBdr>
    </w:div>
    <w:div w:id="1195582270">
      <w:bodyDiv w:val="1"/>
      <w:marLeft w:val="0"/>
      <w:marRight w:val="0"/>
      <w:marTop w:val="0"/>
      <w:marBottom w:val="0"/>
      <w:divBdr>
        <w:top w:val="none" w:sz="0" w:space="0" w:color="auto"/>
        <w:left w:val="none" w:sz="0" w:space="0" w:color="auto"/>
        <w:bottom w:val="none" w:sz="0" w:space="0" w:color="auto"/>
        <w:right w:val="none" w:sz="0" w:space="0" w:color="auto"/>
      </w:divBdr>
    </w:div>
    <w:div w:id="1288661845">
      <w:bodyDiv w:val="1"/>
      <w:marLeft w:val="0"/>
      <w:marRight w:val="0"/>
      <w:marTop w:val="0"/>
      <w:marBottom w:val="0"/>
      <w:divBdr>
        <w:top w:val="none" w:sz="0" w:space="0" w:color="auto"/>
        <w:left w:val="none" w:sz="0" w:space="0" w:color="auto"/>
        <w:bottom w:val="none" w:sz="0" w:space="0" w:color="auto"/>
        <w:right w:val="none" w:sz="0" w:space="0" w:color="auto"/>
      </w:divBdr>
    </w:div>
    <w:div w:id="1310789199">
      <w:bodyDiv w:val="1"/>
      <w:marLeft w:val="0"/>
      <w:marRight w:val="0"/>
      <w:marTop w:val="0"/>
      <w:marBottom w:val="0"/>
      <w:divBdr>
        <w:top w:val="none" w:sz="0" w:space="0" w:color="auto"/>
        <w:left w:val="none" w:sz="0" w:space="0" w:color="auto"/>
        <w:bottom w:val="none" w:sz="0" w:space="0" w:color="auto"/>
        <w:right w:val="none" w:sz="0" w:space="0" w:color="auto"/>
      </w:divBdr>
    </w:div>
    <w:div w:id="1333028219">
      <w:bodyDiv w:val="1"/>
      <w:marLeft w:val="0"/>
      <w:marRight w:val="0"/>
      <w:marTop w:val="0"/>
      <w:marBottom w:val="0"/>
      <w:divBdr>
        <w:top w:val="none" w:sz="0" w:space="0" w:color="auto"/>
        <w:left w:val="none" w:sz="0" w:space="0" w:color="auto"/>
        <w:bottom w:val="none" w:sz="0" w:space="0" w:color="auto"/>
        <w:right w:val="none" w:sz="0" w:space="0" w:color="auto"/>
      </w:divBdr>
    </w:div>
    <w:div w:id="1444501217">
      <w:bodyDiv w:val="1"/>
      <w:marLeft w:val="0"/>
      <w:marRight w:val="0"/>
      <w:marTop w:val="0"/>
      <w:marBottom w:val="0"/>
      <w:divBdr>
        <w:top w:val="none" w:sz="0" w:space="0" w:color="auto"/>
        <w:left w:val="none" w:sz="0" w:space="0" w:color="auto"/>
        <w:bottom w:val="none" w:sz="0" w:space="0" w:color="auto"/>
        <w:right w:val="none" w:sz="0" w:space="0" w:color="auto"/>
      </w:divBdr>
    </w:div>
    <w:div w:id="1492671089">
      <w:bodyDiv w:val="1"/>
      <w:marLeft w:val="0"/>
      <w:marRight w:val="0"/>
      <w:marTop w:val="0"/>
      <w:marBottom w:val="0"/>
      <w:divBdr>
        <w:top w:val="none" w:sz="0" w:space="0" w:color="auto"/>
        <w:left w:val="none" w:sz="0" w:space="0" w:color="auto"/>
        <w:bottom w:val="none" w:sz="0" w:space="0" w:color="auto"/>
        <w:right w:val="none" w:sz="0" w:space="0" w:color="auto"/>
      </w:divBdr>
    </w:div>
    <w:div w:id="1634291785">
      <w:bodyDiv w:val="1"/>
      <w:marLeft w:val="0"/>
      <w:marRight w:val="0"/>
      <w:marTop w:val="0"/>
      <w:marBottom w:val="0"/>
      <w:divBdr>
        <w:top w:val="none" w:sz="0" w:space="0" w:color="auto"/>
        <w:left w:val="none" w:sz="0" w:space="0" w:color="auto"/>
        <w:bottom w:val="none" w:sz="0" w:space="0" w:color="auto"/>
        <w:right w:val="none" w:sz="0" w:space="0" w:color="auto"/>
      </w:divBdr>
    </w:div>
    <w:div w:id="1666934614">
      <w:bodyDiv w:val="1"/>
      <w:marLeft w:val="0"/>
      <w:marRight w:val="0"/>
      <w:marTop w:val="0"/>
      <w:marBottom w:val="0"/>
      <w:divBdr>
        <w:top w:val="none" w:sz="0" w:space="0" w:color="auto"/>
        <w:left w:val="none" w:sz="0" w:space="0" w:color="auto"/>
        <w:bottom w:val="none" w:sz="0" w:space="0" w:color="auto"/>
        <w:right w:val="none" w:sz="0" w:space="0" w:color="auto"/>
      </w:divBdr>
    </w:div>
    <w:div w:id="1706759132">
      <w:bodyDiv w:val="1"/>
      <w:marLeft w:val="0"/>
      <w:marRight w:val="0"/>
      <w:marTop w:val="0"/>
      <w:marBottom w:val="0"/>
      <w:divBdr>
        <w:top w:val="none" w:sz="0" w:space="0" w:color="auto"/>
        <w:left w:val="none" w:sz="0" w:space="0" w:color="auto"/>
        <w:bottom w:val="none" w:sz="0" w:space="0" w:color="auto"/>
        <w:right w:val="none" w:sz="0" w:space="0" w:color="auto"/>
      </w:divBdr>
    </w:div>
    <w:div w:id="1720662108">
      <w:bodyDiv w:val="1"/>
      <w:marLeft w:val="0"/>
      <w:marRight w:val="0"/>
      <w:marTop w:val="0"/>
      <w:marBottom w:val="0"/>
      <w:divBdr>
        <w:top w:val="none" w:sz="0" w:space="0" w:color="auto"/>
        <w:left w:val="none" w:sz="0" w:space="0" w:color="auto"/>
        <w:bottom w:val="none" w:sz="0" w:space="0" w:color="auto"/>
        <w:right w:val="none" w:sz="0" w:space="0" w:color="auto"/>
      </w:divBdr>
    </w:div>
    <w:div w:id="1724332532">
      <w:bodyDiv w:val="1"/>
      <w:marLeft w:val="0"/>
      <w:marRight w:val="0"/>
      <w:marTop w:val="0"/>
      <w:marBottom w:val="0"/>
      <w:divBdr>
        <w:top w:val="none" w:sz="0" w:space="0" w:color="auto"/>
        <w:left w:val="none" w:sz="0" w:space="0" w:color="auto"/>
        <w:bottom w:val="none" w:sz="0" w:space="0" w:color="auto"/>
        <w:right w:val="none" w:sz="0" w:space="0" w:color="auto"/>
      </w:divBdr>
    </w:div>
    <w:div w:id="1747341649">
      <w:bodyDiv w:val="1"/>
      <w:marLeft w:val="0"/>
      <w:marRight w:val="0"/>
      <w:marTop w:val="0"/>
      <w:marBottom w:val="0"/>
      <w:divBdr>
        <w:top w:val="none" w:sz="0" w:space="0" w:color="auto"/>
        <w:left w:val="none" w:sz="0" w:space="0" w:color="auto"/>
        <w:bottom w:val="none" w:sz="0" w:space="0" w:color="auto"/>
        <w:right w:val="none" w:sz="0" w:space="0" w:color="auto"/>
      </w:divBdr>
    </w:div>
    <w:div w:id="1759520213">
      <w:bodyDiv w:val="1"/>
      <w:marLeft w:val="0"/>
      <w:marRight w:val="0"/>
      <w:marTop w:val="0"/>
      <w:marBottom w:val="0"/>
      <w:divBdr>
        <w:top w:val="none" w:sz="0" w:space="0" w:color="auto"/>
        <w:left w:val="none" w:sz="0" w:space="0" w:color="auto"/>
        <w:bottom w:val="none" w:sz="0" w:space="0" w:color="auto"/>
        <w:right w:val="none" w:sz="0" w:space="0" w:color="auto"/>
      </w:divBdr>
    </w:div>
    <w:div w:id="1786000454">
      <w:bodyDiv w:val="1"/>
      <w:marLeft w:val="0"/>
      <w:marRight w:val="0"/>
      <w:marTop w:val="0"/>
      <w:marBottom w:val="0"/>
      <w:divBdr>
        <w:top w:val="none" w:sz="0" w:space="0" w:color="auto"/>
        <w:left w:val="none" w:sz="0" w:space="0" w:color="auto"/>
        <w:bottom w:val="none" w:sz="0" w:space="0" w:color="auto"/>
        <w:right w:val="none" w:sz="0" w:space="0" w:color="auto"/>
      </w:divBdr>
    </w:div>
    <w:div w:id="1820613949">
      <w:bodyDiv w:val="1"/>
      <w:marLeft w:val="0"/>
      <w:marRight w:val="0"/>
      <w:marTop w:val="0"/>
      <w:marBottom w:val="0"/>
      <w:divBdr>
        <w:top w:val="none" w:sz="0" w:space="0" w:color="auto"/>
        <w:left w:val="none" w:sz="0" w:space="0" w:color="auto"/>
        <w:bottom w:val="none" w:sz="0" w:space="0" w:color="auto"/>
        <w:right w:val="none" w:sz="0" w:space="0" w:color="auto"/>
      </w:divBdr>
    </w:div>
    <w:div w:id="1830290898">
      <w:bodyDiv w:val="1"/>
      <w:marLeft w:val="0"/>
      <w:marRight w:val="0"/>
      <w:marTop w:val="0"/>
      <w:marBottom w:val="0"/>
      <w:divBdr>
        <w:top w:val="none" w:sz="0" w:space="0" w:color="auto"/>
        <w:left w:val="none" w:sz="0" w:space="0" w:color="auto"/>
        <w:bottom w:val="none" w:sz="0" w:space="0" w:color="auto"/>
        <w:right w:val="none" w:sz="0" w:space="0" w:color="auto"/>
      </w:divBdr>
    </w:div>
    <w:div w:id="1833716759">
      <w:bodyDiv w:val="1"/>
      <w:marLeft w:val="0"/>
      <w:marRight w:val="0"/>
      <w:marTop w:val="0"/>
      <w:marBottom w:val="0"/>
      <w:divBdr>
        <w:top w:val="none" w:sz="0" w:space="0" w:color="auto"/>
        <w:left w:val="none" w:sz="0" w:space="0" w:color="auto"/>
        <w:bottom w:val="none" w:sz="0" w:space="0" w:color="auto"/>
        <w:right w:val="none" w:sz="0" w:space="0" w:color="auto"/>
      </w:divBdr>
    </w:div>
    <w:div w:id="1911576303">
      <w:bodyDiv w:val="1"/>
      <w:marLeft w:val="0"/>
      <w:marRight w:val="0"/>
      <w:marTop w:val="0"/>
      <w:marBottom w:val="0"/>
      <w:divBdr>
        <w:top w:val="none" w:sz="0" w:space="0" w:color="auto"/>
        <w:left w:val="none" w:sz="0" w:space="0" w:color="auto"/>
        <w:bottom w:val="none" w:sz="0" w:space="0" w:color="auto"/>
        <w:right w:val="none" w:sz="0" w:space="0" w:color="auto"/>
      </w:divBdr>
    </w:div>
    <w:div w:id="1924680488">
      <w:bodyDiv w:val="1"/>
      <w:marLeft w:val="0"/>
      <w:marRight w:val="0"/>
      <w:marTop w:val="0"/>
      <w:marBottom w:val="0"/>
      <w:divBdr>
        <w:top w:val="none" w:sz="0" w:space="0" w:color="auto"/>
        <w:left w:val="none" w:sz="0" w:space="0" w:color="auto"/>
        <w:bottom w:val="none" w:sz="0" w:space="0" w:color="auto"/>
        <w:right w:val="none" w:sz="0" w:space="0" w:color="auto"/>
      </w:divBdr>
    </w:div>
    <w:div w:id="1961061249">
      <w:bodyDiv w:val="1"/>
      <w:marLeft w:val="0"/>
      <w:marRight w:val="0"/>
      <w:marTop w:val="0"/>
      <w:marBottom w:val="0"/>
      <w:divBdr>
        <w:top w:val="none" w:sz="0" w:space="0" w:color="auto"/>
        <w:left w:val="none" w:sz="0" w:space="0" w:color="auto"/>
        <w:bottom w:val="none" w:sz="0" w:space="0" w:color="auto"/>
        <w:right w:val="none" w:sz="0" w:space="0" w:color="auto"/>
      </w:divBdr>
    </w:div>
    <w:div w:id="1968244737">
      <w:bodyDiv w:val="1"/>
      <w:marLeft w:val="0"/>
      <w:marRight w:val="0"/>
      <w:marTop w:val="0"/>
      <w:marBottom w:val="0"/>
      <w:divBdr>
        <w:top w:val="none" w:sz="0" w:space="0" w:color="auto"/>
        <w:left w:val="none" w:sz="0" w:space="0" w:color="auto"/>
        <w:bottom w:val="none" w:sz="0" w:space="0" w:color="auto"/>
        <w:right w:val="none" w:sz="0" w:space="0" w:color="auto"/>
      </w:divBdr>
    </w:div>
    <w:div w:id="1994333348">
      <w:bodyDiv w:val="1"/>
      <w:marLeft w:val="0"/>
      <w:marRight w:val="0"/>
      <w:marTop w:val="0"/>
      <w:marBottom w:val="0"/>
      <w:divBdr>
        <w:top w:val="none" w:sz="0" w:space="0" w:color="auto"/>
        <w:left w:val="none" w:sz="0" w:space="0" w:color="auto"/>
        <w:bottom w:val="none" w:sz="0" w:space="0" w:color="auto"/>
        <w:right w:val="none" w:sz="0" w:space="0" w:color="auto"/>
      </w:divBdr>
    </w:div>
    <w:div w:id="2019885438">
      <w:bodyDiv w:val="1"/>
      <w:marLeft w:val="0"/>
      <w:marRight w:val="0"/>
      <w:marTop w:val="0"/>
      <w:marBottom w:val="0"/>
      <w:divBdr>
        <w:top w:val="none" w:sz="0" w:space="0" w:color="auto"/>
        <w:left w:val="none" w:sz="0" w:space="0" w:color="auto"/>
        <w:bottom w:val="none" w:sz="0" w:space="0" w:color="auto"/>
        <w:right w:val="none" w:sz="0" w:space="0" w:color="auto"/>
      </w:divBdr>
    </w:div>
    <w:div w:id="2052530836">
      <w:bodyDiv w:val="1"/>
      <w:marLeft w:val="0"/>
      <w:marRight w:val="0"/>
      <w:marTop w:val="0"/>
      <w:marBottom w:val="0"/>
      <w:divBdr>
        <w:top w:val="none" w:sz="0" w:space="0" w:color="auto"/>
        <w:left w:val="none" w:sz="0" w:space="0" w:color="auto"/>
        <w:bottom w:val="none" w:sz="0" w:space="0" w:color="auto"/>
        <w:right w:val="none" w:sz="0" w:space="0" w:color="auto"/>
      </w:divBdr>
    </w:div>
    <w:div w:id="2057463688">
      <w:bodyDiv w:val="1"/>
      <w:marLeft w:val="0"/>
      <w:marRight w:val="0"/>
      <w:marTop w:val="0"/>
      <w:marBottom w:val="0"/>
      <w:divBdr>
        <w:top w:val="none" w:sz="0" w:space="0" w:color="auto"/>
        <w:left w:val="none" w:sz="0" w:space="0" w:color="auto"/>
        <w:bottom w:val="none" w:sz="0" w:space="0" w:color="auto"/>
        <w:right w:val="none" w:sz="0" w:space="0" w:color="auto"/>
      </w:divBdr>
    </w:div>
    <w:div w:id="2086416061">
      <w:bodyDiv w:val="1"/>
      <w:marLeft w:val="0"/>
      <w:marRight w:val="0"/>
      <w:marTop w:val="0"/>
      <w:marBottom w:val="0"/>
      <w:divBdr>
        <w:top w:val="none" w:sz="0" w:space="0" w:color="auto"/>
        <w:left w:val="none" w:sz="0" w:space="0" w:color="auto"/>
        <w:bottom w:val="none" w:sz="0" w:space="0" w:color="auto"/>
        <w:right w:val="none" w:sz="0" w:space="0" w:color="auto"/>
      </w:divBdr>
    </w:div>
    <w:div w:id="214415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health.org.uk" TargetMode="External"/><Relationship Id="rId18" Type="http://schemas.openxmlformats.org/officeDocument/2006/relationships/hyperlink" Target="https://www.nhsconfed.org" TargetMode="External"/><Relationship Id="rId26" Type="http://schemas.openxmlformats.org/officeDocument/2006/relationships/hyperlink" Target="https://www.who.int/publications/i/item/9789240020924" TargetMode="External"/><Relationship Id="rId3" Type="http://schemas.openxmlformats.org/officeDocument/2006/relationships/settings" Target="settings.xml"/><Relationship Id="rId21" Type="http://schemas.openxmlformats.org/officeDocument/2006/relationships/hyperlink" Target="https://www.dsptoolkit.nhs.uk" TargetMode="External"/><Relationship Id="rId7" Type="http://schemas.openxmlformats.org/officeDocument/2006/relationships/hyperlink" Target="https://doi.org/10.1371/journal.pdig.0000559" TargetMode="External"/><Relationship Id="rId12" Type="http://schemas.openxmlformats.org/officeDocument/2006/relationships/hyperlink" Target="https://www.hee.nhs.uk" TargetMode="External"/><Relationship Id="rId17" Type="http://schemas.openxmlformats.org/officeDocument/2006/relationships/hyperlink" Target="https://www.nice.org.uk" TargetMode="External"/><Relationship Id="rId25" Type="http://schemas.openxmlformats.org/officeDocument/2006/relationships/hyperlink" Target="https://doi.org/10.1016/j.ijmedinf.2020.104241" TargetMode="External"/><Relationship Id="rId2" Type="http://schemas.openxmlformats.org/officeDocument/2006/relationships/styles" Target="styles.xml"/><Relationship Id="rId16" Type="http://schemas.openxmlformats.org/officeDocument/2006/relationships/hyperlink" Target="https://doi.org/10.1177/20552076221126761" TargetMode="External"/><Relationship Id="rId20" Type="http://schemas.openxmlformats.org/officeDocument/2006/relationships/hyperlink" Target="https://www.england.nhs.uk/long-read/what-good-looks-lik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jmir.8775" TargetMode="External"/><Relationship Id="rId24" Type="http://schemas.openxmlformats.org/officeDocument/2006/relationships/hyperlink" Target="https://topol.hee.nhs.uk" TargetMode="External"/><Relationship Id="rId5" Type="http://schemas.openxmlformats.org/officeDocument/2006/relationships/footnotes" Target="footnotes.xml"/><Relationship Id="rId15" Type="http://schemas.openxmlformats.org/officeDocument/2006/relationships/hyperlink" Target="https://doi.org/10.1136/thorax-2023-220968" TargetMode="External"/><Relationship Id="rId23" Type="http://schemas.openxmlformats.org/officeDocument/2006/relationships/hyperlink" Target="https://www.kingsfund.org.uk" TargetMode="External"/><Relationship Id="rId28" Type="http://schemas.openxmlformats.org/officeDocument/2006/relationships/fontTable" Target="fontTable.xml"/><Relationship Id="rId10" Type="http://schemas.openxmlformats.org/officeDocument/2006/relationships/hyperlink" Target="https://www.gov.uk/government/publications/data-saves-lives-reshaping-health-and-social-care-with-data" TargetMode="External"/><Relationship Id="rId19"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gov.uk/government/publications/a-plan-for-digital-health-and-social-care" TargetMode="External"/><Relationship Id="rId14" Type="http://schemas.openxmlformats.org/officeDocument/2006/relationships/hyperlink" Target="https://ico.org.uk" TargetMode="External"/><Relationship Id="rId22" Type="http://schemas.openxmlformats.org/officeDocument/2006/relationships/hyperlink" Target="https://www.nuffieldtrust.org.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130eef0-b106-4be4-9041-04ed1aa09543}" enabled="1" method="Privileged" siteId="{dd29478d-624e-429e-b453-fffc969ac768}" removed="0"/>
</clbl:labelList>
</file>

<file path=docProps/app.xml><?xml version="1.0" encoding="utf-8"?>
<Properties xmlns="http://schemas.openxmlformats.org/officeDocument/2006/extended-properties" xmlns:vt="http://schemas.openxmlformats.org/officeDocument/2006/docPropsVTypes">
  <Template>Normal.dotm</Template>
  <TotalTime>433</TotalTime>
  <Pages>11</Pages>
  <Words>3570</Words>
  <Characters>20354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dc:creator>
  <cp:keywords/>
  <dc:description/>
  <cp:lastModifiedBy>Melania Ciornei</cp:lastModifiedBy>
  <cp:revision>39</cp:revision>
  <cp:lastPrinted>2026-06-17T09:17:00Z</cp:lastPrinted>
  <dcterms:created xsi:type="dcterms:W3CDTF">2026-06-11T01:33:00Z</dcterms:created>
  <dcterms:modified xsi:type="dcterms:W3CDTF">2026-06-18T12:23:00Z</dcterms:modified>
</cp:coreProperties>
</file>