
<file path=[Content_Types].xml><?xml version="1.0" encoding="utf-8"?>
<Types xmlns="http://schemas.openxmlformats.org/package/2006/content-types">
  <Default Extension="emf" ContentType="image/x-emf"/>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948449006"/>
        <w:docPartObj>
          <w:docPartGallery w:val="Cover Pages"/>
          <w:docPartUnique/>
        </w:docPartObj>
      </w:sdtPr>
      <w:sdtContent>
        <w:p w14:paraId="6C312653" w14:textId="317A31A1" w:rsidR="008348A1" w:rsidRDefault="00475723">
          <w:r>
            <w:rPr>
              <w:noProof/>
            </w:rPr>
            <mc:AlternateContent>
              <mc:Choice Requires="wps">
                <w:drawing>
                  <wp:anchor distT="45720" distB="45720" distL="114300" distR="114300" simplePos="0" relativeHeight="251664384" behindDoc="0" locked="0" layoutInCell="1" allowOverlap="1" wp14:anchorId="76C3F267" wp14:editId="5310C7F5">
                    <wp:simplePos x="0" y="0"/>
                    <wp:positionH relativeFrom="column">
                      <wp:posOffset>590550</wp:posOffset>
                    </wp:positionH>
                    <wp:positionV relativeFrom="paragraph">
                      <wp:posOffset>317500</wp:posOffset>
                    </wp:positionV>
                    <wp:extent cx="4603750" cy="1517650"/>
                    <wp:effectExtent l="0" t="0" r="25400" b="2540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603750" cy="1517650"/>
                            </a:xfrm>
                            <a:prstGeom prst="rect">
                              <a:avLst/>
                            </a:prstGeom>
                            <a:solidFill>
                              <a:srgbClr val="FFFFFF"/>
                            </a:solidFill>
                            <a:ln w="9525">
                              <a:solidFill>
                                <a:srgbClr val="000000"/>
                              </a:solidFill>
                              <a:miter lim="800000"/>
                              <a:headEnd/>
                              <a:tailEnd/>
                            </a:ln>
                          </wps:spPr>
                          <wps:txbx>
                            <w:txbxContent>
                              <w:p w14:paraId="5575933C" w14:textId="16632D1A" w:rsidR="003E2264" w:rsidRDefault="003E2264">
                                <w:r w:rsidRPr="003E2264">
                                  <w:rPr>
                                    <w:rFonts w:ascii="Aptos" w:eastAsia="MS Mincho" w:hAnsi="Aptos" w:cs="Arial"/>
                                    <w:noProof/>
                                    <w:kern w:val="0"/>
                                    <w:lang w:eastAsia="ja-JP"/>
                                    <w14:ligatures w14:val="none"/>
                                  </w:rPr>
                                  <w:drawing>
                                    <wp:inline distT="0" distB="0" distL="0" distR="0" wp14:anchorId="75C5FE0E" wp14:editId="0AE6DDC3">
                                      <wp:extent cx="4150360" cy="1339403"/>
                                      <wp:effectExtent l="0" t="0" r="2540" b="0"/>
                                      <wp:docPr id="546354204" name="drawing" descr="A close up of a logo&#10;&#10;AI-generated content may be incorrect.">
                                        <a:extLst xmlns:a="http://schemas.openxmlformats.org/drawingml/2006/main">
                                          <a:ext uri="{FF2B5EF4-FFF2-40B4-BE49-F238E27FC236}">
                                            <a16:creationId xmlns:a16="http://schemas.microsoft.com/office/drawing/2014/main" id="{13016A84-0D5B-44A3-B21D-EF8674C259F8}"/>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6354204" name="drawing" descr="A close up of a logo&#10;&#10;AI-generated content may be incorrect."/>
                                              <pic:cNvPicPr/>
                                            </pic:nvPicPr>
                                            <pic:blipFill>
                                              <a:blip r:embed="rId9">
                                                <a:extLst>
                                                  <a:ext uri="{28A0092B-C50C-407E-A947-70E740481C1C}">
                                                    <a14:useLocalDpi xmlns:a14="http://schemas.microsoft.com/office/drawing/2010/main"/>
                                                  </a:ext>
                                                </a:extLst>
                                              </a:blip>
                                              <a:stretch>
                                                <a:fillRect/>
                                              </a:stretch>
                                            </pic:blipFill>
                                            <pic:spPr>
                                              <a:xfrm>
                                                <a:off x="0" y="0"/>
                                                <a:ext cx="4243054" cy="1369317"/>
                                              </a:xfrm>
                                              <a:prstGeom prst="rect">
                                                <a:avLst/>
                                              </a:prstGeom>
                                            </pic:spPr>
                                          </pic:pic>
                                        </a:graphicData>
                                      </a:graphic>
                                    </wp:inline>
                                  </w:drawing>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76C3F267" id="_x0000_t202" coordsize="21600,21600" o:spt="202" path="m,l,21600r21600,l21600,xe">
                    <v:stroke joinstyle="miter"/>
                    <v:path gradientshapeok="t" o:connecttype="rect"/>
                  </v:shapetype>
                  <v:shape id="Text Box 2" o:spid="_x0000_s1026" type="#_x0000_t202" style="position:absolute;margin-left:46.5pt;margin-top:25pt;width:362.5pt;height:119.5pt;z-index:25166438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">
                    <v:textbox>
                      <w:txbxContent>
                        <w:p w14:paraId="5575933C" w14:textId="16632D1A" w:rsidR="003E2264" w:rsidRDefault="003E2264">
                          <w:r w:rsidRPr="003E2264">
                            <w:rPr>
                              <w:rFonts w:ascii="Aptos" w:eastAsia="MS Mincho" w:hAnsi="Aptos" w:cs="Arial"/>
                              <w:noProof/>
                              <w:kern w:val="0"/>
                              <w:lang w:eastAsia="ja-JP"/>
                              <w14:ligatures w14:val="none"/>
                            </w:rPr>
                            <w:drawing>
                              <wp:inline distT="0" distB="0" distL="0" distR="0" wp14:anchorId="75C5FE0E" wp14:editId="0AE6DDC3">
                                <wp:extent cx="4150360" cy="1339403"/>
                                <wp:effectExtent l="0" t="0" r="2540" b="0"/>
                                <wp:docPr id="546354204" name="drawing" descr="A close up of a logo&#10;&#10;AI-generated content may be incorrect.">
                                  <a:extLst xmlns:a="http://schemas.openxmlformats.org/drawingml/2006/main">
                                    <a:ext uri="{FF2B5EF4-FFF2-40B4-BE49-F238E27FC236}">
                                      <a16:creationId xmlns:a16="http://schemas.microsoft.com/office/drawing/2014/main" id="{13016A84-0D5B-44A3-B21D-EF8674C259F8}"/>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6354204" name="drawing" descr="A close up of a logo&#10;&#10;AI-generated content may be incorrect."/>
                                        <pic:cNvPicPr/>
                                      </pic:nvPicPr>
                                      <pic:blipFill>
                                        <a:blip r:embed="rId9">
                                          <a:extLst>
                                            <a:ext uri="{28A0092B-C50C-407E-A947-70E740481C1C}">
                                              <a14:useLocalDpi xmlns:a14="http://schemas.microsoft.com/office/drawing/2010/main"/>
                                            </a:ext>
                                          </a:extLst>
                                        </a:blip>
                                        <a:stretch>
                                          <a:fillRect/>
                                        </a:stretch>
                                      </pic:blipFill>
                                      <pic:spPr>
                                        <a:xfrm>
                                          <a:off x="0" y="0"/>
                                          <a:ext cx="4243054" cy="1369317"/>
                                        </a:xfrm>
                                        <a:prstGeom prst="rect">
                                          <a:avLst/>
                                        </a:prstGeom>
                                      </pic:spPr>
                                    </pic:pic>
                                  </a:graphicData>
                                </a:graphic>
                              </wp:inline>
                            </w:drawing>
                          </w:r>
                        </w:p>
                      </w:txbxContent>
                    </v:textbox>
                    <w10:wrap type="square"/>
                  </v:shape>
                </w:pict>
              </mc:Fallback>
            </mc:AlternateContent>
          </w:r>
          <w:r w:rsidR="008348A1">
            <w:rPr>
              <w:noProof/>
            </w:rPr>
            <mc:AlternateContent>
              <mc:Choice Requires="wpg">
                <w:drawing>
                  <wp:anchor distT="0" distB="0" distL="114300" distR="114300" simplePos="0" relativeHeight="251662336" behindDoc="0" locked="0" layoutInCell="1" allowOverlap="1" wp14:anchorId="34982DF2" wp14:editId="1FDB176D">
                    <wp:simplePos x="0" y="0"/>
                    <wp:positionH relativeFrom="margin">
                      <wp:align>center</wp:align>
                    </wp:positionH>
                    <wp:positionV relativeFrom="page">
                      <wp:align>top</wp:align>
                    </wp:positionV>
                    <wp:extent cx="7315200" cy="1215391"/>
                    <wp:effectExtent l="0" t="0" r="0" b="1905"/>
                    <wp:wrapNone/>
                    <wp:docPr id="149" name="Group 157"/>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10"/>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2F066895" id="Group 157" o:spid="_x0000_s1026" style="position:absolute;margin-left:0;margin-top:0;width:8in;height:95.7pt;z-index:251662336;mso-width-percent:941;mso-height-percent:121;mso-position-horizontal:center;mso-position-horizontal-relative:margin;mso-position-vertical:top;mso-position-vertical-relative:page;mso-width-percent:941;mso-height-percent:121"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" path="m,l7312660,r,1129665l3619500,733425,,1091565,,xe" fillcolor="#156082 [3204]" stroked="f" strokeweight="1.5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" stroked="f" strokeweight="1.5pt">
                      <v:fill r:id="rId11" o:title="" recolor="t" rotate="t" type="frame"/>
                    </v:rect>
                    <w10:wrap anchorx="margin" anchory="page"/>
                  </v:group>
                </w:pict>
              </mc:Fallback>
            </mc:AlternateContent>
          </w:r>
          <w:r w:rsidR="008348A1">
            <w:rPr>
              <w:noProof/>
            </w:rPr>
            <mc:AlternateContent>
              <mc:Choice Requires="wps">
                <w:drawing>
                  <wp:anchor distT="0" distB="0" distL="114300" distR="114300" simplePos="0" relativeHeight="251660288" behindDoc="0" locked="0" layoutInCell="1" allowOverlap="1" wp14:anchorId="7E0F1B44" wp14:editId="2495EEF9">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9"/>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0D8E5C81" w14:textId="519CE25B" w:rsidR="008348A1" w:rsidRDefault="008348A1">
                                    <w:pPr>
                                      <w:pStyle w:val="NoSpacing"/>
                                      <w:jc w:val="right"/>
                                      <w:rPr>
                                        <w:color w:val="595959" w:themeColor="text1" w:themeTint="A6"/>
                                        <w:sz w:val="28"/>
                                        <w:szCs w:val="28"/>
                                      </w:rPr>
                                    </w:pPr>
                                    <w:r>
                                      <w:rPr>
                                        <w:color w:val="595959" w:themeColor="text1" w:themeTint="A6"/>
                                        <w:sz w:val="28"/>
                                        <w:szCs w:val="28"/>
                                      </w:rPr>
                                      <w:t>Mumtaz Aziz (2324051)</w:t>
                                    </w:r>
                                  </w:p>
                                </w:sdtContent>
                              </w:sdt>
                              <w:p w14:paraId="297F7E75" w14:textId="0C723268" w:rsidR="008348A1" w:rsidRDefault="008348A1">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sidR="003E2264">
                                      <w:rPr>
                                        <w:color w:val="595959" w:themeColor="text1" w:themeTint="A6"/>
                                        <w:sz w:val="18"/>
                                        <w:szCs w:val="18"/>
                                      </w:rPr>
                                      <w:t xml:space="preserve">     </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 w14:anchorId="7E0F1B44" id="Text Box 159" o:spid="_x0000_s1027"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0D8E5C81" w14:textId="519CE25B" w:rsidR="008348A1" w:rsidRDefault="008348A1">
                              <w:pPr>
                                <w:pStyle w:val="NoSpacing"/>
                                <w:jc w:val="right"/>
                                <w:rPr>
                                  <w:color w:val="595959" w:themeColor="text1" w:themeTint="A6"/>
                                  <w:sz w:val="28"/>
                                  <w:szCs w:val="28"/>
                                </w:rPr>
                              </w:pPr>
                              <w:r>
                                <w:rPr>
                                  <w:color w:val="595959" w:themeColor="text1" w:themeTint="A6"/>
                                  <w:sz w:val="28"/>
                                  <w:szCs w:val="28"/>
                                </w:rPr>
                                <w:t>Mumtaz Aziz (2324051)</w:t>
                              </w:r>
                            </w:p>
                          </w:sdtContent>
                        </w:sdt>
                        <w:p w14:paraId="297F7E75" w14:textId="0C723268" w:rsidR="008348A1" w:rsidRDefault="008348A1">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sidR="003E2264">
                                <w:rPr>
                                  <w:color w:val="595959" w:themeColor="text1" w:themeTint="A6"/>
                                  <w:sz w:val="18"/>
                                  <w:szCs w:val="18"/>
                                </w:rPr>
                                <w:t xml:space="preserve">     </w:t>
                              </w:r>
                            </w:sdtContent>
                          </w:sdt>
                        </w:p>
                      </w:txbxContent>
                    </v:textbox>
                    <w10:wrap type="square" anchorx="page" anchory="page"/>
                  </v:shape>
                </w:pict>
              </mc:Fallback>
            </mc:AlternateContent>
          </w:r>
          <w:r w:rsidR="008348A1">
            <w:rPr>
              <w:noProof/>
            </w:rPr>
            <mc:AlternateContent>
              <mc:Choice Requires="wps">
                <w:drawing>
                  <wp:anchor distT="0" distB="0" distL="114300" distR="114300" simplePos="0" relativeHeight="251661312" behindDoc="0" locked="0" layoutInCell="1" allowOverlap="1" wp14:anchorId="26FD9642" wp14:editId="697A269C">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61"/>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AD5F76C" w14:textId="779DD50F" w:rsidR="008348A1" w:rsidRDefault="008348A1">
                                <w:pPr>
                                  <w:pStyle w:val="NoSpacing"/>
                                  <w:jc w:val="right"/>
                                  <w:rPr>
                                    <w:color w:val="156082" w:themeColor="accent1"/>
                                    <w:sz w:val="28"/>
                                    <w:szCs w:val="28"/>
                                  </w:rPr>
                                </w:pPr>
                              </w:p>
                              <w:sdt>
                                <w:sdtPr>
                                  <w:rPr>
                                    <w:b/>
                                    <w:bCs/>
                                    <w:color w:val="595959" w:themeColor="text1" w:themeTint="A6"/>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Content>
                                  <w:p w14:paraId="6D81C4AC" w14:textId="2F42A69D" w:rsidR="008348A1" w:rsidRDefault="00B07D24">
                                    <w:pPr>
                                      <w:pStyle w:val="NoSpacing"/>
                                      <w:jc w:val="right"/>
                                      <w:rPr>
                                        <w:color w:val="595959" w:themeColor="text1" w:themeTint="A6"/>
                                        <w:sz w:val="20"/>
                                        <w:szCs w:val="20"/>
                                      </w:rPr>
                                    </w:pPr>
                                    <w:r w:rsidRPr="00B07D24">
                                      <w:rPr>
                                        <w:b/>
                                        <w:bCs/>
                                        <w:color w:val="595959" w:themeColor="text1" w:themeTint="A6"/>
                                        <w:sz w:val="20"/>
                                        <w:szCs w:val="20"/>
                                      </w:rPr>
                                      <w:t>Module code: LCLM5002</w:t>
                                    </w:r>
                                    <w:r w:rsidRPr="00B07D24">
                                      <w:rPr>
                                        <w:b/>
                                        <w:bCs/>
                                        <w:color w:val="595959" w:themeColor="text1" w:themeTint="A6"/>
                                        <w:sz w:val="20"/>
                                        <w:szCs w:val="20"/>
                                      </w:rPr>
                                      <w:br/>
                                      <w:t>Lecturer:</w:t>
                                    </w:r>
                                    <w:r>
                                      <w:rPr>
                                        <w:b/>
                                        <w:bCs/>
                                        <w:color w:val="595959" w:themeColor="text1" w:themeTint="A6"/>
                                        <w:sz w:val="20"/>
                                        <w:szCs w:val="20"/>
                                      </w:rPr>
                                      <w:t xml:space="preserve"> </w:t>
                                    </w:r>
                                    <w:r w:rsidR="00475723">
                                      <w:rPr>
                                        <w:b/>
                                        <w:bCs/>
                                        <w:color w:val="595959" w:themeColor="text1" w:themeTint="A6"/>
                                        <w:sz w:val="20"/>
                                        <w:szCs w:val="20"/>
                                      </w:rPr>
                                      <w:t xml:space="preserve">Dr Doreen Nyaa </w:t>
                                    </w:r>
                                    <w:proofErr w:type="spellStart"/>
                                    <w:r w:rsidR="00475723">
                                      <w:rPr>
                                        <w:b/>
                                        <w:bCs/>
                                        <w:color w:val="595959" w:themeColor="text1" w:themeTint="A6"/>
                                        <w:sz w:val="20"/>
                                        <w:szCs w:val="20"/>
                                      </w:rPr>
                                      <w:t>Amundam</w:t>
                                    </w:r>
                                    <w:proofErr w:type="spellEnd"/>
                                    <w:r w:rsidR="00475723">
                                      <w:rPr>
                                        <w:b/>
                                        <w:bCs/>
                                        <w:color w:val="595959" w:themeColor="text1" w:themeTint="A6"/>
                                        <w:sz w:val="20"/>
                                        <w:szCs w:val="20"/>
                                      </w:rPr>
                                      <w:br/>
                                      <w:t>Assignment Title: Component 2 Report</w:t>
                                    </w:r>
                                    <w:r w:rsidRPr="00B07D24">
                                      <w:rPr>
                                        <w:b/>
                                        <w:bCs/>
                                        <w:color w:val="595959" w:themeColor="text1" w:themeTint="A6"/>
                                        <w:sz w:val="20"/>
                                        <w:szCs w:val="20"/>
                                      </w:rPr>
                                      <w:br/>
                                      <w:t>Word Count (</w:t>
                                    </w:r>
                                    <w:proofErr w:type="spellStart"/>
                                    <w:r w:rsidRPr="00B07D24">
                                      <w:rPr>
                                        <w:b/>
                                        <w:bCs/>
                                        <w:color w:val="595959" w:themeColor="text1" w:themeTint="A6"/>
                                        <w:sz w:val="20"/>
                                        <w:szCs w:val="20"/>
                                      </w:rPr>
                                      <w:t>approx</w:t>
                                    </w:r>
                                    <w:proofErr w:type="spellEnd"/>
                                    <w:r w:rsidRPr="00B07D24">
                                      <w:rPr>
                                        <w:b/>
                                        <w:bCs/>
                                        <w:color w:val="595959" w:themeColor="text1" w:themeTint="A6"/>
                                        <w:sz w:val="20"/>
                                        <w:szCs w:val="20"/>
                                      </w:rPr>
                                      <w:t>): 2086</w:t>
                                    </w:r>
                                    <w:r>
                                      <w:rPr>
                                        <w:b/>
                                        <w:bCs/>
                                        <w:color w:val="595959" w:themeColor="text1" w:themeTint="A6"/>
                                        <w:sz w:val="20"/>
                                        <w:szCs w:val="20"/>
                                      </w:rPr>
                                      <w:br/>
                                      <w:t>Submission Date: 02 April 2026</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26FD9642" id="Text Box 161" o:spid="_x0000_s1028"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" filled="f" stroked="f" strokeweight=".5pt">
                    <v:textbox style="mso-fit-shape-to-text:t" inset="126pt,0,54pt,0">
                      <w:txbxContent>
                        <w:p w14:paraId="2AD5F76C" w14:textId="779DD50F" w:rsidR="008348A1" w:rsidRDefault="008348A1">
                          <w:pPr>
                            <w:pStyle w:val="NoSpacing"/>
                            <w:jc w:val="right"/>
                            <w:rPr>
                              <w:color w:val="156082" w:themeColor="accent1"/>
                              <w:sz w:val="28"/>
                              <w:szCs w:val="28"/>
                            </w:rPr>
                          </w:pPr>
                        </w:p>
                        <w:sdt>
                          <w:sdtPr>
                            <w:rPr>
                              <w:b/>
                              <w:bCs/>
                              <w:color w:val="595959" w:themeColor="text1" w:themeTint="A6"/>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Content>
                            <w:p w14:paraId="6D81C4AC" w14:textId="2F42A69D" w:rsidR="008348A1" w:rsidRDefault="00B07D24">
                              <w:pPr>
                                <w:pStyle w:val="NoSpacing"/>
                                <w:jc w:val="right"/>
                                <w:rPr>
                                  <w:color w:val="595959" w:themeColor="text1" w:themeTint="A6"/>
                                  <w:sz w:val="20"/>
                                  <w:szCs w:val="20"/>
                                </w:rPr>
                              </w:pPr>
                              <w:r w:rsidRPr="00B07D24">
                                <w:rPr>
                                  <w:b/>
                                  <w:bCs/>
                                  <w:color w:val="595959" w:themeColor="text1" w:themeTint="A6"/>
                                  <w:sz w:val="20"/>
                                  <w:szCs w:val="20"/>
                                </w:rPr>
                                <w:t>Module code: LCLM5002</w:t>
                              </w:r>
                              <w:r w:rsidRPr="00B07D24">
                                <w:rPr>
                                  <w:b/>
                                  <w:bCs/>
                                  <w:color w:val="595959" w:themeColor="text1" w:themeTint="A6"/>
                                  <w:sz w:val="20"/>
                                  <w:szCs w:val="20"/>
                                </w:rPr>
                                <w:br/>
                                <w:t>Lecturer:</w:t>
                              </w:r>
                              <w:r>
                                <w:rPr>
                                  <w:b/>
                                  <w:bCs/>
                                  <w:color w:val="595959" w:themeColor="text1" w:themeTint="A6"/>
                                  <w:sz w:val="20"/>
                                  <w:szCs w:val="20"/>
                                </w:rPr>
                                <w:t xml:space="preserve"> </w:t>
                              </w:r>
                              <w:r w:rsidR="00475723">
                                <w:rPr>
                                  <w:b/>
                                  <w:bCs/>
                                  <w:color w:val="595959" w:themeColor="text1" w:themeTint="A6"/>
                                  <w:sz w:val="20"/>
                                  <w:szCs w:val="20"/>
                                </w:rPr>
                                <w:t xml:space="preserve">Dr Doreen Nyaa </w:t>
                              </w:r>
                              <w:proofErr w:type="spellStart"/>
                              <w:r w:rsidR="00475723">
                                <w:rPr>
                                  <w:b/>
                                  <w:bCs/>
                                  <w:color w:val="595959" w:themeColor="text1" w:themeTint="A6"/>
                                  <w:sz w:val="20"/>
                                  <w:szCs w:val="20"/>
                                </w:rPr>
                                <w:t>Amundam</w:t>
                              </w:r>
                              <w:proofErr w:type="spellEnd"/>
                              <w:r w:rsidR="00475723">
                                <w:rPr>
                                  <w:b/>
                                  <w:bCs/>
                                  <w:color w:val="595959" w:themeColor="text1" w:themeTint="A6"/>
                                  <w:sz w:val="20"/>
                                  <w:szCs w:val="20"/>
                                </w:rPr>
                                <w:br/>
                                <w:t>Assignment Title: Component 2 Report</w:t>
                              </w:r>
                              <w:r w:rsidRPr="00B07D24">
                                <w:rPr>
                                  <w:b/>
                                  <w:bCs/>
                                  <w:color w:val="595959" w:themeColor="text1" w:themeTint="A6"/>
                                  <w:sz w:val="20"/>
                                  <w:szCs w:val="20"/>
                                </w:rPr>
                                <w:br/>
                                <w:t>Word Count (</w:t>
                              </w:r>
                              <w:proofErr w:type="spellStart"/>
                              <w:r w:rsidRPr="00B07D24">
                                <w:rPr>
                                  <w:b/>
                                  <w:bCs/>
                                  <w:color w:val="595959" w:themeColor="text1" w:themeTint="A6"/>
                                  <w:sz w:val="20"/>
                                  <w:szCs w:val="20"/>
                                </w:rPr>
                                <w:t>approx</w:t>
                              </w:r>
                              <w:proofErr w:type="spellEnd"/>
                              <w:r w:rsidRPr="00B07D24">
                                <w:rPr>
                                  <w:b/>
                                  <w:bCs/>
                                  <w:color w:val="595959" w:themeColor="text1" w:themeTint="A6"/>
                                  <w:sz w:val="20"/>
                                  <w:szCs w:val="20"/>
                                </w:rPr>
                                <w:t>): 2086</w:t>
                              </w:r>
                              <w:r>
                                <w:rPr>
                                  <w:b/>
                                  <w:bCs/>
                                  <w:color w:val="595959" w:themeColor="text1" w:themeTint="A6"/>
                                  <w:sz w:val="20"/>
                                  <w:szCs w:val="20"/>
                                </w:rPr>
                                <w:br/>
                                <w:t>Submission Date: 02 April 2026</w:t>
                              </w:r>
                            </w:p>
                          </w:sdtContent>
                        </w:sdt>
                      </w:txbxContent>
                    </v:textbox>
                    <w10:wrap type="square" anchorx="page" anchory="page"/>
                  </v:shape>
                </w:pict>
              </mc:Fallback>
            </mc:AlternateContent>
          </w:r>
        </w:p>
        <w:p w14:paraId="46633247" w14:textId="170838DD" w:rsidR="00D66A99" w:rsidRPr="008348A1" w:rsidRDefault="00475723" w:rsidP="008348A1">
          <w:pPr>
            <w:rPr>
              <w:rFonts w:asciiTheme="majorHAnsi" w:eastAsiaTheme="majorEastAsia" w:hAnsiTheme="majorHAnsi" w:cstheme="majorBidi"/>
              <w:color w:val="0F4761" w:themeColor="accent1" w:themeShade="BF"/>
              <w:sz w:val="40"/>
              <w:szCs w:val="40"/>
            </w:rPr>
          </w:pPr>
          <w:r>
            <w:rPr>
              <w:noProof/>
            </w:rPr>
            <mc:AlternateContent>
              <mc:Choice Requires="wps">
                <w:drawing>
                  <wp:anchor distT="0" distB="0" distL="114300" distR="114300" simplePos="0" relativeHeight="251659264" behindDoc="0" locked="0" layoutInCell="1" allowOverlap="1" wp14:anchorId="0E281733" wp14:editId="384DAC9D">
                    <wp:simplePos x="0" y="0"/>
                    <wp:positionH relativeFrom="page">
                      <wp:posOffset>920750</wp:posOffset>
                    </wp:positionH>
                    <wp:positionV relativeFrom="page">
                      <wp:posOffset>3644900</wp:posOffset>
                    </wp:positionV>
                    <wp:extent cx="6416040" cy="3434080"/>
                    <wp:effectExtent l="0" t="0" r="0" b="13970"/>
                    <wp:wrapSquare wrapText="bothSides"/>
                    <wp:docPr id="154" name="Text Box 163"/>
                    <wp:cNvGraphicFramePr/>
                    <a:graphic xmlns:a="http://schemas.openxmlformats.org/drawingml/2006/main">
                      <a:graphicData uri="http://schemas.microsoft.com/office/word/2010/wordprocessingShape">
                        <wps:wsp>
                          <wps:cNvSpPr txBox="1"/>
                          <wps:spPr>
                            <a:xfrm>
                              <a:off x="0" y="0"/>
                              <a:ext cx="6416040" cy="343408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9D9D611" w14:textId="1E3CC491" w:rsidR="008348A1" w:rsidRPr="00475723" w:rsidRDefault="008348A1">
                                <w:pPr>
                                  <w:jc w:val="right"/>
                                  <w:rPr>
                                    <w:color w:val="156082" w:themeColor="accent1"/>
                                    <w:sz w:val="44"/>
                                    <w:szCs w:val="44"/>
                                  </w:rPr>
                                </w:pPr>
                                <w:sdt>
                                  <w:sdtPr>
                                    <w:rPr>
                                      <w:caps/>
                                      <w:color w:val="156082" w:themeColor="accent1"/>
                                      <w:sz w:val="44"/>
                                      <w:szCs w:val="4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B07D24" w:rsidRPr="00475723">
                                      <w:rPr>
                                        <w:caps/>
                                        <w:color w:val="156082" w:themeColor="accent1"/>
                                        <w:sz w:val="44"/>
                                        <w:szCs w:val="44"/>
                                      </w:rPr>
                                      <w:t>REport: Managing grievances in a transforming organisation</w:t>
                                    </w:r>
                                    <w:r w:rsidR="00475723">
                                      <w:rPr>
                                        <w:caps/>
                                        <w:color w:val="156082" w:themeColor="accent1"/>
                                        <w:sz w:val="44"/>
                                        <w:szCs w:val="44"/>
                                      </w:rPr>
                                      <w:br/>
                                    </w:r>
                                    <w:r w:rsidR="00475723">
                                      <w:rPr>
                                        <w:color w:val="156082" w:themeColor="accent1"/>
                                        <w:sz w:val="44"/>
                                        <w:szCs w:val="44"/>
                                      </w:rPr>
                                      <w:br/>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74F62955" w14:textId="6C58DCE6" w:rsidR="008348A1" w:rsidRDefault="00B07D24">
                                    <w:pPr>
                                      <w:jc w:val="right"/>
                                      <w:rPr>
                                        <w:smallCaps/>
                                        <w:color w:val="404040" w:themeColor="text1" w:themeTint="BF"/>
                                        <w:sz w:val="36"/>
                                        <w:szCs w:val="36"/>
                                      </w:rPr>
                                    </w:pPr>
                                    <w:r>
                                      <w:rPr>
                                        <w:color w:val="404040" w:themeColor="text1" w:themeTint="BF"/>
                                        <w:sz w:val="36"/>
                                        <w:szCs w:val="36"/>
                                      </w:rPr>
                                      <w:t>Module: Developing and Managing Individuals and Teams</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 w14:anchorId="0E281733" id="Text Box 163" o:spid="_x0000_s1029" type="#_x0000_t202" style="position:absolute;margin-left:72.5pt;margin-top:287pt;width:505.2pt;height:270.4pt;z-index:251659264;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" filled="f" stroked="f" strokeweight=".5pt">
                    <v:textbox inset="126pt,0,54pt,0">
                      <w:txbxContent>
                        <w:p w14:paraId="39D9D611" w14:textId="1E3CC491" w:rsidR="008348A1" w:rsidRPr="00475723" w:rsidRDefault="008348A1">
                          <w:pPr>
                            <w:jc w:val="right"/>
                            <w:rPr>
                              <w:color w:val="156082" w:themeColor="accent1"/>
                              <w:sz w:val="44"/>
                              <w:szCs w:val="44"/>
                            </w:rPr>
                          </w:pPr>
                          <w:sdt>
                            <w:sdtPr>
                              <w:rPr>
                                <w:caps/>
                                <w:color w:val="156082" w:themeColor="accent1"/>
                                <w:sz w:val="44"/>
                                <w:szCs w:val="4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B07D24" w:rsidRPr="00475723">
                                <w:rPr>
                                  <w:caps/>
                                  <w:color w:val="156082" w:themeColor="accent1"/>
                                  <w:sz w:val="44"/>
                                  <w:szCs w:val="44"/>
                                </w:rPr>
                                <w:t>REport: Managing grievances in a transforming organisation</w:t>
                              </w:r>
                              <w:r w:rsidR="00475723">
                                <w:rPr>
                                  <w:caps/>
                                  <w:color w:val="156082" w:themeColor="accent1"/>
                                  <w:sz w:val="44"/>
                                  <w:szCs w:val="44"/>
                                </w:rPr>
                                <w:br/>
                              </w:r>
                              <w:r w:rsidR="00475723">
                                <w:rPr>
                                  <w:color w:val="156082" w:themeColor="accent1"/>
                                  <w:sz w:val="44"/>
                                  <w:szCs w:val="44"/>
                                </w:rPr>
                                <w:br/>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74F62955" w14:textId="6C58DCE6" w:rsidR="008348A1" w:rsidRDefault="00B07D24">
                              <w:pPr>
                                <w:jc w:val="right"/>
                                <w:rPr>
                                  <w:smallCaps/>
                                  <w:color w:val="404040" w:themeColor="text1" w:themeTint="BF"/>
                                  <w:sz w:val="36"/>
                                  <w:szCs w:val="36"/>
                                </w:rPr>
                              </w:pPr>
                              <w:r>
                                <w:rPr>
                                  <w:color w:val="404040" w:themeColor="text1" w:themeTint="BF"/>
                                  <w:sz w:val="36"/>
                                  <w:szCs w:val="36"/>
                                </w:rPr>
                                <w:t>Module: Developing and Managing Individuals and Teams</w:t>
                              </w:r>
                            </w:p>
                          </w:sdtContent>
                        </w:sdt>
                      </w:txbxContent>
                    </v:textbox>
                    <w10:wrap type="square" anchorx="page" anchory="page"/>
                  </v:shape>
                </w:pict>
              </mc:Fallback>
            </mc:AlternateContent>
          </w:r>
          <w:r w:rsidR="008348A1">
            <w:br w:type="page"/>
          </w:r>
        </w:p>
      </w:sdtContent>
    </w:sdt>
    <w:sdt>
      <w:sdtPr>
        <w:id w:val="277148754"/>
        <w:docPartObj>
          <w:docPartGallery w:val="Table of Contents"/>
          <w:docPartUnique/>
        </w:docPartObj>
      </w:sdtPr>
      <w:sdtEndPr>
        <w:rPr>
          <w:rFonts w:asciiTheme="minorHAnsi" w:eastAsiaTheme="minorHAnsi" w:hAnsiTheme="minorHAnsi" w:cstheme="minorBidi"/>
          <w:b/>
          <w:bCs/>
          <w:color w:val="auto"/>
          <w:kern w:val="2"/>
          <w:sz w:val="24"/>
          <w:szCs w:val="24"/>
          <w:lang w:eastAsia="en-US"/>
          <w14:ligatures w14:val="standardContextual"/>
        </w:rPr>
      </w:sdtEndPr>
      <w:sdtContent>
        <w:p w14:paraId="328B2DF1" w14:textId="3A451BA6" w:rsidR="008348A1" w:rsidRDefault="008348A1">
          <w:pPr>
            <w:pStyle w:val="TOCHeading"/>
          </w:pPr>
          <w:r>
            <w:t>Table of Contents</w:t>
          </w:r>
        </w:p>
        <w:p w14:paraId="0C889C46" w14:textId="1FF4976E" w:rsidR="00475723" w:rsidRDefault="008348A1">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25447527" w:history="1">
            <w:r w:rsidR="00475723" w:rsidRPr="00E5015B">
              <w:rPr>
                <w:rStyle w:val="Hyperlink"/>
                <w:noProof/>
              </w:rPr>
              <w:t>Formal Report: Managing Grievances in a Transforming Organisation.</w:t>
            </w:r>
            <w:r w:rsidR="00475723">
              <w:rPr>
                <w:noProof/>
                <w:webHidden/>
              </w:rPr>
              <w:tab/>
            </w:r>
            <w:r w:rsidR="00475723">
              <w:rPr>
                <w:noProof/>
                <w:webHidden/>
              </w:rPr>
              <w:fldChar w:fldCharType="begin"/>
            </w:r>
            <w:r w:rsidR="00475723">
              <w:rPr>
                <w:noProof/>
                <w:webHidden/>
              </w:rPr>
              <w:instrText xml:space="preserve"> PAGEREF _Toc225447527 \h </w:instrText>
            </w:r>
            <w:r w:rsidR="00475723">
              <w:rPr>
                <w:noProof/>
                <w:webHidden/>
              </w:rPr>
            </w:r>
            <w:r w:rsidR="00475723">
              <w:rPr>
                <w:noProof/>
                <w:webHidden/>
              </w:rPr>
              <w:fldChar w:fldCharType="separate"/>
            </w:r>
            <w:r w:rsidR="0068533C">
              <w:rPr>
                <w:noProof/>
                <w:webHidden/>
              </w:rPr>
              <w:t>2</w:t>
            </w:r>
            <w:r w:rsidR="00475723">
              <w:rPr>
                <w:noProof/>
                <w:webHidden/>
              </w:rPr>
              <w:fldChar w:fldCharType="end"/>
            </w:r>
          </w:hyperlink>
        </w:p>
        <w:p w14:paraId="6FDFDE07" w14:textId="1D203D65" w:rsidR="00475723" w:rsidRDefault="00475723">
          <w:pPr>
            <w:pStyle w:val="TOC2"/>
            <w:tabs>
              <w:tab w:val="right" w:leader="dot" w:pos="9016"/>
            </w:tabs>
            <w:rPr>
              <w:rFonts w:eastAsiaTheme="minorEastAsia"/>
              <w:noProof/>
              <w:lang w:eastAsia="en-GB"/>
            </w:rPr>
          </w:pPr>
          <w:hyperlink w:anchor="_Toc225447528" w:history="1">
            <w:r w:rsidRPr="00E5015B">
              <w:rPr>
                <w:rStyle w:val="Hyperlink"/>
                <w:noProof/>
              </w:rPr>
              <w:t>Introduction.</w:t>
            </w:r>
            <w:r>
              <w:rPr>
                <w:noProof/>
                <w:webHidden/>
              </w:rPr>
              <w:tab/>
            </w:r>
            <w:r>
              <w:rPr>
                <w:noProof/>
                <w:webHidden/>
              </w:rPr>
              <w:fldChar w:fldCharType="begin"/>
            </w:r>
            <w:r>
              <w:rPr>
                <w:noProof/>
                <w:webHidden/>
              </w:rPr>
              <w:instrText xml:space="preserve"> PAGEREF _Toc225447528 \h </w:instrText>
            </w:r>
            <w:r>
              <w:rPr>
                <w:noProof/>
                <w:webHidden/>
              </w:rPr>
            </w:r>
            <w:r>
              <w:rPr>
                <w:noProof/>
                <w:webHidden/>
              </w:rPr>
              <w:fldChar w:fldCharType="separate"/>
            </w:r>
            <w:r w:rsidR="0068533C">
              <w:rPr>
                <w:noProof/>
                <w:webHidden/>
              </w:rPr>
              <w:t>2</w:t>
            </w:r>
            <w:r>
              <w:rPr>
                <w:noProof/>
                <w:webHidden/>
              </w:rPr>
              <w:fldChar w:fldCharType="end"/>
            </w:r>
          </w:hyperlink>
        </w:p>
        <w:p w14:paraId="7A55A003" w14:textId="492C6E2A" w:rsidR="00475723" w:rsidRDefault="00475723">
          <w:pPr>
            <w:pStyle w:val="TOC2"/>
            <w:tabs>
              <w:tab w:val="left" w:pos="720"/>
              <w:tab w:val="right" w:leader="dot" w:pos="9016"/>
            </w:tabs>
            <w:rPr>
              <w:rFonts w:eastAsiaTheme="minorEastAsia"/>
              <w:noProof/>
              <w:lang w:eastAsia="en-GB"/>
            </w:rPr>
          </w:pPr>
          <w:hyperlink w:anchor="_Toc225447529" w:history="1">
            <w:r w:rsidRPr="00E5015B">
              <w:rPr>
                <w:rStyle w:val="Hyperlink"/>
                <w:noProof/>
              </w:rPr>
              <w:t>1.</w:t>
            </w:r>
            <w:r>
              <w:rPr>
                <w:rFonts w:eastAsiaTheme="minorEastAsia"/>
                <w:noProof/>
                <w:lang w:eastAsia="en-GB"/>
              </w:rPr>
              <w:tab/>
            </w:r>
            <w:r w:rsidRPr="00E5015B">
              <w:rPr>
                <w:rStyle w:val="Hyperlink"/>
                <w:noProof/>
              </w:rPr>
              <w:t>Factors Related to Business Transformation, Digital Technology Trends and Flexible Working.</w:t>
            </w:r>
            <w:r>
              <w:rPr>
                <w:noProof/>
                <w:webHidden/>
              </w:rPr>
              <w:tab/>
            </w:r>
            <w:r>
              <w:rPr>
                <w:noProof/>
                <w:webHidden/>
              </w:rPr>
              <w:fldChar w:fldCharType="begin"/>
            </w:r>
            <w:r>
              <w:rPr>
                <w:noProof/>
                <w:webHidden/>
              </w:rPr>
              <w:instrText xml:space="preserve"> PAGEREF _Toc225447529 \h </w:instrText>
            </w:r>
            <w:r>
              <w:rPr>
                <w:noProof/>
                <w:webHidden/>
              </w:rPr>
            </w:r>
            <w:r>
              <w:rPr>
                <w:noProof/>
                <w:webHidden/>
              </w:rPr>
              <w:fldChar w:fldCharType="separate"/>
            </w:r>
            <w:r w:rsidR="0068533C">
              <w:rPr>
                <w:noProof/>
                <w:webHidden/>
              </w:rPr>
              <w:t>2</w:t>
            </w:r>
            <w:r>
              <w:rPr>
                <w:noProof/>
                <w:webHidden/>
              </w:rPr>
              <w:fldChar w:fldCharType="end"/>
            </w:r>
          </w:hyperlink>
        </w:p>
        <w:p w14:paraId="41E87B77" w14:textId="1DB7C771" w:rsidR="00475723" w:rsidRDefault="00475723">
          <w:pPr>
            <w:pStyle w:val="TOC3"/>
            <w:tabs>
              <w:tab w:val="right" w:leader="dot" w:pos="9016"/>
            </w:tabs>
            <w:rPr>
              <w:rFonts w:eastAsiaTheme="minorEastAsia"/>
              <w:noProof/>
              <w:lang w:eastAsia="en-GB"/>
            </w:rPr>
          </w:pPr>
          <w:hyperlink w:anchor="_Toc225447530" w:history="1">
            <w:r w:rsidRPr="00E5015B">
              <w:rPr>
                <w:rStyle w:val="Hyperlink"/>
                <w:noProof/>
              </w:rPr>
              <w:t>1.1 Business Transformation Factors.</w:t>
            </w:r>
            <w:r>
              <w:rPr>
                <w:noProof/>
                <w:webHidden/>
              </w:rPr>
              <w:tab/>
            </w:r>
            <w:r>
              <w:rPr>
                <w:noProof/>
                <w:webHidden/>
              </w:rPr>
              <w:fldChar w:fldCharType="begin"/>
            </w:r>
            <w:r>
              <w:rPr>
                <w:noProof/>
                <w:webHidden/>
              </w:rPr>
              <w:instrText xml:space="preserve"> PAGEREF _Toc225447530 \h </w:instrText>
            </w:r>
            <w:r>
              <w:rPr>
                <w:noProof/>
                <w:webHidden/>
              </w:rPr>
            </w:r>
            <w:r>
              <w:rPr>
                <w:noProof/>
                <w:webHidden/>
              </w:rPr>
              <w:fldChar w:fldCharType="separate"/>
            </w:r>
            <w:r w:rsidR="0068533C">
              <w:rPr>
                <w:noProof/>
                <w:webHidden/>
              </w:rPr>
              <w:t>2</w:t>
            </w:r>
            <w:r>
              <w:rPr>
                <w:noProof/>
                <w:webHidden/>
              </w:rPr>
              <w:fldChar w:fldCharType="end"/>
            </w:r>
          </w:hyperlink>
        </w:p>
        <w:p w14:paraId="0ED55F1F" w14:textId="5BB63135" w:rsidR="00475723" w:rsidRDefault="00475723">
          <w:pPr>
            <w:pStyle w:val="TOC3"/>
            <w:tabs>
              <w:tab w:val="right" w:leader="dot" w:pos="9016"/>
            </w:tabs>
            <w:rPr>
              <w:rFonts w:eastAsiaTheme="minorEastAsia"/>
              <w:noProof/>
              <w:lang w:eastAsia="en-GB"/>
            </w:rPr>
          </w:pPr>
          <w:hyperlink w:anchor="_Toc225447531" w:history="1">
            <w:r w:rsidRPr="00E5015B">
              <w:rPr>
                <w:rStyle w:val="Hyperlink"/>
                <w:noProof/>
              </w:rPr>
              <w:t>1.2 Digital Technology Trends.</w:t>
            </w:r>
            <w:r>
              <w:rPr>
                <w:noProof/>
                <w:webHidden/>
              </w:rPr>
              <w:tab/>
            </w:r>
            <w:r>
              <w:rPr>
                <w:noProof/>
                <w:webHidden/>
              </w:rPr>
              <w:fldChar w:fldCharType="begin"/>
            </w:r>
            <w:r>
              <w:rPr>
                <w:noProof/>
                <w:webHidden/>
              </w:rPr>
              <w:instrText xml:space="preserve"> PAGEREF _Toc225447531 \h </w:instrText>
            </w:r>
            <w:r>
              <w:rPr>
                <w:noProof/>
                <w:webHidden/>
              </w:rPr>
            </w:r>
            <w:r>
              <w:rPr>
                <w:noProof/>
                <w:webHidden/>
              </w:rPr>
              <w:fldChar w:fldCharType="separate"/>
            </w:r>
            <w:r w:rsidR="0068533C">
              <w:rPr>
                <w:noProof/>
                <w:webHidden/>
              </w:rPr>
              <w:t>3</w:t>
            </w:r>
            <w:r>
              <w:rPr>
                <w:noProof/>
                <w:webHidden/>
              </w:rPr>
              <w:fldChar w:fldCharType="end"/>
            </w:r>
          </w:hyperlink>
        </w:p>
        <w:p w14:paraId="2AAEE867" w14:textId="1D218990" w:rsidR="00475723" w:rsidRDefault="00475723">
          <w:pPr>
            <w:pStyle w:val="TOC3"/>
            <w:tabs>
              <w:tab w:val="right" w:leader="dot" w:pos="9016"/>
            </w:tabs>
            <w:rPr>
              <w:rFonts w:eastAsiaTheme="minorEastAsia"/>
              <w:noProof/>
              <w:lang w:eastAsia="en-GB"/>
            </w:rPr>
          </w:pPr>
          <w:hyperlink w:anchor="_Toc225447532" w:history="1">
            <w:r w:rsidRPr="00E5015B">
              <w:rPr>
                <w:rStyle w:val="Hyperlink"/>
                <w:noProof/>
              </w:rPr>
              <w:t>1.3 Flexible Working Arrangements.</w:t>
            </w:r>
            <w:r>
              <w:rPr>
                <w:noProof/>
                <w:webHidden/>
              </w:rPr>
              <w:tab/>
            </w:r>
            <w:r>
              <w:rPr>
                <w:noProof/>
                <w:webHidden/>
              </w:rPr>
              <w:fldChar w:fldCharType="begin"/>
            </w:r>
            <w:r>
              <w:rPr>
                <w:noProof/>
                <w:webHidden/>
              </w:rPr>
              <w:instrText xml:space="preserve"> PAGEREF _Toc225447532 \h </w:instrText>
            </w:r>
            <w:r>
              <w:rPr>
                <w:noProof/>
                <w:webHidden/>
              </w:rPr>
            </w:r>
            <w:r>
              <w:rPr>
                <w:noProof/>
                <w:webHidden/>
              </w:rPr>
              <w:fldChar w:fldCharType="separate"/>
            </w:r>
            <w:r w:rsidR="0068533C">
              <w:rPr>
                <w:noProof/>
                <w:webHidden/>
              </w:rPr>
              <w:t>3</w:t>
            </w:r>
            <w:r>
              <w:rPr>
                <w:noProof/>
                <w:webHidden/>
              </w:rPr>
              <w:fldChar w:fldCharType="end"/>
            </w:r>
          </w:hyperlink>
        </w:p>
        <w:p w14:paraId="13167D7B" w14:textId="67BEDABD" w:rsidR="00475723" w:rsidRDefault="00475723">
          <w:pPr>
            <w:pStyle w:val="TOC3"/>
            <w:tabs>
              <w:tab w:val="right" w:leader="dot" w:pos="9016"/>
            </w:tabs>
            <w:rPr>
              <w:rFonts w:eastAsiaTheme="minorEastAsia"/>
              <w:noProof/>
              <w:lang w:eastAsia="en-GB"/>
            </w:rPr>
          </w:pPr>
          <w:hyperlink w:anchor="_Toc225447533" w:history="1">
            <w:r w:rsidRPr="00E5015B">
              <w:rPr>
                <w:rStyle w:val="Hyperlink"/>
                <w:noProof/>
              </w:rPr>
              <w:t>1.4 Interconnected Nature of the Factors.</w:t>
            </w:r>
            <w:r>
              <w:rPr>
                <w:noProof/>
                <w:webHidden/>
              </w:rPr>
              <w:tab/>
            </w:r>
            <w:r>
              <w:rPr>
                <w:noProof/>
                <w:webHidden/>
              </w:rPr>
              <w:fldChar w:fldCharType="begin"/>
            </w:r>
            <w:r>
              <w:rPr>
                <w:noProof/>
                <w:webHidden/>
              </w:rPr>
              <w:instrText xml:space="preserve"> PAGEREF _Toc225447533 \h </w:instrText>
            </w:r>
            <w:r>
              <w:rPr>
                <w:noProof/>
                <w:webHidden/>
              </w:rPr>
            </w:r>
            <w:r>
              <w:rPr>
                <w:noProof/>
                <w:webHidden/>
              </w:rPr>
              <w:fldChar w:fldCharType="separate"/>
            </w:r>
            <w:r w:rsidR="0068533C">
              <w:rPr>
                <w:noProof/>
                <w:webHidden/>
              </w:rPr>
              <w:t>3</w:t>
            </w:r>
            <w:r>
              <w:rPr>
                <w:noProof/>
                <w:webHidden/>
              </w:rPr>
              <w:fldChar w:fldCharType="end"/>
            </w:r>
          </w:hyperlink>
        </w:p>
        <w:p w14:paraId="60D884CA" w14:textId="1BF731AB" w:rsidR="00475723" w:rsidRDefault="00475723">
          <w:pPr>
            <w:pStyle w:val="TOC3"/>
            <w:tabs>
              <w:tab w:val="right" w:leader="dot" w:pos="9016"/>
            </w:tabs>
            <w:rPr>
              <w:rFonts w:eastAsiaTheme="minorEastAsia"/>
              <w:noProof/>
              <w:lang w:eastAsia="en-GB"/>
            </w:rPr>
          </w:pPr>
          <w:hyperlink w:anchor="_Toc225447534" w:history="1">
            <w:r w:rsidRPr="00E5015B">
              <w:rPr>
                <w:rStyle w:val="Hyperlink"/>
                <w:noProof/>
              </w:rPr>
              <w:t>Case Study: Transforming HR Practices at MetroTech Solutions.</w:t>
            </w:r>
            <w:r>
              <w:rPr>
                <w:noProof/>
                <w:webHidden/>
              </w:rPr>
              <w:tab/>
            </w:r>
            <w:r>
              <w:rPr>
                <w:noProof/>
                <w:webHidden/>
              </w:rPr>
              <w:fldChar w:fldCharType="begin"/>
            </w:r>
            <w:r>
              <w:rPr>
                <w:noProof/>
                <w:webHidden/>
              </w:rPr>
              <w:instrText xml:space="preserve"> PAGEREF _Toc225447534 \h </w:instrText>
            </w:r>
            <w:r>
              <w:rPr>
                <w:noProof/>
                <w:webHidden/>
              </w:rPr>
            </w:r>
            <w:r>
              <w:rPr>
                <w:noProof/>
                <w:webHidden/>
              </w:rPr>
              <w:fldChar w:fldCharType="separate"/>
            </w:r>
            <w:r w:rsidR="0068533C">
              <w:rPr>
                <w:noProof/>
                <w:webHidden/>
              </w:rPr>
              <w:t>4</w:t>
            </w:r>
            <w:r>
              <w:rPr>
                <w:noProof/>
                <w:webHidden/>
              </w:rPr>
              <w:fldChar w:fldCharType="end"/>
            </w:r>
          </w:hyperlink>
        </w:p>
        <w:p w14:paraId="6D6B208E" w14:textId="2DCC466D" w:rsidR="00475723" w:rsidRDefault="00475723">
          <w:pPr>
            <w:pStyle w:val="TOC2"/>
            <w:tabs>
              <w:tab w:val="right" w:leader="dot" w:pos="9016"/>
            </w:tabs>
            <w:rPr>
              <w:rFonts w:eastAsiaTheme="minorEastAsia"/>
              <w:noProof/>
              <w:lang w:eastAsia="en-GB"/>
            </w:rPr>
          </w:pPr>
          <w:hyperlink w:anchor="_Toc225447535" w:history="1">
            <w:r w:rsidRPr="00E5015B">
              <w:rPr>
                <w:rStyle w:val="Hyperlink"/>
                <w:noProof/>
              </w:rPr>
              <w:t>2. Evaluation of Contemporary HR Practices.</w:t>
            </w:r>
            <w:r>
              <w:rPr>
                <w:noProof/>
                <w:webHidden/>
              </w:rPr>
              <w:tab/>
            </w:r>
            <w:r>
              <w:rPr>
                <w:noProof/>
                <w:webHidden/>
              </w:rPr>
              <w:fldChar w:fldCharType="begin"/>
            </w:r>
            <w:r>
              <w:rPr>
                <w:noProof/>
                <w:webHidden/>
              </w:rPr>
              <w:instrText xml:space="preserve"> PAGEREF _Toc225447535 \h </w:instrText>
            </w:r>
            <w:r>
              <w:rPr>
                <w:noProof/>
                <w:webHidden/>
              </w:rPr>
            </w:r>
            <w:r>
              <w:rPr>
                <w:noProof/>
                <w:webHidden/>
              </w:rPr>
              <w:fldChar w:fldCharType="separate"/>
            </w:r>
            <w:r w:rsidR="0068533C">
              <w:rPr>
                <w:noProof/>
                <w:webHidden/>
              </w:rPr>
              <w:t>5</w:t>
            </w:r>
            <w:r>
              <w:rPr>
                <w:noProof/>
                <w:webHidden/>
              </w:rPr>
              <w:fldChar w:fldCharType="end"/>
            </w:r>
          </w:hyperlink>
        </w:p>
        <w:p w14:paraId="41CCEC5C" w14:textId="451F4D43" w:rsidR="00475723" w:rsidRDefault="00475723">
          <w:pPr>
            <w:pStyle w:val="TOC3"/>
            <w:tabs>
              <w:tab w:val="right" w:leader="dot" w:pos="9016"/>
            </w:tabs>
            <w:rPr>
              <w:rFonts w:eastAsiaTheme="minorEastAsia"/>
              <w:noProof/>
              <w:lang w:eastAsia="en-GB"/>
            </w:rPr>
          </w:pPr>
          <w:hyperlink w:anchor="_Toc225447536" w:history="1">
            <w:r w:rsidRPr="00E5015B">
              <w:rPr>
                <w:rStyle w:val="Hyperlink"/>
                <w:noProof/>
              </w:rPr>
              <w:t>2.1 HR Practices for Business Transformation.</w:t>
            </w:r>
            <w:r>
              <w:rPr>
                <w:noProof/>
                <w:webHidden/>
              </w:rPr>
              <w:tab/>
            </w:r>
            <w:r>
              <w:rPr>
                <w:noProof/>
                <w:webHidden/>
              </w:rPr>
              <w:fldChar w:fldCharType="begin"/>
            </w:r>
            <w:r>
              <w:rPr>
                <w:noProof/>
                <w:webHidden/>
              </w:rPr>
              <w:instrText xml:space="preserve"> PAGEREF _Toc225447536 \h </w:instrText>
            </w:r>
            <w:r>
              <w:rPr>
                <w:noProof/>
                <w:webHidden/>
              </w:rPr>
            </w:r>
            <w:r>
              <w:rPr>
                <w:noProof/>
                <w:webHidden/>
              </w:rPr>
              <w:fldChar w:fldCharType="separate"/>
            </w:r>
            <w:r w:rsidR="0068533C">
              <w:rPr>
                <w:noProof/>
                <w:webHidden/>
              </w:rPr>
              <w:t>5</w:t>
            </w:r>
            <w:r>
              <w:rPr>
                <w:noProof/>
                <w:webHidden/>
              </w:rPr>
              <w:fldChar w:fldCharType="end"/>
            </w:r>
          </w:hyperlink>
        </w:p>
        <w:p w14:paraId="6D945A2A" w14:textId="2B784D18" w:rsidR="00475723" w:rsidRDefault="00475723">
          <w:pPr>
            <w:pStyle w:val="TOC3"/>
            <w:tabs>
              <w:tab w:val="right" w:leader="dot" w:pos="9016"/>
            </w:tabs>
            <w:rPr>
              <w:rFonts w:eastAsiaTheme="minorEastAsia"/>
              <w:noProof/>
              <w:lang w:eastAsia="en-GB"/>
            </w:rPr>
          </w:pPr>
          <w:hyperlink w:anchor="_Toc225447537" w:history="1">
            <w:r w:rsidRPr="00E5015B">
              <w:rPr>
                <w:rStyle w:val="Hyperlink"/>
                <w:noProof/>
              </w:rPr>
              <w:t>2.2 HR Practices for Digital Technology Trends.</w:t>
            </w:r>
            <w:r>
              <w:rPr>
                <w:noProof/>
                <w:webHidden/>
              </w:rPr>
              <w:tab/>
            </w:r>
            <w:r>
              <w:rPr>
                <w:noProof/>
                <w:webHidden/>
              </w:rPr>
              <w:fldChar w:fldCharType="begin"/>
            </w:r>
            <w:r>
              <w:rPr>
                <w:noProof/>
                <w:webHidden/>
              </w:rPr>
              <w:instrText xml:space="preserve"> PAGEREF _Toc225447537 \h </w:instrText>
            </w:r>
            <w:r>
              <w:rPr>
                <w:noProof/>
                <w:webHidden/>
              </w:rPr>
            </w:r>
            <w:r>
              <w:rPr>
                <w:noProof/>
                <w:webHidden/>
              </w:rPr>
              <w:fldChar w:fldCharType="separate"/>
            </w:r>
            <w:r w:rsidR="0068533C">
              <w:rPr>
                <w:noProof/>
                <w:webHidden/>
              </w:rPr>
              <w:t>5</w:t>
            </w:r>
            <w:r>
              <w:rPr>
                <w:noProof/>
                <w:webHidden/>
              </w:rPr>
              <w:fldChar w:fldCharType="end"/>
            </w:r>
          </w:hyperlink>
        </w:p>
        <w:p w14:paraId="6F53E7CE" w14:textId="42BD4801" w:rsidR="00475723" w:rsidRDefault="00475723">
          <w:pPr>
            <w:pStyle w:val="TOC3"/>
            <w:tabs>
              <w:tab w:val="right" w:leader="dot" w:pos="9016"/>
            </w:tabs>
            <w:rPr>
              <w:rFonts w:eastAsiaTheme="minorEastAsia"/>
              <w:noProof/>
              <w:lang w:eastAsia="en-GB"/>
            </w:rPr>
          </w:pPr>
          <w:hyperlink w:anchor="_Toc225447538" w:history="1">
            <w:r w:rsidRPr="00E5015B">
              <w:rPr>
                <w:rStyle w:val="Hyperlink"/>
                <w:noProof/>
              </w:rPr>
              <w:t>2.3 HR Practices for Flexible Working Arrangements.</w:t>
            </w:r>
            <w:r>
              <w:rPr>
                <w:noProof/>
                <w:webHidden/>
              </w:rPr>
              <w:tab/>
            </w:r>
            <w:r>
              <w:rPr>
                <w:noProof/>
                <w:webHidden/>
              </w:rPr>
              <w:fldChar w:fldCharType="begin"/>
            </w:r>
            <w:r>
              <w:rPr>
                <w:noProof/>
                <w:webHidden/>
              </w:rPr>
              <w:instrText xml:space="preserve"> PAGEREF _Toc225447538 \h </w:instrText>
            </w:r>
            <w:r>
              <w:rPr>
                <w:noProof/>
                <w:webHidden/>
              </w:rPr>
            </w:r>
            <w:r>
              <w:rPr>
                <w:noProof/>
                <w:webHidden/>
              </w:rPr>
              <w:fldChar w:fldCharType="separate"/>
            </w:r>
            <w:r w:rsidR="0068533C">
              <w:rPr>
                <w:noProof/>
                <w:webHidden/>
              </w:rPr>
              <w:t>6</w:t>
            </w:r>
            <w:r>
              <w:rPr>
                <w:noProof/>
                <w:webHidden/>
              </w:rPr>
              <w:fldChar w:fldCharType="end"/>
            </w:r>
          </w:hyperlink>
        </w:p>
        <w:p w14:paraId="00F0AF11" w14:textId="3BA9CC82" w:rsidR="00475723" w:rsidRDefault="00475723">
          <w:pPr>
            <w:pStyle w:val="TOC3"/>
            <w:tabs>
              <w:tab w:val="right" w:leader="dot" w:pos="9016"/>
            </w:tabs>
            <w:rPr>
              <w:rFonts w:eastAsiaTheme="minorEastAsia"/>
              <w:noProof/>
              <w:lang w:eastAsia="en-GB"/>
            </w:rPr>
          </w:pPr>
          <w:hyperlink w:anchor="_Toc225447539" w:history="1">
            <w:r w:rsidRPr="00E5015B">
              <w:rPr>
                <w:rStyle w:val="Hyperlink"/>
                <w:noProof/>
              </w:rPr>
              <w:t>2.4 Integrated HR Practices.</w:t>
            </w:r>
            <w:r>
              <w:rPr>
                <w:noProof/>
                <w:webHidden/>
              </w:rPr>
              <w:tab/>
            </w:r>
            <w:r>
              <w:rPr>
                <w:noProof/>
                <w:webHidden/>
              </w:rPr>
              <w:fldChar w:fldCharType="begin"/>
            </w:r>
            <w:r>
              <w:rPr>
                <w:noProof/>
                <w:webHidden/>
              </w:rPr>
              <w:instrText xml:space="preserve"> PAGEREF _Toc225447539 \h </w:instrText>
            </w:r>
            <w:r>
              <w:rPr>
                <w:noProof/>
                <w:webHidden/>
              </w:rPr>
            </w:r>
            <w:r>
              <w:rPr>
                <w:noProof/>
                <w:webHidden/>
              </w:rPr>
              <w:fldChar w:fldCharType="separate"/>
            </w:r>
            <w:r w:rsidR="0068533C">
              <w:rPr>
                <w:noProof/>
                <w:webHidden/>
              </w:rPr>
              <w:t>6</w:t>
            </w:r>
            <w:r>
              <w:rPr>
                <w:noProof/>
                <w:webHidden/>
              </w:rPr>
              <w:fldChar w:fldCharType="end"/>
            </w:r>
          </w:hyperlink>
        </w:p>
        <w:p w14:paraId="2C78E1F0" w14:textId="2A64EA55" w:rsidR="00475723" w:rsidRDefault="00475723">
          <w:pPr>
            <w:pStyle w:val="TOC2"/>
            <w:tabs>
              <w:tab w:val="right" w:leader="dot" w:pos="9016"/>
            </w:tabs>
            <w:rPr>
              <w:rFonts w:eastAsiaTheme="minorEastAsia"/>
              <w:noProof/>
              <w:lang w:eastAsia="en-GB"/>
            </w:rPr>
          </w:pPr>
          <w:hyperlink w:anchor="_Toc225447540" w:history="1">
            <w:r w:rsidRPr="00E5015B">
              <w:rPr>
                <w:rStyle w:val="Hyperlink"/>
                <w:noProof/>
              </w:rPr>
              <w:t>3. Critical Evaluation of Managerial Implementation.</w:t>
            </w:r>
            <w:r>
              <w:rPr>
                <w:noProof/>
                <w:webHidden/>
              </w:rPr>
              <w:tab/>
            </w:r>
            <w:r>
              <w:rPr>
                <w:noProof/>
                <w:webHidden/>
              </w:rPr>
              <w:fldChar w:fldCharType="begin"/>
            </w:r>
            <w:r>
              <w:rPr>
                <w:noProof/>
                <w:webHidden/>
              </w:rPr>
              <w:instrText xml:space="preserve"> PAGEREF _Toc225447540 \h </w:instrText>
            </w:r>
            <w:r>
              <w:rPr>
                <w:noProof/>
                <w:webHidden/>
              </w:rPr>
            </w:r>
            <w:r>
              <w:rPr>
                <w:noProof/>
                <w:webHidden/>
              </w:rPr>
              <w:fldChar w:fldCharType="separate"/>
            </w:r>
            <w:r w:rsidR="0068533C">
              <w:rPr>
                <w:noProof/>
                <w:webHidden/>
              </w:rPr>
              <w:t>6</w:t>
            </w:r>
            <w:r>
              <w:rPr>
                <w:noProof/>
                <w:webHidden/>
              </w:rPr>
              <w:fldChar w:fldCharType="end"/>
            </w:r>
          </w:hyperlink>
        </w:p>
        <w:p w14:paraId="348087F6" w14:textId="1D31B97D" w:rsidR="00475723" w:rsidRDefault="00475723">
          <w:pPr>
            <w:pStyle w:val="TOC2"/>
            <w:tabs>
              <w:tab w:val="right" w:leader="dot" w:pos="9016"/>
            </w:tabs>
            <w:rPr>
              <w:rFonts w:eastAsiaTheme="minorEastAsia"/>
              <w:noProof/>
              <w:lang w:eastAsia="en-GB"/>
            </w:rPr>
          </w:pPr>
          <w:hyperlink w:anchor="_Toc225447541" w:history="1">
            <w:r w:rsidRPr="00E5015B">
              <w:rPr>
                <w:rStyle w:val="Hyperlink"/>
                <w:noProof/>
              </w:rPr>
              <w:t>4. Conclusion and Recommendations.</w:t>
            </w:r>
            <w:r>
              <w:rPr>
                <w:noProof/>
                <w:webHidden/>
              </w:rPr>
              <w:tab/>
            </w:r>
            <w:r>
              <w:rPr>
                <w:noProof/>
                <w:webHidden/>
              </w:rPr>
              <w:fldChar w:fldCharType="begin"/>
            </w:r>
            <w:r>
              <w:rPr>
                <w:noProof/>
                <w:webHidden/>
              </w:rPr>
              <w:instrText xml:space="preserve"> PAGEREF _Toc225447541 \h </w:instrText>
            </w:r>
            <w:r>
              <w:rPr>
                <w:noProof/>
                <w:webHidden/>
              </w:rPr>
            </w:r>
            <w:r>
              <w:rPr>
                <w:noProof/>
                <w:webHidden/>
              </w:rPr>
              <w:fldChar w:fldCharType="separate"/>
            </w:r>
            <w:r w:rsidR="0068533C">
              <w:rPr>
                <w:noProof/>
                <w:webHidden/>
              </w:rPr>
              <w:t>7</w:t>
            </w:r>
            <w:r>
              <w:rPr>
                <w:noProof/>
                <w:webHidden/>
              </w:rPr>
              <w:fldChar w:fldCharType="end"/>
            </w:r>
          </w:hyperlink>
        </w:p>
        <w:p w14:paraId="41ECAA31" w14:textId="48DD8984" w:rsidR="00475723" w:rsidRDefault="00475723">
          <w:pPr>
            <w:pStyle w:val="TOC2"/>
            <w:tabs>
              <w:tab w:val="right" w:leader="dot" w:pos="9016"/>
            </w:tabs>
            <w:rPr>
              <w:rFonts w:eastAsiaTheme="minorEastAsia"/>
              <w:noProof/>
              <w:lang w:eastAsia="en-GB"/>
            </w:rPr>
          </w:pPr>
          <w:hyperlink w:anchor="_Toc225447542" w:history="1">
            <w:r w:rsidRPr="00E5015B">
              <w:rPr>
                <w:rStyle w:val="Hyperlink"/>
                <w:noProof/>
              </w:rPr>
              <w:t>References.</w:t>
            </w:r>
            <w:r>
              <w:rPr>
                <w:noProof/>
                <w:webHidden/>
              </w:rPr>
              <w:tab/>
            </w:r>
            <w:r>
              <w:rPr>
                <w:noProof/>
                <w:webHidden/>
              </w:rPr>
              <w:fldChar w:fldCharType="begin"/>
            </w:r>
            <w:r>
              <w:rPr>
                <w:noProof/>
                <w:webHidden/>
              </w:rPr>
              <w:instrText xml:space="preserve"> PAGEREF _Toc225447542 \h </w:instrText>
            </w:r>
            <w:r>
              <w:rPr>
                <w:noProof/>
                <w:webHidden/>
              </w:rPr>
            </w:r>
            <w:r>
              <w:rPr>
                <w:noProof/>
                <w:webHidden/>
              </w:rPr>
              <w:fldChar w:fldCharType="separate"/>
            </w:r>
            <w:r w:rsidR="0068533C">
              <w:rPr>
                <w:noProof/>
                <w:webHidden/>
              </w:rPr>
              <w:t>10</w:t>
            </w:r>
            <w:r>
              <w:rPr>
                <w:noProof/>
                <w:webHidden/>
              </w:rPr>
              <w:fldChar w:fldCharType="end"/>
            </w:r>
          </w:hyperlink>
        </w:p>
        <w:p w14:paraId="2F49F660" w14:textId="48E48CB6" w:rsidR="00475723" w:rsidRDefault="00475723">
          <w:pPr>
            <w:pStyle w:val="TOC2"/>
            <w:tabs>
              <w:tab w:val="right" w:leader="dot" w:pos="9016"/>
            </w:tabs>
            <w:rPr>
              <w:rFonts w:eastAsiaTheme="minorEastAsia"/>
              <w:noProof/>
              <w:lang w:eastAsia="en-GB"/>
            </w:rPr>
          </w:pPr>
          <w:hyperlink w:anchor="_Toc225447543" w:history="1">
            <w:r w:rsidRPr="00E5015B">
              <w:rPr>
                <w:rStyle w:val="Hyperlink"/>
                <w:noProof/>
              </w:rPr>
              <w:t>Table References.</w:t>
            </w:r>
            <w:r>
              <w:rPr>
                <w:noProof/>
                <w:webHidden/>
              </w:rPr>
              <w:tab/>
            </w:r>
            <w:r>
              <w:rPr>
                <w:noProof/>
                <w:webHidden/>
              </w:rPr>
              <w:fldChar w:fldCharType="begin"/>
            </w:r>
            <w:r>
              <w:rPr>
                <w:noProof/>
                <w:webHidden/>
              </w:rPr>
              <w:instrText xml:space="preserve"> PAGEREF _Toc225447543 \h </w:instrText>
            </w:r>
            <w:r>
              <w:rPr>
                <w:noProof/>
                <w:webHidden/>
              </w:rPr>
            </w:r>
            <w:r>
              <w:rPr>
                <w:noProof/>
                <w:webHidden/>
              </w:rPr>
              <w:fldChar w:fldCharType="separate"/>
            </w:r>
            <w:r w:rsidR="0068533C">
              <w:rPr>
                <w:noProof/>
                <w:webHidden/>
              </w:rPr>
              <w:t>10</w:t>
            </w:r>
            <w:r>
              <w:rPr>
                <w:noProof/>
                <w:webHidden/>
              </w:rPr>
              <w:fldChar w:fldCharType="end"/>
            </w:r>
          </w:hyperlink>
        </w:p>
        <w:p w14:paraId="437D977E" w14:textId="5888B389" w:rsidR="00475723" w:rsidRDefault="00475723">
          <w:pPr>
            <w:pStyle w:val="TOC2"/>
            <w:tabs>
              <w:tab w:val="right" w:leader="dot" w:pos="9016"/>
            </w:tabs>
            <w:rPr>
              <w:rFonts w:eastAsiaTheme="minorEastAsia"/>
              <w:noProof/>
              <w:lang w:eastAsia="en-GB"/>
            </w:rPr>
          </w:pPr>
          <w:hyperlink w:anchor="_Toc225447544" w:history="1">
            <w:r w:rsidRPr="00E5015B">
              <w:rPr>
                <w:rStyle w:val="Hyperlink"/>
                <w:noProof/>
              </w:rPr>
              <w:t>Further recommended reading.</w:t>
            </w:r>
            <w:r>
              <w:rPr>
                <w:noProof/>
                <w:webHidden/>
              </w:rPr>
              <w:tab/>
            </w:r>
            <w:r>
              <w:rPr>
                <w:noProof/>
                <w:webHidden/>
              </w:rPr>
              <w:fldChar w:fldCharType="begin"/>
            </w:r>
            <w:r>
              <w:rPr>
                <w:noProof/>
                <w:webHidden/>
              </w:rPr>
              <w:instrText xml:space="preserve"> PAGEREF _Toc225447544 \h </w:instrText>
            </w:r>
            <w:r>
              <w:rPr>
                <w:noProof/>
                <w:webHidden/>
              </w:rPr>
            </w:r>
            <w:r>
              <w:rPr>
                <w:noProof/>
                <w:webHidden/>
              </w:rPr>
              <w:fldChar w:fldCharType="separate"/>
            </w:r>
            <w:r w:rsidR="0068533C">
              <w:rPr>
                <w:noProof/>
                <w:webHidden/>
              </w:rPr>
              <w:t>10</w:t>
            </w:r>
            <w:r>
              <w:rPr>
                <w:noProof/>
                <w:webHidden/>
              </w:rPr>
              <w:fldChar w:fldCharType="end"/>
            </w:r>
          </w:hyperlink>
        </w:p>
        <w:p w14:paraId="206E509E" w14:textId="442995B7" w:rsidR="008348A1" w:rsidRDefault="008348A1">
          <w:r>
            <w:rPr>
              <w:b/>
              <w:bCs/>
            </w:rPr>
            <w:fldChar w:fldCharType="end"/>
          </w:r>
        </w:p>
      </w:sdtContent>
    </w:sdt>
    <w:p w14:paraId="3ABD74E9" w14:textId="69F4A713" w:rsidR="00D66A99" w:rsidRDefault="00D66A99" w:rsidP="006C26A9">
      <w:pPr>
        <w:pStyle w:val="Heading1"/>
      </w:pPr>
    </w:p>
    <w:p w14:paraId="69BA7664" w14:textId="77777777" w:rsidR="00D66A99" w:rsidRDefault="00D66A99">
      <w:pPr>
        <w:rPr>
          <w:rFonts w:asciiTheme="majorHAnsi" w:eastAsiaTheme="majorEastAsia" w:hAnsiTheme="majorHAnsi" w:cstheme="majorBidi"/>
          <w:color w:val="0F4761" w:themeColor="accent1" w:themeShade="BF"/>
          <w:sz w:val="40"/>
          <w:szCs w:val="40"/>
        </w:rPr>
      </w:pPr>
      <w:r>
        <w:br w:type="page"/>
      </w:r>
    </w:p>
    <w:p w14:paraId="1F826F4D" w14:textId="77777777" w:rsidR="00D66A99" w:rsidRDefault="00D66A99" w:rsidP="006C26A9">
      <w:pPr>
        <w:pStyle w:val="Heading1"/>
      </w:pPr>
    </w:p>
    <w:p w14:paraId="71AC8FBD" w14:textId="668C9859" w:rsidR="00FD2168" w:rsidRDefault="00CF7FB8" w:rsidP="006C26A9">
      <w:pPr>
        <w:pStyle w:val="Heading1"/>
      </w:pPr>
      <w:bookmarkStart w:id="0" w:name="_Toc225447527"/>
      <w:r w:rsidRPr="00CF7FB8">
        <w:t>Formal Report: Managing Grievances in a Transforming Organisation</w:t>
      </w:r>
      <w:r w:rsidR="00274574">
        <w:t>.</w:t>
      </w:r>
      <w:bookmarkEnd w:id="0"/>
    </w:p>
    <w:p w14:paraId="351F9484" w14:textId="30A2A098" w:rsidR="00F9026A" w:rsidRPr="00F9026A" w:rsidRDefault="00F9026A" w:rsidP="00FD2168">
      <w:pPr>
        <w:rPr>
          <w:sz w:val="28"/>
          <w:szCs w:val="28"/>
        </w:rPr>
      </w:pPr>
      <w:r w:rsidRPr="00F9026A">
        <w:rPr>
          <w:sz w:val="28"/>
          <w:szCs w:val="28"/>
        </w:rPr>
        <w:t>Compiled by Miss Mumtaz Aziz</w:t>
      </w:r>
    </w:p>
    <w:p w14:paraId="2B43234B" w14:textId="241E11EE" w:rsidR="00F9026A" w:rsidRPr="00343062" w:rsidRDefault="00FD2168" w:rsidP="006C26A9">
      <w:pPr>
        <w:pStyle w:val="Heading2"/>
      </w:pPr>
      <w:bookmarkStart w:id="1" w:name="_Toc225447528"/>
      <w:r w:rsidRPr="00343062">
        <w:t>Introduction</w:t>
      </w:r>
      <w:r w:rsidR="00274574">
        <w:t>.</w:t>
      </w:r>
      <w:bookmarkEnd w:id="1"/>
    </w:p>
    <w:p w14:paraId="471BF47B" w14:textId="77777777" w:rsidR="00A65D95" w:rsidRPr="00CF7FB8" w:rsidRDefault="00FD2168" w:rsidP="00FD2168">
      <w:pPr>
        <w:rPr>
          <w:rFonts w:ascii="Arial" w:hAnsi="Arial" w:cs="Arial"/>
          <w:sz w:val="22"/>
          <w:szCs w:val="22"/>
        </w:rPr>
      </w:pPr>
      <w:r w:rsidRPr="00CF7FB8">
        <w:rPr>
          <w:rFonts w:ascii="Arial" w:hAnsi="Arial" w:cs="Arial"/>
          <w:sz w:val="22"/>
          <w:szCs w:val="22"/>
        </w:rPr>
        <w:t xml:space="preserve">Organisations across the UK are experiencing rapid transformation driven by digital innovation, shifting workforce expectations, and the expansion of flexible working arrangements. These developments have reshaped how employees interact, collaborate, and experience their working environment. </w:t>
      </w:r>
    </w:p>
    <w:p w14:paraId="14608120" w14:textId="77777777" w:rsidR="00CF7FB8" w:rsidRPr="00CF7FB8" w:rsidRDefault="00FD2168" w:rsidP="00FD2168">
      <w:pPr>
        <w:rPr>
          <w:rFonts w:ascii="Arial" w:hAnsi="Arial" w:cs="Arial"/>
          <w:sz w:val="22"/>
          <w:szCs w:val="22"/>
        </w:rPr>
      </w:pPr>
      <w:r w:rsidRPr="00CF7FB8">
        <w:rPr>
          <w:rFonts w:ascii="Arial" w:hAnsi="Arial" w:cs="Arial"/>
          <w:sz w:val="22"/>
          <w:szCs w:val="22"/>
        </w:rPr>
        <w:t>Upon joining the HR department of a large organisation in Birmingham, it became clear that the volume of employee grievances had increased significantly</w:t>
      </w:r>
      <w:r w:rsidR="00A65D95" w:rsidRPr="00CF7FB8">
        <w:rPr>
          <w:rFonts w:ascii="Arial" w:hAnsi="Arial" w:cs="Arial"/>
          <w:sz w:val="22"/>
          <w:szCs w:val="22"/>
        </w:rPr>
        <w:t xml:space="preserve"> over </w:t>
      </w:r>
      <w:r w:rsidR="00CF7FB8" w:rsidRPr="00CF7FB8">
        <w:rPr>
          <w:rFonts w:ascii="Arial" w:hAnsi="Arial" w:cs="Arial"/>
          <w:sz w:val="22"/>
          <w:szCs w:val="22"/>
        </w:rPr>
        <w:t>a period</w:t>
      </w:r>
      <w:r w:rsidRPr="00CF7FB8">
        <w:rPr>
          <w:rFonts w:ascii="Arial" w:hAnsi="Arial" w:cs="Arial"/>
          <w:sz w:val="22"/>
          <w:szCs w:val="22"/>
        </w:rPr>
        <w:t xml:space="preserve">, signalling deeper organisational tensions. Grievances often arise when employees feel unsupported, excluded, or disadvantaged during periods of change. </w:t>
      </w:r>
    </w:p>
    <w:p w14:paraId="0945AA09" w14:textId="2FCDBAB5" w:rsidR="00F9026A" w:rsidRPr="00CF7FB8" w:rsidRDefault="00FD2168" w:rsidP="00FD2168">
      <w:pPr>
        <w:rPr>
          <w:rFonts w:ascii="Arial" w:hAnsi="Arial" w:cs="Arial"/>
          <w:sz w:val="22"/>
          <w:szCs w:val="22"/>
        </w:rPr>
      </w:pPr>
      <w:r w:rsidRPr="00CF7FB8">
        <w:rPr>
          <w:rFonts w:ascii="Arial" w:hAnsi="Arial" w:cs="Arial"/>
          <w:sz w:val="22"/>
          <w:szCs w:val="22"/>
        </w:rPr>
        <w:t>This report explores the organisational factors contributing to these issues, focusing on business transformation, digital technology trends, and flexible working arrangements. It evaluates contemporary HR practices that can address these challenges and critically examines how departmental managers can ensure timely and effective implementation. The report concludes with recommendations aimed at strengthening organisational resilience, improving employee experience, and reducing the escalation of formal grievances.</w:t>
      </w:r>
    </w:p>
    <w:p w14:paraId="37134073" w14:textId="47C393F0" w:rsidR="00F9026A" w:rsidRDefault="00FD2168" w:rsidP="008348A1">
      <w:pPr>
        <w:pStyle w:val="Heading2"/>
        <w:numPr>
          <w:ilvl w:val="0"/>
          <w:numId w:val="4"/>
        </w:numPr>
        <w:rPr>
          <w:sz w:val="22"/>
          <w:szCs w:val="22"/>
        </w:rPr>
      </w:pPr>
      <w:bookmarkStart w:id="2" w:name="_Toc225447529"/>
      <w:r w:rsidRPr="00F9026A">
        <w:t>Factors Related to Business Transformation, Digital Technology Trends and Flexible Working</w:t>
      </w:r>
      <w:r w:rsidR="00A91F96" w:rsidRPr="00F9026A">
        <w:rPr>
          <w:sz w:val="22"/>
          <w:szCs w:val="22"/>
        </w:rPr>
        <w:t>.</w:t>
      </w:r>
      <w:bookmarkEnd w:id="2"/>
    </w:p>
    <w:p w14:paraId="36C31F67" w14:textId="2027EF47" w:rsidR="00242318" w:rsidRPr="00F9026A" w:rsidRDefault="00F9026A" w:rsidP="00F9026A">
      <w:pPr>
        <w:rPr>
          <w:rFonts w:ascii="Arial" w:hAnsi="Arial" w:cs="Arial"/>
          <w:sz w:val="22"/>
          <w:szCs w:val="22"/>
        </w:rPr>
      </w:pPr>
      <w:r w:rsidRPr="00F9026A">
        <w:rPr>
          <w:rFonts w:ascii="Arial" w:hAnsi="Arial" w:cs="Arial"/>
          <w:sz w:val="22"/>
          <w:szCs w:val="22"/>
        </w:rPr>
        <w:t>The contemporary workplace is being reshaped by a combination of structural, technological, and cultural shifts that directly influence employee expectations and organisational stability. This section explores the key factors associated with business transformation, digitalisation, and flexible working, and how these developments contribute to the complexity of managing employee relations.</w:t>
      </w:r>
    </w:p>
    <w:p w14:paraId="1E74ACC9" w14:textId="4368FAD8" w:rsidR="00FD2168" w:rsidRPr="00343062" w:rsidRDefault="00FD2168" w:rsidP="00D66A99">
      <w:pPr>
        <w:pStyle w:val="Heading3"/>
      </w:pPr>
      <w:bookmarkStart w:id="3" w:name="_Toc225447530"/>
      <w:r w:rsidRPr="00343062">
        <w:t>1.1 Business Transformation Factors</w:t>
      </w:r>
      <w:r w:rsidR="00343062" w:rsidRPr="00343062">
        <w:t>.</w:t>
      </w:r>
      <w:bookmarkEnd w:id="3"/>
    </w:p>
    <w:p w14:paraId="7D155922" w14:textId="6481B8B6" w:rsidR="00FD2168" w:rsidRPr="00CF7FB8" w:rsidRDefault="00FD2168" w:rsidP="00FD2168">
      <w:pPr>
        <w:rPr>
          <w:rFonts w:ascii="Arial" w:hAnsi="Arial" w:cs="Arial"/>
          <w:sz w:val="22"/>
          <w:szCs w:val="22"/>
        </w:rPr>
      </w:pPr>
      <w:r w:rsidRPr="00CF7FB8">
        <w:rPr>
          <w:rFonts w:ascii="Arial" w:hAnsi="Arial" w:cs="Arial"/>
          <w:sz w:val="22"/>
          <w:szCs w:val="22"/>
        </w:rPr>
        <w:t xml:space="preserve">Business transformation has become a strategic necessity for organisations operating in competitive urban centres </w:t>
      </w:r>
      <w:r w:rsidR="00CD537F">
        <w:rPr>
          <w:rFonts w:ascii="Arial" w:hAnsi="Arial" w:cs="Arial"/>
          <w:sz w:val="22"/>
          <w:szCs w:val="22"/>
        </w:rPr>
        <w:t>across the United Kingdom.</w:t>
      </w:r>
      <w:r w:rsidRPr="00CF7FB8">
        <w:rPr>
          <w:rFonts w:ascii="Arial" w:hAnsi="Arial" w:cs="Arial"/>
          <w:sz w:val="22"/>
          <w:szCs w:val="22"/>
        </w:rPr>
        <w:t xml:space="preserve"> Transformation typically involves restructuring, process redesign, cultural realignment, and the introduction of new operating models (Kotter, 2012). While these changes aim to enhance efficiency, they often create uncertainty among employees. Concerns about job security, shifting responsibilities, and increased workloads are common. Employees may feel disconnected from decision</w:t>
      </w:r>
      <w:r w:rsidRPr="00CF7FB8">
        <w:rPr>
          <w:rFonts w:ascii="Cambria Math" w:hAnsi="Cambria Math" w:cs="Cambria Math"/>
          <w:sz w:val="22"/>
          <w:szCs w:val="22"/>
        </w:rPr>
        <w:t>‑</w:t>
      </w:r>
      <w:r w:rsidRPr="00CF7FB8">
        <w:rPr>
          <w:rFonts w:ascii="Arial" w:hAnsi="Arial" w:cs="Arial"/>
          <w:sz w:val="22"/>
          <w:szCs w:val="22"/>
        </w:rPr>
        <w:t>making processes, leading to mistrust and frustration. The psychological contract may also be disrupted if employees believe organisational commitments regarding development or support are no longer being upheld (Rousseau, 1995). These tensions frequently manifest as grievances relating to fairness, communication, and treatment during change.</w:t>
      </w:r>
    </w:p>
    <w:p w14:paraId="37095D72" w14:textId="2C054AE8" w:rsidR="00FD2168" w:rsidRPr="00343062" w:rsidRDefault="00FD2168" w:rsidP="00D66A99">
      <w:pPr>
        <w:pStyle w:val="Heading3"/>
      </w:pPr>
      <w:bookmarkStart w:id="4" w:name="_Toc225447531"/>
      <w:r w:rsidRPr="00343062">
        <w:t>1.2 Digital Technology Trends</w:t>
      </w:r>
      <w:r w:rsidR="00343062" w:rsidRPr="00343062">
        <w:t>.</w:t>
      </w:r>
      <w:bookmarkEnd w:id="4"/>
    </w:p>
    <w:p w14:paraId="7D52AE0F" w14:textId="77777777" w:rsidR="00FD2168" w:rsidRPr="00CF7FB8" w:rsidRDefault="00FD2168" w:rsidP="00FD2168">
      <w:pPr>
        <w:rPr>
          <w:rFonts w:ascii="Arial" w:hAnsi="Arial" w:cs="Arial"/>
          <w:sz w:val="22"/>
          <w:szCs w:val="22"/>
        </w:rPr>
      </w:pPr>
      <w:r w:rsidRPr="00CF7FB8">
        <w:rPr>
          <w:rFonts w:ascii="Arial" w:hAnsi="Arial" w:cs="Arial"/>
          <w:sz w:val="22"/>
          <w:szCs w:val="22"/>
        </w:rPr>
        <w:t>Digitalisation is reshaping organisational operations through automation, artificial intelligence, cloud</w:t>
      </w:r>
      <w:r w:rsidRPr="00CF7FB8">
        <w:rPr>
          <w:rFonts w:ascii="Cambria Math" w:hAnsi="Cambria Math" w:cs="Cambria Math"/>
          <w:sz w:val="22"/>
          <w:szCs w:val="22"/>
        </w:rPr>
        <w:t>‑</w:t>
      </w:r>
      <w:r w:rsidRPr="00CF7FB8">
        <w:rPr>
          <w:rFonts w:ascii="Arial" w:hAnsi="Arial" w:cs="Arial"/>
          <w:sz w:val="22"/>
          <w:szCs w:val="22"/>
        </w:rPr>
        <w:t>based systems, and data</w:t>
      </w:r>
      <w:r w:rsidRPr="00CF7FB8">
        <w:rPr>
          <w:rFonts w:ascii="Cambria Math" w:hAnsi="Cambria Math" w:cs="Cambria Math"/>
          <w:sz w:val="22"/>
          <w:szCs w:val="22"/>
        </w:rPr>
        <w:t>‑</w:t>
      </w:r>
      <w:r w:rsidRPr="00CF7FB8">
        <w:rPr>
          <w:rFonts w:ascii="Arial" w:hAnsi="Arial" w:cs="Arial"/>
          <w:sz w:val="22"/>
          <w:szCs w:val="22"/>
        </w:rPr>
        <w:t>driven decision</w:t>
      </w:r>
      <w:r w:rsidRPr="00CF7FB8">
        <w:rPr>
          <w:rFonts w:ascii="Cambria Math" w:hAnsi="Cambria Math" w:cs="Cambria Math"/>
          <w:sz w:val="22"/>
          <w:szCs w:val="22"/>
        </w:rPr>
        <w:t>‑</w:t>
      </w:r>
      <w:r w:rsidRPr="00CF7FB8">
        <w:rPr>
          <w:rFonts w:ascii="Arial" w:hAnsi="Arial" w:cs="Arial"/>
          <w:sz w:val="22"/>
          <w:szCs w:val="22"/>
        </w:rPr>
        <w:t>making. While these technologies improve productivity, they also introduce new pressures. Employees may feel overwhelmed by the pace of technological change or fear that automation threatens their roles (Brynjolfsson and McAfee, 2014). Insufficient training can exacerbate anxiety, particularly among employees with lower digital confidence. Digital monitoring tools can create perceptions of surveillance, raising concerns about privacy and autonomy. Constant connectivity enabled by digital platforms can blur work</w:t>
      </w:r>
      <w:r w:rsidRPr="00CF7FB8">
        <w:rPr>
          <w:rFonts w:ascii="Cambria Math" w:hAnsi="Cambria Math" w:cs="Cambria Math"/>
          <w:sz w:val="22"/>
          <w:szCs w:val="22"/>
        </w:rPr>
        <w:t>‑</w:t>
      </w:r>
      <w:r w:rsidRPr="00CF7FB8">
        <w:rPr>
          <w:rFonts w:ascii="Arial" w:hAnsi="Arial" w:cs="Arial"/>
          <w:sz w:val="22"/>
          <w:szCs w:val="22"/>
        </w:rPr>
        <w:t>life boundaries, contributing to stress and burnout.</w:t>
      </w:r>
    </w:p>
    <w:p w14:paraId="67EC78DF" w14:textId="21B77E96" w:rsidR="00FD2168" w:rsidRPr="00343062" w:rsidRDefault="00FD2168" w:rsidP="00D66A99">
      <w:pPr>
        <w:pStyle w:val="Heading3"/>
      </w:pPr>
      <w:bookmarkStart w:id="5" w:name="_Toc225447532"/>
      <w:r w:rsidRPr="00343062">
        <w:t>1.3 Flexible Working Arrangements</w:t>
      </w:r>
      <w:r w:rsidR="00343062" w:rsidRPr="00343062">
        <w:t>.</w:t>
      </w:r>
      <w:bookmarkEnd w:id="5"/>
    </w:p>
    <w:p w14:paraId="75E5F3ED" w14:textId="3BFF1295" w:rsidR="00FD2168" w:rsidRDefault="00FD2168" w:rsidP="00FD2168">
      <w:pPr>
        <w:rPr>
          <w:rFonts w:ascii="Arial" w:hAnsi="Arial" w:cs="Arial"/>
          <w:sz w:val="22"/>
          <w:szCs w:val="22"/>
        </w:rPr>
      </w:pPr>
      <w:r w:rsidRPr="00CF7FB8">
        <w:rPr>
          <w:rFonts w:ascii="Arial" w:hAnsi="Arial" w:cs="Arial"/>
          <w:sz w:val="22"/>
          <w:szCs w:val="22"/>
        </w:rPr>
        <w:t>Flexible working has become a defining feature of the modern workplace, accelerated by the COVID</w:t>
      </w:r>
      <w:r w:rsidRPr="00CF7FB8">
        <w:rPr>
          <w:rFonts w:ascii="Cambria Math" w:hAnsi="Cambria Math" w:cs="Cambria Math"/>
          <w:sz w:val="22"/>
          <w:szCs w:val="22"/>
        </w:rPr>
        <w:t>‑</w:t>
      </w:r>
      <w:r w:rsidRPr="00CF7FB8">
        <w:rPr>
          <w:rFonts w:ascii="Arial" w:hAnsi="Arial" w:cs="Arial"/>
          <w:sz w:val="22"/>
          <w:szCs w:val="22"/>
        </w:rPr>
        <w:t xml:space="preserve">19 pandemic and supported by UK employment legislation. </w:t>
      </w:r>
      <w:r w:rsidR="00CD537F">
        <w:rPr>
          <w:rFonts w:ascii="Arial" w:hAnsi="Arial" w:cs="Arial"/>
          <w:sz w:val="22"/>
          <w:szCs w:val="22"/>
        </w:rPr>
        <w:t>h</w:t>
      </w:r>
      <w:r w:rsidRPr="00CF7FB8">
        <w:rPr>
          <w:rFonts w:ascii="Arial" w:hAnsi="Arial" w:cs="Arial"/>
          <w:sz w:val="22"/>
          <w:szCs w:val="22"/>
        </w:rPr>
        <w:t xml:space="preserve">ybrid working, remote work, compressed hours, and flexible scheduling offer </w:t>
      </w:r>
      <w:r w:rsidR="00CD537F" w:rsidRPr="00CF7FB8">
        <w:rPr>
          <w:rFonts w:ascii="Arial" w:hAnsi="Arial" w:cs="Arial"/>
          <w:sz w:val="22"/>
          <w:szCs w:val="22"/>
        </w:rPr>
        <w:t>employee’s</w:t>
      </w:r>
      <w:r w:rsidRPr="00CF7FB8">
        <w:rPr>
          <w:rFonts w:ascii="Arial" w:hAnsi="Arial" w:cs="Arial"/>
          <w:sz w:val="22"/>
          <w:szCs w:val="22"/>
        </w:rPr>
        <w:t xml:space="preserve"> greater autonomy and work</w:t>
      </w:r>
      <w:r w:rsidRPr="00CF7FB8">
        <w:rPr>
          <w:rFonts w:ascii="Cambria Math" w:hAnsi="Cambria Math" w:cs="Cambria Math"/>
          <w:sz w:val="22"/>
          <w:szCs w:val="22"/>
        </w:rPr>
        <w:t>‑</w:t>
      </w:r>
      <w:r w:rsidRPr="00CF7FB8">
        <w:rPr>
          <w:rFonts w:ascii="Arial" w:hAnsi="Arial" w:cs="Arial"/>
          <w:sz w:val="22"/>
          <w:szCs w:val="22"/>
        </w:rPr>
        <w:t>life balance (CIPD, 2023). However, these arrangements also present challenges. Remote employees may feel isolated or excluded from informal communication and career opportunities. Managers may struggle to maintain consistent performance standards across dispersed teams. Flexible working can also create tensions between employees whose roles allow flexibility and those whose roles require physical presence. Digital communication tools can create an “always</w:t>
      </w:r>
      <w:r w:rsidRPr="00CF7FB8">
        <w:rPr>
          <w:rFonts w:ascii="Cambria Math" w:hAnsi="Cambria Math" w:cs="Cambria Math"/>
          <w:sz w:val="22"/>
          <w:szCs w:val="22"/>
        </w:rPr>
        <w:t>‑</w:t>
      </w:r>
      <w:r w:rsidRPr="00CF7FB8">
        <w:rPr>
          <w:rFonts w:ascii="Arial" w:hAnsi="Arial" w:cs="Arial"/>
          <w:sz w:val="22"/>
          <w:szCs w:val="22"/>
        </w:rPr>
        <w:t>on” culture, increasing stress and reducing well</w:t>
      </w:r>
      <w:r w:rsidR="00CD537F">
        <w:rPr>
          <w:rFonts w:ascii="Arial" w:hAnsi="Arial" w:cs="Arial"/>
          <w:sz w:val="22"/>
          <w:szCs w:val="22"/>
        </w:rPr>
        <w:t>-</w:t>
      </w:r>
      <w:r w:rsidRPr="00CF7FB8">
        <w:rPr>
          <w:rFonts w:ascii="Arial" w:hAnsi="Arial" w:cs="Arial"/>
          <w:sz w:val="22"/>
          <w:szCs w:val="22"/>
        </w:rPr>
        <w:t>being.</w:t>
      </w:r>
    </w:p>
    <w:tbl>
      <w:tblPr>
        <w:tblStyle w:val="ListTable6Colourful"/>
        <w:tblpPr w:leftFromText="180" w:rightFromText="180" w:vertAnchor="text" w:horzAnchor="margin" w:tblpY="210"/>
        <w:tblW w:w="0" w:type="auto"/>
        <w:tblLook w:val="04A0" w:firstRow="1" w:lastRow="0" w:firstColumn="1" w:lastColumn="0" w:noHBand="0" w:noVBand="1"/>
      </w:tblPr>
      <w:tblGrid>
        <w:gridCol w:w="2122"/>
        <w:gridCol w:w="3118"/>
        <w:gridCol w:w="3776"/>
      </w:tblGrid>
      <w:tr w:rsidR="00461B84" w:rsidRPr="00CF7FB8" w14:paraId="4C0F91A7" w14:textId="77777777" w:rsidTr="00461B84">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122" w:type="dxa"/>
          </w:tcPr>
          <w:p w14:paraId="14BD9BD6" w14:textId="77777777" w:rsidR="00461B84" w:rsidRPr="00CF7FB8" w:rsidRDefault="00461B84" w:rsidP="00461B84">
            <w:pPr>
              <w:rPr>
                <w:rFonts w:cs="Arial"/>
                <w:sz w:val="22"/>
                <w:szCs w:val="22"/>
              </w:rPr>
            </w:pPr>
            <w:r w:rsidRPr="00CF7FB8">
              <w:rPr>
                <w:rFonts w:cs="Arial"/>
                <w:sz w:val="22"/>
                <w:szCs w:val="22"/>
              </w:rPr>
              <w:t>Factor</w:t>
            </w:r>
          </w:p>
        </w:tc>
        <w:tc>
          <w:tcPr>
            <w:tcW w:w="3118" w:type="dxa"/>
          </w:tcPr>
          <w:p w14:paraId="491010EC" w14:textId="77777777" w:rsidR="00461B84" w:rsidRPr="00CF7FB8" w:rsidRDefault="00461B84" w:rsidP="00461B84">
            <w:pPr>
              <w:cnfStyle w:val="100000000000" w:firstRow="1" w:lastRow="0" w:firstColumn="0" w:lastColumn="0" w:oddVBand="0" w:evenVBand="0" w:oddHBand="0" w:evenHBand="0" w:firstRowFirstColumn="0" w:firstRowLastColumn="0" w:lastRowFirstColumn="0" w:lastRowLastColumn="0"/>
              <w:rPr>
                <w:rFonts w:cs="Arial"/>
                <w:sz w:val="22"/>
                <w:szCs w:val="22"/>
              </w:rPr>
            </w:pPr>
            <w:r w:rsidRPr="00CF7FB8">
              <w:rPr>
                <w:rFonts w:cs="Arial"/>
                <w:sz w:val="22"/>
                <w:szCs w:val="22"/>
              </w:rPr>
              <w:t>Description</w:t>
            </w:r>
          </w:p>
        </w:tc>
        <w:tc>
          <w:tcPr>
            <w:tcW w:w="3776" w:type="dxa"/>
          </w:tcPr>
          <w:p w14:paraId="0865FFB6" w14:textId="77777777" w:rsidR="00461B84" w:rsidRPr="00CF7FB8" w:rsidRDefault="00461B84" w:rsidP="00461B84">
            <w:pPr>
              <w:cnfStyle w:val="100000000000" w:firstRow="1" w:lastRow="0" w:firstColumn="0" w:lastColumn="0" w:oddVBand="0" w:evenVBand="0" w:oddHBand="0" w:evenHBand="0" w:firstRowFirstColumn="0" w:firstRowLastColumn="0" w:lastRowFirstColumn="0" w:lastRowLastColumn="0"/>
              <w:rPr>
                <w:rFonts w:cs="Arial"/>
                <w:sz w:val="22"/>
                <w:szCs w:val="22"/>
              </w:rPr>
            </w:pPr>
            <w:r w:rsidRPr="00CF7FB8">
              <w:rPr>
                <w:rFonts w:cs="Arial"/>
                <w:sz w:val="22"/>
                <w:szCs w:val="22"/>
              </w:rPr>
              <w:t>Impact on Employees</w:t>
            </w:r>
          </w:p>
        </w:tc>
      </w:tr>
      <w:tr w:rsidR="00461B84" w:rsidRPr="00CF7FB8" w14:paraId="58597B11" w14:textId="77777777" w:rsidTr="00461B8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122" w:type="dxa"/>
          </w:tcPr>
          <w:p w14:paraId="0C5397C7" w14:textId="77777777" w:rsidR="00461B84" w:rsidRPr="00CF7FB8" w:rsidRDefault="00461B84" w:rsidP="00461B84">
            <w:pPr>
              <w:rPr>
                <w:rFonts w:cs="Arial"/>
                <w:sz w:val="22"/>
                <w:szCs w:val="22"/>
              </w:rPr>
            </w:pPr>
            <w:r w:rsidRPr="00CF7FB8">
              <w:rPr>
                <w:rFonts w:cs="Arial"/>
                <w:sz w:val="22"/>
                <w:szCs w:val="22"/>
              </w:rPr>
              <w:t>Business Transformations</w:t>
            </w:r>
          </w:p>
        </w:tc>
        <w:tc>
          <w:tcPr>
            <w:tcW w:w="3118" w:type="dxa"/>
          </w:tcPr>
          <w:p w14:paraId="7DF2542D" w14:textId="77777777" w:rsidR="00461B84" w:rsidRPr="00CF7FB8" w:rsidRDefault="00461B84" w:rsidP="00461B84">
            <w:pPr>
              <w:cnfStyle w:val="000000100000" w:firstRow="0" w:lastRow="0" w:firstColumn="0" w:lastColumn="0" w:oddVBand="0" w:evenVBand="0" w:oddHBand="1" w:evenHBand="0" w:firstRowFirstColumn="0" w:firstRowLastColumn="0" w:lastRowFirstColumn="0" w:lastRowLastColumn="0"/>
              <w:rPr>
                <w:rFonts w:cs="Arial"/>
                <w:sz w:val="22"/>
                <w:szCs w:val="22"/>
              </w:rPr>
            </w:pPr>
            <w:r w:rsidRPr="00CF7FB8">
              <w:rPr>
                <w:rFonts w:cs="Arial"/>
                <w:sz w:val="22"/>
                <w:szCs w:val="22"/>
              </w:rPr>
              <w:t>Cultural shifts, Structure re-mapping, new processors.</w:t>
            </w:r>
          </w:p>
        </w:tc>
        <w:tc>
          <w:tcPr>
            <w:tcW w:w="3776" w:type="dxa"/>
          </w:tcPr>
          <w:p w14:paraId="54944CF7" w14:textId="77777777" w:rsidR="00461B84" w:rsidRPr="00CF7FB8" w:rsidRDefault="00461B84" w:rsidP="00461B84">
            <w:pPr>
              <w:cnfStyle w:val="000000100000" w:firstRow="0" w:lastRow="0" w:firstColumn="0" w:lastColumn="0" w:oddVBand="0" w:evenVBand="0" w:oddHBand="1" w:evenHBand="0" w:firstRowFirstColumn="0" w:firstRowLastColumn="0" w:lastRowFirstColumn="0" w:lastRowLastColumn="0"/>
              <w:rPr>
                <w:rFonts w:cs="Arial"/>
                <w:sz w:val="22"/>
                <w:szCs w:val="22"/>
              </w:rPr>
            </w:pPr>
            <w:r w:rsidRPr="00CF7FB8">
              <w:rPr>
                <w:rFonts w:cs="Arial"/>
                <w:sz w:val="22"/>
                <w:szCs w:val="22"/>
              </w:rPr>
              <w:t>Uncertainty, feeling vulnerable and volatile, Role ambiguity, insecurity.</w:t>
            </w:r>
          </w:p>
        </w:tc>
      </w:tr>
      <w:tr w:rsidR="00461B84" w:rsidRPr="00CF7FB8" w14:paraId="711E0037" w14:textId="77777777" w:rsidTr="00461B84">
        <w:tc>
          <w:tcPr>
            <w:cnfStyle w:val="001000000000" w:firstRow="0" w:lastRow="0" w:firstColumn="1" w:lastColumn="0" w:oddVBand="0" w:evenVBand="0" w:oddHBand="0" w:evenHBand="0" w:firstRowFirstColumn="0" w:firstRowLastColumn="0" w:lastRowFirstColumn="0" w:lastRowLastColumn="0"/>
            <w:tcW w:w="2122" w:type="dxa"/>
          </w:tcPr>
          <w:p w14:paraId="7BD3251F" w14:textId="77777777" w:rsidR="00461B84" w:rsidRPr="00CF7FB8" w:rsidRDefault="00461B84" w:rsidP="00461B84">
            <w:pPr>
              <w:rPr>
                <w:rFonts w:cs="Arial"/>
                <w:sz w:val="22"/>
                <w:szCs w:val="22"/>
              </w:rPr>
            </w:pPr>
            <w:r w:rsidRPr="00CF7FB8">
              <w:rPr>
                <w:rFonts w:cs="Arial"/>
                <w:sz w:val="22"/>
                <w:szCs w:val="22"/>
              </w:rPr>
              <w:t xml:space="preserve">Digital Technology </w:t>
            </w:r>
          </w:p>
        </w:tc>
        <w:tc>
          <w:tcPr>
            <w:tcW w:w="3118" w:type="dxa"/>
          </w:tcPr>
          <w:p w14:paraId="6E441051" w14:textId="77777777" w:rsidR="00461B84" w:rsidRPr="00CF7FB8" w:rsidRDefault="00461B84" w:rsidP="00461B84">
            <w:pPr>
              <w:cnfStyle w:val="000000000000" w:firstRow="0" w:lastRow="0" w:firstColumn="0" w:lastColumn="0" w:oddVBand="0" w:evenVBand="0" w:oddHBand="0" w:evenHBand="0" w:firstRowFirstColumn="0" w:firstRowLastColumn="0" w:lastRowFirstColumn="0" w:lastRowLastColumn="0"/>
              <w:rPr>
                <w:rFonts w:cs="Arial"/>
                <w:sz w:val="22"/>
                <w:szCs w:val="22"/>
              </w:rPr>
            </w:pPr>
            <w:r w:rsidRPr="00CF7FB8">
              <w:rPr>
                <w:rFonts w:cs="Arial"/>
                <w:sz w:val="22"/>
                <w:szCs w:val="22"/>
              </w:rPr>
              <w:t>Automation, new skills, AI advances, digital monitoring, new software and programs.</w:t>
            </w:r>
          </w:p>
        </w:tc>
        <w:tc>
          <w:tcPr>
            <w:tcW w:w="3776" w:type="dxa"/>
          </w:tcPr>
          <w:p w14:paraId="4432EF95" w14:textId="77777777" w:rsidR="00461B84" w:rsidRPr="00CF7FB8" w:rsidRDefault="00461B84" w:rsidP="00461B84">
            <w:pPr>
              <w:cnfStyle w:val="000000000000" w:firstRow="0" w:lastRow="0" w:firstColumn="0" w:lastColumn="0" w:oddVBand="0" w:evenVBand="0" w:oddHBand="0" w:evenHBand="0" w:firstRowFirstColumn="0" w:firstRowLastColumn="0" w:lastRowFirstColumn="0" w:lastRowLastColumn="0"/>
              <w:rPr>
                <w:rFonts w:cs="Arial"/>
                <w:sz w:val="22"/>
                <w:szCs w:val="22"/>
              </w:rPr>
            </w:pPr>
            <w:r w:rsidRPr="00CF7FB8">
              <w:rPr>
                <w:rFonts w:cs="Arial"/>
                <w:sz w:val="22"/>
                <w:szCs w:val="22"/>
              </w:rPr>
              <w:t>Skill anxiety, digital overload, privacy issues, Stress related pressure, lack of understanding or commitment.</w:t>
            </w:r>
          </w:p>
        </w:tc>
      </w:tr>
      <w:tr w:rsidR="00461B84" w:rsidRPr="00CF7FB8" w14:paraId="24EE777B" w14:textId="77777777" w:rsidTr="00461B8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122" w:type="dxa"/>
          </w:tcPr>
          <w:p w14:paraId="26FB3D10" w14:textId="77777777" w:rsidR="00461B84" w:rsidRPr="00CF7FB8" w:rsidRDefault="00461B84" w:rsidP="00461B84">
            <w:pPr>
              <w:rPr>
                <w:rFonts w:cs="Arial"/>
                <w:sz w:val="22"/>
                <w:szCs w:val="22"/>
              </w:rPr>
            </w:pPr>
            <w:r w:rsidRPr="00CF7FB8">
              <w:rPr>
                <w:rFonts w:cs="Arial"/>
                <w:sz w:val="22"/>
                <w:szCs w:val="22"/>
              </w:rPr>
              <w:t xml:space="preserve">Flexible Working Hours </w:t>
            </w:r>
          </w:p>
        </w:tc>
        <w:tc>
          <w:tcPr>
            <w:tcW w:w="3118" w:type="dxa"/>
          </w:tcPr>
          <w:p w14:paraId="0F6244B0" w14:textId="77777777" w:rsidR="00461B84" w:rsidRPr="00CF7FB8" w:rsidRDefault="00461B84" w:rsidP="00461B84">
            <w:pPr>
              <w:cnfStyle w:val="000000100000" w:firstRow="0" w:lastRow="0" w:firstColumn="0" w:lastColumn="0" w:oddVBand="0" w:evenVBand="0" w:oddHBand="1" w:evenHBand="0" w:firstRowFirstColumn="0" w:firstRowLastColumn="0" w:lastRowFirstColumn="0" w:lastRowLastColumn="0"/>
              <w:rPr>
                <w:rFonts w:cs="Arial"/>
                <w:sz w:val="22"/>
                <w:szCs w:val="22"/>
              </w:rPr>
            </w:pPr>
            <w:r w:rsidRPr="00CF7FB8">
              <w:rPr>
                <w:rFonts w:cs="Arial"/>
                <w:sz w:val="22"/>
                <w:szCs w:val="22"/>
              </w:rPr>
              <w:t>Hybrid Work, Remote work and Flexible work</w:t>
            </w:r>
          </w:p>
        </w:tc>
        <w:tc>
          <w:tcPr>
            <w:tcW w:w="3776" w:type="dxa"/>
          </w:tcPr>
          <w:p w14:paraId="47F1DE6B" w14:textId="77777777" w:rsidR="00461B84" w:rsidRPr="00CF7FB8" w:rsidRDefault="00461B84" w:rsidP="00461B84">
            <w:pPr>
              <w:cnfStyle w:val="000000100000" w:firstRow="0" w:lastRow="0" w:firstColumn="0" w:lastColumn="0" w:oddVBand="0" w:evenVBand="0" w:oddHBand="1" w:evenHBand="0" w:firstRowFirstColumn="0" w:firstRowLastColumn="0" w:lastRowFirstColumn="0" w:lastRowLastColumn="0"/>
              <w:rPr>
                <w:rFonts w:cs="Arial"/>
                <w:sz w:val="22"/>
                <w:szCs w:val="22"/>
              </w:rPr>
            </w:pPr>
            <w:r w:rsidRPr="00CF7FB8">
              <w:rPr>
                <w:rFonts w:cs="Arial"/>
                <w:sz w:val="22"/>
                <w:szCs w:val="22"/>
              </w:rPr>
              <w:t>Inequity, isolation, reduced interest, inconsistent communication</w:t>
            </w:r>
          </w:p>
        </w:tc>
      </w:tr>
    </w:tbl>
    <w:p w14:paraId="68B9EBFA" w14:textId="77777777" w:rsidR="00461B84" w:rsidRDefault="00461B84" w:rsidP="00461B84">
      <w:pPr>
        <w:rPr>
          <w:rFonts w:ascii="Arial" w:hAnsi="Arial" w:cs="Arial"/>
          <w:i/>
          <w:iCs/>
          <w:sz w:val="16"/>
          <w:szCs w:val="16"/>
        </w:rPr>
      </w:pPr>
    </w:p>
    <w:p w14:paraId="1A54C33C" w14:textId="40D28EB7" w:rsidR="00461B84" w:rsidRPr="00D66A99" w:rsidRDefault="00461B84" w:rsidP="00D66A99">
      <w:pPr>
        <w:pStyle w:val="Heading4"/>
        <w:jc w:val="right"/>
        <w:rPr>
          <w:sz w:val="16"/>
          <w:szCs w:val="16"/>
        </w:rPr>
      </w:pPr>
      <w:r w:rsidRPr="00D66A99">
        <w:rPr>
          <w:sz w:val="16"/>
          <w:szCs w:val="16"/>
        </w:rPr>
        <w:t>Table 1: Summary of Key Organisational Factors Contributing to Grievances.</w:t>
      </w:r>
    </w:p>
    <w:p w14:paraId="11CBC10A" w14:textId="3F9ECC6F" w:rsidR="00FD2168" w:rsidRPr="00343062" w:rsidRDefault="00FD2168" w:rsidP="00D66A99">
      <w:pPr>
        <w:pStyle w:val="Heading3"/>
      </w:pPr>
      <w:bookmarkStart w:id="6" w:name="_Toc225447533"/>
      <w:r w:rsidRPr="00343062">
        <w:t>1.4 Interconnected Nature of the Factors</w:t>
      </w:r>
      <w:r w:rsidR="00343062" w:rsidRPr="00343062">
        <w:t>.</w:t>
      </w:r>
      <w:bookmarkEnd w:id="6"/>
    </w:p>
    <w:p w14:paraId="6FB91A0C" w14:textId="3763A962" w:rsidR="00FD2168" w:rsidRDefault="00FD2168" w:rsidP="00FD2168">
      <w:pPr>
        <w:rPr>
          <w:rFonts w:ascii="Arial" w:hAnsi="Arial" w:cs="Arial"/>
          <w:sz w:val="22"/>
          <w:szCs w:val="22"/>
        </w:rPr>
      </w:pPr>
      <w:r w:rsidRPr="00CF7FB8">
        <w:rPr>
          <w:rFonts w:ascii="Arial" w:hAnsi="Arial" w:cs="Arial"/>
          <w:sz w:val="22"/>
          <w:szCs w:val="22"/>
        </w:rPr>
        <w:t>Business transformation, digitalisation, and flexible working are deeply interconnected. Digital tools enable flexible working, while transformation initiatives rely on technology to streamline processes. When implemented simultaneously, these changes can overwhelm employees, disrupt routines, and weaken organisational cohesion. The combined effect increases the likelihood of grievances related to communication breakdowns, role ambiguity, and inconsistent managerial practices.</w:t>
      </w:r>
      <w:r w:rsidR="00EA6BAF">
        <w:rPr>
          <w:rFonts w:ascii="Arial" w:hAnsi="Arial" w:cs="Arial"/>
          <w:sz w:val="22"/>
          <w:szCs w:val="22"/>
        </w:rPr>
        <w:t xml:space="preserve"> To understand the element of business empowerment, lets look at a case study</w:t>
      </w:r>
      <w:r w:rsidR="004C40D1">
        <w:rPr>
          <w:rFonts w:ascii="Arial" w:hAnsi="Arial" w:cs="Arial"/>
          <w:sz w:val="22"/>
          <w:szCs w:val="22"/>
        </w:rPr>
        <w:t>, t</w:t>
      </w:r>
      <w:r w:rsidR="004C40D1" w:rsidRPr="004C40D1">
        <w:rPr>
          <w:rFonts w:ascii="Arial" w:hAnsi="Arial" w:cs="Arial"/>
          <w:sz w:val="22"/>
          <w:szCs w:val="22"/>
        </w:rPr>
        <w:t>he following fictional case study has been developed to illustrate how these challenges may manifest within a contemporary UK organisation.</w:t>
      </w:r>
    </w:p>
    <w:p w14:paraId="3ADD5FEC" w14:textId="77777777" w:rsidR="00F9026A" w:rsidRDefault="00F9026A" w:rsidP="00FD2168">
      <w:pPr>
        <w:rPr>
          <w:rFonts w:ascii="Arial" w:hAnsi="Arial" w:cs="Arial"/>
          <w:sz w:val="22"/>
          <w:szCs w:val="22"/>
        </w:rPr>
      </w:pPr>
    </w:p>
    <w:p w14:paraId="6D39BBD4" w14:textId="77777777" w:rsidR="00EA6BAF" w:rsidRDefault="00EA6BAF" w:rsidP="00EA6BAF">
      <w:pPr>
        <w:rPr>
          <w:rFonts w:ascii="Arial" w:hAnsi="Arial" w:cs="Arial"/>
          <w:b/>
          <w:bCs/>
          <w:sz w:val="22"/>
          <w:szCs w:val="22"/>
        </w:rPr>
        <w:sectPr w:rsidR="00EA6BAF" w:rsidSect="008348A1">
          <w:footerReference w:type="default" r:id="rId12"/>
          <w:pgSz w:w="11906" w:h="16838"/>
          <w:pgMar w:top="1440" w:right="1440" w:bottom="1440" w:left="1440" w:header="624" w:footer="454" w:gutter="0"/>
          <w:pgNumType w:start="0"/>
          <w:cols w:space="708"/>
          <w:titlePg/>
          <w:docGrid w:linePitch="360"/>
        </w:sectPr>
      </w:pPr>
    </w:p>
    <w:p w14:paraId="378FFDB3" w14:textId="2C8FE88E" w:rsidR="00EA6BAF" w:rsidRPr="009E1185" w:rsidRDefault="00EA6BAF" w:rsidP="00D66A99">
      <w:pPr>
        <w:pStyle w:val="Heading3"/>
      </w:pPr>
      <w:bookmarkStart w:id="7" w:name="_Toc225447534"/>
      <w:r w:rsidRPr="009E1185">
        <w:t>Case Study: Transforming HR Practices at MetroTech Solutions</w:t>
      </w:r>
      <w:r w:rsidR="00274574">
        <w:t>.</w:t>
      </w:r>
      <w:bookmarkEnd w:id="7"/>
    </w:p>
    <w:p w14:paraId="2A0496FE" w14:textId="77777777" w:rsidR="00EA6BAF" w:rsidRPr="00D02FD5" w:rsidRDefault="00EA6BAF" w:rsidP="00D02FD5">
      <w:pPr>
        <w:spacing w:before="100" w:beforeAutospacing="1" w:after="100" w:afterAutospacing="1"/>
        <w:rPr>
          <w:rFonts w:ascii="Arial" w:hAnsi="Arial" w:cs="Arial"/>
          <w:sz w:val="22"/>
          <w:szCs w:val="22"/>
        </w:rPr>
      </w:pPr>
      <w:r w:rsidRPr="00D02FD5">
        <w:rPr>
          <w:rFonts w:ascii="Arial" w:hAnsi="Arial" w:cs="Arial"/>
          <w:sz w:val="22"/>
          <w:szCs w:val="22"/>
        </w:rPr>
        <w:t>MetroTech Solutions, a mid</w:t>
      </w:r>
      <w:r w:rsidRPr="00D02FD5">
        <w:rPr>
          <w:rFonts w:ascii="Cambria Math" w:hAnsi="Cambria Math" w:cs="Cambria Math"/>
          <w:sz w:val="22"/>
          <w:szCs w:val="22"/>
        </w:rPr>
        <w:t>‑</w:t>
      </w:r>
      <w:r w:rsidRPr="00D02FD5">
        <w:rPr>
          <w:rFonts w:ascii="Arial" w:hAnsi="Arial" w:cs="Arial"/>
          <w:sz w:val="22"/>
          <w:szCs w:val="22"/>
        </w:rPr>
        <w:t>sized technology services provider based in Birmingham, underwent a major organisational transformation in 2023 as part of its strategy to remain competitive in a rapidly evolving digital market. The company introduced new cloud</w:t>
      </w:r>
      <w:r w:rsidRPr="00D02FD5">
        <w:rPr>
          <w:rFonts w:ascii="Cambria Math" w:hAnsi="Cambria Math" w:cs="Cambria Math"/>
          <w:sz w:val="22"/>
          <w:szCs w:val="22"/>
        </w:rPr>
        <w:t>‑</w:t>
      </w:r>
      <w:r w:rsidRPr="00D02FD5">
        <w:rPr>
          <w:rFonts w:ascii="Arial" w:hAnsi="Arial" w:cs="Arial"/>
          <w:sz w:val="22"/>
          <w:szCs w:val="22"/>
        </w:rPr>
        <w:t>based systems, automated several administrative processes, and shifted to a hybrid working model. While these changes were intended to improve efficiency and enhance employee experience, the organisation experienced a sharp rise in grievances within six months of implementation. These grievances centred on workload pressures, inconsistent managerial practices, unequal access to development opportunities, and concerns about fairness in reward decisions.</w:t>
      </w:r>
    </w:p>
    <w:p w14:paraId="0D215562" w14:textId="77777777" w:rsidR="00EA6BAF" w:rsidRPr="00D02FD5" w:rsidRDefault="00EA6BAF" w:rsidP="00D02FD5">
      <w:pPr>
        <w:spacing w:before="100" w:beforeAutospacing="1" w:after="100" w:afterAutospacing="1"/>
        <w:rPr>
          <w:rFonts w:ascii="Arial" w:hAnsi="Arial" w:cs="Arial"/>
          <w:sz w:val="22"/>
          <w:szCs w:val="22"/>
        </w:rPr>
      </w:pPr>
      <w:r w:rsidRPr="00D02FD5">
        <w:rPr>
          <w:rFonts w:ascii="Arial" w:hAnsi="Arial" w:cs="Arial"/>
          <w:sz w:val="22"/>
          <w:szCs w:val="22"/>
        </w:rPr>
        <w:t>The transformation created significant uncertainty among employees, particularly those whose roles were affected by automation. Many reported feeling inadequately trained to use new digital tools, leading to frustration and reduced confidence. This aligns with research suggesting that digital transitions often heighten anxiety when employees lack the skills or support needed to adapt (Brynjolfsson and McAfee, 2014). In MetroTech’s case, training provision was inconsistent across departments, resulting in unequal levels of digital competence and widening capability gaps.</w:t>
      </w:r>
    </w:p>
    <w:p w14:paraId="52D5528A" w14:textId="77777777" w:rsidR="00EA6BAF" w:rsidRPr="00D02FD5" w:rsidRDefault="00EA6BAF" w:rsidP="00D02FD5">
      <w:pPr>
        <w:spacing w:before="100" w:beforeAutospacing="1" w:after="100" w:afterAutospacing="1"/>
        <w:rPr>
          <w:rFonts w:ascii="Arial" w:hAnsi="Arial" w:cs="Arial"/>
          <w:sz w:val="22"/>
          <w:szCs w:val="22"/>
        </w:rPr>
      </w:pPr>
      <w:r w:rsidRPr="00D02FD5">
        <w:rPr>
          <w:rFonts w:ascii="Arial" w:hAnsi="Arial" w:cs="Arial"/>
          <w:sz w:val="22"/>
          <w:szCs w:val="22"/>
        </w:rPr>
        <w:t>The shift to hybrid working further intensified challenges. Employees working remotely expressed concerns about reduced visibility, limited access to informal communication, and fewer opportunities for recognition. These concerns were reflected in performance reviews, where remote workers received lower ratings on average than office</w:t>
      </w:r>
      <w:r w:rsidRPr="00D02FD5">
        <w:rPr>
          <w:rFonts w:ascii="Cambria Math" w:hAnsi="Cambria Math" w:cs="Cambria Math"/>
          <w:sz w:val="22"/>
          <w:szCs w:val="22"/>
        </w:rPr>
        <w:t>‑</w:t>
      </w:r>
      <w:r w:rsidRPr="00D02FD5">
        <w:rPr>
          <w:rFonts w:ascii="Arial" w:hAnsi="Arial" w:cs="Arial"/>
          <w:sz w:val="22"/>
          <w:szCs w:val="22"/>
        </w:rPr>
        <w:t>based colleagues. This pattern is consistent with evidence that proximity bias can influence managerial perceptions of performance and contribution (Bloom et al., 2015). As a result, several employees filed grievances relating to unfair treatment, lack of inclusion, and perceived inequity in reward decisions.</w:t>
      </w:r>
    </w:p>
    <w:p w14:paraId="5CCC4BFA" w14:textId="77777777" w:rsidR="00EA6BAF" w:rsidRPr="00D02FD5" w:rsidRDefault="00EA6BAF" w:rsidP="00D02FD5">
      <w:pPr>
        <w:spacing w:before="100" w:beforeAutospacing="1" w:after="100" w:afterAutospacing="1"/>
        <w:rPr>
          <w:rFonts w:ascii="Arial" w:hAnsi="Arial" w:cs="Arial"/>
          <w:sz w:val="22"/>
          <w:szCs w:val="22"/>
        </w:rPr>
      </w:pPr>
      <w:r w:rsidRPr="00D02FD5">
        <w:rPr>
          <w:rFonts w:ascii="Arial" w:hAnsi="Arial" w:cs="Arial"/>
          <w:sz w:val="22"/>
          <w:szCs w:val="22"/>
        </w:rPr>
        <w:t>Reward management practices also came under scrutiny. MetroTech operated a performance</w:t>
      </w:r>
      <w:r w:rsidRPr="00D02FD5">
        <w:rPr>
          <w:rFonts w:ascii="Cambria Math" w:hAnsi="Cambria Math" w:cs="Cambria Math"/>
          <w:sz w:val="22"/>
          <w:szCs w:val="22"/>
        </w:rPr>
        <w:t>‑</w:t>
      </w:r>
      <w:r w:rsidRPr="00D02FD5">
        <w:rPr>
          <w:rFonts w:ascii="Arial" w:hAnsi="Arial" w:cs="Arial"/>
          <w:sz w:val="22"/>
          <w:szCs w:val="22"/>
        </w:rPr>
        <w:t>related pay system, but the criteria were not clearly communicated, and managers applied them inconsistently. Employees reported confusion about how bonuses were calculated and why certain individuals received higher rewards. The absence of transparent pay structures and clear progression pathways contributed to perceptions of favouritism and discrimination. According to Armstrong and Taylor (2020), unclear reward frameworks are a common source of employee dissatisfaction and can undermine trust in organisational processes.</w:t>
      </w:r>
    </w:p>
    <w:p w14:paraId="248B997A" w14:textId="77777777" w:rsidR="00EA6BAF" w:rsidRPr="00D02FD5" w:rsidRDefault="00EA6BAF" w:rsidP="00D02FD5">
      <w:pPr>
        <w:spacing w:before="100" w:beforeAutospacing="1" w:after="100" w:afterAutospacing="1"/>
        <w:rPr>
          <w:rFonts w:ascii="Arial" w:hAnsi="Arial" w:cs="Arial"/>
          <w:sz w:val="22"/>
          <w:szCs w:val="22"/>
        </w:rPr>
      </w:pPr>
      <w:r w:rsidRPr="00D02FD5">
        <w:rPr>
          <w:rFonts w:ascii="Arial" w:hAnsi="Arial" w:cs="Arial"/>
          <w:sz w:val="22"/>
          <w:szCs w:val="22"/>
        </w:rPr>
        <w:t>Equal opportunity concerns emerged as well. An internal audit revealed disparities in development access, with office</w:t>
      </w:r>
      <w:r w:rsidRPr="00D02FD5">
        <w:rPr>
          <w:rFonts w:ascii="Cambria Math" w:hAnsi="Cambria Math" w:cs="Cambria Math"/>
          <w:sz w:val="22"/>
          <w:szCs w:val="22"/>
        </w:rPr>
        <w:t>‑</w:t>
      </w:r>
      <w:r w:rsidRPr="00D02FD5">
        <w:rPr>
          <w:rFonts w:ascii="Arial" w:hAnsi="Arial" w:cs="Arial"/>
          <w:sz w:val="22"/>
          <w:szCs w:val="22"/>
        </w:rPr>
        <w:t>based employees receiving more training invitations and mentoring opportunities than remote staff. This finding aligns with CIPD (2022) evidence that hybrid working can unintentionally disadvantage certain groups if development mechanisms are not applied consistently. Employees from minority backgrounds also reported feeling overlooked for progression, prompting the HR team to conduct an equality impact assessment to identify structural barriers.</w:t>
      </w:r>
    </w:p>
    <w:p w14:paraId="1A8BA721" w14:textId="77777777" w:rsidR="00EA6BAF" w:rsidRPr="00D02FD5" w:rsidRDefault="00EA6BAF" w:rsidP="00D02FD5">
      <w:pPr>
        <w:spacing w:before="100" w:beforeAutospacing="1" w:after="100" w:afterAutospacing="1"/>
        <w:rPr>
          <w:rFonts w:ascii="Arial" w:hAnsi="Arial" w:cs="Arial"/>
          <w:sz w:val="22"/>
          <w:szCs w:val="22"/>
        </w:rPr>
      </w:pPr>
      <w:r w:rsidRPr="00D02FD5">
        <w:rPr>
          <w:rFonts w:ascii="Arial" w:hAnsi="Arial" w:cs="Arial"/>
          <w:sz w:val="22"/>
          <w:szCs w:val="22"/>
        </w:rPr>
        <w:t>In response to these challenges, MetroTech implemented a series of targeted interventions. The organisation introduced a structured digital</w:t>
      </w:r>
      <w:r w:rsidRPr="00D02FD5">
        <w:rPr>
          <w:rFonts w:ascii="Cambria Math" w:hAnsi="Cambria Math" w:cs="Cambria Math"/>
          <w:sz w:val="22"/>
          <w:szCs w:val="22"/>
        </w:rPr>
        <w:t>‑</w:t>
      </w:r>
      <w:r w:rsidRPr="00D02FD5">
        <w:rPr>
          <w:rFonts w:ascii="Arial" w:hAnsi="Arial" w:cs="Arial"/>
          <w:sz w:val="22"/>
          <w:szCs w:val="22"/>
        </w:rPr>
        <w:t>skills development programme to ensure all employees received consistent training. Managers were required to complete training in inclusive leadership, hybrid team management, and evidence</w:t>
      </w:r>
      <w:r w:rsidRPr="00D02FD5">
        <w:rPr>
          <w:rFonts w:ascii="Cambria Math" w:hAnsi="Cambria Math" w:cs="Cambria Math"/>
          <w:sz w:val="22"/>
          <w:szCs w:val="22"/>
        </w:rPr>
        <w:t>‑</w:t>
      </w:r>
      <w:r w:rsidRPr="00D02FD5">
        <w:rPr>
          <w:rFonts w:ascii="Arial" w:hAnsi="Arial" w:cs="Arial"/>
          <w:sz w:val="22"/>
          <w:szCs w:val="22"/>
        </w:rPr>
        <w:t>based performance evaluation. To strengthen fairness in reward management, MetroTech redesigned its pay and progression framework, introducing transparent pay bands, clearer performance criteria, and calibration meetings to reduce bias. The company also launched a mentoring scheme and created peer</w:t>
      </w:r>
      <w:r w:rsidRPr="00D02FD5">
        <w:rPr>
          <w:rFonts w:ascii="Cambria Math" w:hAnsi="Cambria Math" w:cs="Cambria Math"/>
          <w:sz w:val="22"/>
          <w:szCs w:val="22"/>
        </w:rPr>
        <w:t>‑</w:t>
      </w:r>
      <w:r w:rsidRPr="00D02FD5">
        <w:rPr>
          <w:rFonts w:ascii="Arial" w:hAnsi="Arial" w:cs="Arial"/>
          <w:sz w:val="22"/>
          <w:szCs w:val="22"/>
        </w:rPr>
        <w:t>learning communities to support knowledge</w:t>
      </w:r>
      <w:r w:rsidRPr="00D02FD5">
        <w:rPr>
          <w:rFonts w:ascii="Cambria Math" w:hAnsi="Cambria Math" w:cs="Cambria Math"/>
          <w:sz w:val="22"/>
          <w:szCs w:val="22"/>
        </w:rPr>
        <w:t>‑</w:t>
      </w:r>
      <w:r w:rsidRPr="00D02FD5">
        <w:rPr>
          <w:rFonts w:ascii="Arial" w:hAnsi="Arial" w:cs="Arial"/>
          <w:sz w:val="22"/>
          <w:szCs w:val="22"/>
        </w:rPr>
        <w:t>sharing across hybrid teams.</w:t>
      </w:r>
    </w:p>
    <w:p w14:paraId="5AE79E6A" w14:textId="2686E5C3" w:rsidR="00EA6BAF" w:rsidRDefault="00EA6BAF" w:rsidP="0068533C">
      <w:pPr>
        <w:spacing w:before="100" w:beforeAutospacing="1" w:after="100" w:afterAutospacing="1"/>
        <w:rPr>
          <w:rFonts w:ascii="Arial" w:hAnsi="Arial" w:cs="Arial"/>
          <w:sz w:val="22"/>
          <w:szCs w:val="22"/>
        </w:rPr>
        <w:sectPr w:rsidR="00EA6BAF" w:rsidSect="00D02FD5">
          <w:type w:val="continuous"/>
          <w:pgSz w:w="11906" w:h="16838"/>
          <w:pgMar w:top="1440" w:right="1440" w:bottom="1440" w:left="1440" w:header="624" w:footer="454" w:gutter="0"/>
          <w:cols w:space="720"/>
          <w:docGrid w:linePitch="360"/>
        </w:sectPr>
      </w:pPr>
      <w:r w:rsidRPr="00D02FD5">
        <w:rPr>
          <w:rFonts w:ascii="Arial" w:hAnsi="Arial" w:cs="Arial"/>
          <w:sz w:val="22"/>
          <w:szCs w:val="22"/>
        </w:rPr>
        <w:t xml:space="preserve">Within </w:t>
      </w:r>
      <w:r w:rsidRPr="00D02FD5">
        <w:rPr>
          <w:rFonts w:ascii="Arial" w:hAnsi="Arial" w:cs="Arial"/>
          <w:sz w:val="22"/>
          <w:szCs w:val="22"/>
        </w:rPr>
        <w:t xml:space="preserve">few </w:t>
      </w:r>
      <w:r w:rsidRPr="00D02FD5">
        <w:rPr>
          <w:rFonts w:ascii="Arial" w:hAnsi="Arial" w:cs="Arial"/>
          <w:sz w:val="22"/>
          <w:szCs w:val="22"/>
        </w:rPr>
        <w:t>months, employee surveys indicated improved perceptions of fairness, stronger trust in managerial decisions, and reduced grievance levels. The case of MetroTech demonstrates the importance of addressing transformation</w:t>
      </w:r>
      <w:r w:rsidRPr="00D02FD5">
        <w:rPr>
          <w:rFonts w:ascii="Cambria Math" w:hAnsi="Cambria Math" w:cs="Cambria Math"/>
          <w:sz w:val="22"/>
          <w:szCs w:val="22"/>
        </w:rPr>
        <w:t>‑</w:t>
      </w:r>
      <w:r w:rsidRPr="00D02FD5">
        <w:rPr>
          <w:rFonts w:ascii="Arial" w:hAnsi="Arial" w:cs="Arial"/>
          <w:sz w:val="22"/>
          <w:szCs w:val="22"/>
        </w:rPr>
        <w:t>related challenges proactively and highlights how contemporary HR practices</w:t>
      </w:r>
      <w:r w:rsidRPr="00D02FD5">
        <w:rPr>
          <w:rFonts w:ascii="Arial" w:hAnsi="Arial" w:cs="Arial"/>
          <w:sz w:val="22"/>
          <w:szCs w:val="22"/>
        </w:rPr>
        <w:t xml:space="preserve"> </w:t>
      </w:r>
      <w:r w:rsidRPr="00D02FD5">
        <w:rPr>
          <w:rFonts w:ascii="Arial" w:hAnsi="Arial" w:cs="Arial"/>
          <w:sz w:val="22"/>
          <w:szCs w:val="22"/>
        </w:rPr>
        <w:t>when implemented consistently</w:t>
      </w:r>
      <w:r w:rsidRPr="00D02FD5">
        <w:rPr>
          <w:rFonts w:ascii="Arial" w:hAnsi="Arial" w:cs="Arial"/>
          <w:sz w:val="22"/>
          <w:szCs w:val="22"/>
        </w:rPr>
        <w:t xml:space="preserve"> </w:t>
      </w:r>
      <w:r w:rsidRPr="00D02FD5">
        <w:rPr>
          <w:rFonts w:ascii="Arial" w:hAnsi="Arial" w:cs="Arial"/>
          <w:sz w:val="22"/>
          <w:szCs w:val="22"/>
        </w:rPr>
        <w:t>can strengthen organisational culture, support equal opportunity, and enhance employee wellbeing.</w:t>
      </w:r>
    </w:p>
    <w:p w14:paraId="6926A27D" w14:textId="375BD772" w:rsidR="00FD2168" w:rsidRDefault="00FD2168" w:rsidP="006C26A9">
      <w:pPr>
        <w:pStyle w:val="Heading2"/>
      </w:pPr>
      <w:bookmarkStart w:id="8" w:name="_Toc225447535"/>
      <w:r w:rsidRPr="00343062">
        <w:t>2. Evaluation of Contemporary HR Practices</w:t>
      </w:r>
      <w:r w:rsidR="00D03416" w:rsidRPr="00343062">
        <w:t>.</w:t>
      </w:r>
      <w:bookmarkEnd w:id="8"/>
    </w:p>
    <w:p w14:paraId="23AAD38A" w14:textId="254E26E4" w:rsidR="008A329C" w:rsidRPr="00D277A3" w:rsidRDefault="00461B84" w:rsidP="00FD2168">
      <w:pPr>
        <w:rPr>
          <w:rFonts w:ascii="Arial" w:hAnsi="Arial" w:cs="Arial"/>
          <w:color w:val="000000" w:themeColor="text1"/>
          <w:sz w:val="22"/>
          <w:szCs w:val="22"/>
        </w:rPr>
      </w:pPr>
      <w:r w:rsidRPr="00242318">
        <w:rPr>
          <w:rFonts w:ascii="Arial" w:hAnsi="Arial" w:cs="Arial"/>
          <w:color w:val="000000" w:themeColor="text1"/>
          <w:sz w:val="22"/>
          <w:szCs w:val="22"/>
        </w:rPr>
        <w:t>As organisations navigate rapid transformation, HR functions have adopted a range of modern practices designed to enhance employee experience, strengthen organisational capability, and mitigate emerging risks. This section evaluates the effectiveness of these contemporary HR approaches in addressing the specific challenges associated with business transformation, digital technology trends, and flexible working arrangements.</w:t>
      </w:r>
    </w:p>
    <w:p w14:paraId="7CF6E3C4" w14:textId="423C703E" w:rsidR="00FD2168" w:rsidRPr="00343062" w:rsidRDefault="00FD2168" w:rsidP="00D66A99">
      <w:pPr>
        <w:pStyle w:val="Heading3"/>
      </w:pPr>
      <w:bookmarkStart w:id="9" w:name="_Toc225447536"/>
      <w:r w:rsidRPr="00343062">
        <w:t>2.1 HR Practices for Business Transformation</w:t>
      </w:r>
      <w:r w:rsidR="00D03416" w:rsidRPr="00343062">
        <w:t>.</w:t>
      </w:r>
      <w:bookmarkEnd w:id="9"/>
    </w:p>
    <w:p w14:paraId="268CCEC4" w14:textId="2ABDEE80" w:rsidR="00FD2168" w:rsidRPr="00CF7FB8" w:rsidRDefault="00FD2168" w:rsidP="00FD2168">
      <w:pPr>
        <w:rPr>
          <w:rFonts w:ascii="Arial" w:hAnsi="Arial" w:cs="Arial"/>
          <w:sz w:val="22"/>
          <w:szCs w:val="22"/>
        </w:rPr>
      </w:pPr>
      <w:r w:rsidRPr="00CF7FB8">
        <w:rPr>
          <w:rFonts w:ascii="Arial" w:hAnsi="Arial" w:cs="Arial"/>
          <w:sz w:val="22"/>
          <w:szCs w:val="22"/>
        </w:rPr>
        <w:t>Effective change management is essential for reducing grievances during transformation. HR can implement structured communication strategies that provide clarity, reduce uncertainty, and build trust. Regular updates, transparent explanations of decisions, and opportunities for employee feedback help maintain engagement (</w:t>
      </w:r>
      <w:proofErr w:type="spellStart"/>
      <w:r w:rsidRPr="00CF7FB8">
        <w:rPr>
          <w:rFonts w:ascii="Arial" w:hAnsi="Arial" w:cs="Arial"/>
          <w:sz w:val="22"/>
          <w:szCs w:val="22"/>
        </w:rPr>
        <w:t>Armenakis</w:t>
      </w:r>
      <w:proofErr w:type="spellEnd"/>
      <w:r w:rsidRPr="00CF7FB8">
        <w:rPr>
          <w:rFonts w:ascii="Arial" w:hAnsi="Arial" w:cs="Arial"/>
          <w:sz w:val="22"/>
          <w:szCs w:val="22"/>
        </w:rPr>
        <w:t xml:space="preserve"> and Harris, 2009). Employee involvement practices</w:t>
      </w:r>
      <w:r w:rsidR="00D03416" w:rsidRPr="00CF7FB8">
        <w:rPr>
          <w:rFonts w:ascii="Arial" w:hAnsi="Arial" w:cs="Arial"/>
          <w:sz w:val="22"/>
          <w:szCs w:val="22"/>
        </w:rPr>
        <w:t xml:space="preserve"> </w:t>
      </w:r>
      <w:r w:rsidRPr="00CF7FB8">
        <w:rPr>
          <w:rFonts w:ascii="Arial" w:hAnsi="Arial" w:cs="Arial"/>
          <w:sz w:val="22"/>
          <w:szCs w:val="22"/>
        </w:rPr>
        <w:t>such as consultation groups or co</w:t>
      </w:r>
      <w:r w:rsidRPr="00CF7FB8">
        <w:rPr>
          <w:rFonts w:ascii="Cambria Math" w:hAnsi="Cambria Math" w:cs="Cambria Math"/>
          <w:sz w:val="22"/>
          <w:szCs w:val="22"/>
        </w:rPr>
        <w:t>‑</w:t>
      </w:r>
      <w:r w:rsidRPr="00CF7FB8">
        <w:rPr>
          <w:rFonts w:ascii="Arial" w:hAnsi="Arial" w:cs="Arial"/>
          <w:sz w:val="22"/>
          <w:szCs w:val="22"/>
        </w:rPr>
        <w:t>creation workshops</w:t>
      </w:r>
      <w:r w:rsidR="00D03416" w:rsidRPr="00CF7FB8">
        <w:rPr>
          <w:rFonts w:ascii="Arial" w:hAnsi="Arial" w:cs="Arial"/>
          <w:sz w:val="22"/>
          <w:szCs w:val="22"/>
        </w:rPr>
        <w:t xml:space="preserve"> </w:t>
      </w:r>
      <w:r w:rsidRPr="00CF7FB8">
        <w:rPr>
          <w:rFonts w:ascii="Arial" w:hAnsi="Arial" w:cs="Arial"/>
          <w:sz w:val="22"/>
          <w:szCs w:val="22"/>
        </w:rPr>
        <w:t>give employees a sense of ownership and reduce resistance.</w:t>
      </w:r>
    </w:p>
    <w:p w14:paraId="0FFC4A34" w14:textId="5964FD70" w:rsidR="00D03416" w:rsidRPr="00CF7FB8" w:rsidRDefault="00FD2168" w:rsidP="00FD2168">
      <w:pPr>
        <w:rPr>
          <w:rFonts w:ascii="Arial" w:hAnsi="Arial" w:cs="Arial"/>
          <w:sz w:val="22"/>
          <w:szCs w:val="22"/>
        </w:rPr>
      </w:pPr>
      <w:r w:rsidRPr="00CF7FB8">
        <w:rPr>
          <w:rFonts w:ascii="Arial" w:hAnsi="Arial" w:cs="Arial"/>
          <w:sz w:val="22"/>
          <w:szCs w:val="22"/>
        </w:rPr>
        <w:t>Training and development programmes are critical for supporting employees through new responsibilities or organisational structures. Upskilling initiatives, leadership development, and resilience training help employees adapt to change. HR can also introduce transition support mechanisms such as coaching, mentoring, and wellbeing resources. Fair and consistent application of policies, particularly around redundancy, redeployment, and performance management, is essential for maintaining equity and reducing grievances.</w:t>
      </w:r>
    </w:p>
    <w:p w14:paraId="24405B8E" w14:textId="5CB76FBA" w:rsidR="00FD2168" w:rsidRPr="00343062" w:rsidRDefault="00FD2168" w:rsidP="00D66A99">
      <w:pPr>
        <w:pStyle w:val="Heading3"/>
      </w:pPr>
      <w:bookmarkStart w:id="10" w:name="_Toc225447537"/>
      <w:r w:rsidRPr="00343062">
        <w:t>2.2 HR Practices for Digital Technology Trends</w:t>
      </w:r>
      <w:r w:rsidR="00D03416" w:rsidRPr="00343062">
        <w:t>.</w:t>
      </w:r>
      <w:bookmarkEnd w:id="10"/>
    </w:p>
    <w:p w14:paraId="540520D7" w14:textId="44CDBA9C" w:rsidR="00FD2168" w:rsidRPr="00CF7FB8" w:rsidRDefault="00FD2168" w:rsidP="00FD2168">
      <w:pPr>
        <w:rPr>
          <w:rFonts w:ascii="Arial" w:hAnsi="Arial" w:cs="Arial"/>
          <w:sz w:val="22"/>
          <w:szCs w:val="22"/>
        </w:rPr>
      </w:pPr>
      <w:r w:rsidRPr="00CF7FB8">
        <w:rPr>
          <w:rFonts w:ascii="Arial" w:hAnsi="Arial" w:cs="Arial"/>
          <w:sz w:val="22"/>
          <w:szCs w:val="22"/>
        </w:rPr>
        <w:t>To address challenges associated with digitalisation, HR must prioritise digital literacy and employee confidence. Comprehensive training programmes tailored to different skill levels help employees adapt to new systems. HR can also implement digital well</w:t>
      </w:r>
      <w:r w:rsidR="00343062">
        <w:rPr>
          <w:rFonts w:ascii="Arial" w:hAnsi="Arial" w:cs="Arial"/>
          <w:sz w:val="22"/>
          <w:szCs w:val="22"/>
        </w:rPr>
        <w:t>-</w:t>
      </w:r>
      <w:r w:rsidRPr="00CF7FB8">
        <w:rPr>
          <w:rFonts w:ascii="Arial" w:hAnsi="Arial" w:cs="Arial"/>
          <w:sz w:val="22"/>
          <w:szCs w:val="22"/>
        </w:rPr>
        <w:t>being policies that set boundaries around communication, such as discouraging out</w:t>
      </w:r>
      <w:r w:rsidR="00343062">
        <w:rPr>
          <w:rFonts w:ascii="Cambria Math" w:hAnsi="Cambria Math" w:cs="Cambria Math"/>
          <w:sz w:val="22"/>
          <w:szCs w:val="22"/>
        </w:rPr>
        <w:t xml:space="preserve"> </w:t>
      </w:r>
      <w:r w:rsidRPr="00CF7FB8">
        <w:rPr>
          <w:rFonts w:ascii="Arial" w:hAnsi="Arial" w:cs="Arial"/>
          <w:sz w:val="22"/>
          <w:szCs w:val="22"/>
        </w:rPr>
        <w:t>of</w:t>
      </w:r>
      <w:r w:rsidR="00343062">
        <w:rPr>
          <w:rFonts w:ascii="Cambria Math" w:hAnsi="Cambria Math" w:cs="Cambria Math"/>
          <w:sz w:val="22"/>
          <w:szCs w:val="22"/>
        </w:rPr>
        <w:t xml:space="preserve"> </w:t>
      </w:r>
      <w:r w:rsidRPr="00CF7FB8">
        <w:rPr>
          <w:rFonts w:ascii="Arial" w:hAnsi="Arial" w:cs="Arial"/>
          <w:sz w:val="22"/>
          <w:szCs w:val="22"/>
        </w:rPr>
        <w:t>hours emails or establishing “quiet hours” for focused work.</w:t>
      </w:r>
    </w:p>
    <w:p w14:paraId="63C9C92C" w14:textId="77777777" w:rsidR="00FD2168" w:rsidRPr="00CF7FB8" w:rsidRDefault="00FD2168" w:rsidP="00FD2168">
      <w:pPr>
        <w:rPr>
          <w:rFonts w:ascii="Arial" w:hAnsi="Arial" w:cs="Arial"/>
          <w:sz w:val="22"/>
          <w:szCs w:val="22"/>
        </w:rPr>
      </w:pPr>
      <w:r w:rsidRPr="00CF7FB8">
        <w:rPr>
          <w:rFonts w:ascii="Arial" w:hAnsi="Arial" w:cs="Arial"/>
          <w:sz w:val="22"/>
          <w:szCs w:val="22"/>
        </w:rPr>
        <w:t>Clear guidelines on digital monitoring and data privacy help build trust and reduce concerns about surveillance. HR can use people analytics ethically to identify patterns of stress, workload imbalance, or disengagement. Performance management systems should be adapted to reflect digital workflows, incorporating behavioural indicators such as collaboration, adaptability, and digital competence.</w:t>
      </w:r>
    </w:p>
    <w:p w14:paraId="4F377A7F" w14:textId="66B36F99" w:rsidR="00FD2168" w:rsidRPr="00343062" w:rsidRDefault="00FD2168" w:rsidP="00D66A99">
      <w:pPr>
        <w:pStyle w:val="Heading3"/>
      </w:pPr>
      <w:bookmarkStart w:id="11" w:name="_Toc225447538"/>
      <w:r w:rsidRPr="00343062">
        <w:t>2.3 HR Practices for Flexible Working Arrangements</w:t>
      </w:r>
      <w:r w:rsidR="00343062">
        <w:t>.</w:t>
      </w:r>
      <w:bookmarkEnd w:id="11"/>
    </w:p>
    <w:p w14:paraId="1E6327FD" w14:textId="77777777" w:rsidR="00FD2168" w:rsidRPr="00CF7FB8" w:rsidRDefault="00FD2168" w:rsidP="00FD2168">
      <w:pPr>
        <w:rPr>
          <w:rFonts w:ascii="Arial" w:hAnsi="Arial" w:cs="Arial"/>
          <w:sz w:val="22"/>
          <w:szCs w:val="22"/>
        </w:rPr>
      </w:pPr>
      <w:r w:rsidRPr="00CF7FB8">
        <w:rPr>
          <w:rFonts w:ascii="Arial" w:hAnsi="Arial" w:cs="Arial"/>
          <w:sz w:val="22"/>
          <w:szCs w:val="22"/>
        </w:rPr>
        <w:t>To address challenges associated with flexible working, HR must implement policies that promote fairness, clarity, and inclusion. A well</w:t>
      </w:r>
      <w:r w:rsidRPr="00CF7FB8">
        <w:rPr>
          <w:rFonts w:ascii="Cambria Math" w:hAnsi="Cambria Math" w:cs="Cambria Math"/>
          <w:sz w:val="22"/>
          <w:szCs w:val="22"/>
        </w:rPr>
        <w:t>‑</w:t>
      </w:r>
      <w:r w:rsidRPr="00CF7FB8">
        <w:rPr>
          <w:rFonts w:ascii="Arial" w:hAnsi="Arial" w:cs="Arial"/>
          <w:sz w:val="22"/>
          <w:szCs w:val="22"/>
        </w:rPr>
        <w:t>designed flexible working policy should outline eligibility, expectations, communication protocols, and performance standards. Consistency is essential to prevent perceptions of favouritism or inequity.</w:t>
      </w:r>
    </w:p>
    <w:p w14:paraId="5D01E42F" w14:textId="5F981BC6" w:rsidR="00FD2168" w:rsidRDefault="00FD2168" w:rsidP="00FD2168">
      <w:pPr>
        <w:rPr>
          <w:rFonts w:ascii="Arial" w:hAnsi="Arial" w:cs="Arial"/>
          <w:sz w:val="22"/>
          <w:szCs w:val="22"/>
        </w:rPr>
      </w:pPr>
      <w:r w:rsidRPr="00CF7FB8">
        <w:rPr>
          <w:rFonts w:ascii="Arial" w:hAnsi="Arial" w:cs="Arial"/>
          <w:sz w:val="22"/>
          <w:szCs w:val="22"/>
        </w:rPr>
        <w:t>HR can introduce hybrid working frameworks that specify office days, collaboration norms, and digital communication guidelines. Regular check</w:t>
      </w:r>
      <w:r w:rsidRPr="00CF7FB8">
        <w:rPr>
          <w:rFonts w:ascii="Cambria Math" w:hAnsi="Cambria Math" w:cs="Cambria Math"/>
          <w:sz w:val="22"/>
          <w:szCs w:val="22"/>
        </w:rPr>
        <w:t>‑</w:t>
      </w:r>
      <w:r w:rsidRPr="00CF7FB8">
        <w:rPr>
          <w:rFonts w:ascii="Arial" w:hAnsi="Arial" w:cs="Arial"/>
          <w:sz w:val="22"/>
          <w:szCs w:val="22"/>
        </w:rPr>
        <w:t>ins between managers and remote employees support well</w:t>
      </w:r>
      <w:r w:rsidR="00CD537F">
        <w:rPr>
          <w:rFonts w:ascii="Arial" w:hAnsi="Arial" w:cs="Arial"/>
          <w:sz w:val="22"/>
          <w:szCs w:val="22"/>
        </w:rPr>
        <w:t>-</w:t>
      </w:r>
      <w:r w:rsidRPr="00CF7FB8">
        <w:rPr>
          <w:rFonts w:ascii="Arial" w:hAnsi="Arial" w:cs="Arial"/>
          <w:sz w:val="22"/>
          <w:szCs w:val="22"/>
        </w:rPr>
        <w:t>being and ensure that remote workers are not overlooked for development opportunities. Training managers in remote leadership skills is critical, including inclusive communication, virtual performance management, and conflict resolution.</w:t>
      </w:r>
    </w:p>
    <w:tbl>
      <w:tblPr>
        <w:tblStyle w:val="PlainTable2"/>
        <w:tblpPr w:leftFromText="180" w:rightFromText="180" w:vertAnchor="text" w:horzAnchor="margin" w:tblpY="99"/>
        <w:tblW w:w="0" w:type="auto"/>
        <w:tblLook w:val="04A0" w:firstRow="1" w:lastRow="0" w:firstColumn="1" w:lastColumn="0" w:noHBand="0" w:noVBand="1"/>
      </w:tblPr>
      <w:tblGrid>
        <w:gridCol w:w="1985"/>
        <w:gridCol w:w="4025"/>
        <w:gridCol w:w="3006"/>
      </w:tblGrid>
      <w:tr w:rsidR="00461B84" w:rsidRPr="00CF7FB8" w14:paraId="4FB70A9E" w14:textId="77777777" w:rsidTr="00461B84">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985" w:type="dxa"/>
          </w:tcPr>
          <w:p w14:paraId="47265B54" w14:textId="77777777" w:rsidR="00461B84" w:rsidRPr="00343062" w:rsidRDefault="00461B84" w:rsidP="00461B84">
            <w:pPr>
              <w:rPr>
                <w:rFonts w:cs="Arial"/>
                <w:sz w:val="20"/>
                <w:szCs w:val="20"/>
              </w:rPr>
            </w:pPr>
            <w:r w:rsidRPr="00343062">
              <w:rPr>
                <w:rFonts w:cs="Arial"/>
                <w:sz w:val="20"/>
                <w:szCs w:val="20"/>
              </w:rPr>
              <w:t>Challenges</w:t>
            </w:r>
          </w:p>
        </w:tc>
        <w:tc>
          <w:tcPr>
            <w:tcW w:w="4025" w:type="dxa"/>
          </w:tcPr>
          <w:p w14:paraId="258A7DC8" w14:textId="77777777" w:rsidR="00461B84" w:rsidRPr="00343062" w:rsidRDefault="00461B84" w:rsidP="00461B84">
            <w:pPr>
              <w:cnfStyle w:val="100000000000" w:firstRow="1" w:lastRow="0" w:firstColumn="0" w:lastColumn="0" w:oddVBand="0" w:evenVBand="0" w:oddHBand="0" w:evenHBand="0" w:firstRowFirstColumn="0" w:firstRowLastColumn="0" w:lastRowFirstColumn="0" w:lastRowLastColumn="0"/>
              <w:rPr>
                <w:rFonts w:cs="Arial"/>
                <w:sz w:val="20"/>
                <w:szCs w:val="20"/>
              </w:rPr>
            </w:pPr>
            <w:r w:rsidRPr="00343062">
              <w:rPr>
                <w:rFonts w:cs="Arial"/>
                <w:sz w:val="20"/>
                <w:szCs w:val="20"/>
              </w:rPr>
              <w:t xml:space="preserve">HR Practices </w:t>
            </w:r>
          </w:p>
        </w:tc>
        <w:tc>
          <w:tcPr>
            <w:tcW w:w="3006" w:type="dxa"/>
          </w:tcPr>
          <w:p w14:paraId="4D083A72" w14:textId="77777777" w:rsidR="00461B84" w:rsidRPr="00343062" w:rsidRDefault="00461B84" w:rsidP="00461B84">
            <w:pPr>
              <w:cnfStyle w:val="100000000000" w:firstRow="1" w:lastRow="0" w:firstColumn="0" w:lastColumn="0" w:oddVBand="0" w:evenVBand="0" w:oddHBand="0" w:evenHBand="0" w:firstRowFirstColumn="0" w:firstRowLastColumn="0" w:lastRowFirstColumn="0" w:lastRowLastColumn="0"/>
              <w:rPr>
                <w:rFonts w:cs="Arial"/>
                <w:sz w:val="20"/>
                <w:szCs w:val="20"/>
              </w:rPr>
            </w:pPr>
            <w:r w:rsidRPr="00343062">
              <w:rPr>
                <w:rFonts w:cs="Arial"/>
                <w:sz w:val="20"/>
                <w:szCs w:val="20"/>
              </w:rPr>
              <w:t>Intended Outcome</w:t>
            </w:r>
          </w:p>
        </w:tc>
      </w:tr>
      <w:tr w:rsidR="00461B84" w:rsidRPr="00CF7FB8" w14:paraId="7366A4E3" w14:textId="77777777" w:rsidTr="00461B8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985" w:type="dxa"/>
          </w:tcPr>
          <w:p w14:paraId="3C1F3C1F" w14:textId="77777777" w:rsidR="00461B84" w:rsidRPr="00343062" w:rsidRDefault="00461B84" w:rsidP="00461B84">
            <w:pPr>
              <w:rPr>
                <w:rFonts w:cs="Arial"/>
                <w:sz w:val="20"/>
                <w:szCs w:val="20"/>
              </w:rPr>
            </w:pPr>
            <w:r w:rsidRPr="00343062">
              <w:rPr>
                <w:rFonts w:cs="Arial"/>
                <w:sz w:val="20"/>
                <w:szCs w:val="20"/>
              </w:rPr>
              <w:t>Business Transformation</w:t>
            </w:r>
          </w:p>
        </w:tc>
        <w:tc>
          <w:tcPr>
            <w:tcW w:w="4025" w:type="dxa"/>
          </w:tcPr>
          <w:p w14:paraId="15523A3F" w14:textId="77777777" w:rsidR="00461B84" w:rsidRPr="00343062" w:rsidRDefault="00461B84" w:rsidP="00461B84">
            <w:pPr>
              <w:cnfStyle w:val="000000100000" w:firstRow="0" w:lastRow="0" w:firstColumn="0" w:lastColumn="0" w:oddVBand="0" w:evenVBand="0" w:oddHBand="1" w:evenHBand="0" w:firstRowFirstColumn="0" w:firstRowLastColumn="0" w:lastRowFirstColumn="0" w:lastRowLastColumn="0"/>
              <w:rPr>
                <w:rFonts w:cs="Arial"/>
                <w:sz w:val="20"/>
                <w:szCs w:val="20"/>
              </w:rPr>
            </w:pPr>
            <w:r w:rsidRPr="00343062">
              <w:rPr>
                <w:rFonts w:cs="Arial"/>
                <w:sz w:val="20"/>
                <w:szCs w:val="20"/>
              </w:rPr>
              <w:t>Change communication, employee involvement, transition support</w:t>
            </w:r>
          </w:p>
        </w:tc>
        <w:tc>
          <w:tcPr>
            <w:tcW w:w="3006" w:type="dxa"/>
          </w:tcPr>
          <w:p w14:paraId="0E913338" w14:textId="77777777" w:rsidR="00461B84" w:rsidRPr="00343062" w:rsidRDefault="00461B84" w:rsidP="00461B84">
            <w:pPr>
              <w:cnfStyle w:val="000000100000" w:firstRow="0" w:lastRow="0" w:firstColumn="0" w:lastColumn="0" w:oddVBand="0" w:evenVBand="0" w:oddHBand="1" w:evenHBand="0" w:firstRowFirstColumn="0" w:firstRowLastColumn="0" w:lastRowFirstColumn="0" w:lastRowLastColumn="0"/>
              <w:rPr>
                <w:rFonts w:cs="Arial"/>
                <w:sz w:val="20"/>
                <w:szCs w:val="20"/>
              </w:rPr>
            </w:pPr>
            <w:r w:rsidRPr="00343062">
              <w:rPr>
                <w:rFonts w:cs="Arial"/>
                <w:sz w:val="20"/>
                <w:szCs w:val="20"/>
              </w:rPr>
              <w:t>Reduced uncertainty, increased trust</w:t>
            </w:r>
          </w:p>
        </w:tc>
      </w:tr>
      <w:tr w:rsidR="00461B84" w:rsidRPr="00CF7FB8" w14:paraId="1B6D04ED" w14:textId="77777777" w:rsidTr="00461B84">
        <w:tc>
          <w:tcPr>
            <w:cnfStyle w:val="001000000000" w:firstRow="0" w:lastRow="0" w:firstColumn="1" w:lastColumn="0" w:oddVBand="0" w:evenVBand="0" w:oddHBand="0" w:evenHBand="0" w:firstRowFirstColumn="0" w:firstRowLastColumn="0" w:lastRowFirstColumn="0" w:lastRowLastColumn="0"/>
            <w:tcW w:w="1985" w:type="dxa"/>
          </w:tcPr>
          <w:p w14:paraId="43D0857C" w14:textId="77777777" w:rsidR="00461B84" w:rsidRPr="00343062" w:rsidRDefault="00461B84" w:rsidP="00461B84">
            <w:pPr>
              <w:rPr>
                <w:rFonts w:cs="Arial"/>
                <w:sz w:val="20"/>
                <w:szCs w:val="20"/>
              </w:rPr>
            </w:pPr>
            <w:r w:rsidRPr="00343062">
              <w:rPr>
                <w:rFonts w:cs="Arial"/>
                <w:sz w:val="20"/>
                <w:szCs w:val="20"/>
              </w:rPr>
              <w:t>Digitalisation</w:t>
            </w:r>
          </w:p>
        </w:tc>
        <w:tc>
          <w:tcPr>
            <w:tcW w:w="4025" w:type="dxa"/>
          </w:tcPr>
          <w:p w14:paraId="319DCAFA" w14:textId="77777777" w:rsidR="00461B84" w:rsidRPr="00343062" w:rsidRDefault="00461B84" w:rsidP="00461B84">
            <w:pPr>
              <w:cnfStyle w:val="000000000000" w:firstRow="0" w:lastRow="0" w:firstColumn="0" w:lastColumn="0" w:oddVBand="0" w:evenVBand="0" w:oddHBand="0" w:evenHBand="0" w:firstRowFirstColumn="0" w:firstRowLastColumn="0" w:lastRowFirstColumn="0" w:lastRowLastColumn="0"/>
              <w:rPr>
                <w:rFonts w:cs="Arial"/>
                <w:sz w:val="20"/>
                <w:szCs w:val="20"/>
              </w:rPr>
            </w:pPr>
            <w:r w:rsidRPr="00343062">
              <w:rPr>
                <w:rFonts w:cs="Arial"/>
                <w:sz w:val="20"/>
                <w:szCs w:val="20"/>
              </w:rPr>
              <w:t>Digital skills training, wellbeing policies, ethical monitoring</w:t>
            </w:r>
          </w:p>
        </w:tc>
        <w:tc>
          <w:tcPr>
            <w:tcW w:w="3006" w:type="dxa"/>
          </w:tcPr>
          <w:p w14:paraId="0D80A600" w14:textId="77777777" w:rsidR="00461B84" w:rsidRPr="00343062" w:rsidRDefault="00461B84" w:rsidP="00461B84">
            <w:pPr>
              <w:cnfStyle w:val="000000000000" w:firstRow="0" w:lastRow="0" w:firstColumn="0" w:lastColumn="0" w:oddVBand="0" w:evenVBand="0" w:oddHBand="0" w:evenHBand="0" w:firstRowFirstColumn="0" w:firstRowLastColumn="0" w:lastRowFirstColumn="0" w:lastRowLastColumn="0"/>
              <w:rPr>
                <w:rFonts w:cs="Arial"/>
                <w:sz w:val="20"/>
                <w:szCs w:val="20"/>
              </w:rPr>
            </w:pPr>
            <w:r w:rsidRPr="00343062">
              <w:rPr>
                <w:rFonts w:cs="Arial"/>
                <w:sz w:val="20"/>
                <w:szCs w:val="20"/>
              </w:rPr>
              <w:t>Increased confidence, reduced anxiety</w:t>
            </w:r>
          </w:p>
        </w:tc>
      </w:tr>
      <w:tr w:rsidR="00461B84" w:rsidRPr="00CF7FB8" w14:paraId="6D114C45" w14:textId="77777777" w:rsidTr="00461B8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985" w:type="dxa"/>
          </w:tcPr>
          <w:p w14:paraId="4062B10B" w14:textId="77777777" w:rsidR="00461B84" w:rsidRPr="00343062" w:rsidRDefault="00461B84" w:rsidP="00461B84">
            <w:pPr>
              <w:rPr>
                <w:rFonts w:cs="Arial"/>
                <w:sz w:val="20"/>
                <w:szCs w:val="20"/>
              </w:rPr>
            </w:pPr>
            <w:r w:rsidRPr="00343062">
              <w:rPr>
                <w:rFonts w:cs="Arial"/>
                <w:sz w:val="20"/>
                <w:szCs w:val="20"/>
              </w:rPr>
              <w:t>Flexible work</w:t>
            </w:r>
          </w:p>
        </w:tc>
        <w:tc>
          <w:tcPr>
            <w:tcW w:w="4025" w:type="dxa"/>
          </w:tcPr>
          <w:p w14:paraId="252ECEA3" w14:textId="77777777" w:rsidR="00461B84" w:rsidRPr="00343062" w:rsidRDefault="00461B84" w:rsidP="00461B84">
            <w:pPr>
              <w:cnfStyle w:val="000000100000" w:firstRow="0" w:lastRow="0" w:firstColumn="0" w:lastColumn="0" w:oddVBand="0" w:evenVBand="0" w:oddHBand="1" w:evenHBand="0" w:firstRowFirstColumn="0" w:firstRowLastColumn="0" w:lastRowFirstColumn="0" w:lastRowLastColumn="0"/>
              <w:rPr>
                <w:rFonts w:cs="Arial"/>
                <w:sz w:val="20"/>
                <w:szCs w:val="20"/>
              </w:rPr>
            </w:pPr>
            <w:r w:rsidRPr="00343062">
              <w:rPr>
                <w:rFonts w:cs="Arial"/>
                <w:sz w:val="20"/>
                <w:szCs w:val="20"/>
              </w:rPr>
              <w:t>Hybrid frameworks, remote leadership training, wellbeing check</w:t>
            </w:r>
            <w:r w:rsidRPr="00343062">
              <w:rPr>
                <w:rFonts w:ascii="Cambria Math" w:hAnsi="Cambria Math" w:cs="Cambria Math"/>
                <w:sz w:val="20"/>
                <w:szCs w:val="20"/>
              </w:rPr>
              <w:t>‑</w:t>
            </w:r>
            <w:r w:rsidRPr="00343062">
              <w:rPr>
                <w:rFonts w:cs="Arial"/>
                <w:sz w:val="20"/>
                <w:szCs w:val="20"/>
              </w:rPr>
              <w:t>ins</w:t>
            </w:r>
          </w:p>
        </w:tc>
        <w:tc>
          <w:tcPr>
            <w:tcW w:w="3006" w:type="dxa"/>
          </w:tcPr>
          <w:p w14:paraId="0FB9FC50" w14:textId="77777777" w:rsidR="00461B84" w:rsidRPr="00343062" w:rsidRDefault="00461B84" w:rsidP="00461B84">
            <w:pPr>
              <w:cnfStyle w:val="000000100000" w:firstRow="0" w:lastRow="0" w:firstColumn="0" w:lastColumn="0" w:oddVBand="0" w:evenVBand="0" w:oddHBand="1" w:evenHBand="0" w:firstRowFirstColumn="0" w:firstRowLastColumn="0" w:lastRowFirstColumn="0" w:lastRowLastColumn="0"/>
              <w:rPr>
                <w:rFonts w:cs="Arial"/>
                <w:sz w:val="20"/>
                <w:szCs w:val="20"/>
              </w:rPr>
            </w:pPr>
            <w:r w:rsidRPr="00343062">
              <w:rPr>
                <w:rFonts w:cs="Arial"/>
                <w:sz w:val="20"/>
                <w:szCs w:val="20"/>
              </w:rPr>
              <w:t>Fairness, inclusion, improved cohesion</w:t>
            </w:r>
          </w:p>
        </w:tc>
      </w:tr>
    </w:tbl>
    <w:p w14:paraId="3445FFC4" w14:textId="67B0C4D9" w:rsidR="00461B84" w:rsidRPr="00D02FD5" w:rsidRDefault="00461B84" w:rsidP="00D02FD5">
      <w:pPr>
        <w:pStyle w:val="Heading4"/>
        <w:jc w:val="right"/>
        <w:rPr>
          <w:sz w:val="16"/>
          <w:szCs w:val="16"/>
        </w:rPr>
      </w:pPr>
      <w:r w:rsidRPr="00D02FD5">
        <w:rPr>
          <w:sz w:val="16"/>
          <w:szCs w:val="16"/>
        </w:rPr>
        <w:t>Table 2: Contemporary HR Practices Aligned to Organisational Challenges.</w:t>
      </w:r>
    </w:p>
    <w:p w14:paraId="2C9BBFA9" w14:textId="0CCD28D0" w:rsidR="00FD2168" w:rsidRPr="00343062" w:rsidRDefault="00FD2168" w:rsidP="00D66A99">
      <w:pPr>
        <w:pStyle w:val="Heading3"/>
      </w:pPr>
      <w:bookmarkStart w:id="12" w:name="_Toc225447539"/>
      <w:r w:rsidRPr="00343062">
        <w:t>2.4 Integrated HR Practices</w:t>
      </w:r>
      <w:r w:rsidR="00343062">
        <w:t>.</w:t>
      </w:r>
      <w:bookmarkEnd w:id="12"/>
    </w:p>
    <w:p w14:paraId="25FEC716" w14:textId="78065094" w:rsidR="00343062" w:rsidRDefault="00FD2168" w:rsidP="00FD2168">
      <w:pPr>
        <w:rPr>
          <w:rFonts w:ascii="Arial" w:hAnsi="Arial" w:cs="Arial"/>
          <w:sz w:val="22"/>
          <w:szCs w:val="22"/>
        </w:rPr>
      </w:pPr>
      <w:r w:rsidRPr="00CF7FB8">
        <w:rPr>
          <w:rFonts w:ascii="Arial" w:hAnsi="Arial" w:cs="Arial"/>
          <w:sz w:val="22"/>
          <w:szCs w:val="22"/>
        </w:rPr>
        <w:t>Because the three factors are interconnected, HR should adopt integrated practices that address them holistically. Digital tools can support flexible working while also enabling transparent communication during transformation. A unified HR strategy ensures alignment between technology, culture, and employee experience</w:t>
      </w:r>
      <w:r w:rsidR="00343062">
        <w:rPr>
          <w:rFonts w:ascii="Arial" w:hAnsi="Arial" w:cs="Arial"/>
          <w:sz w:val="22"/>
          <w:szCs w:val="22"/>
        </w:rPr>
        <w:t>.</w:t>
      </w:r>
    </w:p>
    <w:p w14:paraId="75DB19D3" w14:textId="27D95199" w:rsidR="00242318" w:rsidRPr="00CF7FB8" w:rsidRDefault="00FD2168" w:rsidP="006C26A9">
      <w:pPr>
        <w:pStyle w:val="Heading2"/>
        <w:rPr>
          <w:sz w:val="22"/>
          <w:szCs w:val="22"/>
        </w:rPr>
      </w:pPr>
      <w:bookmarkStart w:id="13" w:name="_Toc225447540"/>
      <w:r w:rsidRPr="00343062">
        <w:t>3. Critical Evaluation of Managerial Implementation</w:t>
      </w:r>
      <w:r w:rsidR="00274574">
        <w:t>.</w:t>
      </w:r>
      <w:bookmarkEnd w:id="13"/>
      <w:r w:rsidRPr="00CF7FB8">
        <w:rPr>
          <w:sz w:val="22"/>
          <w:szCs w:val="22"/>
        </w:rPr>
        <w:t xml:space="preserve"> </w:t>
      </w:r>
    </w:p>
    <w:tbl>
      <w:tblPr>
        <w:tblStyle w:val="PlainTable1"/>
        <w:tblW w:w="0" w:type="auto"/>
        <w:tblLook w:val="04A0" w:firstRow="1" w:lastRow="0" w:firstColumn="1" w:lastColumn="0" w:noHBand="0" w:noVBand="1"/>
      </w:tblPr>
      <w:tblGrid>
        <w:gridCol w:w="2547"/>
        <w:gridCol w:w="3827"/>
        <w:gridCol w:w="2642"/>
      </w:tblGrid>
      <w:tr w:rsidR="00B848E1" w:rsidRPr="00CF7FB8" w14:paraId="2892983E" w14:textId="77777777" w:rsidTr="0068533C">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547" w:type="dxa"/>
          </w:tcPr>
          <w:p w14:paraId="10888FE6" w14:textId="08AF8913" w:rsidR="00B848E1" w:rsidRPr="00343062" w:rsidRDefault="00B848E1" w:rsidP="00FD2168">
            <w:pPr>
              <w:rPr>
                <w:rFonts w:cs="Arial"/>
                <w:sz w:val="20"/>
                <w:szCs w:val="20"/>
              </w:rPr>
            </w:pPr>
            <w:r w:rsidRPr="00343062">
              <w:rPr>
                <w:rFonts w:cs="Arial"/>
                <w:sz w:val="20"/>
                <w:szCs w:val="20"/>
              </w:rPr>
              <w:t>Manage</w:t>
            </w:r>
            <w:r w:rsidR="00A65D95" w:rsidRPr="00343062">
              <w:rPr>
                <w:rFonts w:cs="Arial"/>
                <w:sz w:val="20"/>
                <w:szCs w:val="20"/>
              </w:rPr>
              <w:t>r Role</w:t>
            </w:r>
          </w:p>
        </w:tc>
        <w:tc>
          <w:tcPr>
            <w:tcW w:w="3827" w:type="dxa"/>
          </w:tcPr>
          <w:p w14:paraId="62052AFE" w14:textId="705828A8" w:rsidR="00B848E1" w:rsidRPr="00343062" w:rsidRDefault="00A65D95" w:rsidP="00FD2168">
            <w:pPr>
              <w:cnfStyle w:val="100000000000" w:firstRow="1" w:lastRow="0" w:firstColumn="0" w:lastColumn="0" w:oddVBand="0" w:evenVBand="0" w:oddHBand="0" w:evenHBand="0" w:firstRowFirstColumn="0" w:firstRowLastColumn="0" w:lastRowFirstColumn="0" w:lastRowLastColumn="0"/>
              <w:rPr>
                <w:rFonts w:cs="Arial"/>
                <w:sz w:val="20"/>
                <w:szCs w:val="20"/>
              </w:rPr>
            </w:pPr>
            <w:r w:rsidRPr="00343062">
              <w:rPr>
                <w:rFonts w:cs="Arial"/>
                <w:sz w:val="20"/>
                <w:szCs w:val="20"/>
              </w:rPr>
              <w:t>Key Actions</w:t>
            </w:r>
          </w:p>
        </w:tc>
        <w:tc>
          <w:tcPr>
            <w:tcW w:w="2642" w:type="dxa"/>
          </w:tcPr>
          <w:p w14:paraId="7B4F3434" w14:textId="07C149D5" w:rsidR="00B848E1" w:rsidRPr="00343062" w:rsidRDefault="00A65D95" w:rsidP="00FD2168">
            <w:pPr>
              <w:cnfStyle w:val="100000000000" w:firstRow="1" w:lastRow="0" w:firstColumn="0" w:lastColumn="0" w:oddVBand="0" w:evenVBand="0" w:oddHBand="0" w:evenHBand="0" w:firstRowFirstColumn="0" w:firstRowLastColumn="0" w:lastRowFirstColumn="0" w:lastRowLastColumn="0"/>
              <w:rPr>
                <w:rFonts w:cs="Arial"/>
                <w:sz w:val="20"/>
                <w:szCs w:val="20"/>
              </w:rPr>
            </w:pPr>
            <w:r w:rsidRPr="00343062">
              <w:rPr>
                <w:rFonts w:cs="Arial"/>
                <w:sz w:val="20"/>
                <w:szCs w:val="20"/>
              </w:rPr>
              <w:t>Outcome</w:t>
            </w:r>
          </w:p>
        </w:tc>
      </w:tr>
      <w:tr w:rsidR="00B848E1" w:rsidRPr="00CF7FB8" w14:paraId="721E127E" w14:textId="77777777" w:rsidTr="0068533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547" w:type="dxa"/>
          </w:tcPr>
          <w:p w14:paraId="5B3E8B0E" w14:textId="5DCDAA44" w:rsidR="00B848E1" w:rsidRPr="00343062" w:rsidRDefault="00B848E1" w:rsidP="00FD2168">
            <w:pPr>
              <w:rPr>
                <w:rFonts w:cs="Arial"/>
                <w:sz w:val="20"/>
                <w:szCs w:val="20"/>
              </w:rPr>
            </w:pPr>
            <w:r w:rsidRPr="00343062">
              <w:rPr>
                <w:rFonts w:cs="Arial"/>
                <w:sz w:val="20"/>
                <w:szCs w:val="20"/>
              </w:rPr>
              <w:t>Leadership &amp; Accountability</w:t>
            </w:r>
          </w:p>
        </w:tc>
        <w:tc>
          <w:tcPr>
            <w:tcW w:w="3827" w:type="dxa"/>
          </w:tcPr>
          <w:p w14:paraId="09698410" w14:textId="544A8EFA" w:rsidR="00B848E1" w:rsidRPr="00343062" w:rsidRDefault="00B848E1" w:rsidP="00FD2168">
            <w:pPr>
              <w:cnfStyle w:val="000000100000" w:firstRow="0" w:lastRow="0" w:firstColumn="0" w:lastColumn="0" w:oddVBand="0" w:evenVBand="0" w:oddHBand="1" w:evenHBand="0" w:firstRowFirstColumn="0" w:firstRowLastColumn="0" w:lastRowFirstColumn="0" w:lastRowLastColumn="0"/>
              <w:rPr>
                <w:rFonts w:cs="Arial"/>
                <w:sz w:val="20"/>
                <w:szCs w:val="20"/>
              </w:rPr>
            </w:pPr>
            <w:r w:rsidRPr="00343062">
              <w:rPr>
                <w:rFonts w:cs="Arial"/>
                <w:sz w:val="20"/>
                <w:szCs w:val="20"/>
              </w:rPr>
              <w:t>Model fairness, uphold HR policies, report progress</w:t>
            </w:r>
          </w:p>
        </w:tc>
        <w:tc>
          <w:tcPr>
            <w:tcW w:w="2642" w:type="dxa"/>
          </w:tcPr>
          <w:p w14:paraId="2FFC0379" w14:textId="4F4EA4C7" w:rsidR="00B848E1" w:rsidRPr="00343062" w:rsidRDefault="00B848E1" w:rsidP="00FD2168">
            <w:pPr>
              <w:cnfStyle w:val="000000100000" w:firstRow="0" w:lastRow="0" w:firstColumn="0" w:lastColumn="0" w:oddVBand="0" w:evenVBand="0" w:oddHBand="1" w:evenHBand="0" w:firstRowFirstColumn="0" w:firstRowLastColumn="0" w:lastRowFirstColumn="0" w:lastRowLastColumn="0"/>
              <w:rPr>
                <w:rFonts w:cs="Arial"/>
                <w:sz w:val="20"/>
                <w:szCs w:val="20"/>
              </w:rPr>
            </w:pPr>
            <w:r w:rsidRPr="00343062">
              <w:rPr>
                <w:rFonts w:cs="Arial"/>
                <w:sz w:val="20"/>
                <w:szCs w:val="20"/>
              </w:rPr>
              <w:t>Reduced grievances, stronger trust</w:t>
            </w:r>
          </w:p>
        </w:tc>
      </w:tr>
      <w:tr w:rsidR="00B848E1" w:rsidRPr="00CF7FB8" w14:paraId="147FF228" w14:textId="77777777" w:rsidTr="0068533C">
        <w:tc>
          <w:tcPr>
            <w:cnfStyle w:val="001000000000" w:firstRow="0" w:lastRow="0" w:firstColumn="1" w:lastColumn="0" w:oddVBand="0" w:evenVBand="0" w:oddHBand="0" w:evenHBand="0" w:firstRowFirstColumn="0" w:firstRowLastColumn="0" w:lastRowFirstColumn="0" w:lastRowLastColumn="0"/>
            <w:tcW w:w="2547" w:type="dxa"/>
          </w:tcPr>
          <w:p w14:paraId="1AE744FD" w14:textId="6D914AA2" w:rsidR="00B848E1" w:rsidRPr="00343062" w:rsidRDefault="00B848E1" w:rsidP="00FD2168">
            <w:pPr>
              <w:rPr>
                <w:rFonts w:cs="Arial"/>
                <w:sz w:val="20"/>
                <w:szCs w:val="20"/>
              </w:rPr>
            </w:pPr>
            <w:r w:rsidRPr="00343062">
              <w:rPr>
                <w:rFonts w:cs="Arial"/>
                <w:sz w:val="20"/>
                <w:szCs w:val="20"/>
              </w:rPr>
              <w:t>Communication</w:t>
            </w:r>
          </w:p>
        </w:tc>
        <w:tc>
          <w:tcPr>
            <w:tcW w:w="3827" w:type="dxa"/>
          </w:tcPr>
          <w:p w14:paraId="354E55CF" w14:textId="1985DF70" w:rsidR="00B848E1" w:rsidRPr="00343062" w:rsidRDefault="00B848E1" w:rsidP="00FD2168">
            <w:pPr>
              <w:cnfStyle w:val="000000000000" w:firstRow="0" w:lastRow="0" w:firstColumn="0" w:lastColumn="0" w:oddVBand="0" w:evenVBand="0" w:oddHBand="0" w:evenHBand="0" w:firstRowFirstColumn="0" w:firstRowLastColumn="0" w:lastRowFirstColumn="0" w:lastRowLastColumn="0"/>
              <w:rPr>
                <w:rFonts w:cs="Arial"/>
                <w:sz w:val="20"/>
                <w:szCs w:val="20"/>
              </w:rPr>
            </w:pPr>
            <w:r w:rsidRPr="00343062">
              <w:rPr>
                <w:rFonts w:cs="Arial"/>
                <w:sz w:val="20"/>
                <w:szCs w:val="20"/>
              </w:rPr>
              <w:t>Deliver consistent messages, address concerns</w:t>
            </w:r>
          </w:p>
        </w:tc>
        <w:tc>
          <w:tcPr>
            <w:tcW w:w="2642" w:type="dxa"/>
          </w:tcPr>
          <w:p w14:paraId="193EAD02" w14:textId="513E2DFD" w:rsidR="00B848E1" w:rsidRPr="00343062" w:rsidRDefault="00B848E1" w:rsidP="00FD2168">
            <w:pPr>
              <w:cnfStyle w:val="000000000000" w:firstRow="0" w:lastRow="0" w:firstColumn="0" w:lastColumn="0" w:oddVBand="0" w:evenVBand="0" w:oddHBand="0" w:evenHBand="0" w:firstRowFirstColumn="0" w:firstRowLastColumn="0" w:lastRowFirstColumn="0" w:lastRowLastColumn="0"/>
              <w:rPr>
                <w:rFonts w:cs="Arial"/>
                <w:sz w:val="20"/>
                <w:szCs w:val="20"/>
              </w:rPr>
            </w:pPr>
            <w:r w:rsidRPr="00343062">
              <w:rPr>
                <w:rFonts w:cs="Arial"/>
                <w:sz w:val="20"/>
                <w:szCs w:val="20"/>
              </w:rPr>
              <w:t>Clarity, reduced uncertainty</w:t>
            </w:r>
          </w:p>
        </w:tc>
      </w:tr>
      <w:tr w:rsidR="00B848E1" w:rsidRPr="00CF7FB8" w14:paraId="0CD0B408" w14:textId="77777777" w:rsidTr="0068533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547" w:type="dxa"/>
          </w:tcPr>
          <w:p w14:paraId="0B79A680" w14:textId="2326C7FE" w:rsidR="00B848E1" w:rsidRPr="00343062" w:rsidRDefault="00B848E1" w:rsidP="00FD2168">
            <w:pPr>
              <w:rPr>
                <w:rFonts w:cs="Arial"/>
                <w:sz w:val="20"/>
                <w:szCs w:val="20"/>
              </w:rPr>
            </w:pPr>
            <w:r w:rsidRPr="00343062">
              <w:rPr>
                <w:rFonts w:cs="Arial"/>
                <w:sz w:val="20"/>
                <w:szCs w:val="20"/>
              </w:rPr>
              <w:t>Capability Building</w:t>
            </w:r>
          </w:p>
        </w:tc>
        <w:tc>
          <w:tcPr>
            <w:tcW w:w="3827" w:type="dxa"/>
          </w:tcPr>
          <w:p w14:paraId="54F5384B" w14:textId="2DDC834E" w:rsidR="00B848E1" w:rsidRPr="00343062" w:rsidRDefault="00B848E1" w:rsidP="00FD2168">
            <w:pPr>
              <w:cnfStyle w:val="000000100000" w:firstRow="0" w:lastRow="0" w:firstColumn="0" w:lastColumn="0" w:oddVBand="0" w:evenVBand="0" w:oddHBand="1" w:evenHBand="0" w:firstRowFirstColumn="0" w:firstRowLastColumn="0" w:lastRowFirstColumn="0" w:lastRowLastColumn="0"/>
              <w:rPr>
                <w:rFonts w:cs="Arial"/>
                <w:sz w:val="20"/>
                <w:szCs w:val="20"/>
              </w:rPr>
            </w:pPr>
            <w:r w:rsidRPr="00343062">
              <w:rPr>
                <w:rFonts w:cs="Arial"/>
                <w:sz w:val="20"/>
                <w:szCs w:val="20"/>
              </w:rPr>
              <w:t>Engage in training, apply digital and remote leadership skills</w:t>
            </w:r>
          </w:p>
        </w:tc>
        <w:tc>
          <w:tcPr>
            <w:tcW w:w="2642" w:type="dxa"/>
          </w:tcPr>
          <w:p w14:paraId="5E7D6D23" w14:textId="38E23C8F" w:rsidR="00B848E1" w:rsidRPr="00343062" w:rsidRDefault="00B848E1" w:rsidP="00FD2168">
            <w:pPr>
              <w:cnfStyle w:val="000000100000" w:firstRow="0" w:lastRow="0" w:firstColumn="0" w:lastColumn="0" w:oddVBand="0" w:evenVBand="0" w:oddHBand="1" w:evenHBand="0" w:firstRowFirstColumn="0" w:firstRowLastColumn="0" w:lastRowFirstColumn="0" w:lastRowLastColumn="0"/>
              <w:rPr>
                <w:rFonts w:cs="Arial"/>
                <w:sz w:val="20"/>
                <w:szCs w:val="20"/>
              </w:rPr>
            </w:pPr>
            <w:r w:rsidRPr="00343062">
              <w:rPr>
                <w:rFonts w:cs="Arial"/>
                <w:sz w:val="20"/>
                <w:szCs w:val="20"/>
              </w:rPr>
              <w:t>Consistent practice across teams</w:t>
            </w:r>
          </w:p>
        </w:tc>
      </w:tr>
      <w:tr w:rsidR="00B848E1" w:rsidRPr="00CF7FB8" w14:paraId="31A128E1" w14:textId="77777777" w:rsidTr="0068533C">
        <w:tc>
          <w:tcPr>
            <w:cnfStyle w:val="001000000000" w:firstRow="0" w:lastRow="0" w:firstColumn="1" w:lastColumn="0" w:oddVBand="0" w:evenVBand="0" w:oddHBand="0" w:evenHBand="0" w:firstRowFirstColumn="0" w:firstRowLastColumn="0" w:lastRowFirstColumn="0" w:lastRowLastColumn="0"/>
            <w:tcW w:w="2547" w:type="dxa"/>
          </w:tcPr>
          <w:p w14:paraId="3D9741FE" w14:textId="28640919" w:rsidR="00B848E1" w:rsidRPr="00343062" w:rsidRDefault="00B848E1" w:rsidP="00FD2168">
            <w:pPr>
              <w:rPr>
                <w:rFonts w:cs="Arial"/>
                <w:sz w:val="20"/>
                <w:szCs w:val="20"/>
              </w:rPr>
            </w:pPr>
            <w:r w:rsidRPr="00343062">
              <w:rPr>
                <w:rFonts w:cs="Arial"/>
                <w:sz w:val="20"/>
                <w:szCs w:val="20"/>
              </w:rPr>
              <w:t>Monitoring &amp; Intervention</w:t>
            </w:r>
          </w:p>
        </w:tc>
        <w:tc>
          <w:tcPr>
            <w:tcW w:w="3827" w:type="dxa"/>
          </w:tcPr>
          <w:p w14:paraId="6ECB71C1" w14:textId="2E1FC8BA" w:rsidR="00B848E1" w:rsidRPr="00343062" w:rsidRDefault="00B848E1" w:rsidP="00FD2168">
            <w:pPr>
              <w:cnfStyle w:val="000000000000" w:firstRow="0" w:lastRow="0" w:firstColumn="0" w:lastColumn="0" w:oddVBand="0" w:evenVBand="0" w:oddHBand="0" w:evenHBand="0" w:firstRowFirstColumn="0" w:firstRowLastColumn="0" w:lastRowFirstColumn="0" w:lastRowLastColumn="0"/>
              <w:rPr>
                <w:rFonts w:cs="Arial"/>
                <w:sz w:val="20"/>
                <w:szCs w:val="20"/>
              </w:rPr>
            </w:pPr>
            <w:r w:rsidRPr="00343062">
              <w:rPr>
                <w:rFonts w:cs="Arial"/>
                <w:sz w:val="20"/>
                <w:szCs w:val="20"/>
              </w:rPr>
              <w:t>Use data, identify early warning signs</w:t>
            </w:r>
          </w:p>
        </w:tc>
        <w:tc>
          <w:tcPr>
            <w:tcW w:w="2642" w:type="dxa"/>
          </w:tcPr>
          <w:p w14:paraId="0DD7FA11" w14:textId="2186281F" w:rsidR="00B848E1" w:rsidRPr="00343062" w:rsidRDefault="00B848E1" w:rsidP="00FD2168">
            <w:pPr>
              <w:cnfStyle w:val="000000000000" w:firstRow="0" w:lastRow="0" w:firstColumn="0" w:lastColumn="0" w:oddVBand="0" w:evenVBand="0" w:oddHBand="0" w:evenHBand="0" w:firstRowFirstColumn="0" w:firstRowLastColumn="0" w:lastRowFirstColumn="0" w:lastRowLastColumn="0"/>
              <w:rPr>
                <w:rFonts w:cs="Arial"/>
                <w:sz w:val="20"/>
                <w:szCs w:val="20"/>
              </w:rPr>
            </w:pPr>
            <w:r w:rsidRPr="00343062">
              <w:rPr>
                <w:rFonts w:cs="Arial"/>
                <w:sz w:val="20"/>
                <w:szCs w:val="20"/>
              </w:rPr>
              <w:t>Prevention of escalation</w:t>
            </w:r>
          </w:p>
        </w:tc>
      </w:tr>
      <w:tr w:rsidR="00B848E1" w:rsidRPr="00CF7FB8" w14:paraId="2A12B56E" w14:textId="77777777" w:rsidTr="0068533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547" w:type="dxa"/>
          </w:tcPr>
          <w:p w14:paraId="0EAA1D41" w14:textId="608DBCF6" w:rsidR="00B848E1" w:rsidRPr="00343062" w:rsidRDefault="00B848E1" w:rsidP="00FD2168">
            <w:pPr>
              <w:rPr>
                <w:rFonts w:cs="Arial"/>
                <w:sz w:val="20"/>
                <w:szCs w:val="20"/>
              </w:rPr>
            </w:pPr>
            <w:r w:rsidRPr="00343062">
              <w:rPr>
                <w:rFonts w:cs="Arial"/>
                <w:sz w:val="20"/>
                <w:szCs w:val="20"/>
              </w:rPr>
              <w:t>Psychological Safety</w:t>
            </w:r>
          </w:p>
        </w:tc>
        <w:tc>
          <w:tcPr>
            <w:tcW w:w="3827" w:type="dxa"/>
          </w:tcPr>
          <w:p w14:paraId="2F30EE1A" w14:textId="7EA110FE" w:rsidR="00B848E1" w:rsidRPr="00343062" w:rsidRDefault="00B848E1" w:rsidP="00FD2168">
            <w:pPr>
              <w:cnfStyle w:val="000000100000" w:firstRow="0" w:lastRow="0" w:firstColumn="0" w:lastColumn="0" w:oddVBand="0" w:evenVBand="0" w:oddHBand="1" w:evenHBand="0" w:firstRowFirstColumn="0" w:firstRowLastColumn="0" w:lastRowFirstColumn="0" w:lastRowLastColumn="0"/>
              <w:rPr>
                <w:rFonts w:cs="Arial"/>
                <w:sz w:val="20"/>
                <w:szCs w:val="20"/>
              </w:rPr>
            </w:pPr>
            <w:r w:rsidRPr="00343062">
              <w:rPr>
                <w:rFonts w:cs="Arial"/>
                <w:sz w:val="20"/>
                <w:szCs w:val="20"/>
              </w:rPr>
              <w:t>Encourage openness, respond constructively</w:t>
            </w:r>
          </w:p>
        </w:tc>
        <w:tc>
          <w:tcPr>
            <w:tcW w:w="2642" w:type="dxa"/>
          </w:tcPr>
          <w:p w14:paraId="032B2AB9" w14:textId="1AD24B29" w:rsidR="00B848E1" w:rsidRPr="00343062" w:rsidRDefault="00B848E1" w:rsidP="00FD2168">
            <w:pPr>
              <w:cnfStyle w:val="000000100000" w:firstRow="0" w:lastRow="0" w:firstColumn="0" w:lastColumn="0" w:oddVBand="0" w:evenVBand="0" w:oddHBand="1" w:evenHBand="0" w:firstRowFirstColumn="0" w:firstRowLastColumn="0" w:lastRowFirstColumn="0" w:lastRowLastColumn="0"/>
              <w:rPr>
                <w:rFonts w:cs="Arial"/>
                <w:sz w:val="20"/>
                <w:szCs w:val="20"/>
              </w:rPr>
            </w:pPr>
            <w:r w:rsidRPr="00343062">
              <w:rPr>
                <w:rFonts w:cs="Arial"/>
                <w:sz w:val="20"/>
                <w:szCs w:val="20"/>
              </w:rPr>
              <w:t>Higher engagement, fewer formal complaints</w:t>
            </w:r>
          </w:p>
        </w:tc>
      </w:tr>
      <w:tr w:rsidR="00B848E1" w:rsidRPr="00CF7FB8" w14:paraId="263A0837" w14:textId="77777777" w:rsidTr="0068533C">
        <w:tc>
          <w:tcPr>
            <w:cnfStyle w:val="001000000000" w:firstRow="0" w:lastRow="0" w:firstColumn="1" w:lastColumn="0" w:oddVBand="0" w:evenVBand="0" w:oddHBand="0" w:evenHBand="0" w:firstRowFirstColumn="0" w:firstRowLastColumn="0" w:lastRowFirstColumn="0" w:lastRowLastColumn="0"/>
            <w:tcW w:w="2547" w:type="dxa"/>
          </w:tcPr>
          <w:p w14:paraId="2AC6F59C" w14:textId="364BB855" w:rsidR="00B848E1" w:rsidRPr="00343062" w:rsidRDefault="00B848E1" w:rsidP="00FD2168">
            <w:pPr>
              <w:rPr>
                <w:rFonts w:cs="Arial"/>
                <w:sz w:val="20"/>
                <w:szCs w:val="20"/>
              </w:rPr>
            </w:pPr>
            <w:r w:rsidRPr="00343062">
              <w:rPr>
                <w:rFonts w:cs="Arial"/>
                <w:sz w:val="20"/>
                <w:szCs w:val="20"/>
              </w:rPr>
              <w:t>Collaboration with HR</w:t>
            </w:r>
          </w:p>
        </w:tc>
        <w:tc>
          <w:tcPr>
            <w:tcW w:w="3827" w:type="dxa"/>
          </w:tcPr>
          <w:p w14:paraId="2DC93871" w14:textId="4F52B3C1" w:rsidR="00B848E1" w:rsidRPr="00343062" w:rsidRDefault="00B848E1" w:rsidP="00FD2168">
            <w:pPr>
              <w:cnfStyle w:val="000000000000" w:firstRow="0" w:lastRow="0" w:firstColumn="0" w:lastColumn="0" w:oddVBand="0" w:evenVBand="0" w:oddHBand="0" w:evenHBand="0" w:firstRowFirstColumn="0" w:firstRowLastColumn="0" w:lastRowFirstColumn="0" w:lastRowLastColumn="0"/>
              <w:rPr>
                <w:rFonts w:cs="Arial"/>
                <w:sz w:val="20"/>
                <w:szCs w:val="20"/>
              </w:rPr>
            </w:pPr>
            <w:r w:rsidRPr="00343062">
              <w:rPr>
                <w:rFonts w:cs="Arial"/>
                <w:sz w:val="20"/>
                <w:szCs w:val="20"/>
              </w:rPr>
              <w:t>Joint planning, shared problem</w:t>
            </w:r>
            <w:r w:rsidRPr="00343062">
              <w:rPr>
                <w:rFonts w:ascii="Cambria Math" w:hAnsi="Cambria Math" w:cs="Cambria Math"/>
                <w:sz w:val="20"/>
                <w:szCs w:val="20"/>
              </w:rPr>
              <w:t>‑</w:t>
            </w:r>
            <w:r w:rsidRPr="00343062">
              <w:rPr>
                <w:rFonts w:cs="Arial"/>
                <w:sz w:val="20"/>
                <w:szCs w:val="20"/>
              </w:rPr>
              <w:t>solving</w:t>
            </w:r>
          </w:p>
        </w:tc>
        <w:tc>
          <w:tcPr>
            <w:tcW w:w="2642" w:type="dxa"/>
          </w:tcPr>
          <w:p w14:paraId="1B870791" w14:textId="56D3EDDF" w:rsidR="00B848E1" w:rsidRPr="00343062" w:rsidRDefault="00B848E1" w:rsidP="00FD2168">
            <w:pPr>
              <w:cnfStyle w:val="000000000000" w:firstRow="0" w:lastRow="0" w:firstColumn="0" w:lastColumn="0" w:oddVBand="0" w:evenVBand="0" w:oddHBand="0" w:evenHBand="0" w:firstRowFirstColumn="0" w:firstRowLastColumn="0" w:lastRowFirstColumn="0" w:lastRowLastColumn="0"/>
              <w:rPr>
                <w:rFonts w:cs="Arial"/>
                <w:sz w:val="20"/>
                <w:szCs w:val="20"/>
              </w:rPr>
            </w:pPr>
            <w:r w:rsidRPr="00343062">
              <w:rPr>
                <w:rFonts w:cs="Arial"/>
                <w:sz w:val="20"/>
                <w:szCs w:val="20"/>
              </w:rPr>
              <w:t>Alignment and consistency</w:t>
            </w:r>
          </w:p>
        </w:tc>
      </w:tr>
    </w:tbl>
    <w:p w14:paraId="0097ED1D" w14:textId="7A53C8B8" w:rsidR="00FD2168" w:rsidRPr="00D02FD5" w:rsidRDefault="00A65D95" w:rsidP="00D02FD5">
      <w:pPr>
        <w:pStyle w:val="Heading4"/>
        <w:jc w:val="right"/>
        <w:rPr>
          <w:sz w:val="16"/>
          <w:szCs w:val="16"/>
        </w:rPr>
      </w:pPr>
      <w:r w:rsidRPr="00D02FD5">
        <w:rPr>
          <w:sz w:val="16"/>
          <w:szCs w:val="16"/>
        </w:rPr>
        <w:t>Table 3: Managerial Responsibilities for Urgent Implementation</w:t>
      </w:r>
      <w:r w:rsidR="00FB7B66" w:rsidRPr="00D02FD5">
        <w:rPr>
          <w:sz w:val="16"/>
          <w:szCs w:val="16"/>
        </w:rPr>
        <w:t>.</w:t>
      </w:r>
    </w:p>
    <w:p w14:paraId="5F701533" w14:textId="77777777" w:rsidR="00FD2168" w:rsidRPr="00CF7FB8" w:rsidRDefault="00FD2168" w:rsidP="00A65D95">
      <w:pPr>
        <w:jc w:val="right"/>
        <w:rPr>
          <w:rFonts w:ascii="Arial" w:hAnsi="Arial" w:cs="Arial"/>
          <w:sz w:val="22"/>
          <w:szCs w:val="22"/>
        </w:rPr>
      </w:pPr>
    </w:p>
    <w:p w14:paraId="69EA310C" w14:textId="2815620B" w:rsidR="00FD2168" w:rsidRPr="00CF7FB8" w:rsidRDefault="00FD2168" w:rsidP="00FD2168">
      <w:pPr>
        <w:rPr>
          <w:rFonts w:ascii="Arial" w:hAnsi="Arial" w:cs="Arial"/>
          <w:sz w:val="22"/>
          <w:szCs w:val="22"/>
        </w:rPr>
      </w:pPr>
      <w:r w:rsidRPr="00CF7FB8">
        <w:rPr>
          <w:rFonts w:ascii="Arial" w:hAnsi="Arial" w:cs="Arial"/>
          <w:sz w:val="22"/>
          <w:szCs w:val="22"/>
        </w:rPr>
        <w:t xml:space="preserve">Managers play a central role in translating HR practices into daily operations. </w:t>
      </w:r>
      <w:r w:rsidR="00A65D95" w:rsidRPr="00CF7FB8">
        <w:rPr>
          <w:rFonts w:ascii="Arial" w:hAnsi="Arial" w:cs="Arial"/>
          <w:sz w:val="22"/>
          <w:szCs w:val="22"/>
        </w:rPr>
        <w:t>Management’s</w:t>
      </w:r>
      <w:r w:rsidRPr="00CF7FB8">
        <w:rPr>
          <w:rFonts w:ascii="Arial" w:hAnsi="Arial" w:cs="Arial"/>
          <w:sz w:val="22"/>
          <w:szCs w:val="22"/>
        </w:rPr>
        <w:t xml:space="preserve"> ability to implement contemporary HR practices quickly and effectively determines whether grievances escalate or are resolved proactively. Managers must demonstrate strong leadership capability, particularly during periods of transformation. This includes modelling transparency, empathy, and fairness. To ensure urgent implementation, managers should be held accountable through performance objectives</w:t>
      </w:r>
      <w:r w:rsidR="00A65D95" w:rsidRPr="00CF7FB8">
        <w:rPr>
          <w:rFonts w:ascii="Arial" w:hAnsi="Arial" w:cs="Arial"/>
          <w:sz w:val="22"/>
          <w:szCs w:val="22"/>
        </w:rPr>
        <w:t xml:space="preserve"> which</w:t>
      </w:r>
      <w:r w:rsidRPr="00CF7FB8">
        <w:rPr>
          <w:rFonts w:ascii="Arial" w:hAnsi="Arial" w:cs="Arial"/>
          <w:sz w:val="22"/>
          <w:szCs w:val="22"/>
        </w:rPr>
        <w:t xml:space="preserve"> link to employee engagement, grievance reduction, and adherence to</w:t>
      </w:r>
      <w:r w:rsidR="00A65D95" w:rsidRPr="00CF7FB8">
        <w:rPr>
          <w:rFonts w:ascii="Arial" w:hAnsi="Arial" w:cs="Arial"/>
          <w:sz w:val="22"/>
          <w:szCs w:val="22"/>
        </w:rPr>
        <w:t xml:space="preserve">wards </w:t>
      </w:r>
      <w:r w:rsidRPr="00CF7FB8">
        <w:rPr>
          <w:rFonts w:ascii="Arial" w:hAnsi="Arial" w:cs="Arial"/>
          <w:sz w:val="22"/>
          <w:szCs w:val="22"/>
        </w:rPr>
        <w:t>HR policies.</w:t>
      </w:r>
    </w:p>
    <w:p w14:paraId="586897C3" w14:textId="2212E37B" w:rsidR="00FD2168" w:rsidRPr="00CF7FB8" w:rsidRDefault="00FD2168" w:rsidP="00FD2168">
      <w:pPr>
        <w:rPr>
          <w:rFonts w:ascii="Arial" w:hAnsi="Arial" w:cs="Arial"/>
          <w:sz w:val="22"/>
          <w:szCs w:val="22"/>
        </w:rPr>
      </w:pPr>
      <w:r w:rsidRPr="00CF7FB8">
        <w:rPr>
          <w:rFonts w:ascii="Arial" w:hAnsi="Arial" w:cs="Arial"/>
          <w:sz w:val="22"/>
          <w:szCs w:val="22"/>
        </w:rPr>
        <w:t>Managers must act as communication bridges between HR and employees. Effective implementation requires managers to communicate changes clearly, address concerns promptly, and reinforce key messages. They should use multiple communication channels</w:t>
      </w:r>
      <w:r w:rsidR="00A65D95" w:rsidRPr="00CF7FB8">
        <w:rPr>
          <w:rFonts w:ascii="Arial" w:hAnsi="Arial" w:cs="Arial"/>
          <w:sz w:val="22"/>
          <w:szCs w:val="22"/>
        </w:rPr>
        <w:t xml:space="preserve"> such as </w:t>
      </w:r>
      <w:r w:rsidRPr="00CF7FB8">
        <w:rPr>
          <w:rFonts w:ascii="Arial" w:hAnsi="Arial" w:cs="Arial"/>
          <w:sz w:val="22"/>
          <w:szCs w:val="22"/>
        </w:rPr>
        <w:t>team meetings, one</w:t>
      </w:r>
      <w:r w:rsidRPr="00CF7FB8">
        <w:rPr>
          <w:rFonts w:ascii="Cambria Math" w:hAnsi="Cambria Math" w:cs="Cambria Math"/>
          <w:sz w:val="22"/>
          <w:szCs w:val="22"/>
        </w:rPr>
        <w:t>‑</w:t>
      </w:r>
      <w:r w:rsidRPr="00CF7FB8">
        <w:rPr>
          <w:rFonts w:ascii="Arial" w:hAnsi="Arial" w:cs="Arial"/>
          <w:sz w:val="22"/>
          <w:szCs w:val="22"/>
        </w:rPr>
        <w:t>to</w:t>
      </w:r>
      <w:r w:rsidRPr="00CF7FB8">
        <w:rPr>
          <w:rFonts w:ascii="Cambria Math" w:hAnsi="Cambria Math" w:cs="Cambria Math"/>
          <w:sz w:val="22"/>
          <w:szCs w:val="22"/>
        </w:rPr>
        <w:t>‑</w:t>
      </w:r>
      <w:r w:rsidRPr="00CF7FB8">
        <w:rPr>
          <w:rFonts w:ascii="Arial" w:hAnsi="Arial" w:cs="Arial"/>
          <w:sz w:val="22"/>
          <w:szCs w:val="22"/>
        </w:rPr>
        <w:t>ones, digital platforms</w:t>
      </w:r>
      <w:r w:rsidR="00A65D95" w:rsidRPr="00CF7FB8">
        <w:rPr>
          <w:rFonts w:ascii="Arial" w:hAnsi="Arial" w:cs="Arial"/>
          <w:sz w:val="22"/>
          <w:szCs w:val="22"/>
        </w:rPr>
        <w:t xml:space="preserve"> </w:t>
      </w:r>
      <w:r w:rsidRPr="00CF7FB8">
        <w:rPr>
          <w:rFonts w:ascii="Arial" w:hAnsi="Arial" w:cs="Arial"/>
          <w:sz w:val="22"/>
          <w:szCs w:val="22"/>
        </w:rPr>
        <w:t>to ensure all employees receive consistent information.</w:t>
      </w:r>
    </w:p>
    <w:p w14:paraId="3F92FE17" w14:textId="77777777" w:rsidR="00FD2168" w:rsidRPr="00CF7FB8" w:rsidRDefault="00FD2168" w:rsidP="00FD2168">
      <w:pPr>
        <w:rPr>
          <w:rFonts w:ascii="Arial" w:hAnsi="Arial" w:cs="Arial"/>
          <w:sz w:val="22"/>
          <w:szCs w:val="22"/>
        </w:rPr>
      </w:pPr>
      <w:r w:rsidRPr="00CF7FB8">
        <w:rPr>
          <w:rFonts w:ascii="Arial" w:hAnsi="Arial" w:cs="Arial"/>
          <w:sz w:val="22"/>
          <w:szCs w:val="22"/>
        </w:rPr>
        <w:t>Managers need the skills to implement digital, flexible, and transformation</w:t>
      </w:r>
      <w:r w:rsidRPr="00CF7FB8">
        <w:rPr>
          <w:rFonts w:ascii="Cambria Math" w:hAnsi="Cambria Math" w:cs="Cambria Math"/>
          <w:sz w:val="22"/>
          <w:szCs w:val="22"/>
        </w:rPr>
        <w:t>‑</w:t>
      </w:r>
      <w:r w:rsidRPr="00CF7FB8">
        <w:rPr>
          <w:rFonts w:ascii="Arial" w:hAnsi="Arial" w:cs="Arial"/>
          <w:sz w:val="22"/>
          <w:szCs w:val="22"/>
        </w:rPr>
        <w:t>related HR practices. HR should provide targeted training in areas such as digital leadership, remote team management, conflict resolution, and emotional intelligence. Managers must actively engage with these training opportunities and apply the learning immediately.</w:t>
      </w:r>
    </w:p>
    <w:p w14:paraId="052A8190" w14:textId="26B3AAB8" w:rsidR="00FD2168" w:rsidRPr="00CF7FB8" w:rsidRDefault="00FD2168" w:rsidP="00FD2168">
      <w:pPr>
        <w:rPr>
          <w:rFonts w:ascii="Arial" w:hAnsi="Arial" w:cs="Arial"/>
          <w:sz w:val="22"/>
          <w:szCs w:val="22"/>
        </w:rPr>
      </w:pPr>
      <w:r w:rsidRPr="00CF7FB8">
        <w:rPr>
          <w:rFonts w:ascii="Arial" w:hAnsi="Arial" w:cs="Arial"/>
          <w:sz w:val="22"/>
          <w:szCs w:val="22"/>
        </w:rPr>
        <w:t>Managers must monitor team dynamics, workload, and well</w:t>
      </w:r>
      <w:r w:rsidR="00A65D95" w:rsidRPr="00CF7FB8">
        <w:rPr>
          <w:rFonts w:ascii="Arial" w:hAnsi="Arial" w:cs="Arial"/>
          <w:sz w:val="22"/>
          <w:szCs w:val="22"/>
        </w:rPr>
        <w:t>-</w:t>
      </w:r>
      <w:r w:rsidRPr="00CF7FB8">
        <w:rPr>
          <w:rFonts w:ascii="Arial" w:hAnsi="Arial" w:cs="Arial"/>
          <w:sz w:val="22"/>
          <w:szCs w:val="22"/>
        </w:rPr>
        <w:t>being to identify early signs of stress or dissatisfaction. Digital tools such as pulse surveys, well</w:t>
      </w:r>
      <w:r w:rsidR="00A65D95" w:rsidRPr="00CF7FB8">
        <w:rPr>
          <w:rFonts w:ascii="Arial" w:hAnsi="Arial" w:cs="Arial"/>
          <w:sz w:val="22"/>
          <w:szCs w:val="22"/>
        </w:rPr>
        <w:t>-</w:t>
      </w:r>
      <w:r w:rsidRPr="00CF7FB8">
        <w:rPr>
          <w:rFonts w:ascii="Arial" w:hAnsi="Arial" w:cs="Arial"/>
          <w:sz w:val="22"/>
          <w:szCs w:val="22"/>
        </w:rPr>
        <w:t>being dashboards, and performance analytics can support this process. Early intervention prevents grievances from escalating.</w:t>
      </w:r>
    </w:p>
    <w:p w14:paraId="08B20892" w14:textId="3E62B326" w:rsidR="00242318" w:rsidRDefault="00FD2168" w:rsidP="00FD2168">
      <w:pPr>
        <w:rPr>
          <w:rFonts w:ascii="Arial" w:hAnsi="Arial" w:cs="Arial"/>
          <w:sz w:val="22"/>
          <w:szCs w:val="22"/>
        </w:rPr>
      </w:pPr>
      <w:r w:rsidRPr="00CF7FB8">
        <w:rPr>
          <w:rFonts w:ascii="Arial" w:hAnsi="Arial" w:cs="Arial"/>
          <w:sz w:val="22"/>
          <w:szCs w:val="22"/>
        </w:rPr>
        <w:t>Finally, managers must foster psychological safety by encouraging open dialogue, acknowledging mistakes, and responding constructively to feedback. Collaboration with HR ensures alignment and consistency across departments.</w:t>
      </w:r>
    </w:p>
    <w:p w14:paraId="2D419990" w14:textId="571C3565" w:rsidR="00FD2168" w:rsidRDefault="00461B84" w:rsidP="006C26A9">
      <w:pPr>
        <w:pStyle w:val="Heading2"/>
      </w:pPr>
      <w:bookmarkStart w:id="14" w:name="_Toc225447541"/>
      <w:r>
        <w:t xml:space="preserve">4. </w:t>
      </w:r>
      <w:r w:rsidR="00FD2168" w:rsidRPr="00343062">
        <w:t>Conclusion and Recommendations</w:t>
      </w:r>
      <w:r w:rsidR="00274574">
        <w:t>.</w:t>
      </w:r>
      <w:bookmarkEnd w:id="14"/>
    </w:p>
    <w:p w14:paraId="7EDBC235" w14:textId="08A06A77" w:rsidR="0031372E" w:rsidRPr="0031372E" w:rsidRDefault="0031372E" w:rsidP="0031372E">
      <w:pPr>
        <w:rPr>
          <w:rFonts w:ascii="Arial" w:hAnsi="Arial" w:cs="Arial"/>
          <w:sz w:val="22"/>
          <w:szCs w:val="22"/>
        </w:rPr>
      </w:pPr>
      <w:r w:rsidRPr="0031372E">
        <w:rPr>
          <w:rFonts w:ascii="Arial" w:hAnsi="Arial" w:cs="Arial"/>
          <w:sz w:val="22"/>
          <w:szCs w:val="22"/>
        </w:rPr>
        <w:t>The rise in grievances within the organisation reflects the cumulative pressures created by business transformation, digitalisation, and the expansion of flexible working arrangements. These shifts, while strategically necessary, have disrupted established routines, challenged employee expectations, and exposed inconsistencies in managerial capability and organisational communication. The analysis demonstrates that employees are particularly vulnerable to uncertainty, inequity, and digital overload during periods of rapid change. Contemporary HR practices</w:t>
      </w:r>
      <w:r>
        <w:rPr>
          <w:rFonts w:ascii="Arial" w:hAnsi="Arial" w:cs="Arial"/>
          <w:sz w:val="22"/>
          <w:szCs w:val="22"/>
        </w:rPr>
        <w:t xml:space="preserve"> </w:t>
      </w:r>
      <w:r w:rsidRPr="0031372E">
        <w:rPr>
          <w:rFonts w:ascii="Arial" w:hAnsi="Arial" w:cs="Arial"/>
          <w:sz w:val="22"/>
          <w:szCs w:val="22"/>
        </w:rPr>
        <w:t>such as structured communication, digital</w:t>
      </w:r>
      <w:r w:rsidRPr="0031372E">
        <w:rPr>
          <w:rFonts w:ascii="Cambria Math" w:hAnsi="Cambria Math" w:cs="Cambria Math"/>
          <w:sz w:val="22"/>
          <w:szCs w:val="22"/>
        </w:rPr>
        <w:t>‑</w:t>
      </w:r>
      <w:r w:rsidRPr="0031372E">
        <w:rPr>
          <w:rFonts w:ascii="Arial" w:hAnsi="Arial" w:cs="Arial"/>
          <w:sz w:val="22"/>
          <w:szCs w:val="22"/>
        </w:rPr>
        <w:t>skills training, wellbeing initiatives, and inclusive flexible</w:t>
      </w:r>
      <w:r w:rsidRPr="0031372E">
        <w:rPr>
          <w:rFonts w:ascii="Cambria Math" w:hAnsi="Cambria Math" w:cs="Cambria Math"/>
          <w:sz w:val="22"/>
          <w:szCs w:val="22"/>
        </w:rPr>
        <w:t>‑</w:t>
      </w:r>
      <w:r w:rsidRPr="0031372E">
        <w:rPr>
          <w:rFonts w:ascii="Arial" w:hAnsi="Arial" w:cs="Arial"/>
          <w:sz w:val="22"/>
          <w:szCs w:val="22"/>
        </w:rPr>
        <w:t>working frameworks</w:t>
      </w:r>
      <w:r>
        <w:rPr>
          <w:rFonts w:ascii="Arial" w:hAnsi="Arial" w:cs="Arial"/>
          <w:sz w:val="22"/>
          <w:szCs w:val="22"/>
        </w:rPr>
        <w:t xml:space="preserve"> </w:t>
      </w:r>
      <w:r w:rsidRPr="0031372E">
        <w:rPr>
          <w:rFonts w:ascii="Arial" w:hAnsi="Arial" w:cs="Arial"/>
          <w:sz w:val="22"/>
          <w:szCs w:val="22"/>
        </w:rPr>
        <w:t>offer practical mechanisms to mitigate these challenges. However, their effectiveness depends on consistent, timely implementation by departmental managers and the organisation’s ability to maintain fairness, transparency, and equal opportunity across all employment practices.</w:t>
      </w:r>
    </w:p>
    <w:p w14:paraId="561ED131" w14:textId="6B5C39C3" w:rsidR="00242318" w:rsidRPr="00AD50A6" w:rsidRDefault="0031372E" w:rsidP="0031372E">
      <w:pPr>
        <w:rPr>
          <w:rFonts w:ascii="Arial" w:hAnsi="Arial" w:cs="Arial"/>
          <w:sz w:val="22"/>
          <w:szCs w:val="22"/>
        </w:rPr>
      </w:pPr>
      <w:r w:rsidRPr="0031372E">
        <w:rPr>
          <w:rFonts w:ascii="Arial" w:hAnsi="Arial" w:cs="Arial"/>
          <w:sz w:val="22"/>
          <w:szCs w:val="22"/>
        </w:rPr>
        <w:t>A critical area requiring strengthened focus is reward management and equal opportunity. As organisations evolve, reward systems must remain transparent, equitable, and aligned with both legal obligations and employee expectations. Ensuring internal equity, reducing proximity bias in hybrid environments, and providing equal access to development and progression opportunities are essential for maintaining trust and preventing grievances linked to perceived unfairness. Transparent pay structures, evidence</w:t>
      </w:r>
      <w:r w:rsidRPr="0031372E">
        <w:rPr>
          <w:rFonts w:ascii="Cambria Math" w:hAnsi="Cambria Math" w:cs="Cambria Math"/>
          <w:sz w:val="22"/>
          <w:szCs w:val="22"/>
        </w:rPr>
        <w:t>‑</w:t>
      </w:r>
      <w:r w:rsidRPr="0031372E">
        <w:rPr>
          <w:rFonts w:ascii="Arial" w:hAnsi="Arial" w:cs="Arial"/>
          <w:sz w:val="22"/>
          <w:szCs w:val="22"/>
        </w:rPr>
        <w:t>based performance criteria, and inclusive recognition practices help reinforce fairness and support compliance with the Equality Act 2010. Non</w:t>
      </w:r>
      <w:r w:rsidRPr="0031372E">
        <w:rPr>
          <w:rFonts w:ascii="Cambria Math" w:hAnsi="Cambria Math" w:cs="Cambria Math"/>
          <w:sz w:val="22"/>
          <w:szCs w:val="22"/>
        </w:rPr>
        <w:t>‑</w:t>
      </w:r>
      <w:r w:rsidRPr="0031372E">
        <w:rPr>
          <w:rFonts w:ascii="Arial" w:hAnsi="Arial" w:cs="Arial"/>
          <w:sz w:val="22"/>
          <w:szCs w:val="22"/>
        </w:rPr>
        <w:t>financial rewards</w:t>
      </w:r>
      <w:r>
        <w:rPr>
          <w:rFonts w:ascii="Arial" w:hAnsi="Arial" w:cs="Arial"/>
          <w:sz w:val="22"/>
          <w:szCs w:val="22"/>
        </w:rPr>
        <w:t xml:space="preserve"> </w:t>
      </w:r>
      <w:r w:rsidRPr="0031372E">
        <w:rPr>
          <w:rFonts w:ascii="Arial" w:hAnsi="Arial" w:cs="Arial"/>
          <w:sz w:val="22"/>
          <w:szCs w:val="22"/>
        </w:rPr>
        <w:t>such as development opportunities, wellbeing support, and flexible benefits</w:t>
      </w:r>
      <w:r>
        <w:rPr>
          <w:rFonts w:ascii="Arial" w:hAnsi="Arial" w:cs="Arial"/>
          <w:sz w:val="22"/>
          <w:szCs w:val="22"/>
        </w:rPr>
        <w:t xml:space="preserve">, </w:t>
      </w:r>
      <w:r w:rsidRPr="0031372E">
        <w:rPr>
          <w:rFonts w:ascii="Arial" w:hAnsi="Arial" w:cs="Arial"/>
          <w:sz w:val="22"/>
          <w:szCs w:val="22"/>
        </w:rPr>
        <w:t>also play a vital role in motivating employees and supporting retention during periods of transformation. Regular equality impact assessments, data</w:t>
      </w:r>
      <w:r w:rsidRPr="0031372E">
        <w:rPr>
          <w:rFonts w:ascii="Cambria Math" w:hAnsi="Cambria Math" w:cs="Cambria Math"/>
          <w:sz w:val="22"/>
          <w:szCs w:val="22"/>
        </w:rPr>
        <w:t>‑</w:t>
      </w:r>
      <w:r w:rsidRPr="0031372E">
        <w:rPr>
          <w:rFonts w:ascii="Arial" w:hAnsi="Arial" w:cs="Arial"/>
          <w:sz w:val="22"/>
          <w:szCs w:val="22"/>
        </w:rPr>
        <w:t>driven monitoring, and manager training in inclusive decision</w:t>
      </w:r>
      <w:r w:rsidRPr="0031372E">
        <w:rPr>
          <w:rFonts w:ascii="Cambria Math" w:hAnsi="Cambria Math" w:cs="Cambria Math"/>
          <w:sz w:val="22"/>
          <w:szCs w:val="22"/>
        </w:rPr>
        <w:t>‑</w:t>
      </w:r>
      <w:r w:rsidRPr="0031372E">
        <w:rPr>
          <w:rFonts w:ascii="Arial" w:hAnsi="Arial" w:cs="Arial"/>
          <w:sz w:val="22"/>
          <w:szCs w:val="22"/>
        </w:rPr>
        <w:t>making are essential to sustaining equal opportunity and preventing systemic disparities (Armstrong and Taylor, 2020; CIPD, 2022).</w:t>
      </w:r>
    </w:p>
    <w:p w14:paraId="624AF841" w14:textId="270E7B35" w:rsidR="00F9026A" w:rsidRPr="008348A1" w:rsidRDefault="008348A1" w:rsidP="0031372E">
      <w:pPr>
        <w:rPr>
          <w:rFonts w:ascii="Arial" w:hAnsi="Arial" w:cs="Arial"/>
          <w:sz w:val="22"/>
          <w:szCs w:val="22"/>
        </w:rPr>
      </w:pPr>
      <w:r w:rsidRPr="008348A1">
        <w:rPr>
          <w:rFonts w:ascii="Arial" w:hAnsi="Arial" w:cs="Arial"/>
          <w:sz w:val="22"/>
          <w:szCs w:val="22"/>
        </w:rPr>
        <w:t>To support a more resilient, fair, and psychologically safe workplace, the following recommendations are proposed.</w:t>
      </w:r>
    </w:p>
    <w:p w14:paraId="2E2E362B" w14:textId="71995899" w:rsidR="00242318" w:rsidRPr="009E6A70" w:rsidRDefault="009E6A70" w:rsidP="0031372E">
      <w:pPr>
        <w:rPr>
          <w:rFonts w:ascii="Arial" w:hAnsi="Arial" w:cs="Arial"/>
          <w:sz w:val="22"/>
          <w:szCs w:val="22"/>
        </w:rPr>
      </w:pPr>
      <w:r w:rsidRPr="009E6A70">
        <w:rPr>
          <w:rFonts w:ascii="Arial" w:hAnsi="Arial" w:cs="Arial"/>
          <w:sz w:val="22"/>
          <w:szCs w:val="22"/>
        </w:rPr>
        <w:t>To reduce the number of grievances there are six key areas of recommendations</w:t>
      </w:r>
      <w:r w:rsidR="008348A1">
        <w:rPr>
          <w:rFonts w:ascii="Arial" w:hAnsi="Arial" w:cs="Arial"/>
          <w:sz w:val="22"/>
          <w:szCs w:val="22"/>
        </w:rPr>
        <w:t>,</w:t>
      </w:r>
      <w:r w:rsidRPr="009E6A70">
        <w:rPr>
          <w:rFonts w:ascii="Arial" w:hAnsi="Arial" w:cs="Arial"/>
          <w:sz w:val="22"/>
          <w:szCs w:val="22"/>
        </w:rPr>
        <w:t xml:space="preserve"> which will aid in minimizing these negative factors and provide a more positive and stronger network system for managers and employees with a better flow of communication and a transparent structure.</w:t>
      </w:r>
    </w:p>
    <w:p w14:paraId="27DFF553" w14:textId="3929A75B" w:rsidR="0031372E" w:rsidRPr="009E6A70" w:rsidRDefault="0031372E" w:rsidP="00D66A99">
      <w:pPr>
        <w:pStyle w:val="Heading4"/>
      </w:pPr>
      <w:r w:rsidRPr="009E6A70">
        <w:t>1. Strengthen Managerial Capability and Accountability</w:t>
      </w:r>
      <w:r w:rsidR="009E6A70" w:rsidRPr="009E6A70">
        <w:t>.</w:t>
      </w:r>
    </w:p>
    <w:p w14:paraId="55D33ABB" w14:textId="77777777" w:rsidR="0031372E" w:rsidRPr="009E6A70" w:rsidRDefault="0031372E" w:rsidP="0031372E">
      <w:pPr>
        <w:rPr>
          <w:rFonts w:ascii="Arial" w:hAnsi="Arial" w:cs="Arial"/>
          <w:sz w:val="22"/>
          <w:szCs w:val="22"/>
        </w:rPr>
      </w:pPr>
      <w:r w:rsidRPr="009E6A70">
        <w:rPr>
          <w:rFonts w:ascii="Arial" w:hAnsi="Arial" w:cs="Arial"/>
          <w:sz w:val="22"/>
          <w:szCs w:val="22"/>
        </w:rPr>
        <w:t>Managers should receive targeted development in digital leadership, hybrid team management, conflict resolution, and inclusive communication. Performance objectives should explicitly link managerial behaviour to grievance reduction, employee engagement, and consistent application of HR policies.</w:t>
      </w:r>
    </w:p>
    <w:p w14:paraId="23810003" w14:textId="6931DE4A" w:rsidR="0031372E" w:rsidRPr="009E6A70" w:rsidRDefault="0031372E" w:rsidP="00D66A99">
      <w:pPr>
        <w:pStyle w:val="Heading4"/>
      </w:pPr>
      <w:r w:rsidRPr="009E6A70">
        <w:t>2. Enhance Reward Management and Equal Opportunity Practices</w:t>
      </w:r>
      <w:r w:rsidR="009E6A70">
        <w:t>.</w:t>
      </w:r>
    </w:p>
    <w:p w14:paraId="611CB576" w14:textId="79E0138F" w:rsidR="003A0282" w:rsidRPr="009E6A70" w:rsidRDefault="0031372E" w:rsidP="0031372E">
      <w:pPr>
        <w:rPr>
          <w:rFonts w:ascii="Arial" w:hAnsi="Arial" w:cs="Arial"/>
          <w:sz w:val="22"/>
          <w:szCs w:val="22"/>
        </w:rPr>
      </w:pPr>
      <w:r w:rsidRPr="009E6A70">
        <w:rPr>
          <w:rFonts w:ascii="Arial" w:hAnsi="Arial" w:cs="Arial"/>
          <w:sz w:val="22"/>
          <w:szCs w:val="22"/>
        </w:rPr>
        <w:t>The organisation should adopt transparent reward frameworks, evidence</w:t>
      </w:r>
      <w:r w:rsidRPr="009E6A70">
        <w:rPr>
          <w:rFonts w:ascii="Cambria Math" w:hAnsi="Cambria Math" w:cs="Cambria Math"/>
          <w:sz w:val="22"/>
          <w:szCs w:val="22"/>
        </w:rPr>
        <w:t>‑</w:t>
      </w:r>
      <w:r w:rsidRPr="009E6A70">
        <w:rPr>
          <w:rFonts w:ascii="Arial" w:hAnsi="Arial" w:cs="Arial"/>
          <w:sz w:val="22"/>
          <w:szCs w:val="22"/>
        </w:rPr>
        <w:t>based performance criteria, and regular equality impact assessments to ensure fairness across all demographic groups and working patterns. Managers must be trained to avoid unconscious bias, apply reward policies consistently, and conduct objective evaluations. Non</w:t>
      </w:r>
      <w:r w:rsidRPr="009E6A70">
        <w:rPr>
          <w:rFonts w:ascii="Cambria Math" w:hAnsi="Cambria Math" w:cs="Cambria Math"/>
          <w:sz w:val="22"/>
          <w:szCs w:val="22"/>
        </w:rPr>
        <w:t>‑</w:t>
      </w:r>
      <w:r w:rsidRPr="009E6A70">
        <w:rPr>
          <w:rFonts w:ascii="Arial" w:hAnsi="Arial" w:cs="Arial"/>
          <w:sz w:val="22"/>
          <w:szCs w:val="22"/>
        </w:rPr>
        <w:t>financial rewards</w:t>
      </w:r>
      <w:r w:rsidRPr="009E6A70">
        <w:rPr>
          <w:rFonts w:ascii="Arial" w:hAnsi="Arial" w:cs="Arial"/>
          <w:sz w:val="22"/>
          <w:szCs w:val="22"/>
        </w:rPr>
        <w:t xml:space="preserve"> </w:t>
      </w:r>
      <w:r w:rsidRPr="009E6A70">
        <w:rPr>
          <w:rFonts w:ascii="Arial" w:hAnsi="Arial" w:cs="Arial"/>
          <w:sz w:val="22"/>
          <w:szCs w:val="22"/>
        </w:rPr>
        <w:t>such as development opportunities and well</w:t>
      </w:r>
      <w:r w:rsidRPr="009E6A70">
        <w:rPr>
          <w:rFonts w:ascii="Arial" w:hAnsi="Arial" w:cs="Arial"/>
          <w:sz w:val="22"/>
          <w:szCs w:val="22"/>
        </w:rPr>
        <w:t>-</w:t>
      </w:r>
      <w:r w:rsidRPr="009E6A70">
        <w:rPr>
          <w:rFonts w:ascii="Arial" w:hAnsi="Arial" w:cs="Arial"/>
          <w:sz w:val="22"/>
          <w:szCs w:val="22"/>
        </w:rPr>
        <w:t>being support</w:t>
      </w:r>
      <w:r w:rsidRPr="009E6A70">
        <w:rPr>
          <w:rFonts w:ascii="Arial" w:hAnsi="Arial" w:cs="Arial"/>
          <w:sz w:val="22"/>
          <w:szCs w:val="22"/>
        </w:rPr>
        <w:t xml:space="preserve"> </w:t>
      </w:r>
      <w:r w:rsidRPr="009E6A70">
        <w:rPr>
          <w:rFonts w:ascii="Arial" w:hAnsi="Arial" w:cs="Arial"/>
          <w:sz w:val="22"/>
          <w:szCs w:val="22"/>
        </w:rPr>
        <w:t>should be accessible to all employees, including those working remotely.</w:t>
      </w:r>
    </w:p>
    <w:p w14:paraId="018E2691" w14:textId="67920E0C" w:rsidR="0031372E" w:rsidRPr="009E6A70" w:rsidRDefault="0031372E" w:rsidP="00D66A99">
      <w:pPr>
        <w:pStyle w:val="Heading4"/>
      </w:pPr>
      <w:r w:rsidRPr="009E6A70">
        <w:t>3. Implement Personnel Development Mechanisms</w:t>
      </w:r>
      <w:r w:rsidR="009E6A70">
        <w:t>.</w:t>
      </w:r>
    </w:p>
    <w:p w14:paraId="456A2AFE" w14:textId="77777777" w:rsidR="0031372E" w:rsidRPr="009E6A70" w:rsidRDefault="0031372E" w:rsidP="0031372E">
      <w:pPr>
        <w:rPr>
          <w:rFonts w:ascii="Arial" w:hAnsi="Arial" w:cs="Arial"/>
          <w:sz w:val="22"/>
          <w:szCs w:val="22"/>
        </w:rPr>
      </w:pPr>
      <w:r w:rsidRPr="009E6A70">
        <w:rPr>
          <w:rFonts w:ascii="Arial" w:hAnsi="Arial" w:cs="Arial"/>
          <w:sz w:val="22"/>
          <w:szCs w:val="22"/>
        </w:rPr>
        <w:t>To support capability building and reduce uncertainty, the organisation should introduce a suite of development mechanisms, including digital</w:t>
      </w:r>
      <w:r w:rsidRPr="009E6A70">
        <w:rPr>
          <w:rFonts w:ascii="Cambria Math" w:hAnsi="Cambria Math" w:cs="Cambria Math"/>
          <w:sz w:val="22"/>
          <w:szCs w:val="22"/>
        </w:rPr>
        <w:t>‑</w:t>
      </w:r>
      <w:r w:rsidRPr="009E6A70">
        <w:rPr>
          <w:rFonts w:ascii="Arial" w:hAnsi="Arial" w:cs="Arial"/>
          <w:sz w:val="22"/>
          <w:szCs w:val="22"/>
        </w:rPr>
        <w:t>skills programmes, coaching and mentoring, resilience and wellbeing training, career</w:t>
      </w:r>
      <w:r w:rsidRPr="009E6A70">
        <w:rPr>
          <w:rFonts w:ascii="Cambria Math" w:hAnsi="Cambria Math" w:cs="Cambria Math"/>
          <w:sz w:val="22"/>
          <w:szCs w:val="22"/>
        </w:rPr>
        <w:t>‑</w:t>
      </w:r>
      <w:r w:rsidRPr="009E6A70">
        <w:rPr>
          <w:rFonts w:ascii="Arial" w:hAnsi="Arial" w:cs="Arial"/>
          <w:sz w:val="22"/>
          <w:szCs w:val="22"/>
        </w:rPr>
        <w:t>pathway planning, and peer</w:t>
      </w:r>
      <w:r w:rsidRPr="009E6A70">
        <w:rPr>
          <w:rFonts w:ascii="Cambria Math" w:hAnsi="Cambria Math" w:cs="Cambria Math"/>
          <w:sz w:val="22"/>
          <w:szCs w:val="22"/>
        </w:rPr>
        <w:t>‑</w:t>
      </w:r>
      <w:r w:rsidRPr="009E6A70">
        <w:rPr>
          <w:rFonts w:ascii="Arial" w:hAnsi="Arial" w:cs="Arial"/>
          <w:sz w:val="22"/>
          <w:szCs w:val="22"/>
        </w:rPr>
        <w:t>learning communities. These mechanisms will strengthen employee confidence, support adaptation to change, and reduce the likelihood of grievances.</w:t>
      </w:r>
    </w:p>
    <w:p w14:paraId="15003376" w14:textId="43888639" w:rsidR="0031372E" w:rsidRPr="009E6A70" w:rsidRDefault="0031372E" w:rsidP="00D66A99">
      <w:pPr>
        <w:pStyle w:val="Heading4"/>
      </w:pPr>
      <w:r w:rsidRPr="009E6A70">
        <w:t>4. Improve Communication and Employee Voice</w:t>
      </w:r>
      <w:r w:rsidR="009E6A70">
        <w:t>.</w:t>
      </w:r>
    </w:p>
    <w:p w14:paraId="43C2E4FF" w14:textId="3DB15D93" w:rsidR="0031372E" w:rsidRDefault="0031372E" w:rsidP="0031372E">
      <w:pPr>
        <w:rPr>
          <w:rFonts w:ascii="Arial" w:hAnsi="Arial" w:cs="Arial"/>
          <w:sz w:val="22"/>
          <w:szCs w:val="22"/>
        </w:rPr>
      </w:pPr>
      <w:r w:rsidRPr="009E6A70">
        <w:rPr>
          <w:rFonts w:ascii="Arial" w:hAnsi="Arial" w:cs="Arial"/>
          <w:sz w:val="22"/>
          <w:szCs w:val="22"/>
        </w:rPr>
        <w:t>Clear communication frameworks should be established to ensure transparency during transformation. Regular check</w:t>
      </w:r>
      <w:r w:rsidRPr="009E6A70">
        <w:rPr>
          <w:rFonts w:ascii="Cambria Math" w:hAnsi="Cambria Math" w:cs="Cambria Math"/>
          <w:sz w:val="22"/>
          <w:szCs w:val="22"/>
        </w:rPr>
        <w:t>‑</w:t>
      </w:r>
      <w:r w:rsidRPr="009E6A70">
        <w:rPr>
          <w:rFonts w:ascii="Arial" w:hAnsi="Arial" w:cs="Arial"/>
          <w:sz w:val="22"/>
          <w:szCs w:val="22"/>
        </w:rPr>
        <w:t>ins, digital communication guidelines, and employee voice platforms</w:t>
      </w:r>
      <w:r w:rsidRPr="009E6A70">
        <w:rPr>
          <w:rFonts w:ascii="Arial" w:hAnsi="Arial" w:cs="Arial"/>
          <w:sz w:val="22"/>
          <w:szCs w:val="22"/>
        </w:rPr>
        <w:t xml:space="preserve"> </w:t>
      </w:r>
      <w:r w:rsidRPr="009E6A70">
        <w:rPr>
          <w:rFonts w:ascii="Arial" w:hAnsi="Arial" w:cs="Arial"/>
          <w:sz w:val="22"/>
          <w:szCs w:val="22"/>
        </w:rPr>
        <w:t>such as pulse surveys</w:t>
      </w:r>
      <w:r w:rsidRPr="009E6A70">
        <w:rPr>
          <w:rFonts w:ascii="Arial" w:hAnsi="Arial" w:cs="Arial"/>
          <w:sz w:val="22"/>
          <w:szCs w:val="22"/>
        </w:rPr>
        <w:t xml:space="preserve"> </w:t>
      </w:r>
      <w:r w:rsidRPr="009E6A70">
        <w:rPr>
          <w:rFonts w:ascii="Arial" w:hAnsi="Arial" w:cs="Arial"/>
          <w:sz w:val="22"/>
          <w:szCs w:val="22"/>
        </w:rPr>
        <w:t>will help identify emerging concerns early and support proactive intervention.</w:t>
      </w:r>
    </w:p>
    <w:p w14:paraId="26D7EE25" w14:textId="52EA65F1" w:rsidR="0031372E" w:rsidRPr="009E6A70" w:rsidRDefault="0031372E" w:rsidP="00D66A99">
      <w:pPr>
        <w:pStyle w:val="Heading4"/>
      </w:pPr>
      <w:r w:rsidRPr="009E6A70">
        <w:t>5. Ensure Consistent Application of Flexible Working Policies</w:t>
      </w:r>
      <w:r w:rsidR="009E6A70">
        <w:t>.</w:t>
      </w:r>
    </w:p>
    <w:p w14:paraId="5C705D27" w14:textId="5DB28652" w:rsidR="0062236F" w:rsidRPr="009E6A70" w:rsidRDefault="0031372E" w:rsidP="0031372E">
      <w:pPr>
        <w:rPr>
          <w:rFonts w:ascii="Arial" w:hAnsi="Arial" w:cs="Arial"/>
          <w:sz w:val="22"/>
          <w:szCs w:val="22"/>
        </w:rPr>
      </w:pPr>
      <w:r w:rsidRPr="009E6A70">
        <w:rPr>
          <w:rFonts w:ascii="Arial" w:hAnsi="Arial" w:cs="Arial"/>
          <w:sz w:val="22"/>
          <w:szCs w:val="22"/>
        </w:rPr>
        <w:t>Hybrid and flexible working arrangements should be applied consistently across departments, with clear expectations for communication, collaboration, and performance. Training for managers and employees on flexible</w:t>
      </w:r>
      <w:r w:rsidRPr="009E6A70">
        <w:rPr>
          <w:rFonts w:ascii="Cambria Math" w:hAnsi="Cambria Math" w:cs="Cambria Math"/>
          <w:sz w:val="22"/>
          <w:szCs w:val="22"/>
        </w:rPr>
        <w:t>‑</w:t>
      </w:r>
      <w:r w:rsidRPr="009E6A70">
        <w:rPr>
          <w:rFonts w:ascii="Arial" w:hAnsi="Arial" w:cs="Arial"/>
          <w:sz w:val="22"/>
          <w:szCs w:val="22"/>
        </w:rPr>
        <w:t>working competencies will support fairness and cohesion.</w:t>
      </w:r>
    </w:p>
    <w:p w14:paraId="23865E8F" w14:textId="0555B189" w:rsidR="0031372E" w:rsidRPr="009E6A70" w:rsidRDefault="0031372E" w:rsidP="00D66A99">
      <w:pPr>
        <w:pStyle w:val="Heading4"/>
      </w:pPr>
      <w:r w:rsidRPr="009E6A70">
        <w:t>6. Introduce Wellbeing Monitoring and Early Intervention Tools</w:t>
      </w:r>
      <w:r w:rsidR="009E6A70">
        <w:t>.</w:t>
      </w:r>
    </w:p>
    <w:p w14:paraId="74E66C23" w14:textId="0D28E4AB" w:rsidR="0031372E" w:rsidRPr="009E6A70" w:rsidRDefault="0031372E" w:rsidP="0031372E">
      <w:pPr>
        <w:rPr>
          <w:rFonts w:ascii="Arial" w:hAnsi="Arial" w:cs="Arial"/>
          <w:sz w:val="22"/>
          <w:szCs w:val="22"/>
        </w:rPr>
      </w:pPr>
      <w:r w:rsidRPr="009E6A70">
        <w:rPr>
          <w:rFonts w:ascii="Arial" w:hAnsi="Arial" w:cs="Arial"/>
          <w:sz w:val="22"/>
          <w:szCs w:val="22"/>
        </w:rPr>
        <w:t>Digital wellbeing dashboards, workload monitoring tools, and structured check</w:t>
      </w:r>
      <w:r w:rsidRPr="009E6A70">
        <w:rPr>
          <w:rFonts w:ascii="Cambria Math" w:hAnsi="Cambria Math" w:cs="Cambria Math"/>
          <w:sz w:val="22"/>
          <w:szCs w:val="22"/>
        </w:rPr>
        <w:t>‑</w:t>
      </w:r>
      <w:r w:rsidRPr="009E6A70">
        <w:rPr>
          <w:rFonts w:ascii="Arial" w:hAnsi="Arial" w:cs="Arial"/>
          <w:sz w:val="22"/>
          <w:szCs w:val="22"/>
        </w:rPr>
        <w:t>ins will help managers identify early signs of stress or disengagement. Early intervention strategies</w:t>
      </w:r>
      <w:r w:rsidRPr="009E6A70">
        <w:rPr>
          <w:rFonts w:ascii="Arial" w:hAnsi="Arial" w:cs="Arial"/>
          <w:sz w:val="22"/>
          <w:szCs w:val="22"/>
        </w:rPr>
        <w:t xml:space="preserve"> </w:t>
      </w:r>
      <w:r w:rsidRPr="009E6A70">
        <w:rPr>
          <w:rFonts w:ascii="Arial" w:hAnsi="Arial" w:cs="Arial"/>
          <w:sz w:val="22"/>
          <w:szCs w:val="22"/>
        </w:rPr>
        <w:t>such as mediation, coaching, or workload adjustments</w:t>
      </w:r>
      <w:r w:rsidRPr="009E6A70">
        <w:rPr>
          <w:rFonts w:ascii="Arial" w:hAnsi="Arial" w:cs="Arial"/>
          <w:sz w:val="22"/>
          <w:szCs w:val="22"/>
        </w:rPr>
        <w:t xml:space="preserve"> </w:t>
      </w:r>
      <w:r w:rsidRPr="009E6A70">
        <w:rPr>
          <w:rFonts w:ascii="Arial" w:hAnsi="Arial" w:cs="Arial"/>
          <w:sz w:val="22"/>
          <w:szCs w:val="22"/>
        </w:rPr>
        <w:t>should be embedded into managerial practice.</w:t>
      </w:r>
    </w:p>
    <w:p w14:paraId="07CE10F0" w14:textId="6B7F9B1C" w:rsidR="0062236F" w:rsidRDefault="00AD50A6" w:rsidP="00FD2168">
      <w:pPr>
        <w:rPr>
          <w:rFonts w:ascii="Arial" w:hAnsi="Arial" w:cs="Arial"/>
          <w:sz w:val="22"/>
          <w:szCs w:val="22"/>
        </w:rPr>
      </w:pPr>
      <w:r>
        <w:rPr>
          <w:rFonts w:ascii="Arial" w:hAnsi="Arial" w:cs="Arial"/>
          <w:sz w:val="22"/>
          <w:szCs w:val="22"/>
        </w:rPr>
        <w:t>The following table references how deploying personnel development practices can benefit the working environment and make a better alignment with culture and HR practices.</w:t>
      </w:r>
    </w:p>
    <w:p w14:paraId="71016CAA" w14:textId="77777777" w:rsidR="00AD50A6" w:rsidRPr="005C2326" w:rsidRDefault="00AD50A6" w:rsidP="00FD2168">
      <w:pPr>
        <w:rPr>
          <w:rFonts w:ascii="Arial" w:hAnsi="Arial" w:cs="Arial"/>
          <w:sz w:val="22"/>
          <w:szCs w:val="22"/>
        </w:rPr>
      </w:pPr>
    </w:p>
    <w:tbl>
      <w:tblPr>
        <w:tblStyle w:val="PlainTable5"/>
        <w:tblW w:w="0" w:type="auto"/>
        <w:tblLook w:val="04A0" w:firstRow="1" w:lastRow="0" w:firstColumn="1" w:lastColumn="0" w:noHBand="0" w:noVBand="1"/>
      </w:tblPr>
      <w:tblGrid>
        <w:gridCol w:w="3005"/>
        <w:gridCol w:w="3005"/>
        <w:gridCol w:w="3006"/>
      </w:tblGrid>
      <w:tr w:rsidR="00DD226D" w14:paraId="59D7C842" w14:textId="77777777" w:rsidTr="005C2326">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3005" w:type="dxa"/>
          </w:tcPr>
          <w:p w14:paraId="043C6FDF" w14:textId="4B9AF4FF" w:rsidR="00DD226D" w:rsidRDefault="00DD226D" w:rsidP="00FD2168">
            <w:pPr>
              <w:rPr>
                <w:rFonts w:ascii="Arial" w:hAnsi="Arial" w:cs="Arial"/>
                <w:b/>
                <w:bCs/>
              </w:rPr>
            </w:pPr>
            <w:r>
              <w:rPr>
                <w:rFonts w:ascii="Arial" w:hAnsi="Arial" w:cs="Arial"/>
                <w:b/>
                <w:bCs/>
              </w:rPr>
              <w:t>Development Management</w:t>
            </w:r>
          </w:p>
        </w:tc>
        <w:tc>
          <w:tcPr>
            <w:tcW w:w="3005" w:type="dxa"/>
          </w:tcPr>
          <w:p w14:paraId="1D9C7B9B" w14:textId="1E205C3E" w:rsidR="00DD226D" w:rsidRDefault="00DD226D" w:rsidP="00FD2168">
            <w:pPr>
              <w:cnfStyle w:val="100000000000" w:firstRow="1" w:lastRow="0" w:firstColumn="0" w:lastColumn="0" w:oddVBand="0" w:evenVBand="0" w:oddHBand="0" w:evenHBand="0" w:firstRowFirstColumn="0" w:firstRowLastColumn="0" w:lastRowFirstColumn="0" w:lastRowLastColumn="0"/>
              <w:rPr>
                <w:rFonts w:ascii="Arial" w:hAnsi="Arial" w:cs="Arial"/>
                <w:b/>
                <w:bCs/>
              </w:rPr>
            </w:pPr>
            <w:r>
              <w:rPr>
                <w:rFonts w:ascii="Arial" w:hAnsi="Arial" w:cs="Arial"/>
                <w:b/>
                <w:bCs/>
              </w:rPr>
              <w:t>Purpose</w:t>
            </w:r>
          </w:p>
        </w:tc>
        <w:tc>
          <w:tcPr>
            <w:tcW w:w="3006" w:type="dxa"/>
          </w:tcPr>
          <w:p w14:paraId="173EA8A0" w14:textId="796D1625" w:rsidR="00DD226D" w:rsidRDefault="00DD226D" w:rsidP="00FD2168">
            <w:pPr>
              <w:cnfStyle w:val="100000000000" w:firstRow="1" w:lastRow="0" w:firstColumn="0" w:lastColumn="0" w:oddVBand="0" w:evenVBand="0" w:oddHBand="0" w:evenHBand="0" w:firstRowFirstColumn="0" w:firstRowLastColumn="0" w:lastRowFirstColumn="0" w:lastRowLastColumn="0"/>
              <w:rPr>
                <w:rFonts w:ascii="Arial" w:hAnsi="Arial" w:cs="Arial"/>
                <w:b/>
                <w:bCs/>
              </w:rPr>
            </w:pPr>
            <w:r>
              <w:rPr>
                <w:rFonts w:ascii="Arial" w:hAnsi="Arial" w:cs="Arial"/>
                <w:b/>
                <w:bCs/>
              </w:rPr>
              <w:t>Expected Benefit</w:t>
            </w:r>
          </w:p>
        </w:tc>
      </w:tr>
      <w:tr w:rsidR="00DD226D" w14:paraId="2632024E" w14:textId="77777777" w:rsidTr="005C232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462A666A" w14:textId="3767E26D" w:rsidR="00DD226D" w:rsidRPr="00DD226D" w:rsidRDefault="00DD226D" w:rsidP="00FD2168">
            <w:pPr>
              <w:rPr>
                <w:rFonts w:ascii="Arial" w:hAnsi="Arial" w:cs="Arial"/>
                <w:sz w:val="20"/>
                <w:szCs w:val="20"/>
              </w:rPr>
            </w:pPr>
            <w:r w:rsidRPr="00DD226D">
              <w:rPr>
                <w:rFonts w:ascii="Arial" w:hAnsi="Arial" w:cs="Arial"/>
                <w:sz w:val="20"/>
                <w:szCs w:val="20"/>
              </w:rPr>
              <w:t>Digital Skills Development</w:t>
            </w:r>
          </w:p>
        </w:tc>
        <w:tc>
          <w:tcPr>
            <w:tcW w:w="3005" w:type="dxa"/>
          </w:tcPr>
          <w:p w14:paraId="63A7D390" w14:textId="0E1059D9" w:rsidR="00DD226D" w:rsidRPr="00DD226D" w:rsidRDefault="00DD226D" w:rsidP="00FD2168">
            <w:pPr>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DD226D">
              <w:rPr>
                <w:rFonts w:ascii="Arial" w:hAnsi="Arial" w:cs="Arial"/>
                <w:sz w:val="20"/>
                <w:szCs w:val="20"/>
              </w:rPr>
              <w:t>Build confidence in new technologies</w:t>
            </w:r>
          </w:p>
        </w:tc>
        <w:tc>
          <w:tcPr>
            <w:tcW w:w="3006" w:type="dxa"/>
          </w:tcPr>
          <w:p w14:paraId="386C1A19" w14:textId="08524BD8" w:rsidR="00DD226D" w:rsidRPr="00DD226D" w:rsidRDefault="00DD226D" w:rsidP="00FD2168">
            <w:pPr>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DD226D">
              <w:rPr>
                <w:rFonts w:ascii="Arial" w:hAnsi="Arial" w:cs="Arial"/>
                <w:sz w:val="20"/>
                <w:szCs w:val="20"/>
              </w:rPr>
              <w:t>Reduced digital anxiety, smoother adoption</w:t>
            </w:r>
          </w:p>
        </w:tc>
      </w:tr>
      <w:tr w:rsidR="00DD226D" w14:paraId="6AD36E02" w14:textId="77777777" w:rsidTr="005C2326">
        <w:tc>
          <w:tcPr>
            <w:cnfStyle w:val="001000000000" w:firstRow="0" w:lastRow="0" w:firstColumn="1" w:lastColumn="0" w:oddVBand="0" w:evenVBand="0" w:oddHBand="0" w:evenHBand="0" w:firstRowFirstColumn="0" w:firstRowLastColumn="0" w:lastRowFirstColumn="0" w:lastRowLastColumn="0"/>
            <w:tcW w:w="3005" w:type="dxa"/>
          </w:tcPr>
          <w:p w14:paraId="678F4047" w14:textId="19F8E904" w:rsidR="00DD226D" w:rsidRPr="005C2326" w:rsidRDefault="00DD226D" w:rsidP="00FD2168">
            <w:pPr>
              <w:rPr>
                <w:rFonts w:ascii="Arial" w:hAnsi="Arial" w:cs="Arial"/>
                <w:sz w:val="20"/>
                <w:szCs w:val="20"/>
              </w:rPr>
            </w:pPr>
            <w:r w:rsidRPr="005C2326">
              <w:rPr>
                <w:rFonts w:ascii="Arial" w:hAnsi="Arial" w:cs="Arial"/>
                <w:sz w:val="20"/>
                <w:szCs w:val="20"/>
              </w:rPr>
              <w:t>Leadership Development</w:t>
            </w:r>
          </w:p>
        </w:tc>
        <w:tc>
          <w:tcPr>
            <w:tcW w:w="3005" w:type="dxa"/>
          </w:tcPr>
          <w:p w14:paraId="7DA1CABE" w14:textId="5ABF0496" w:rsidR="00DD226D" w:rsidRPr="005C2326" w:rsidRDefault="00DD226D" w:rsidP="00FD2168">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5C2326">
              <w:rPr>
                <w:rFonts w:ascii="Arial" w:hAnsi="Arial" w:cs="Arial"/>
                <w:sz w:val="20"/>
                <w:szCs w:val="20"/>
              </w:rPr>
              <w:t>Strengthen hybrid and change leadership</w:t>
            </w:r>
          </w:p>
        </w:tc>
        <w:tc>
          <w:tcPr>
            <w:tcW w:w="3006" w:type="dxa"/>
          </w:tcPr>
          <w:p w14:paraId="42EBCAE4" w14:textId="0E4BB09D" w:rsidR="00DD226D" w:rsidRPr="005C2326" w:rsidRDefault="00DD226D" w:rsidP="00FD2168">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5C2326">
              <w:rPr>
                <w:rFonts w:ascii="Arial" w:hAnsi="Arial" w:cs="Arial"/>
                <w:sz w:val="20"/>
                <w:szCs w:val="20"/>
              </w:rPr>
              <w:t>Consistent management, fewer grievances</w:t>
            </w:r>
          </w:p>
        </w:tc>
      </w:tr>
      <w:tr w:rsidR="00DD226D" w14:paraId="21AC5F9E" w14:textId="77777777" w:rsidTr="005C232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4C30331E" w14:textId="09E48AE4" w:rsidR="00DD226D" w:rsidRPr="005C2326" w:rsidRDefault="00DD226D" w:rsidP="00FD2168">
            <w:pPr>
              <w:rPr>
                <w:rFonts w:ascii="Arial" w:hAnsi="Arial" w:cs="Arial"/>
                <w:sz w:val="20"/>
                <w:szCs w:val="20"/>
              </w:rPr>
            </w:pPr>
            <w:r w:rsidRPr="005C2326">
              <w:rPr>
                <w:rFonts w:ascii="Arial" w:hAnsi="Arial" w:cs="Arial"/>
                <w:sz w:val="20"/>
                <w:szCs w:val="20"/>
              </w:rPr>
              <w:t>Coaching &amp; Mentoring</w:t>
            </w:r>
          </w:p>
        </w:tc>
        <w:tc>
          <w:tcPr>
            <w:tcW w:w="3005" w:type="dxa"/>
          </w:tcPr>
          <w:p w14:paraId="7025F16B" w14:textId="49F992AD" w:rsidR="00DD226D" w:rsidRPr="005C2326" w:rsidRDefault="00DD226D" w:rsidP="00FD2168">
            <w:pPr>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5C2326">
              <w:rPr>
                <w:rFonts w:ascii="Arial" w:hAnsi="Arial" w:cs="Arial"/>
                <w:sz w:val="20"/>
                <w:szCs w:val="20"/>
              </w:rPr>
              <w:t>Provide personalised support</w:t>
            </w:r>
          </w:p>
        </w:tc>
        <w:tc>
          <w:tcPr>
            <w:tcW w:w="3006" w:type="dxa"/>
          </w:tcPr>
          <w:p w14:paraId="7AAB88CF" w14:textId="7604E32C" w:rsidR="00DD226D" w:rsidRPr="005C2326" w:rsidRDefault="00DD226D" w:rsidP="00FD2168">
            <w:pPr>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5C2326">
              <w:rPr>
                <w:rFonts w:ascii="Arial" w:hAnsi="Arial" w:cs="Arial"/>
                <w:sz w:val="20"/>
                <w:szCs w:val="20"/>
              </w:rPr>
              <w:t>Higher engagement and retention</w:t>
            </w:r>
          </w:p>
        </w:tc>
      </w:tr>
      <w:tr w:rsidR="00DD226D" w14:paraId="463554E9" w14:textId="77777777" w:rsidTr="005C2326">
        <w:tc>
          <w:tcPr>
            <w:cnfStyle w:val="001000000000" w:firstRow="0" w:lastRow="0" w:firstColumn="1" w:lastColumn="0" w:oddVBand="0" w:evenVBand="0" w:oddHBand="0" w:evenHBand="0" w:firstRowFirstColumn="0" w:firstRowLastColumn="0" w:lastRowFirstColumn="0" w:lastRowLastColumn="0"/>
            <w:tcW w:w="3005" w:type="dxa"/>
          </w:tcPr>
          <w:p w14:paraId="6CDCF1F5" w14:textId="2C5C7763" w:rsidR="00DD226D" w:rsidRPr="005C2326" w:rsidRDefault="00DD226D" w:rsidP="00FD2168">
            <w:pPr>
              <w:rPr>
                <w:rFonts w:ascii="Arial" w:hAnsi="Arial" w:cs="Arial"/>
                <w:sz w:val="20"/>
                <w:szCs w:val="20"/>
              </w:rPr>
            </w:pPr>
            <w:r w:rsidRPr="005C2326">
              <w:rPr>
                <w:rFonts w:ascii="Arial" w:hAnsi="Arial" w:cs="Arial"/>
                <w:sz w:val="20"/>
                <w:szCs w:val="20"/>
              </w:rPr>
              <w:t>Resilience &amp; Wellbeing Training</w:t>
            </w:r>
          </w:p>
        </w:tc>
        <w:tc>
          <w:tcPr>
            <w:tcW w:w="3005" w:type="dxa"/>
          </w:tcPr>
          <w:p w14:paraId="733B41BB" w14:textId="090E38DC" w:rsidR="00DD226D" w:rsidRPr="005C2326" w:rsidRDefault="00DD226D" w:rsidP="00FD2168">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5C2326">
              <w:rPr>
                <w:rFonts w:ascii="Arial" w:hAnsi="Arial" w:cs="Arial"/>
                <w:sz w:val="20"/>
                <w:szCs w:val="20"/>
              </w:rPr>
              <w:t>Equip employees to manage stress</w:t>
            </w:r>
          </w:p>
        </w:tc>
        <w:tc>
          <w:tcPr>
            <w:tcW w:w="3006" w:type="dxa"/>
          </w:tcPr>
          <w:p w14:paraId="43559B58" w14:textId="457A88AE" w:rsidR="00DD226D" w:rsidRPr="005C2326" w:rsidRDefault="00DD226D" w:rsidP="00FD2168">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5C2326">
              <w:rPr>
                <w:rFonts w:ascii="Arial" w:hAnsi="Arial" w:cs="Arial"/>
                <w:sz w:val="20"/>
                <w:szCs w:val="20"/>
              </w:rPr>
              <w:t>Lower stress</w:t>
            </w:r>
            <w:r w:rsidRPr="005C2326">
              <w:rPr>
                <w:rFonts w:ascii="Cambria Math" w:hAnsi="Cambria Math" w:cs="Cambria Math"/>
                <w:sz w:val="20"/>
                <w:szCs w:val="20"/>
              </w:rPr>
              <w:t>‑</w:t>
            </w:r>
            <w:r w:rsidRPr="005C2326">
              <w:rPr>
                <w:rFonts w:ascii="Arial" w:hAnsi="Arial" w:cs="Arial"/>
                <w:sz w:val="20"/>
                <w:szCs w:val="20"/>
              </w:rPr>
              <w:t>related grievances</w:t>
            </w:r>
          </w:p>
        </w:tc>
      </w:tr>
      <w:tr w:rsidR="00DD226D" w14:paraId="79515981" w14:textId="77777777" w:rsidTr="005C232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0707559A" w14:textId="686F9067" w:rsidR="00DD226D" w:rsidRPr="005C2326" w:rsidRDefault="00DD226D" w:rsidP="00FD2168">
            <w:pPr>
              <w:rPr>
                <w:rFonts w:ascii="Arial" w:hAnsi="Arial" w:cs="Arial"/>
                <w:sz w:val="20"/>
                <w:szCs w:val="20"/>
              </w:rPr>
            </w:pPr>
            <w:r w:rsidRPr="005C2326">
              <w:rPr>
                <w:rFonts w:ascii="Arial" w:hAnsi="Arial" w:cs="Arial"/>
                <w:sz w:val="20"/>
                <w:szCs w:val="20"/>
              </w:rPr>
              <w:t>Career Pathway Planning</w:t>
            </w:r>
          </w:p>
        </w:tc>
        <w:tc>
          <w:tcPr>
            <w:tcW w:w="3005" w:type="dxa"/>
          </w:tcPr>
          <w:p w14:paraId="3F6B9816" w14:textId="3C0AF000" w:rsidR="00DD226D" w:rsidRPr="005C2326" w:rsidRDefault="00DD226D" w:rsidP="00FD2168">
            <w:pPr>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5C2326">
              <w:rPr>
                <w:rFonts w:ascii="Arial" w:hAnsi="Arial" w:cs="Arial"/>
                <w:sz w:val="20"/>
                <w:szCs w:val="20"/>
              </w:rPr>
              <w:t>Clarify future opportunities</w:t>
            </w:r>
          </w:p>
        </w:tc>
        <w:tc>
          <w:tcPr>
            <w:tcW w:w="3006" w:type="dxa"/>
          </w:tcPr>
          <w:p w14:paraId="1DB6651A" w14:textId="08FC4969" w:rsidR="00DD226D" w:rsidRPr="005C2326" w:rsidRDefault="005C2326" w:rsidP="00FD2168">
            <w:pPr>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5C2326">
              <w:rPr>
                <w:rFonts w:ascii="Arial" w:hAnsi="Arial" w:cs="Arial"/>
                <w:sz w:val="20"/>
                <w:szCs w:val="20"/>
              </w:rPr>
              <w:t>Reduced uncertainty, increased motivation</w:t>
            </w:r>
          </w:p>
        </w:tc>
      </w:tr>
      <w:tr w:rsidR="00DD226D" w14:paraId="6F97F5B8" w14:textId="77777777" w:rsidTr="005C2326">
        <w:tc>
          <w:tcPr>
            <w:cnfStyle w:val="001000000000" w:firstRow="0" w:lastRow="0" w:firstColumn="1" w:lastColumn="0" w:oddVBand="0" w:evenVBand="0" w:oddHBand="0" w:evenHBand="0" w:firstRowFirstColumn="0" w:firstRowLastColumn="0" w:lastRowFirstColumn="0" w:lastRowLastColumn="0"/>
            <w:tcW w:w="3005" w:type="dxa"/>
          </w:tcPr>
          <w:p w14:paraId="400E38F7" w14:textId="52845541" w:rsidR="00DD226D" w:rsidRPr="005C2326" w:rsidRDefault="005C2326" w:rsidP="00FD2168">
            <w:pPr>
              <w:rPr>
                <w:rFonts w:ascii="Arial" w:hAnsi="Arial" w:cs="Arial"/>
                <w:sz w:val="20"/>
                <w:szCs w:val="20"/>
              </w:rPr>
            </w:pPr>
            <w:r w:rsidRPr="005C2326">
              <w:rPr>
                <w:rFonts w:ascii="Arial" w:hAnsi="Arial" w:cs="Arial"/>
                <w:sz w:val="20"/>
                <w:szCs w:val="20"/>
              </w:rPr>
              <w:t>Peer Learning Communities</w:t>
            </w:r>
          </w:p>
        </w:tc>
        <w:tc>
          <w:tcPr>
            <w:tcW w:w="3005" w:type="dxa"/>
          </w:tcPr>
          <w:p w14:paraId="7CAC320B" w14:textId="7061C3C7" w:rsidR="00DD226D" w:rsidRPr="005C2326" w:rsidRDefault="005C2326" w:rsidP="00FD2168">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5C2326">
              <w:rPr>
                <w:rFonts w:ascii="Arial" w:hAnsi="Arial" w:cs="Arial"/>
                <w:sz w:val="20"/>
                <w:szCs w:val="20"/>
              </w:rPr>
              <w:t>Encourage collaboration</w:t>
            </w:r>
          </w:p>
        </w:tc>
        <w:tc>
          <w:tcPr>
            <w:tcW w:w="3006" w:type="dxa"/>
          </w:tcPr>
          <w:p w14:paraId="7508D9C9" w14:textId="1F1E96B0" w:rsidR="00DD226D" w:rsidRPr="005C2326" w:rsidRDefault="005C2326" w:rsidP="00FD2168">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5C2326">
              <w:rPr>
                <w:rFonts w:ascii="Arial" w:hAnsi="Arial" w:cs="Arial"/>
                <w:sz w:val="20"/>
                <w:szCs w:val="20"/>
              </w:rPr>
              <w:t>Stronger culture, reduced isolation</w:t>
            </w:r>
          </w:p>
        </w:tc>
      </w:tr>
      <w:tr w:rsidR="00DD226D" w:rsidRPr="005C2326" w14:paraId="65C73FE5" w14:textId="77777777" w:rsidTr="005C232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399DD702" w14:textId="1D408ADB" w:rsidR="00DD226D" w:rsidRPr="005C2326" w:rsidRDefault="005C2326" w:rsidP="00FD2168">
            <w:pPr>
              <w:rPr>
                <w:rFonts w:ascii="Arial" w:hAnsi="Arial" w:cs="Arial"/>
                <w:sz w:val="20"/>
                <w:szCs w:val="20"/>
              </w:rPr>
            </w:pPr>
            <w:r w:rsidRPr="005C2326">
              <w:rPr>
                <w:rFonts w:ascii="Arial" w:hAnsi="Arial" w:cs="Arial"/>
                <w:sz w:val="20"/>
                <w:szCs w:val="20"/>
              </w:rPr>
              <w:t>Flexible Working Training</w:t>
            </w:r>
          </w:p>
        </w:tc>
        <w:tc>
          <w:tcPr>
            <w:tcW w:w="3005" w:type="dxa"/>
          </w:tcPr>
          <w:p w14:paraId="774E331A" w14:textId="5C24521D" w:rsidR="00DD226D" w:rsidRPr="005C2326" w:rsidRDefault="005C2326" w:rsidP="00FD2168">
            <w:pPr>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5C2326">
              <w:rPr>
                <w:rFonts w:ascii="Arial" w:hAnsi="Arial" w:cs="Arial"/>
                <w:sz w:val="20"/>
                <w:szCs w:val="20"/>
              </w:rPr>
              <w:t>Support hybrid work competence</w:t>
            </w:r>
          </w:p>
        </w:tc>
        <w:tc>
          <w:tcPr>
            <w:tcW w:w="3006" w:type="dxa"/>
          </w:tcPr>
          <w:p w14:paraId="0E0B6250" w14:textId="266D33BB" w:rsidR="00DD226D" w:rsidRPr="005C2326" w:rsidRDefault="005C2326" w:rsidP="00FD2168">
            <w:pPr>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5C2326">
              <w:rPr>
                <w:rFonts w:ascii="Arial" w:hAnsi="Arial" w:cs="Arial"/>
                <w:sz w:val="20"/>
                <w:szCs w:val="20"/>
              </w:rPr>
              <w:t>Fairer practice, improved cohesion</w:t>
            </w:r>
          </w:p>
        </w:tc>
      </w:tr>
      <w:tr w:rsidR="00DD226D" w:rsidRPr="005C2326" w14:paraId="7BF317EA" w14:textId="77777777" w:rsidTr="005C2326">
        <w:tc>
          <w:tcPr>
            <w:cnfStyle w:val="001000000000" w:firstRow="0" w:lastRow="0" w:firstColumn="1" w:lastColumn="0" w:oddVBand="0" w:evenVBand="0" w:oddHBand="0" w:evenHBand="0" w:firstRowFirstColumn="0" w:firstRowLastColumn="0" w:lastRowFirstColumn="0" w:lastRowLastColumn="0"/>
            <w:tcW w:w="3005" w:type="dxa"/>
          </w:tcPr>
          <w:p w14:paraId="72DD79A5" w14:textId="024D335A" w:rsidR="00DD226D" w:rsidRPr="005C2326" w:rsidRDefault="005C2326" w:rsidP="00FD2168">
            <w:pPr>
              <w:rPr>
                <w:rFonts w:ascii="Arial" w:hAnsi="Arial" w:cs="Arial"/>
                <w:sz w:val="20"/>
                <w:szCs w:val="20"/>
              </w:rPr>
            </w:pPr>
            <w:r w:rsidRPr="005C2326">
              <w:rPr>
                <w:rFonts w:ascii="Arial" w:hAnsi="Arial" w:cs="Arial"/>
                <w:sz w:val="20"/>
                <w:szCs w:val="20"/>
              </w:rPr>
              <w:t>Talent Mobility</w:t>
            </w:r>
          </w:p>
        </w:tc>
        <w:tc>
          <w:tcPr>
            <w:tcW w:w="3005" w:type="dxa"/>
          </w:tcPr>
          <w:p w14:paraId="3590AAF3" w14:textId="12D786A9" w:rsidR="00DD226D" w:rsidRPr="005C2326" w:rsidRDefault="005C2326" w:rsidP="00FD2168">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5C2326">
              <w:rPr>
                <w:rFonts w:ascii="Arial" w:hAnsi="Arial" w:cs="Arial"/>
                <w:sz w:val="20"/>
                <w:szCs w:val="20"/>
              </w:rPr>
              <w:t>Enable internal progression</w:t>
            </w:r>
          </w:p>
        </w:tc>
        <w:tc>
          <w:tcPr>
            <w:tcW w:w="3006" w:type="dxa"/>
          </w:tcPr>
          <w:p w14:paraId="09FAF76F" w14:textId="679B0295" w:rsidR="00DD226D" w:rsidRPr="005C2326" w:rsidRDefault="005C2326" w:rsidP="00FD2168">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sidRPr="005C2326">
              <w:rPr>
                <w:rFonts w:ascii="Arial" w:hAnsi="Arial" w:cs="Arial"/>
                <w:sz w:val="20"/>
                <w:szCs w:val="20"/>
              </w:rPr>
              <w:t>Reduced redundancy fears</w:t>
            </w:r>
          </w:p>
        </w:tc>
      </w:tr>
      <w:tr w:rsidR="00DD226D" w:rsidRPr="005C2326" w14:paraId="53727177" w14:textId="77777777" w:rsidTr="005C232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43081AC6" w14:textId="0EC66E3B" w:rsidR="00DD226D" w:rsidRPr="005C2326" w:rsidRDefault="005C2326" w:rsidP="00FD2168">
            <w:pPr>
              <w:rPr>
                <w:rFonts w:ascii="Arial" w:hAnsi="Arial" w:cs="Arial"/>
                <w:sz w:val="20"/>
                <w:szCs w:val="20"/>
              </w:rPr>
            </w:pPr>
            <w:r w:rsidRPr="005C2326">
              <w:rPr>
                <w:rFonts w:ascii="Arial" w:hAnsi="Arial" w:cs="Arial"/>
                <w:sz w:val="20"/>
                <w:szCs w:val="20"/>
              </w:rPr>
              <w:t>Continuous Feedback Tools</w:t>
            </w:r>
          </w:p>
        </w:tc>
        <w:tc>
          <w:tcPr>
            <w:tcW w:w="3005" w:type="dxa"/>
          </w:tcPr>
          <w:p w14:paraId="28F7EF9A" w14:textId="4055EBC4" w:rsidR="00DD226D" w:rsidRPr="005C2326" w:rsidRDefault="005C2326" w:rsidP="00FD2168">
            <w:pPr>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5C2326">
              <w:rPr>
                <w:rFonts w:ascii="Arial" w:hAnsi="Arial" w:cs="Arial"/>
                <w:sz w:val="20"/>
                <w:szCs w:val="20"/>
              </w:rPr>
              <w:t>Capture early concerns</w:t>
            </w:r>
          </w:p>
        </w:tc>
        <w:tc>
          <w:tcPr>
            <w:tcW w:w="3006" w:type="dxa"/>
          </w:tcPr>
          <w:p w14:paraId="4AAFC056" w14:textId="6FE84B62" w:rsidR="00DD226D" w:rsidRPr="005C2326" w:rsidRDefault="005C2326" w:rsidP="00FD2168">
            <w:pPr>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sidRPr="005C2326">
              <w:rPr>
                <w:rFonts w:ascii="Arial" w:hAnsi="Arial" w:cs="Arial"/>
                <w:sz w:val="20"/>
                <w:szCs w:val="20"/>
              </w:rPr>
              <w:t>Proactive grievance prevention</w:t>
            </w:r>
          </w:p>
        </w:tc>
      </w:tr>
    </w:tbl>
    <w:p w14:paraId="4123FE7A" w14:textId="5C85211A" w:rsidR="00DD226D" w:rsidRPr="00D66A99" w:rsidRDefault="005C2326" w:rsidP="00D66A99">
      <w:pPr>
        <w:pStyle w:val="Heading4"/>
        <w:jc w:val="right"/>
        <w:rPr>
          <w:sz w:val="16"/>
          <w:szCs w:val="16"/>
        </w:rPr>
      </w:pPr>
      <w:r w:rsidRPr="00D66A99">
        <w:rPr>
          <w:sz w:val="16"/>
          <w:szCs w:val="16"/>
        </w:rPr>
        <w:t>Table 4</w:t>
      </w:r>
      <w:r w:rsidR="00CD537F" w:rsidRPr="00D66A99">
        <w:rPr>
          <w:sz w:val="16"/>
          <w:szCs w:val="16"/>
        </w:rPr>
        <w:t>:</w:t>
      </w:r>
      <w:r w:rsidRPr="00D66A99">
        <w:rPr>
          <w:sz w:val="16"/>
          <w:szCs w:val="16"/>
        </w:rPr>
        <w:t xml:space="preserve"> </w:t>
      </w:r>
      <w:r w:rsidR="00CD537F" w:rsidRPr="00D66A99">
        <w:rPr>
          <w:sz w:val="16"/>
          <w:szCs w:val="16"/>
        </w:rPr>
        <w:t>S</w:t>
      </w:r>
      <w:r w:rsidR="00FE135C" w:rsidRPr="00D66A99">
        <w:rPr>
          <w:sz w:val="16"/>
          <w:szCs w:val="16"/>
        </w:rPr>
        <w:t xml:space="preserve">ummary </w:t>
      </w:r>
      <w:r w:rsidR="00CD537F" w:rsidRPr="00D66A99">
        <w:rPr>
          <w:sz w:val="16"/>
          <w:szCs w:val="16"/>
        </w:rPr>
        <w:t>R</w:t>
      </w:r>
      <w:r w:rsidR="00FE135C" w:rsidRPr="00D66A99">
        <w:rPr>
          <w:sz w:val="16"/>
          <w:szCs w:val="16"/>
        </w:rPr>
        <w:t xml:space="preserve">eport on </w:t>
      </w:r>
      <w:r w:rsidR="00CD537F" w:rsidRPr="00D66A99">
        <w:rPr>
          <w:sz w:val="16"/>
          <w:szCs w:val="16"/>
        </w:rPr>
        <w:t>D</w:t>
      </w:r>
      <w:r w:rsidR="00FE135C" w:rsidRPr="00D66A99">
        <w:rPr>
          <w:sz w:val="16"/>
          <w:szCs w:val="16"/>
        </w:rPr>
        <w:t xml:space="preserve">evelopment </w:t>
      </w:r>
      <w:r w:rsidR="00CD537F" w:rsidRPr="00D66A99">
        <w:rPr>
          <w:sz w:val="16"/>
          <w:szCs w:val="16"/>
        </w:rPr>
        <w:t>S</w:t>
      </w:r>
      <w:r w:rsidR="00FE135C" w:rsidRPr="00D66A99">
        <w:rPr>
          <w:sz w:val="16"/>
          <w:szCs w:val="16"/>
        </w:rPr>
        <w:t>trategies</w:t>
      </w:r>
      <w:r w:rsidR="00FB7B66" w:rsidRPr="00D66A99">
        <w:rPr>
          <w:sz w:val="16"/>
          <w:szCs w:val="16"/>
        </w:rPr>
        <w:t>.</w:t>
      </w:r>
    </w:p>
    <w:p w14:paraId="10184C8F" w14:textId="77777777" w:rsidR="009E6A70" w:rsidRPr="00FE135C" w:rsidRDefault="009E6A70" w:rsidP="005C2326">
      <w:pPr>
        <w:jc w:val="right"/>
        <w:rPr>
          <w:rFonts w:ascii="Arial" w:hAnsi="Arial" w:cs="Arial"/>
          <w:i/>
          <w:iCs/>
          <w:sz w:val="16"/>
          <w:szCs w:val="16"/>
        </w:rPr>
      </w:pPr>
    </w:p>
    <w:p w14:paraId="2744F64C" w14:textId="77777777" w:rsidR="0031372E" w:rsidRPr="0031372E" w:rsidRDefault="0031372E" w:rsidP="0031372E">
      <w:pPr>
        <w:rPr>
          <w:rFonts w:ascii="Arial" w:hAnsi="Arial" w:cs="Arial"/>
          <w:sz w:val="22"/>
          <w:szCs w:val="22"/>
        </w:rPr>
      </w:pPr>
      <w:r w:rsidRPr="0031372E">
        <w:rPr>
          <w:rFonts w:ascii="Arial" w:hAnsi="Arial" w:cs="Arial"/>
          <w:sz w:val="22"/>
          <w:szCs w:val="22"/>
        </w:rPr>
        <w:t>Together, these recommendations provide a coherent strategy for reducing grievances, strengthening organisational culture, and supporting employees through ongoing transformation. By aligning reward management, equal opportunity, and personnel development with contemporary HR practices, the organisation can build a more inclusive, capable, and future</w:t>
      </w:r>
      <w:r w:rsidRPr="0031372E">
        <w:rPr>
          <w:rFonts w:ascii="Cambria Math" w:hAnsi="Cambria Math" w:cs="Cambria Math"/>
          <w:sz w:val="22"/>
          <w:szCs w:val="22"/>
        </w:rPr>
        <w:t>‑</w:t>
      </w:r>
      <w:r w:rsidRPr="0031372E">
        <w:rPr>
          <w:rFonts w:ascii="Arial" w:hAnsi="Arial" w:cs="Arial"/>
          <w:sz w:val="22"/>
          <w:szCs w:val="22"/>
        </w:rPr>
        <w:t>ready workforce.</w:t>
      </w:r>
    </w:p>
    <w:p w14:paraId="3AA44900" w14:textId="77777777" w:rsidR="00F9026A" w:rsidRDefault="00F9026A" w:rsidP="00FD2168"/>
    <w:p w14:paraId="5C945DB6" w14:textId="77777777" w:rsidR="0062236F" w:rsidRDefault="0062236F" w:rsidP="00FD2168"/>
    <w:p w14:paraId="68A7920C" w14:textId="77777777" w:rsidR="0062236F" w:rsidRDefault="0062236F" w:rsidP="00FD2168"/>
    <w:p w14:paraId="78D34DE0" w14:textId="77777777" w:rsidR="00D02FD5" w:rsidRDefault="00D02FD5" w:rsidP="00FD2168"/>
    <w:p w14:paraId="3B723F25" w14:textId="77777777" w:rsidR="0068533C" w:rsidRDefault="0068533C" w:rsidP="00FD2168"/>
    <w:p w14:paraId="31E0E4FE" w14:textId="77777777" w:rsidR="0068533C" w:rsidRDefault="0068533C" w:rsidP="00FD2168"/>
    <w:p w14:paraId="58F1132E" w14:textId="77777777" w:rsidR="0068533C" w:rsidRDefault="0068533C" w:rsidP="00FD2168"/>
    <w:p w14:paraId="5F746580" w14:textId="77777777" w:rsidR="0068533C" w:rsidRDefault="0068533C" w:rsidP="00FD2168"/>
    <w:p w14:paraId="77283F00" w14:textId="77777777" w:rsidR="0068533C" w:rsidRDefault="0068533C" w:rsidP="00FD2168"/>
    <w:p w14:paraId="23432FB5" w14:textId="77777777" w:rsidR="0068533C" w:rsidRDefault="0068533C" w:rsidP="00FD2168"/>
    <w:p w14:paraId="71C61E75" w14:textId="77777777" w:rsidR="00CD537F" w:rsidRDefault="00CD537F" w:rsidP="00FD2168"/>
    <w:p w14:paraId="048B5B05" w14:textId="46C0019E" w:rsidR="00FD2168" w:rsidRPr="006C26A9" w:rsidRDefault="00FD2168" w:rsidP="006C26A9">
      <w:pPr>
        <w:pStyle w:val="Heading2"/>
      </w:pPr>
      <w:bookmarkStart w:id="15" w:name="_Toc225447542"/>
      <w:r w:rsidRPr="006C26A9">
        <w:t>References</w:t>
      </w:r>
      <w:r w:rsidR="00CD537F" w:rsidRPr="006C26A9">
        <w:t>.</w:t>
      </w:r>
      <w:bookmarkEnd w:id="15"/>
    </w:p>
    <w:p w14:paraId="712F88CF" w14:textId="77777777" w:rsidR="00FD2168" w:rsidRDefault="00FD2168" w:rsidP="00FD2168">
      <w:proofErr w:type="spellStart"/>
      <w:r>
        <w:t>Armenakis</w:t>
      </w:r>
      <w:proofErr w:type="spellEnd"/>
      <w:r>
        <w:t>, A.A. and Harris, S.G. (2009) ‘Reflections: Our Journey in Organizational Change Research and Practice’, Journal of Change Management, 9(2), pp. 127–142.</w:t>
      </w:r>
    </w:p>
    <w:p w14:paraId="237A723C" w14:textId="7B210913" w:rsidR="00AD50A6" w:rsidRDefault="00AD50A6" w:rsidP="00FD2168">
      <w:r w:rsidRPr="00AD50A6">
        <w:t xml:space="preserve">Armstrong, M. and Taylor, S. (2020) Armstrong’s Handbook of Human Resource Management Practice. 15th </w:t>
      </w:r>
      <w:proofErr w:type="spellStart"/>
      <w:r w:rsidRPr="00AD50A6">
        <w:t>edn</w:t>
      </w:r>
      <w:proofErr w:type="spellEnd"/>
      <w:r w:rsidRPr="00AD50A6">
        <w:t>. London: Kogan Page.</w:t>
      </w:r>
    </w:p>
    <w:p w14:paraId="18F7CE15" w14:textId="6464C202" w:rsidR="009E1185" w:rsidRDefault="009E1185" w:rsidP="00FD2168">
      <w:r w:rsidRPr="009E1185">
        <w:t xml:space="preserve">Bloom, N., Liang, J., Roberts, J. and Ying, Z.J. (2015) ‘Does Working from </w:t>
      </w:r>
      <w:proofErr w:type="gramStart"/>
      <w:r w:rsidRPr="009E1185">
        <w:t>Home Work</w:t>
      </w:r>
      <w:proofErr w:type="gramEnd"/>
      <w:r w:rsidRPr="009E1185">
        <w:t>? Evidence from a Chinese Experiment’, Quarterly Journal of Economics, 130(1), pp. 165–218.</w:t>
      </w:r>
    </w:p>
    <w:p w14:paraId="47A05DAB" w14:textId="77777777" w:rsidR="00FD2168" w:rsidRDefault="00FD2168" w:rsidP="00FD2168">
      <w:r>
        <w:t>Brynjolfsson, E. and McAfee, A. (2014) The Second Machine Age. New York: W.W. Norton.</w:t>
      </w:r>
    </w:p>
    <w:p w14:paraId="17378F96" w14:textId="1AAC2D71" w:rsidR="003A0282" w:rsidRDefault="003A0282" w:rsidP="00FD2168">
      <w:r w:rsidRPr="003A0282">
        <w:t>CIPD (2022) Reward Management: Evidence Review. London: Chartered Institute of Personnel and Development.</w:t>
      </w:r>
    </w:p>
    <w:p w14:paraId="6E363552" w14:textId="77777777" w:rsidR="00FD2168" w:rsidRDefault="00FD2168" w:rsidP="00FD2168">
      <w:r>
        <w:t>CIPD (2023) Flexible Working Practices. London: Chartered Institute of Personnel and Development.</w:t>
      </w:r>
    </w:p>
    <w:p w14:paraId="30A88094" w14:textId="77777777" w:rsidR="00FD2168" w:rsidRDefault="00FD2168" w:rsidP="00FD2168">
      <w:r>
        <w:t>Kotter, J. (2012) Leading Change. Boston: Harvard Business Review Press.</w:t>
      </w:r>
    </w:p>
    <w:p w14:paraId="4B5975EC" w14:textId="77777777" w:rsidR="00FD2168" w:rsidRDefault="00FD2168" w:rsidP="00FD2168">
      <w:r>
        <w:t>Rousseau, D.M. (1995) Psychological Contracts in Organizations. Thousand Oaks: Sage.</w:t>
      </w:r>
    </w:p>
    <w:p w14:paraId="45D729AA" w14:textId="77777777" w:rsidR="00F9026A" w:rsidRDefault="00F9026A" w:rsidP="00FD2168"/>
    <w:p w14:paraId="6D6564F6" w14:textId="4A5B237D" w:rsidR="00F9026A" w:rsidRDefault="00F9026A" w:rsidP="006C26A9">
      <w:pPr>
        <w:pStyle w:val="Heading2"/>
      </w:pPr>
      <w:bookmarkStart w:id="16" w:name="_Toc225447543"/>
      <w:r>
        <w:t>Table References.</w:t>
      </w:r>
      <w:bookmarkEnd w:id="16"/>
    </w:p>
    <w:p w14:paraId="5E75CBC8" w14:textId="126E2892" w:rsidR="00D277A3" w:rsidRPr="00D277A3" w:rsidRDefault="00D277A3" w:rsidP="00FD2168">
      <w:pPr>
        <w:rPr>
          <w:b/>
          <w:bCs/>
        </w:rPr>
      </w:pPr>
      <w:r w:rsidRPr="00D277A3">
        <w:rPr>
          <w:b/>
          <w:bCs/>
        </w:rPr>
        <w:t>Case study</w:t>
      </w:r>
      <w:r>
        <w:rPr>
          <w:b/>
          <w:bCs/>
        </w:rPr>
        <w:t>:</w:t>
      </w:r>
      <w:r w:rsidRPr="00D277A3">
        <w:rPr>
          <w:b/>
          <w:bCs/>
        </w:rPr>
        <w:t xml:space="preserve"> </w:t>
      </w:r>
      <w:r w:rsidRPr="00D277A3">
        <w:rPr>
          <w:i/>
          <w:iCs/>
        </w:rPr>
        <w:t xml:space="preserve">MetroTech </w:t>
      </w:r>
      <w:r w:rsidR="00274574">
        <w:rPr>
          <w:i/>
          <w:iCs/>
        </w:rPr>
        <w:t xml:space="preserve">Solutions </w:t>
      </w:r>
      <w:r w:rsidRPr="00D277A3">
        <w:rPr>
          <w:i/>
          <w:iCs/>
        </w:rPr>
        <w:t xml:space="preserve">Company </w:t>
      </w:r>
      <w:r w:rsidR="00274574">
        <w:rPr>
          <w:i/>
          <w:iCs/>
        </w:rPr>
        <w:t>Transforms HR Practices</w:t>
      </w:r>
      <w:r w:rsidRPr="00D277A3">
        <w:rPr>
          <w:i/>
          <w:iCs/>
        </w:rPr>
        <w:t xml:space="preserve">, </w:t>
      </w:r>
      <w:r w:rsidRPr="00D277A3">
        <w:t>(p.3-4)</w:t>
      </w:r>
    </w:p>
    <w:p w14:paraId="61D7BC52" w14:textId="453EF44C" w:rsidR="00F9026A" w:rsidRPr="00F9026A" w:rsidRDefault="00F9026A" w:rsidP="00F9026A">
      <w:pPr>
        <w:rPr>
          <w:color w:val="000000" w:themeColor="text1"/>
        </w:rPr>
      </w:pPr>
      <w:r w:rsidRPr="00A65D95">
        <w:rPr>
          <w:color w:val="124F1A" w:themeColor="accent3" w:themeShade="BF"/>
        </w:rPr>
        <w:tab/>
      </w:r>
      <w:r w:rsidRPr="00F9026A">
        <w:rPr>
          <w:color w:val="000000" w:themeColor="text1"/>
        </w:rPr>
        <w:t xml:space="preserve">Table 1: Key </w:t>
      </w:r>
      <w:r w:rsidR="00274574">
        <w:rPr>
          <w:color w:val="000000" w:themeColor="text1"/>
        </w:rPr>
        <w:t>O</w:t>
      </w:r>
      <w:r w:rsidRPr="00F9026A">
        <w:rPr>
          <w:color w:val="000000" w:themeColor="text1"/>
        </w:rPr>
        <w:t xml:space="preserve">rganisational </w:t>
      </w:r>
      <w:r w:rsidR="00274574">
        <w:rPr>
          <w:color w:val="000000" w:themeColor="text1"/>
        </w:rPr>
        <w:t>F</w:t>
      </w:r>
      <w:r w:rsidRPr="00F9026A">
        <w:rPr>
          <w:color w:val="000000" w:themeColor="text1"/>
        </w:rPr>
        <w:t>actors</w:t>
      </w:r>
      <w:r w:rsidR="00D277A3">
        <w:rPr>
          <w:color w:val="000000" w:themeColor="text1"/>
        </w:rPr>
        <w:t xml:space="preserve"> (p.2)</w:t>
      </w:r>
    </w:p>
    <w:p w14:paraId="2C6091A6" w14:textId="7235374E" w:rsidR="00F9026A" w:rsidRPr="00F9026A" w:rsidRDefault="00F9026A" w:rsidP="00F9026A">
      <w:pPr>
        <w:rPr>
          <w:color w:val="000000" w:themeColor="text1"/>
        </w:rPr>
      </w:pPr>
      <w:r w:rsidRPr="00F9026A">
        <w:rPr>
          <w:color w:val="000000" w:themeColor="text1"/>
        </w:rPr>
        <w:tab/>
        <w:t xml:space="preserve">Table 2: Contemporary HR </w:t>
      </w:r>
      <w:r w:rsidR="00274574">
        <w:rPr>
          <w:color w:val="000000" w:themeColor="text1"/>
        </w:rPr>
        <w:t>P</w:t>
      </w:r>
      <w:r w:rsidRPr="00F9026A">
        <w:rPr>
          <w:color w:val="000000" w:themeColor="text1"/>
        </w:rPr>
        <w:t>ractices</w:t>
      </w:r>
      <w:r w:rsidR="00D277A3">
        <w:rPr>
          <w:color w:val="000000" w:themeColor="text1"/>
        </w:rPr>
        <w:t xml:space="preserve"> (p.5)</w:t>
      </w:r>
    </w:p>
    <w:p w14:paraId="0FC04A73" w14:textId="1FD84908" w:rsidR="00F9026A" w:rsidRPr="00F9026A" w:rsidRDefault="00F9026A" w:rsidP="00F9026A">
      <w:pPr>
        <w:rPr>
          <w:color w:val="000000" w:themeColor="text1"/>
        </w:rPr>
      </w:pPr>
      <w:r w:rsidRPr="00F9026A">
        <w:rPr>
          <w:color w:val="000000" w:themeColor="text1"/>
        </w:rPr>
        <w:tab/>
        <w:t xml:space="preserve">Table 3: Managerial </w:t>
      </w:r>
      <w:r w:rsidR="00274574">
        <w:rPr>
          <w:color w:val="000000" w:themeColor="text1"/>
        </w:rPr>
        <w:t>R</w:t>
      </w:r>
      <w:r w:rsidRPr="00F9026A">
        <w:rPr>
          <w:color w:val="000000" w:themeColor="text1"/>
        </w:rPr>
        <w:t xml:space="preserve">esponsibilities for </w:t>
      </w:r>
      <w:r w:rsidR="00274574">
        <w:rPr>
          <w:color w:val="000000" w:themeColor="text1"/>
        </w:rPr>
        <w:t>U</w:t>
      </w:r>
      <w:r w:rsidRPr="00F9026A">
        <w:rPr>
          <w:color w:val="000000" w:themeColor="text1"/>
        </w:rPr>
        <w:t xml:space="preserve">rgent </w:t>
      </w:r>
      <w:r w:rsidR="00274574">
        <w:rPr>
          <w:color w:val="000000" w:themeColor="text1"/>
        </w:rPr>
        <w:t>I</w:t>
      </w:r>
      <w:r w:rsidRPr="00F9026A">
        <w:rPr>
          <w:color w:val="000000" w:themeColor="text1"/>
        </w:rPr>
        <w:t>mplementation</w:t>
      </w:r>
      <w:r w:rsidR="00D277A3">
        <w:rPr>
          <w:color w:val="000000" w:themeColor="text1"/>
        </w:rPr>
        <w:t xml:space="preserve"> (p.5)</w:t>
      </w:r>
    </w:p>
    <w:p w14:paraId="5EF4D9A5" w14:textId="0CCA6109" w:rsidR="00F9026A" w:rsidRPr="00F9026A" w:rsidRDefault="00F9026A" w:rsidP="00F9026A">
      <w:pPr>
        <w:ind w:firstLine="720"/>
        <w:rPr>
          <w:color w:val="000000" w:themeColor="text1"/>
        </w:rPr>
      </w:pPr>
      <w:r w:rsidRPr="00F9026A">
        <w:rPr>
          <w:color w:val="000000" w:themeColor="text1"/>
        </w:rPr>
        <w:t>Table 4: Summary Report of Development Strategies</w:t>
      </w:r>
      <w:r w:rsidR="00D277A3">
        <w:rPr>
          <w:color w:val="000000" w:themeColor="text1"/>
        </w:rPr>
        <w:t xml:space="preserve"> (p.8)</w:t>
      </w:r>
    </w:p>
    <w:p w14:paraId="420DB580" w14:textId="77777777" w:rsidR="00FD2168" w:rsidRDefault="00FD2168" w:rsidP="00FD2168">
      <w:pPr>
        <w:rPr>
          <w:color w:val="000000" w:themeColor="text1"/>
        </w:rPr>
      </w:pPr>
    </w:p>
    <w:p w14:paraId="44CCFF92" w14:textId="077551E5" w:rsidR="006C26A9" w:rsidRPr="00C670E3" w:rsidRDefault="00AF45A7" w:rsidP="006C26A9">
      <w:pPr>
        <w:pStyle w:val="Heading2"/>
      </w:pPr>
      <w:bookmarkStart w:id="17" w:name="_Toc225447544"/>
      <w:r w:rsidRPr="00C670E3">
        <w:t>Further recommended reading</w:t>
      </w:r>
      <w:r w:rsidR="00C670E3" w:rsidRPr="00C670E3">
        <w:t>.</w:t>
      </w:r>
      <w:bookmarkEnd w:id="17"/>
    </w:p>
    <w:p w14:paraId="479DF50A" w14:textId="35B4DB91" w:rsidR="00AF45A7" w:rsidRPr="00C670E3" w:rsidRDefault="00AF45A7" w:rsidP="00C670E3">
      <w:pPr>
        <w:pStyle w:val="ListParagraph"/>
        <w:numPr>
          <w:ilvl w:val="0"/>
          <w:numId w:val="3"/>
        </w:numPr>
        <w:rPr>
          <w:color w:val="000000" w:themeColor="text1"/>
        </w:rPr>
      </w:pPr>
      <w:proofErr w:type="spellStart"/>
      <w:r w:rsidRPr="00C670E3">
        <w:rPr>
          <w:color w:val="000000" w:themeColor="text1"/>
        </w:rPr>
        <w:t>Armenakis</w:t>
      </w:r>
      <w:proofErr w:type="spellEnd"/>
      <w:r w:rsidRPr="00C670E3">
        <w:rPr>
          <w:color w:val="000000" w:themeColor="text1"/>
        </w:rPr>
        <w:t>, A.A. and Harris, S.G. (2009)</w:t>
      </w:r>
    </w:p>
    <w:p w14:paraId="11CE53E2" w14:textId="29CEF601" w:rsidR="00AF45A7" w:rsidRPr="00AF45A7" w:rsidRDefault="00AF45A7" w:rsidP="00AF45A7">
      <w:pPr>
        <w:rPr>
          <w:color w:val="000000" w:themeColor="text1"/>
        </w:rPr>
      </w:pPr>
      <w:r w:rsidRPr="00AF45A7">
        <w:rPr>
          <w:color w:val="000000" w:themeColor="text1"/>
        </w:rPr>
        <w:t>‘Reflections: Our Journey in Organizational Change Research and Practice’, Journal of Change Management, 9</w:t>
      </w:r>
      <w:r w:rsidR="006C26A9">
        <w:rPr>
          <w:color w:val="000000" w:themeColor="text1"/>
        </w:rPr>
        <w:t xml:space="preserve"> </w:t>
      </w:r>
      <w:r w:rsidRPr="00AF45A7">
        <w:rPr>
          <w:color w:val="000000" w:themeColor="text1"/>
        </w:rPr>
        <w:t>(2), pp. 127–142.</w:t>
      </w:r>
    </w:p>
    <w:p w14:paraId="517C609E" w14:textId="3FC80F93" w:rsidR="0066788B" w:rsidRPr="002B0BA4" w:rsidRDefault="00C670E3" w:rsidP="0066788B">
      <w:pPr>
        <w:rPr>
          <w:i/>
          <w:iCs/>
          <w:color w:val="000000" w:themeColor="text1"/>
        </w:rPr>
      </w:pPr>
      <w:r w:rsidRPr="00C670E3">
        <w:rPr>
          <w:i/>
          <w:iCs/>
          <w:color w:val="000000" w:themeColor="text1"/>
        </w:rPr>
        <w:t>Why essential</w:t>
      </w:r>
      <w:r w:rsidR="00AF45A7" w:rsidRPr="00AF45A7">
        <w:rPr>
          <w:i/>
          <w:iCs/>
          <w:color w:val="000000" w:themeColor="text1"/>
        </w:rPr>
        <w:t>: Offers a research</w:t>
      </w:r>
      <w:r w:rsidR="00AF45A7" w:rsidRPr="00AF45A7">
        <w:rPr>
          <w:rFonts w:ascii="Cambria Math" w:hAnsi="Cambria Math" w:cs="Cambria Math"/>
          <w:i/>
          <w:iCs/>
          <w:color w:val="000000" w:themeColor="text1"/>
        </w:rPr>
        <w:t>‑</w:t>
      </w:r>
      <w:r w:rsidR="00AF45A7" w:rsidRPr="00AF45A7">
        <w:rPr>
          <w:i/>
          <w:iCs/>
          <w:color w:val="000000" w:themeColor="text1"/>
        </w:rPr>
        <w:t>based perspective on change readiness and employee reactions to transformation. Supports analysis of resistance, uncertainty, and the psychological impact of organisational restructuring.</w:t>
      </w:r>
    </w:p>
    <w:p w14:paraId="7AA6E57E" w14:textId="2FD8C5AC" w:rsidR="0066788B" w:rsidRPr="00C670E3" w:rsidRDefault="0066788B" w:rsidP="00C670E3">
      <w:pPr>
        <w:pStyle w:val="ListParagraph"/>
        <w:numPr>
          <w:ilvl w:val="0"/>
          <w:numId w:val="3"/>
        </w:numPr>
        <w:rPr>
          <w:color w:val="000000" w:themeColor="text1"/>
        </w:rPr>
      </w:pPr>
      <w:r w:rsidRPr="00C670E3">
        <w:rPr>
          <w:color w:val="000000" w:themeColor="text1"/>
        </w:rPr>
        <w:t>Armstrong, M. and Taylor, S. (2020)</w:t>
      </w:r>
    </w:p>
    <w:p w14:paraId="6FBF00FE" w14:textId="77777777" w:rsidR="0066788B" w:rsidRPr="0066788B" w:rsidRDefault="0066788B" w:rsidP="0066788B">
      <w:pPr>
        <w:rPr>
          <w:color w:val="000000" w:themeColor="text1"/>
        </w:rPr>
      </w:pPr>
      <w:r w:rsidRPr="0066788B">
        <w:rPr>
          <w:color w:val="000000" w:themeColor="text1"/>
        </w:rPr>
        <w:t>Armstrong’s Handbook of Human Resource Management Practice. London: Kogan Page.</w:t>
      </w:r>
    </w:p>
    <w:p w14:paraId="7257928D" w14:textId="135505B1" w:rsidR="00AF45A7" w:rsidRPr="002B0BA4" w:rsidRDefault="0066788B" w:rsidP="0066788B">
      <w:pPr>
        <w:rPr>
          <w:i/>
          <w:iCs/>
          <w:color w:val="000000" w:themeColor="text1"/>
        </w:rPr>
      </w:pPr>
      <w:r w:rsidRPr="00C670E3">
        <w:rPr>
          <w:i/>
          <w:iCs/>
          <w:color w:val="000000" w:themeColor="text1"/>
        </w:rPr>
        <w:t>Why essential: Core HR text covering reward, performance, equality, and organisational change.</w:t>
      </w:r>
    </w:p>
    <w:p w14:paraId="2E15F247" w14:textId="080F3034" w:rsidR="00C21B80" w:rsidRPr="00C670E3" w:rsidRDefault="00C21B80" w:rsidP="00C670E3">
      <w:pPr>
        <w:pStyle w:val="ListParagraph"/>
        <w:numPr>
          <w:ilvl w:val="0"/>
          <w:numId w:val="3"/>
        </w:numPr>
        <w:rPr>
          <w:color w:val="000000" w:themeColor="text1"/>
        </w:rPr>
      </w:pPr>
      <w:r w:rsidRPr="00C670E3">
        <w:rPr>
          <w:color w:val="000000" w:themeColor="text1"/>
        </w:rPr>
        <w:t>Bloom, N., Liang, J., Roberts, J. and Ying, Z.J. (2015)</w:t>
      </w:r>
    </w:p>
    <w:p w14:paraId="1AFC4EFC" w14:textId="03C05032" w:rsidR="00C21B80" w:rsidRPr="00C21B80" w:rsidRDefault="00C21B80" w:rsidP="00C21B80">
      <w:pPr>
        <w:rPr>
          <w:color w:val="000000" w:themeColor="text1"/>
        </w:rPr>
      </w:pPr>
      <w:r w:rsidRPr="00C21B80">
        <w:rPr>
          <w:color w:val="000000" w:themeColor="text1"/>
        </w:rPr>
        <w:t xml:space="preserve">‘Does Working from </w:t>
      </w:r>
      <w:proofErr w:type="gramStart"/>
      <w:r w:rsidRPr="00C21B80">
        <w:rPr>
          <w:color w:val="000000" w:themeColor="text1"/>
        </w:rPr>
        <w:t>Home Work</w:t>
      </w:r>
      <w:proofErr w:type="gramEnd"/>
      <w:r w:rsidRPr="00C21B80">
        <w:rPr>
          <w:color w:val="000000" w:themeColor="text1"/>
        </w:rPr>
        <w:t>? Evidence from a Chinese Experiment’, Quarterly Journal of Economics, 130</w:t>
      </w:r>
      <w:r w:rsidR="006C26A9">
        <w:rPr>
          <w:color w:val="000000" w:themeColor="text1"/>
        </w:rPr>
        <w:t xml:space="preserve"> </w:t>
      </w:r>
      <w:r w:rsidRPr="00C21B80">
        <w:rPr>
          <w:color w:val="000000" w:themeColor="text1"/>
        </w:rPr>
        <w:t>(1), pp. 165–218.</w:t>
      </w:r>
    </w:p>
    <w:p w14:paraId="46DDCA33" w14:textId="12FD1D2D" w:rsidR="0066788B" w:rsidRPr="002B0BA4" w:rsidRDefault="00C21B80" w:rsidP="0066788B">
      <w:pPr>
        <w:rPr>
          <w:i/>
          <w:iCs/>
          <w:color w:val="000000" w:themeColor="text1"/>
        </w:rPr>
      </w:pPr>
      <w:r w:rsidRPr="00C21B80">
        <w:rPr>
          <w:i/>
          <w:iCs/>
          <w:color w:val="000000" w:themeColor="text1"/>
        </w:rPr>
        <w:t>Why essential: Landmark study on hybrid working, productivity, and visibility bias.</w:t>
      </w:r>
    </w:p>
    <w:p w14:paraId="45A2D607" w14:textId="2C273F31" w:rsidR="0066788B" w:rsidRPr="00C670E3" w:rsidRDefault="0066788B" w:rsidP="00C670E3">
      <w:pPr>
        <w:pStyle w:val="ListParagraph"/>
        <w:numPr>
          <w:ilvl w:val="0"/>
          <w:numId w:val="3"/>
        </w:numPr>
        <w:rPr>
          <w:color w:val="000000" w:themeColor="text1"/>
        </w:rPr>
      </w:pPr>
      <w:r w:rsidRPr="00C670E3">
        <w:rPr>
          <w:color w:val="000000" w:themeColor="text1"/>
        </w:rPr>
        <w:t>Brynjolfsson, E. and McAfee, A. (2014)</w:t>
      </w:r>
    </w:p>
    <w:p w14:paraId="12F999AC" w14:textId="77777777" w:rsidR="0066788B" w:rsidRPr="0066788B" w:rsidRDefault="0066788B" w:rsidP="0066788B">
      <w:pPr>
        <w:rPr>
          <w:color w:val="000000" w:themeColor="text1"/>
        </w:rPr>
      </w:pPr>
      <w:r w:rsidRPr="0066788B">
        <w:rPr>
          <w:color w:val="000000" w:themeColor="text1"/>
        </w:rPr>
        <w:t>The Second Machine Age. New York: W.W. Norton.</w:t>
      </w:r>
    </w:p>
    <w:p w14:paraId="7E07A2AF" w14:textId="5362DE75" w:rsidR="00C670E3" w:rsidRPr="002B0BA4" w:rsidRDefault="0066788B" w:rsidP="0066788B">
      <w:pPr>
        <w:rPr>
          <w:i/>
          <w:iCs/>
          <w:color w:val="000000" w:themeColor="text1"/>
        </w:rPr>
      </w:pPr>
      <w:r w:rsidRPr="006C26A9">
        <w:rPr>
          <w:i/>
          <w:iCs/>
          <w:color w:val="000000" w:themeColor="text1"/>
        </w:rPr>
        <w:t xml:space="preserve">Why essential: Leading analysis of </w:t>
      </w:r>
      <w:r w:rsidR="006C26A9">
        <w:rPr>
          <w:i/>
          <w:iCs/>
          <w:color w:val="000000" w:themeColor="text1"/>
        </w:rPr>
        <w:t>digitalization</w:t>
      </w:r>
      <w:r w:rsidRPr="006C26A9">
        <w:rPr>
          <w:i/>
          <w:iCs/>
          <w:color w:val="000000" w:themeColor="text1"/>
        </w:rPr>
        <w:t>, automation, and workforce disruption.</w:t>
      </w:r>
    </w:p>
    <w:p w14:paraId="1702F067" w14:textId="62CB5F6B" w:rsidR="0066788B" w:rsidRPr="00C670E3" w:rsidRDefault="0066788B" w:rsidP="00C670E3">
      <w:pPr>
        <w:pStyle w:val="ListParagraph"/>
        <w:numPr>
          <w:ilvl w:val="0"/>
          <w:numId w:val="3"/>
        </w:numPr>
        <w:rPr>
          <w:color w:val="000000" w:themeColor="text1"/>
        </w:rPr>
      </w:pPr>
      <w:r w:rsidRPr="00C670E3">
        <w:rPr>
          <w:color w:val="000000" w:themeColor="text1"/>
        </w:rPr>
        <w:t>CIPD (2022)</w:t>
      </w:r>
    </w:p>
    <w:p w14:paraId="66CD6EFD" w14:textId="77777777" w:rsidR="0066788B" w:rsidRPr="0066788B" w:rsidRDefault="0066788B" w:rsidP="0066788B">
      <w:pPr>
        <w:rPr>
          <w:color w:val="000000" w:themeColor="text1"/>
        </w:rPr>
      </w:pPr>
      <w:r w:rsidRPr="0066788B">
        <w:rPr>
          <w:color w:val="000000" w:themeColor="text1"/>
        </w:rPr>
        <w:t>Reward Management: Evidence Review. London: CIPD.</w:t>
      </w:r>
    </w:p>
    <w:p w14:paraId="270A9A1B" w14:textId="77777777" w:rsidR="0066788B" w:rsidRPr="006C26A9" w:rsidRDefault="0066788B" w:rsidP="0066788B">
      <w:pPr>
        <w:rPr>
          <w:i/>
          <w:iCs/>
          <w:color w:val="000000" w:themeColor="text1"/>
        </w:rPr>
      </w:pPr>
      <w:r w:rsidRPr="006C26A9">
        <w:rPr>
          <w:i/>
          <w:iCs/>
          <w:color w:val="000000" w:themeColor="text1"/>
        </w:rPr>
        <w:t>Why essential: Strong evidence base for reward fairness and equal opportunity.</w:t>
      </w:r>
    </w:p>
    <w:p w14:paraId="612B1A1F" w14:textId="65831E57" w:rsidR="00C670E3" w:rsidRPr="006C26A9" w:rsidRDefault="00C670E3" w:rsidP="00C670E3">
      <w:pPr>
        <w:pStyle w:val="ListParagraph"/>
        <w:numPr>
          <w:ilvl w:val="0"/>
          <w:numId w:val="3"/>
        </w:numPr>
        <w:rPr>
          <w:i/>
          <w:iCs/>
          <w:color w:val="000000" w:themeColor="text1"/>
        </w:rPr>
      </w:pPr>
      <w:r w:rsidRPr="006C26A9">
        <w:rPr>
          <w:i/>
          <w:iCs/>
          <w:color w:val="000000" w:themeColor="text1"/>
        </w:rPr>
        <w:t>CIPD (2023)</w:t>
      </w:r>
    </w:p>
    <w:p w14:paraId="4D9600E9" w14:textId="77777777" w:rsidR="00C670E3" w:rsidRPr="00C670E3" w:rsidRDefault="00C670E3" w:rsidP="00C670E3">
      <w:pPr>
        <w:rPr>
          <w:color w:val="000000" w:themeColor="text1"/>
        </w:rPr>
      </w:pPr>
      <w:r w:rsidRPr="00C670E3">
        <w:rPr>
          <w:color w:val="000000" w:themeColor="text1"/>
        </w:rPr>
        <w:t>Flexible Working Practices. London: CIPD.</w:t>
      </w:r>
    </w:p>
    <w:p w14:paraId="1E33471C" w14:textId="1D940A7B" w:rsidR="00C21B80" w:rsidRPr="002B0BA4" w:rsidRDefault="00C670E3" w:rsidP="0066788B">
      <w:pPr>
        <w:rPr>
          <w:i/>
          <w:iCs/>
          <w:color w:val="000000" w:themeColor="text1"/>
        </w:rPr>
      </w:pPr>
      <w:r w:rsidRPr="00C670E3">
        <w:rPr>
          <w:i/>
          <w:iCs/>
          <w:color w:val="000000" w:themeColor="text1"/>
        </w:rPr>
        <w:t>Why essential: Current UK guidance on hybrid work, fairness, and policy design.</w:t>
      </w:r>
    </w:p>
    <w:p w14:paraId="793F6462" w14:textId="248B111F" w:rsidR="00C21B80" w:rsidRPr="00C670E3" w:rsidRDefault="00C21B80" w:rsidP="00C670E3">
      <w:pPr>
        <w:pStyle w:val="ListParagraph"/>
        <w:numPr>
          <w:ilvl w:val="0"/>
          <w:numId w:val="3"/>
        </w:numPr>
        <w:rPr>
          <w:color w:val="000000" w:themeColor="text1"/>
        </w:rPr>
      </w:pPr>
      <w:r w:rsidRPr="00C670E3">
        <w:rPr>
          <w:color w:val="000000" w:themeColor="text1"/>
        </w:rPr>
        <w:t>Goleman, D. (1998)</w:t>
      </w:r>
    </w:p>
    <w:p w14:paraId="0FFB0ED2" w14:textId="6045BEFC" w:rsidR="00C21B80" w:rsidRPr="00C21B80" w:rsidRDefault="00C21B80" w:rsidP="00C21B80">
      <w:pPr>
        <w:rPr>
          <w:color w:val="000000" w:themeColor="text1"/>
        </w:rPr>
      </w:pPr>
      <w:r w:rsidRPr="00C21B80">
        <w:rPr>
          <w:color w:val="000000" w:themeColor="text1"/>
        </w:rPr>
        <w:t>‘What Makes a Leader?’, Harvard Business Review, 76</w:t>
      </w:r>
      <w:r w:rsidR="006C26A9">
        <w:rPr>
          <w:color w:val="000000" w:themeColor="text1"/>
        </w:rPr>
        <w:t xml:space="preserve"> </w:t>
      </w:r>
      <w:r w:rsidRPr="00C21B80">
        <w:rPr>
          <w:color w:val="000000" w:themeColor="text1"/>
        </w:rPr>
        <w:t>(6), pp. 93–102.</w:t>
      </w:r>
    </w:p>
    <w:p w14:paraId="074C8AD4" w14:textId="67FE3069" w:rsidR="006C26A9" w:rsidRPr="002B0BA4" w:rsidRDefault="00C21B80" w:rsidP="0066788B">
      <w:pPr>
        <w:rPr>
          <w:i/>
          <w:iCs/>
          <w:color w:val="000000" w:themeColor="text1"/>
        </w:rPr>
      </w:pPr>
      <w:r w:rsidRPr="00C21B80">
        <w:rPr>
          <w:i/>
          <w:iCs/>
          <w:color w:val="000000" w:themeColor="text1"/>
        </w:rPr>
        <w:t>Why essential: Introduces emotional intelligence as a core leadership capability.</w:t>
      </w:r>
    </w:p>
    <w:p w14:paraId="73A92D7F" w14:textId="1DAA0CF9" w:rsidR="00C21B80" w:rsidRPr="00C670E3" w:rsidRDefault="00C21B80" w:rsidP="00C670E3">
      <w:pPr>
        <w:pStyle w:val="ListParagraph"/>
        <w:numPr>
          <w:ilvl w:val="0"/>
          <w:numId w:val="3"/>
        </w:numPr>
        <w:rPr>
          <w:color w:val="000000" w:themeColor="text1"/>
        </w:rPr>
      </w:pPr>
      <w:r w:rsidRPr="00C670E3">
        <w:rPr>
          <w:color w:val="000000" w:themeColor="text1"/>
        </w:rPr>
        <w:t>Gov.uk (2023)</w:t>
      </w:r>
    </w:p>
    <w:p w14:paraId="3C436742" w14:textId="790A3DAF" w:rsidR="00C21B80" w:rsidRPr="00C21B80" w:rsidRDefault="00C21B80" w:rsidP="00C21B80">
      <w:pPr>
        <w:rPr>
          <w:color w:val="000000" w:themeColor="text1"/>
        </w:rPr>
      </w:pPr>
      <w:r w:rsidRPr="00C21B80">
        <w:rPr>
          <w:color w:val="000000" w:themeColor="text1"/>
        </w:rPr>
        <w:t>Gender Pay Gap Reporting: Overview. Available at</w:t>
      </w:r>
      <w:r w:rsidR="00C670E3">
        <w:rPr>
          <w:color w:val="000000" w:themeColor="text1"/>
        </w:rPr>
        <w:t xml:space="preserve">; </w:t>
      </w:r>
      <w:hyperlink r:id="rId13" w:history="1">
        <w:r w:rsidR="00C670E3" w:rsidRPr="00C670E3">
          <w:rPr>
            <w:rStyle w:val="Hyperlink"/>
          </w:rPr>
          <w:t>Search and compare gender pay gap data - Gender pay gap service - GOV.UK</w:t>
        </w:r>
      </w:hyperlink>
    </w:p>
    <w:p w14:paraId="00DD2E37" w14:textId="0A129F31" w:rsidR="00C21B80" w:rsidRPr="00C21B80" w:rsidRDefault="00C670E3" w:rsidP="00C21B80">
      <w:pPr>
        <w:rPr>
          <w:i/>
          <w:iCs/>
          <w:color w:val="000000" w:themeColor="text1"/>
        </w:rPr>
      </w:pPr>
      <w:r w:rsidRPr="00C670E3">
        <w:rPr>
          <w:i/>
          <w:iCs/>
          <w:color w:val="000000" w:themeColor="text1"/>
        </w:rPr>
        <w:t>Why essential</w:t>
      </w:r>
      <w:r w:rsidR="00C21B80" w:rsidRPr="00C21B80">
        <w:rPr>
          <w:i/>
          <w:iCs/>
          <w:color w:val="000000" w:themeColor="text1"/>
        </w:rPr>
        <w:t>: Outlines legal requirements for pay transparency in the UK. Supports arguments about fairness, compliance, and the importance of monitoring reward outcomes.</w:t>
      </w:r>
    </w:p>
    <w:p w14:paraId="04C43F88" w14:textId="39AD0CDB" w:rsidR="00AF45A7" w:rsidRPr="00C670E3" w:rsidRDefault="00AF45A7" w:rsidP="00C670E3">
      <w:pPr>
        <w:pStyle w:val="ListParagraph"/>
        <w:numPr>
          <w:ilvl w:val="0"/>
          <w:numId w:val="3"/>
        </w:numPr>
        <w:rPr>
          <w:color w:val="000000" w:themeColor="text1"/>
        </w:rPr>
      </w:pPr>
      <w:r w:rsidRPr="00C670E3">
        <w:rPr>
          <w:color w:val="000000" w:themeColor="text1"/>
        </w:rPr>
        <w:t>Kotter, J.P. (2012)</w:t>
      </w:r>
    </w:p>
    <w:p w14:paraId="77C5F87B" w14:textId="77777777" w:rsidR="00AF45A7" w:rsidRPr="00AF45A7" w:rsidRDefault="00AF45A7" w:rsidP="00AF45A7">
      <w:pPr>
        <w:rPr>
          <w:color w:val="000000" w:themeColor="text1"/>
        </w:rPr>
      </w:pPr>
      <w:r w:rsidRPr="00AF45A7">
        <w:rPr>
          <w:color w:val="000000" w:themeColor="text1"/>
        </w:rPr>
        <w:t>Leading Change. Boston: Harvard Business Review Press.</w:t>
      </w:r>
    </w:p>
    <w:p w14:paraId="2B6BB677" w14:textId="1DB5F17E" w:rsidR="00AF45A7" w:rsidRPr="00AF45A7" w:rsidRDefault="00AF45A7" w:rsidP="00AF45A7">
      <w:pPr>
        <w:rPr>
          <w:i/>
          <w:iCs/>
          <w:color w:val="000000" w:themeColor="text1"/>
        </w:rPr>
      </w:pPr>
      <w:r w:rsidRPr="00AF45A7">
        <w:rPr>
          <w:i/>
          <w:iCs/>
          <w:color w:val="000000" w:themeColor="text1"/>
        </w:rPr>
        <w:t>Why essential: A foundational text on change management, Kotter’s eight</w:t>
      </w:r>
      <w:r w:rsidRPr="00AF45A7">
        <w:rPr>
          <w:rFonts w:ascii="Cambria Math" w:hAnsi="Cambria Math" w:cs="Cambria Math"/>
          <w:i/>
          <w:iCs/>
          <w:color w:val="000000" w:themeColor="text1"/>
        </w:rPr>
        <w:t>‑</w:t>
      </w:r>
      <w:r w:rsidRPr="00AF45A7">
        <w:rPr>
          <w:i/>
          <w:iCs/>
          <w:color w:val="000000" w:themeColor="text1"/>
        </w:rPr>
        <w:t>step model provides a clear framework for understanding why organisational transformations succeed or fail.</w:t>
      </w:r>
    </w:p>
    <w:p w14:paraId="05140BE9" w14:textId="40C9DA4A" w:rsidR="00AF45A7" w:rsidRPr="00C670E3" w:rsidRDefault="00AF45A7" w:rsidP="00C670E3">
      <w:pPr>
        <w:pStyle w:val="ListParagraph"/>
        <w:numPr>
          <w:ilvl w:val="0"/>
          <w:numId w:val="3"/>
        </w:numPr>
        <w:rPr>
          <w:color w:val="000000" w:themeColor="text1"/>
        </w:rPr>
      </w:pPr>
      <w:proofErr w:type="spellStart"/>
      <w:r w:rsidRPr="00C670E3">
        <w:rPr>
          <w:color w:val="000000" w:themeColor="text1"/>
        </w:rPr>
        <w:t>Kuvaas</w:t>
      </w:r>
      <w:proofErr w:type="spellEnd"/>
      <w:r w:rsidRPr="00C670E3">
        <w:rPr>
          <w:color w:val="000000" w:themeColor="text1"/>
        </w:rPr>
        <w:t xml:space="preserve">, B., Buch, R., Weibel, A., </w:t>
      </w:r>
      <w:proofErr w:type="spellStart"/>
      <w:r w:rsidRPr="00C670E3">
        <w:rPr>
          <w:color w:val="000000" w:themeColor="text1"/>
        </w:rPr>
        <w:t>Dysvik</w:t>
      </w:r>
      <w:proofErr w:type="spellEnd"/>
      <w:r w:rsidRPr="00C670E3">
        <w:rPr>
          <w:color w:val="000000" w:themeColor="text1"/>
        </w:rPr>
        <w:t xml:space="preserve">, A. and </w:t>
      </w:r>
      <w:proofErr w:type="spellStart"/>
      <w:r w:rsidRPr="00C670E3">
        <w:rPr>
          <w:color w:val="000000" w:themeColor="text1"/>
        </w:rPr>
        <w:t>Nerstad</w:t>
      </w:r>
      <w:proofErr w:type="spellEnd"/>
      <w:r w:rsidRPr="00C670E3">
        <w:rPr>
          <w:color w:val="000000" w:themeColor="text1"/>
        </w:rPr>
        <w:t>, C.G.L. (2017)</w:t>
      </w:r>
    </w:p>
    <w:p w14:paraId="6D19A43C" w14:textId="69AAB8C5" w:rsidR="00AF45A7" w:rsidRPr="00AF45A7" w:rsidRDefault="00AF45A7" w:rsidP="00AF45A7">
      <w:pPr>
        <w:rPr>
          <w:color w:val="000000" w:themeColor="text1"/>
        </w:rPr>
      </w:pPr>
      <w:r w:rsidRPr="00AF45A7">
        <w:rPr>
          <w:color w:val="000000" w:themeColor="text1"/>
        </w:rPr>
        <w:t>‘Do Performance Management Practices Negatively Affect Employee Motivation?’, Human Resource Management Review, 27</w:t>
      </w:r>
      <w:r w:rsidR="00C670E3">
        <w:rPr>
          <w:color w:val="000000" w:themeColor="text1"/>
        </w:rPr>
        <w:t xml:space="preserve"> </w:t>
      </w:r>
      <w:r w:rsidRPr="00AF45A7">
        <w:rPr>
          <w:color w:val="000000" w:themeColor="text1"/>
        </w:rPr>
        <w:t>(1), pp. 76–87.</w:t>
      </w:r>
    </w:p>
    <w:p w14:paraId="22574B6F" w14:textId="5133441B" w:rsidR="00AF45A7" w:rsidRPr="002B0BA4" w:rsidRDefault="00C670E3" w:rsidP="0066788B">
      <w:pPr>
        <w:rPr>
          <w:i/>
          <w:iCs/>
          <w:color w:val="000000" w:themeColor="text1"/>
        </w:rPr>
      </w:pPr>
      <w:r w:rsidRPr="00C670E3">
        <w:rPr>
          <w:i/>
          <w:iCs/>
          <w:color w:val="000000" w:themeColor="text1"/>
        </w:rPr>
        <w:t>Why essential</w:t>
      </w:r>
      <w:r w:rsidR="00AF45A7" w:rsidRPr="00AF45A7">
        <w:rPr>
          <w:i/>
          <w:iCs/>
          <w:color w:val="000000" w:themeColor="text1"/>
        </w:rPr>
        <w:t>: Explores how poorly designed performance systems can damage motivation and fairness perceptions. Relevant to your discussion of reward management and equal opportunity.</w:t>
      </w:r>
    </w:p>
    <w:p w14:paraId="4FDF146C" w14:textId="2E45C72B" w:rsidR="0066788B" w:rsidRPr="00C670E3" w:rsidRDefault="0066788B" w:rsidP="00C670E3">
      <w:pPr>
        <w:pStyle w:val="ListParagraph"/>
        <w:numPr>
          <w:ilvl w:val="0"/>
          <w:numId w:val="3"/>
        </w:numPr>
        <w:rPr>
          <w:color w:val="000000" w:themeColor="text1"/>
        </w:rPr>
      </w:pPr>
      <w:r w:rsidRPr="00C670E3">
        <w:rPr>
          <w:color w:val="000000" w:themeColor="text1"/>
        </w:rPr>
        <w:t xml:space="preserve"> Schein, E.H. (2017)</w:t>
      </w:r>
    </w:p>
    <w:p w14:paraId="3ECDCB38" w14:textId="77581CEB" w:rsidR="0066788B" w:rsidRPr="0066788B" w:rsidRDefault="0066788B" w:rsidP="0066788B">
      <w:pPr>
        <w:rPr>
          <w:color w:val="000000" w:themeColor="text1"/>
        </w:rPr>
      </w:pPr>
      <w:r w:rsidRPr="0066788B">
        <w:rPr>
          <w:color w:val="000000" w:themeColor="text1"/>
        </w:rPr>
        <w:t xml:space="preserve">Organizational Culture and Leadership. 5th </w:t>
      </w:r>
      <w:proofErr w:type="spellStart"/>
      <w:r w:rsidRPr="0066788B">
        <w:rPr>
          <w:color w:val="000000" w:themeColor="text1"/>
        </w:rPr>
        <w:t>edn</w:t>
      </w:r>
      <w:proofErr w:type="spellEnd"/>
      <w:r w:rsidRPr="0066788B">
        <w:rPr>
          <w:color w:val="000000" w:themeColor="text1"/>
        </w:rPr>
        <w:t xml:space="preserve">. </w:t>
      </w:r>
    </w:p>
    <w:p w14:paraId="77FA0858" w14:textId="77777777" w:rsidR="0066788B" w:rsidRPr="00C670E3" w:rsidRDefault="0066788B" w:rsidP="0066788B">
      <w:pPr>
        <w:rPr>
          <w:i/>
          <w:iCs/>
          <w:color w:val="000000" w:themeColor="text1"/>
        </w:rPr>
      </w:pPr>
      <w:r w:rsidRPr="00C670E3">
        <w:rPr>
          <w:i/>
          <w:iCs/>
          <w:color w:val="000000" w:themeColor="text1"/>
        </w:rPr>
        <w:t>Why essential: Foundational text on culture, leadership behaviour, and organisational norms.</w:t>
      </w:r>
    </w:p>
    <w:p w14:paraId="5141AB8F" w14:textId="242B4DDB" w:rsidR="00AF45A7" w:rsidRPr="00C670E3" w:rsidRDefault="00AF45A7" w:rsidP="00C670E3">
      <w:pPr>
        <w:pStyle w:val="ListParagraph"/>
        <w:numPr>
          <w:ilvl w:val="0"/>
          <w:numId w:val="3"/>
        </w:numPr>
        <w:rPr>
          <w:color w:val="000000" w:themeColor="text1"/>
        </w:rPr>
      </w:pPr>
      <w:r w:rsidRPr="00C670E3">
        <w:rPr>
          <w:color w:val="000000" w:themeColor="text1"/>
        </w:rPr>
        <w:t>Teece, D.J. (2018)</w:t>
      </w:r>
    </w:p>
    <w:p w14:paraId="5F5F7A32" w14:textId="77777777" w:rsidR="00AF45A7" w:rsidRPr="00AF45A7" w:rsidRDefault="00AF45A7" w:rsidP="00AF45A7">
      <w:pPr>
        <w:rPr>
          <w:color w:val="000000" w:themeColor="text1"/>
        </w:rPr>
      </w:pPr>
      <w:r w:rsidRPr="00AF45A7">
        <w:rPr>
          <w:color w:val="000000" w:themeColor="text1"/>
        </w:rPr>
        <w:t>‘Business Models and Dynamic Capabilities’, Long Range Planning, 51(1), pp. 40–49.</w:t>
      </w:r>
    </w:p>
    <w:p w14:paraId="6CDFAF05" w14:textId="70A2A8C2" w:rsidR="00AF45A7" w:rsidRPr="00AF45A7" w:rsidRDefault="00C670E3" w:rsidP="00AF45A7">
      <w:pPr>
        <w:rPr>
          <w:i/>
          <w:iCs/>
          <w:color w:val="000000" w:themeColor="text1"/>
        </w:rPr>
      </w:pPr>
      <w:r w:rsidRPr="00C670E3">
        <w:rPr>
          <w:i/>
          <w:iCs/>
          <w:color w:val="000000" w:themeColor="text1"/>
        </w:rPr>
        <w:t>Why essential</w:t>
      </w:r>
      <w:r w:rsidR="00AF45A7" w:rsidRPr="00AF45A7">
        <w:rPr>
          <w:i/>
          <w:iCs/>
          <w:color w:val="000000" w:themeColor="text1"/>
        </w:rPr>
        <w:t>: Explores how organisations adapt strategically in fast</w:t>
      </w:r>
      <w:r w:rsidR="00AF45A7" w:rsidRPr="00AF45A7">
        <w:rPr>
          <w:rFonts w:ascii="Cambria Math" w:hAnsi="Cambria Math" w:cs="Cambria Math"/>
          <w:i/>
          <w:iCs/>
          <w:color w:val="000000" w:themeColor="text1"/>
        </w:rPr>
        <w:t>‑</w:t>
      </w:r>
      <w:r w:rsidR="00AF45A7" w:rsidRPr="00AF45A7">
        <w:rPr>
          <w:i/>
          <w:iCs/>
          <w:color w:val="000000" w:themeColor="text1"/>
        </w:rPr>
        <w:t>changing environments. Useful for linking business transformation to capability development and HR strategy.</w:t>
      </w:r>
    </w:p>
    <w:p w14:paraId="4E1F127A" w14:textId="77777777" w:rsidR="0066788B" w:rsidRPr="0066788B" w:rsidRDefault="0066788B" w:rsidP="0066788B">
      <w:pPr>
        <w:rPr>
          <w:color w:val="000000" w:themeColor="text1"/>
        </w:rPr>
      </w:pPr>
    </w:p>
    <w:p w14:paraId="2F602704" w14:textId="77777777" w:rsidR="0066788B" w:rsidRPr="0066788B" w:rsidRDefault="0066788B" w:rsidP="0066788B">
      <w:pPr>
        <w:rPr>
          <w:color w:val="000000" w:themeColor="text1"/>
        </w:rPr>
      </w:pPr>
    </w:p>
    <w:sectPr w:rsidR="0066788B" w:rsidRPr="0066788B" w:rsidSect="00EA6BAF">
      <w:type w:val="continuous"/>
      <w:pgSz w:w="11906" w:h="16838"/>
      <w:pgMar w:top="1440" w:right="1440" w:bottom="1440" w:left="1440" w:header="624" w:footer="454"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3870CC1" w14:textId="77777777" w:rsidR="00221912" w:rsidRDefault="00221912" w:rsidP="00A91F96">
      <w:pPr>
        <w:spacing w:after="0" w:line="240" w:lineRule="auto"/>
      </w:pPr>
      <w:r>
        <w:separator/>
      </w:r>
    </w:p>
  </w:endnote>
  <w:endnote w:type="continuationSeparator" w:id="0">
    <w:p w14:paraId="49ED9A66" w14:textId="77777777" w:rsidR="00221912" w:rsidRDefault="00221912" w:rsidP="00A91F9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MS Mincho">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011958792"/>
      <w:docPartObj>
        <w:docPartGallery w:val="Page Numbers (Bottom of Page)"/>
        <w:docPartUnique/>
      </w:docPartObj>
    </w:sdtPr>
    <w:sdtContent>
      <w:sdt>
        <w:sdtPr>
          <w:id w:val="-1769616900"/>
          <w:docPartObj>
            <w:docPartGallery w:val="Page Numbers (Top of Page)"/>
            <w:docPartUnique/>
          </w:docPartObj>
        </w:sdtPr>
        <w:sdtContent>
          <w:p w14:paraId="1DE0C42E" w14:textId="7E124689" w:rsidR="00A91F96" w:rsidRDefault="00A91F96">
            <w:pPr>
              <w:pStyle w:val="Footer"/>
              <w:jc w:val="right"/>
            </w:pPr>
            <w:r>
              <w:t xml:space="preserve">Page </w:t>
            </w:r>
            <w:r>
              <w:rPr>
                <w:b/>
                <w:bCs/>
              </w:rPr>
              <w:fldChar w:fldCharType="begin"/>
            </w:r>
            <w:r>
              <w:rPr>
                <w:b/>
                <w:bCs/>
              </w:rPr>
              <w:instrText>PAGE</w:instrText>
            </w:r>
            <w:r>
              <w:rPr>
                <w:b/>
                <w:bCs/>
              </w:rPr>
              <w:fldChar w:fldCharType="separate"/>
            </w:r>
            <w:r>
              <w:rPr>
                <w:b/>
                <w:bCs/>
              </w:rPr>
              <w:t>2</w:t>
            </w:r>
            <w:r>
              <w:rPr>
                <w:b/>
                <w:bCs/>
              </w:rPr>
              <w:fldChar w:fldCharType="end"/>
            </w:r>
            <w:r>
              <w:t xml:space="preserve"> of </w:t>
            </w:r>
            <w:r>
              <w:rPr>
                <w:b/>
                <w:bCs/>
              </w:rPr>
              <w:fldChar w:fldCharType="begin"/>
            </w:r>
            <w:r>
              <w:rPr>
                <w:b/>
                <w:bCs/>
              </w:rPr>
              <w:instrText>NUMPAGES</w:instrText>
            </w:r>
            <w:r>
              <w:rPr>
                <w:b/>
                <w:bCs/>
              </w:rPr>
              <w:fldChar w:fldCharType="separate"/>
            </w:r>
            <w:r>
              <w:rPr>
                <w:b/>
                <w:bCs/>
              </w:rPr>
              <w:t>2</w:t>
            </w:r>
            <w:r>
              <w:rPr>
                <w:b/>
                <w:bCs/>
              </w:rPr>
              <w:fldChar w:fldCharType="end"/>
            </w:r>
          </w:p>
        </w:sdtContent>
      </w:sdt>
    </w:sdtContent>
  </w:sdt>
  <w:p w14:paraId="0BAF1807" w14:textId="77777777" w:rsidR="00A91F96" w:rsidRDefault="00A91F9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6F3C08C" w14:textId="77777777" w:rsidR="00221912" w:rsidRDefault="00221912" w:rsidP="00A91F96">
      <w:pPr>
        <w:spacing w:after="0" w:line="240" w:lineRule="auto"/>
      </w:pPr>
      <w:r>
        <w:separator/>
      </w:r>
    </w:p>
  </w:footnote>
  <w:footnote w:type="continuationSeparator" w:id="0">
    <w:p w14:paraId="1E29837D" w14:textId="77777777" w:rsidR="00221912" w:rsidRDefault="00221912" w:rsidP="00A91F9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2B3142"/>
    <w:multiLevelType w:val="hybridMultilevel"/>
    <w:tmpl w:val="463A6EAA"/>
    <w:lvl w:ilvl="0" w:tplc="B580721E">
      <w:start w:val="1"/>
      <w:numFmt w:val="decimal"/>
      <w:lvlText w:val="%1."/>
      <w:lvlJc w:val="left"/>
      <w:pPr>
        <w:ind w:left="720" w:hanging="360"/>
      </w:pPr>
      <w:rPr>
        <w:rFonts w:hint="default"/>
        <w:sz w:val="3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5EF7E58"/>
    <w:multiLevelType w:val="hybridMultilevel"/>
    <w:tmpl w:val="89A036A4"/>
    <w:lvl w:ilvl="0" w:tplc="C5C21B24">
      <w:start w:val="1"/>
      <w:numFmt w:val="decimal"/>
      <w:lvlText w:val="%1."/>
      <w:lvlJc w:val="left"/>
      <w:pPr>
        <w:ind w:left="720" w:hanging="360"/>
      </w:pPr>
      <w:rPr>
        <w:rFonts w:hint="default"/>
        <w:b/>
        <w:sz w:val="28"/>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6B282780"/>
    <w:multiLevelType w:val="hybridMultilevel"/>
    <w:tmpl w:val="42AAD96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7BD159BA"/>
    <w:multiLevelType w:val="hybridMultilevel"/>
    <w:tmpl w:val="F96EB58C"/>
    <w:lvl w:ilvl="0" w:tplc="3258D5A0">
      <w:start w:val="1"/>
      <w:numFmt w:val="decimal"/>
      <w:lvlText w:val="%1."/>
      <w:lvlJc w:val="left"/>
      <w:pPr>
        <w:ind w:left="720" w:hanging="360"/>
      </w:pPr>
      <w:rPr>
        <w:rFonts w:hint="default"/>
        <w:b/>
        <w:sz w:val="28"/>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765618231">
    <w:abstractNumId w:val="1"/>
  </w:num>
  <w:num w:numId="2" w16cid:durableId="2130078046">
    <w:abstractNumId w:val="3"/>
  </w:num>
  <w:num w:numId="3" w16cid:durableId="1129784189">
    <w:abstractNumId w:val="2"/>
  </w:num>
  <w:num w:numId="4" w16cid:durableId="38892120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savePreviewPicture/>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D2168"/>
    <w:rsid w:val="00221912"/>
    <w:rsid w:val="00242318"/>
    <w:rsid w:val="00262A88"/>
    <w:rsid w:val="00274574"/>
    <w:rsid w:val="002B0BA4"/>
    <w:rsid w:val="002D7D8C"/>
    <w:rsid w:val="0031372E"/>
    <w:rsid w:val="00343062"/>
    <w:rsid w:val="003A0282"/>
    <w:rsid w:val="003E2264"/>
    <w:rsid w:val="00461B84"/>
    <w:rsid w:val="00475723"/>
    <w:rsid w:val="004C40D1"/>
    <w:rsid w:val="00541D59"/>
    <w:rsid w:val="005C2326"/>
    <w:rsid w:val="0062236F"/>
    <w:rsid w:val="0066788B"/>
    <w:rsid w:val="0068533C"/>
    <w:rsid w:val="006C26A9"/>
    <w:rsid w:val="008348A1"/>
    <w:rsid w:val="008A329C"/>
    <w:rsid w:val="009E1185"/>
    <w:rsid w:val="009E6A70"/>
    <w:rsid w:val="00A65D95"/>
    <w:rsid w:val="00A91F96"/>
    <w:rsid w:val="00AD50A6"/>
    <w:rsid w:val="00AF45A7"/>
    <w:rsid w:val="00B07D24"/>
    <w:rsid w:val="00B848E1"/>
    <w:rsid w:val="00BC340A"/>
    <w:rsid w:val="00C21B80"/>
    <w:rsid w:val="00C670E3"/>
    <w:rsid w:val="00CD537F"/>
    <w:rsid w:val="00CF7FB8"/>
    <w:rsid w:val="00D02FD5"/>
    <w:rsid w:val="00D03416"/>
    <w:rsid w:val="00D277A3"/>
    <w:rsid w:val="00D6370A"/>
    <w:rsid w:val="00D66A99"/>
    <w:rsid w:val="00DD226D"/>
    <w:rsid w:val="00EA6BAF"/>
    <w:rsid w:val="00F9026A"/>
    <w:rsid w:val="00FB7B66"/>
    <w:rsid w:val="00FD2168"/>
    <w:rsid w:val="00FE135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387691F"/>
  <w15:chartTrackingRefBased/>
  <w15:docId w15:val="{4D393DB5-87E2-4291-B8CC-134D85A44FB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D216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FD216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FD216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FD216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D216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D216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D216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D216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D216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D216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FD216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FD216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FD216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D216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D216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D216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D216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D2168"/>
    <w:rPr>
      <w:rFonts w:eastAsiaTheme="majorEastAsia" w:cstheme="majorBidi"/>
      <w:color w:val="272727" w:themeColor="text1" w:themeTint="D8"/>
    </w:rPr>
  </w:style>
  <w:style w:type="paragraph" w:styleId="Title">
    <w:name w:val="Title"/>
    <w:basedOn w:val="Normal"/>
    <w:next w:val="Normal"/>
    <w:link w:val="TitleChar"/>
    <w:uiPriority w:val="10"/>
    <w:qFormat/>
    <w:rsid w:val="00FD216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D216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D216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D216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D2168"/>
    <w:pPr>
      <w:spacing w:before="160"/>
      <w:jc w:val="center"/>
    </w:pPr>
    <w:rPr>
      <w:i/>
      <w:iCs/>
      <w:color w:val="404040" w:themeColor="text1" w:themeTint="BF"/>
    </w:rPr>
  </w:style>
  <w:style w:type="character" w:customStyle="1" w:styleId="QuoteChar">
    <w:name w:val="Quote Char"/>
    <w:basedOn w:val="DefaultParagraphFont"/>
    <w:link w:val="Quote"/>
    <w:uiPriority w:val="29"/>
    <w:rsid w:val="00FD2168"/>
    <w:rPr>
      <w:i/>
      <w:iCs/>
      <w:color w:val="404040" w:themeColor="text1" w:themeTint="BF"/>
    </w:rPr>
  </w:style>
  <w:style w:type="paragraph" w:styleId="ListParagraph">
    <w:name w:val="List Paragraph"/>
    <w:basedOn w:val="Normal"/>
    <w:uiPriority w:val="34"/>
    <w:qFormat/>
    <w:rsid w:val="00FD2168"/>
    <w:pPr>
      <w:ind w:left="720"/>
      <w:contextualSpacing/>
    </w:pPr>
  </w:style>
  <w:style w:type="character" w:styleId="IntenseEmphasis">
    <w:name w:val="Intense Emphasis"/>
    <w:basedOn w:val="DefaultParagraphFont"/>
    <w:uiPriority w:val="21"/>
    <w:qFormat/>
    <w:rsid w:val="00FD2168"/>
    <w:rPr>
      <w:i/>
      <w:iCs/>
      <w:color w:val="0F4761" w:themeColor="accent1" w:themeShade="BF"/>
    </w:rPr>
  </w:style>
  <w:style w:type="paragraph" w:styleId="IntenseQuote">
    <w:name w:val="Intense Quote"/>
    <w:basedOn w:val="Normal"/>
    <w:next w:val="Normal"/>
    <w:link w:val="IntenseQuoteChar"/>
    <w:uiPriority w:val="30"/>
    <w:qFormat/>
    <w:rsid w:val="00FD216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D2168"/>
    <w:rPr>
      <w:i/>
      <w:iCs/>
      <w:color w:val="0F4761" w:themeColor="accent1" w:themeShade="BF"/>
    </w:rPr>
  </w:style>
  <w:style w:type="character" w:styleId="IntenseReference">
    <w:name w:val="Intense Reference"/>
    <w:basedOn w:val="DefaultParagraphFont"/>
    <w:uiPriority w:val="32"/>
    <w:qFormat/>
    <w:rsid w:val="00FD2168"/>
    <w:rPr>
      <w:b/>
      <w:bCs/>
      <w:smallCaps/>
      <w:color w:val="0F4761" w:themeColor="accent1" w:themeShade="BF"/>
      <w:spacing w:val="5"/>
    </w:rPr>
  </w:style>
  <w:style w:type="table" w:styleId="TableGrid">
    <w:name w:val="Table Grid"/>
    <w:basedOn w:val="TableNormal"/>
    <w:uiPriority w:val="39"/>
    <w:rsid w:val="00FD216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stTable6Colourful">
    <w:name w:val="List Table 6 Colorful"/>
    <w:basedOn w:val="TableNormal"/>
    <w:uiPriority w:val="51"/>
    <w:rsid w:val="00262A88"/>
    <w:pPr>
      <w:spacing w:after="0" w:line="240" w:lineRule="auto"/>
    </w:pPr>
    <w:rPr>
      <w:color w:val="000000" w:themeColor="text1"/>
    </w:rPr>
    <w:tblPr>
      <w:tblStyleRowBandSize w:val="1"/>
      <w:tblStyleColBandSize w:val="1"/>
      <w:tblBorders>
        <w:top w:val="single" w:sz="4" w:space="0" w:color="000000" w:themeColor="text1"/>
        <w:bottom w:val="single" w:sz="4" w:space="0" w:color="000000" w:themeColor="text1"/>
      </w:tblBorders>
    </w:tblPr>
    <w:tblStylePr w:type="firstRow">
      <w:rPr>
        <w:b/>
        <w:bCs/>
      </w:rPr>
      <w:tblPr/>
      <w:tcPr>
        <w:tcBorders>
          <w:bottom w:val="single" w:sz="4" w:space="0" w:color="000000" w:themeColor="text1"/>
        </w:tcBorders>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TableGridLight">
    <w:name w:val="Grid Table Light"/>
    <w:basedOn w:val="TableNormal"/>
    <w:uiPriority w:val="40"/>
    <w:rsid w:val="00D03416"/>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PlainTable2">
    <w:name w:val="Plain Table 2"/>
    <w:basedOn w:val="TableNormal"/>
    <w:uiPriority w:val="42"/>
    <w:rsid w:val="00D03416"/>
    <w:pPr>
      <w:spacing w:after="0" w:line="240" w:lineRule="auto"/>
    </w:p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table" w:styleId="PlainTable1">
    <w:name w:val="Plain Table 1"/>
    <w:basedOn w:val="TableNormal"/>
    <w:uiPriority w:val="41"/>
    <w:rsid w:val="00A65D95"/>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5">
    <w:name w:val="Plain Table 5"/>
    <w:basedOn w:val="TableNormal"/>
    <w:uiPriority w:val="45"/>
    <w:rsid w:val="005C2326"/>
    <w:pPr>
      <w:spacing w:after="0" w:line="240" w:lineRule="auto"/>
    </w:p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paragraph" w:styleId="Header">
    <w:name w:val="header"/>
    <w:basedOn w:val="Normal"/>
    <w:link w:val="HeaderChar"/>
    <w:uiPriority w:val="99"/>
    <w:unhideWhenUsed/>
    <w:rsid w:val="00A91F96"/>
    <w:pPr>
      <w:tabs>
        <w:tab w:val="center" w:pos="4513"/>
        <w:tab w:val="right" w:pos="9026"/>
      </w:tabs>
      <w:spacing w:after="0" w:line="240" w:lineRule="auto"/>
    </w:pPr>
  </w:style>
  <w:style w:type="character" w:customStyle="1" w:styleId="HeaderChar">
    <w:name w:val="Header Char"/>
    <w:basedOn w:val="DefaultParagraphFont"/>
    <w:link w:val="Header"/>
    <w:uiPriority w:val="99"/>
    <w:rsid w:val="00A91F96"/>
  </w:style>
  <w:style w:type="paragraph" w:styleId="Footer">
    <w:name w:val="footer"/>
    <w:basedOn w:val="Normal"/>
    <w:link w:val="FooterChar"/>
    <w:uiPriority w:val="99"/>
    <w:unhideWhenUsed/>
    <w:rsid w:val="00A91F96"/>
    <w:pPr>
      <w:tabs>
        <w:tab w:val="center" w:pos="4513"/>
        <w:tab w:val="right" w:pos="9026"/>
      </w:tabs>
      <w:spacing w:after="0" w:line="240" w:lineRule="auto"/>
    </w:pPr>
  </w:style>
  <w:style w:type="character" w:customStyle="1" w:styleId="FooterChar">
    <w:name w:val="Footer Char"/>
    <w:basedOn w:val="DefaultParagraphFont"/>
    <w:link w:val="Footer"/>
    <w:uiPriority w:val="99"/>
    <w:rsid w:val="00A91F96"/>
  </w:style>
  <w:style w:type="character" w:styleId="Hyperlink">
    <w:name w:val="Hyperlink"/>
    <w:basedOn w:val="DefaultParagraphFont"/>
    <w:uiPriority w:val="99"/>
    <w:unhideWhenUsed/>
    <w:rsid w:val="00C670E3"/>
    <w:rPr>
      <w:color w:val="467886" w:themeColor="hyperlink"/>
      <w:u w:val="single"/>
    </w:rPr>
  </w:style>
  <w:style w:type="character" w:styleId="UnresolvedMention">
    <w:name w:val="Unresolved Mention"/>
    <w:basedOn w:val="DefaultParagraphFont"/>
    <w:uiPriority w:val="99"/>
    <w:semiHidden/>
    <w:unhideWhenUsed/>
    <w:rsid w:val="00C670E3"/>
    <w:rPr>
      <w:color w:val="605E5C"/>
      <w:shd w:val="clear" w:color="auto" w:fill="E1DFDD"/>
    </w:rPr>
  </w:style>
  <w:style w:type="paragraph" w:styleId="NoSpacing">
    <w:name w:val="No Spacing"/>
    <w:link w:val="NoSpacingChar"/>
    <w:uiPriority w:val="1"/>
    <w:qFormat/>
    <w:rsid w:val="008348A1"/>
    <w:pPr>
      <w:spacing w:after="0" w:line="240" w:lineRule="auto"/>
    </w:pPr>
    <w:rPr>
      <w:rFonts w:eastAsiaTheme="minorEastAsia"/>
      <w:kern w:val="0"/>
      <w:sz w:val="22"/>
      <w:szCs w:val="22"/>
      <w:lang w:eastAsia="en-GB"/>
      <w14:ligatures w14:val="none"/>
    </w:rPr>
  </w:style>
  <w:style w:type="character" w:customStyle="1" w:styleId="NoSpacingChar">
    <w:name w:val="No Spacing Char"/>
    <w:basedOn w:val="DefaultParagraphFont"/>
    <w:link w:val="NoSpacing"/>
    <w:uiPriority w:val="1"/>
    <w:rsid w:val="008348A1"/>
    <w:rPr>
      <w:rFonts w:eastAsiaTheme="minorEastAsia"/>
      <w:kern w:val="0"/>
      <w:sz w:val="22"/>
      <w:szCs w:val="22"/>
      <w:lang w:eastAsia="en-GB"/>
      <w14:ligatures w14:val="none"/>
    </w:rPr>
  </w:style>
  <w:style w:type="paragraph" w:styleId="TOCHeading">
    <w:name w:val="TOC Heading"/>
    <w:basedOn w:val="Heading1"/>
    <w:next w:val="Normal"/>
    <w:uiPriority w:val="39"/>
    <w:unhideWhenUsed/>
    <w:qFormat/>
    <w:rsid w:val="008348A1"/>
    <w:pPr>
      <w:spacing w:before="240" w:after="0" w:line="259" w:lineRule="auto"/>
      <w:outlineLvl w:val="9"/>
    </w:pPr>
    <w:rPr>
      <w:kern w:val="0"/>
      <w:sz w:val="32"/>
      <w:szCs w:val="32"/>
      <w:lang w:eastAsia="en-GB"/>
      <w14:ligatures w14:val="none"/>
    </w:rPr>
  </w:style>
  <w:style w:type="paragraph" w:styleId="TOC1">
    <w:name w:val="toc 1"/>
    <w:basedOn w:val="Normal"/>
    <w:next w:val="Normal"/>
    <w:autoRedefine/>
    <w:uiPriority w:val="39"/>
    <w:unhideWhenUsed/>
    <w:rsid w:val="008348A1"/>
    <w:pPr>
      <w:spacing w:after="100"/>
    </w:pPr>
  </w:style>
  <w:style w:type="paragraph" w:styleId="TOC2">
    <w:name w:val="toc 2"/>
    <w:basedOn w:val="Normal"/>
    <w:next w:val="Normal"/>
    <w:autoRedefine/>
    <w:uiPriority w:val="39"/>
    <w:unhideWhenUsed/>
    <w:rsid w:val="008348A1"/>
    <w:pPr>
      <w:spacing w:after="100"/>
      <w:ind w:left="240"/>
    </w:pPr>
  </w:style>
  <w:style w:type="paragraph" w:styleId="TOC3">
    <w:name w:val="toc 3"/>
    <w:basedOn w:val="Normal"/>
    <w:next w:val="Normal"/>
    <w:autoRedefine/>
    <w:uiPriority w:val="39"/>
    <w:unhideWhenUsed/>
    <w:rsid w:val="008348A1"/>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gender-pay-gap.service.gov.uk/" TargetMode="Externa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theme" Target="theme/theme1.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jp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Module code: LCLM5002
Lecturer: Dr Doreen Nyaa Amundam
Assignment Title: Component 2 Report
Word Count (approx): 2086
Submission Date: 02 April 2026</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8BBBCCF4-24CA-4F5F-BEA3-E357767F782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13</Pages>
  <Words>4098</Words>
  <Characters>24881</Characters>
  <Application>Microsoft Office Word</Application>
  <DocSecurity>0</DocSecurity>
  <Lines>1184</Lines>
  <Paragraphs>1259</Paragraphs>
  <ScaleCrop>false</ScaleCrop>
  <HeadingPairs>
    <vt:vector size="4" baseType="variant">
      <vt:variant>
        <vt:lpstr>Title</vt:lpstr>
      </vt:variant>
      <vt:variant>
        <vt:i4>1</vt:i4>
      </vt:variant>
      <vt:variant>
        <vt:lpstr>Headings</vt:lpstr>
      </vt:variant>
      <vt:variant>
        <vt:i4>34</vt:i4>
      </vt:variant>
    </vt:vector>
  </HeadingPairs>
  <TitlesOfParts>
    <vt:vector size="35" baseType="lpstr">
      <vt:lpstr/>
      <vt:lpstr/>
      <vt:lpstr/>
      <vt:lpstr/>
      <vt:lpstr/>
      <vt:lpstr/>
      <vt:lpstr/>
      <vt:lpstr/>
      <vt:lpstr/>
      <vt:lpstr/>
      <vt:lpstr/>
      <vt:lpstr/>
      <vt:lpstr/>
      <vt:lpstr/>
      <vt:lpstr/>
      <vt:lpstr/>
      <vt:lpstr>Formal Report: Managing Grievances in a Transforming Organisation.</vt:lpstr>
      <vt:lpstr>    Introduction.</vt:lpstr>
      <vt:lpstr>    Factors Related to Business Transformation, Digital Technology Trends and Flexib</vt:lpstr>
      <vt:lpstr>        1.1 Business Transformation Factors.</vt:lpstr>
      <vt:lpstr>        1.2 Digital Technology Trends.</vt:lpstr>
      <vt:lpstr>        1.3 Flexible Working Arrangements.</vt:lpstr>
      <vt:lpstr>        1.4 Interconnected Nature of the Factors.</vt:lpstr>
      <vt:lpstr>        Case Study: Transforming HR Practices at MetroTech Solutions.</vt:lpstr>
      <vt:lpstr>    2. Evaluation of Contemporary HR Practices.</vt:lpstr>
      <vt:lpstr>        2.1 HR Practices for Business Transformation.</vt:lpstr>
      <vt:lpstr>        2.2 HR Practices for Digital Technology Trends.</vt:lpstr>
      <vt:lpstr>        2.3 HR Practices for Flexible Working Arrangements.</vt:lpstr>
      <vt:lpstr>        2.4 Integrated HR Practices.</vt:lpstr>
      <vt:lpstr>    3. Critical Evaluation of Managerial Implementation. </vt:lpstr>
      <vt:lpstr>    4. Conclusion and Recommendations.</vt:lpstr>
      <vt:lpstr>        Recommendations</vt:lpstr>
      <vt:lpstr>    References.</vt:lpstr>
      <vt:lpstr>    Table References.</vt:lpstr>
      <vt:lpstr>    Further recommended reading.</vt:lpstr>
    </vt:vector>
  </TitlesOfParts>
  <Company/>
  <LinksUpToDate>false</LinksUpToDate>
  <CharactersWithSpaces>27720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REport: Managing grievances in a transforming organisation</dc:title>
  <dc:subject>Module: Developing and Managing Individuals and Teams</dc:subject>
  <dc:creator>Mumtaz Aziz (2324051)</dc:creator>
  <cp:keywords/>
  <dc:description/>
  <cp:lastModifiedBy>Mumtaz Aziz (2324051)</cp:lastModifiedBy>
  <cp:revision>5</cp:revision>
  <cp:lastPrinted>2026-03-25T13:27:00Z</cp:lastPrinted>
  <dcterms:created xsi:type="dcterms:W3CDTF">2026-03-26T20:14:00Z</dcterms:created>
  <dcterms:modified xsi:type="dcterms:W3CDTF">2026-03-26T20:15:00Z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499b982f-3999-4d1c-adb3-d97ff0f51c2b</vt:lpwstr>
  </property>
</Properties>
</file>