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4143E8" w14:textId="7FC97273" w:rsidR="4AFA2B9D" w:rsidRPr="00406300" w:rsidRDefault="4AFA2B9D" w:rsidP="7ED21341">
      <w:pPr>
        <w:rPr>
          <w:rFonts w:ascii="Calibri" w:eastAsia="Aptos" w:hAnsi="Calibri" w:cs="Calibri"/>
        </w:rPr>
      </w:pPr>
      <w:r w:rsidRPr="00406300">
        <w:rPr>
          <w:rFonts w:ascii="Calibri" w:hAnsi="Calibri" w:cs="Calibri"/>
        </w:rPr>
        <w:t xml:space="preserve">Script </w:t>
      </w:r>
      <w:r w:rsidR="7F1B06DF" w:rsidRPr="00406300">
        <w:rPr>
          <w:rFonts w:ascii="Calibri" w:eastAsia="Aptos" w:hAnsi="Calibri" w:cs="Calibri"/>
        </w:rPr>
        <w:t>word</w:t>
      </w:r>
      <w:r w:rsidR="276E8158" w:rsidRPr="00406300">
        <w:rPr>
          <w:rFonts w:ascii="Calibri" w:hAnsi="Calibri" w:cs="Calibri"/>
        </w:rPr>
        <w:t xml:space="preserve"> count – </w:t>
      </w:r>
      <w:r w:rsidR="276E8158" w:rsidRPr="00406300">
        <w:rPr>
          <w:rFonts w:ascii="Calibri" w:eastAsia="Aptos" w:hAnsi="Calibri" w:cs="Calibri"/>
        </w:rPr>
        <w:t>1,</w:t>
      </w:r>
      <w:r w:rsidR="344BBAB0" w:rsidRPr="00406300">
        <w:rPr>
          <w:rFonts w:ascii="Calibri" w:eastAsia="Aptos" w:hAnsi="Calibri" w:cs="Calibri"/>
        </w:rPr>
        <w:t>2</w:t>
      </w:r>
      <w:r w:rsidR="006F6882" w:rsidRPr="00406300">
        <w:rPr>
          <w:rFonts w:ascii="Calibri" w:eastAsia="Aptos" w:hAnsi="Calibri" w:cs="Calibri"/>
        </w:rPr>
        <w:t>64</w:t>
      </w:r>
    </w:p>
    <w:p w14:paraId="216C2011" w14:textId="1376EB00" w:rsidR="3681A1C4" w:rsidRPr="00406300" w:rsidRDefault="3681A1C4" w:rsidP="7ED21341">
      <w:pPr>
        <w:rPr>
          <w:rFonts w:ascii="Calibri" w:hAnsi="Calibri" w:cs="Calibri"/>
        </w:rPr>
      </w:pPr>
      <w:r w:rsidRPr="00406300">
        <w:rPr>
          <w:rFonts w:ascii="Calibri" w:eastAsia="Aptos" w:hAnsi="Calibri" w:cs="Calibri"/>
        </w:rPr>
        <w:t xml:space="preserve">Poster </w:t>
      </w:r>
      <w:r w:rsidR="11F0B89C" w:rsidRPr="00406300">
        <w:rPr>
          <w:rFonts w:ascii="Calibri" w:eastAsia="Aptos" w:hAnsi="Calibri" w:cs="Calibri"/>
        </w:rPr>
        <w:t>w</w:t>
      </w:r>
      <w:r w:rsidRPr="00406300">
        <w:rPr>
          <w:rFonts w:ascii="Calibri" w:eastAsia="Aptos" w:hAnsi="Calibri" w:cs="Calibri"/>
        </w:rPr>
        <w:t xml:space="preserve">ord </w:t>
      </w:r>
      <w:r w:rsidR="592E2FAF" w:rsidRPr="00406300">
        <w:rPr>
          <w:rFonts w:ascii="Calibri" w:eastAsia="Aptos" w:hAnsi="Calibri" w:cs="Calibri"/>
        </w:rPr>
        <w:t>c</w:t>
      </w:r>
      <w:r w:rsidRPr="00406300">
        <w:rPr>
          <w:rFonts w:ascii="Calibri" w:eastAsia="Aptos" w:hAnsi="Calibri" w:cs="Calibri"/>
        </w:rPr>
        <w:t>ount – 963.</w:t>
      </w:r>
    </w:p>
    <w:p w14:paraId="338DFECC" w14:textId="4A0CD21B" w:rsidR="72FE171B" w:rsidRPr="00406300" w:rsidRDefault="72FE171B" w:rsidP="7ED21341">
      <w:pPr>
        <w:spacing w:before="240" w:after="240"/>
        <w:rPr>
          <w:rFonts w:ascii="Calibri" w:eastAsia="Aptos" w:hAnsi="Calibri" w:cs="Calibri"/>
          <w:b/>
          <w:bCs/>
          <w:u w:val="single"/>
        </w:rPr>
      </w:pPr>
      <w:r w:rsidRPr="00406300">
        <w:rPr>
          <w:rFonts w:ascii="Calibri" w:eastAsia="Aptos" w:hAnsi="Calibri" w:cs="Calibri"/>
          <w:b/>
          <w:bCs/>
          <w:u w:val="single"/>
        </w:rPr>
        <w:t>Script</w:t>
      </w:r>
      <w:r w:rsidR="6B8F61E2" w:rsidRPr="00406300">
        <w:rPr>
          <w:rFonts w:ascii="Calibri" w:eastAsia="Aptos" w:hAnsi="Calibri" w:cs="Calibri"/>
          <w:b/>
          <w:bCs/>
          <w:u w:val="single"/>
        </w:rPr>
        <w:t xml:space="preserve"> </w:t>
      </w:r>
    </w:p>
    <w:p w14:paraId="0DA803C2" w14:textId="3E7D12F7" w:rsidR="72FE171B" w:rsidRPr="00406300" w:rsidRDefault="72FE171B" w:rsidP="7ED21341">
      <w:pPr>
        <w:spacing w:before="240" w:after="240"/>
        <w:rPr>
          <w:rFonts w:ascii="Calibri" w:eastAsia="Calibri Light" w:hAnsi="Calibri" w:cs="Calibri"/>
          <w:b/>
          <w:bCs/>
          <w:u w:val="single"/>
        </w:rPr>
      </w:pPr>
      <w:r w:rsidRPr="00406300">
        <w:rPr>
          <w:rFonts w:ascii="Calibri" w:eastAsia="Calibri Light" w:hAnsi="Calibri" w:cs="Calibri"/>
          <w:b/>
          <w:bCs/>
          <w:u w:val="single"/>
        </w:rPr>
        <w:t>Introduction</w:t>
      </w:r>
    </w:p>
    <w:p w14:paraId="04F7C2A2" w14:textId="58BD64FB" w:rsidR="72FE171B" w:rsidRPr="00406300" w:rsidRDefault="72FE171B" w:rsidP="7ED21341">
      <w:pPr>
        <w:spacing w:before="240" w:after="240"/>
        <w:rPr>
          <w:rFonts w:ascii="Calibri" w:eastAsia="Calibri Light" w:hAnsi="Calibri" w:cs="Calibri"/>
        </w:rPr>
      </w:pPr>
      <w:r w:rsidRPr="00406300">
        <w:rPr>
          <w:rFonts w:ascii="Calibri" w:eastAsia="Calibri Light" w:hAnsi="Calibri" w:cs="Calibri"/>
        </w:rPr>
        <w:t xml:space="preserve">Thank you. My name is Kelsey, and this poster focuses on attention-deficit/hyperactivity disorder, referred to as ADHD, and </w:t>
      </w:r>
      <w:r w:rsidR="006F6882" w:rsidRPr="00406300">
        <w:rPr>
          <w:rFonts w:ascii="Calibri" w:eastAsia="Calibri Light" w:hAnsi="Calibri" w:cs="Calibri"/>
        </w:rPr>
        <w:t xml:space="preserve">the </w:t>
      </w:r>
      <w:r w:rsidRPr="00406300">
        <w:rPr>
          <w:rFonts w:ascii="Calibri" w:eastAsia="Calibri Light" w:hAnsi="Calibri" w:cs="Calibri"/>
        </w:rPr>
        <w:t xml:space="preserve">impact </w:t>
      </w:r>
      <w:r w:rsidR="006F6882" w:rsidRPr="00406300">
        <w:rPr>
          <w:rFonts w:ascii="Calibri" w:eastAsia="Calibri Light" w:hAnsi="Calibri" w:cs="Calibri"/>
        </w:rPr>
        <w:t xml:space="preserve">it has </w:t>
      </w:r>
      <w:r w:rsidRPr="00406300">
        <w:rPr>
          <w:rFonts w:ascii="Calibri" w:eastAsia="Calibri Light" w:hAnsi="Calibri" w:cs="Calibri"/>
        </w:rPr>
        <w:t>on children within educational and early years settings.</w:t>
      </w:r>
    </w:p>
    <w:p w14:paraId="2909648E" w14:textId="6D80FEE7" w:rsidR="26DABBAD" w:rsidRPr="00406300" w:rsidRDefault="26DABBAD" w:rsidP="7ED21341">
      <w:pPr>
        <w:spacing w:before="240" w:after="240"/>
        <w:rPr>
          <w:rFonts w:ascii="Calibri" w:hAnsi="Calibri" w:cs="Calibri"/>
        </w:rPr>
      </w:pPr>
      <w:r w:rsidRPr="00406300">
        <w:rPr>
          <w:rFonts w:ascii="Calibri" w:eastAsia="Calibri Light" w:hAnsi="Calibri" w:cs="Calibri"/>
        </w:rPr>
        <w:t>Attention Deficit Hyperactivity Disorder is a neurodevelopmental condition that affects an individual’s ability to regulate attention, impulse control, emotional responses, and behaviour. It is most often identified in childhood</w:t>
      </w:r>
      <w:r w:rsidR="006F6882" w:rsidRPr="00406300">
        <w:rPr>
          <w:rFonts w:ascii="Calibri" w:eastAsia="Calibri Light" w:hAnsi="Calibri" w:cs="Calibri"/>
        </w:rPr>
        <w:t>. H</w:t>
      </w:r>
      <w:r w:rsidRPr="00406300">
        <w:rPr>
          <w:rFonts w:ascii="Calibri" w:eastAsia="Calibri Light" w:hAnsi="Calibri" w:cs="Calibri"/>
        </w:rPr>
        <w:t>owever, research shows that many individuals continue to experience ADHD</w:t>
      </w:r>
      <w:r w:rsidR="006F6882" w:rsidRPr="00406300">
        <w:rPr>
          <w:rFonts w:ascii="Calibri" w:eastAsia="Calibri Light" w:hAnsi="Calibri" w:cs="Calibri"/>
        </w:rPr>
        <w:t xml:space="preserve"> r</w:t>
      </w:r>
      <w:r w:rsidRPr="00406300">
        <w:rPr>
          <w:rFonts w:ascii="Calibri" w:eastAsia="Calibri Light" w:hAnsi="Calibri" w:cs="Calibri"/>
        </w:rPr>
        <w:t xml:space="preserve">elated challenges into adolescence and adulthood. These ongoing difficulties can affect academic achievement, social relationships, and emotional </w:t>
      </w:r>
      <w:r w:rsidR="73A78874" w:rsidRPr="00406300">
        <w:rPr>
          <w:rFonts w:ascii="Calibri" w:eastAsia="Calibri Light" w:hAnsi="Calibri" w:cs="Calibri"/>
        </w:rPr>
        <w:t>well-being</w:t>
      </w:r>
      <w:r w:rsidRPr="00406300">
        <w:rPr>
          <w:rFonts w:ascii="Calibri" w:eastAsia="Calibri Light" w:hAnsi="Calibri" w:cs="Calibri"/>
        </w:rPr>
        <w:t xml:space="preserve"> (Hudson, 2023).</w:t>
      </w:r>
    </w:p>
    <w:p w14:paraId="4522A4BD" w14:textId="430CE11E" w:rsidR="26DABBAD" w:rsidRPr="00406300" w:rsidRDefault="26DABBAD" w:rsidP="7ED21341">
      <w:pPr>
        <w:spacing w:before="240" w:after="240"/>
        <w:rPr>
          <w:rFonts w:ascii="Calibri" w:hAnsi="Calibri" w:cs="Calibri"/>
        </w:rPr>
      </w:pPr>
      <w:r w:rsidRPr="00406300">
        <w:rPr>
          <w:rFonts w:ascii="Calibri" w:eastAsia="Calibri Light" w:hAnsi="Calibri" w:cs="Calibri"/>
        </w:rPr>
        <w:t xml:space="preserve">ADHD is estimated to affect approximately 5% of children worldwide, making it one of the most frequently diagnosed childhood neurodevelopmental disorders (Sayal et al., 2018). Despite increased awareness, the identification and diagnosis of ADHD can be complex. Assessment relies on behavioural observations, developmental history, and professional </w:t>
      </w:r>
      <w:r w:rsidR="23B8FDB0" w:rsidRPr="00406300">
        <w:rPr>
          <w:rFonts w:ascii="Calibri" w:eastAsia="Calibri Light" w:hAnsi="Calibri" w:cs="Calibri"/>
        </w:rPr>
        <w:t>judgement,</w:t>
      </w:r>
      <w:r w:rsidRPr="00406300">
        <w:rPr>
          <w:rFonts w:ascii="Calibri" w:eastAsia="Calibri Light" w:hAnsi="Calibri" w:cs="Calibri"/>
        </w:rPr>
        <w:t xml:space="preserve"> which can lead to inconsistencies and debate</w:t>
      </w:r>
      <w:r w:rsidR="006F6882" w:rsidRPr="00406300">
        <w:rPr>
          <w:rFonts w:ascii="Calibri" w:eastAsia="Calibri Light" w:hAnsi="Calibri" w:cs="Calibri"/>
        </w:rPr>
        <w:t xml:space="preserve"> (Harold Robert Myer, 2025).</w:t>
      </w:r>
    </w:p>
    <w:p w14:paraId="7026019B" w14:textId="1B16F30B" w:rsidR="26DABBAD" w:rsidRPr="00406300" w:rsidRDefault="26DABBAD" w:rsidP="7ED21341">
      <w:pPr>
        <w:spacing w:before="240" w:after="240"/>
        <w:rPr>
          <w:rFonts w:ascii="Calibri" w:hAnsi="Calibri" w:cs="Calibri"/>
        </w:rPr>
      </w:pPr>
      <w:r w:rsidRPr="00406300">
        <w:rPr>
          <w:rFonts w:ascii="Calibri" w:eastAsia="Calibri Light" w:hAnsi="Calibri" w:cs="Calibri"/>
        </w:rPr>
        <w:t>This is further increased due to symptom overlap with other conditions such as autism spectrum disorder, anxiety, and trauma-related behaviours (Matthews, 2025).</w:t>
      </w:r>
    </w:p>
    <w:p w14:paraId="05F74853" w14:textId="4204B93B" w:rsidR="0F9AFF62" w:rsidRPr="00406300" w:rsidRDefault="0F9AFF62" w:rsidP="7ED21341">
      <w:pPr>
        <w:spacing w:before="240" w:after="240"/>
        <w:rPr>
          <w:rFonts w:ascii="Calibri" w:hAnsi="Calibri" w:cs="Calibri"/>
        </w:rPr>
      </w:pPr>
      <w:r w:rsidRPr="00406300">
        <w:rPr>
          <w:rFonts w:ascii="Calibri" w:eastAsia="Calibri Light" w:hAnsi="Calibri" w:cs="Calibri"/>
        </w:rPr>
        <w:t>Within educational settings, children with ADHD may face significant barriers due to high expectations around sustained concentration, behavioural regulation, and conformity to structured routines</w:t>
      </w:r>
      <w:r w:rsidR="006F6882" w:rsidRPr="00406300">
        <w:rPr>
          <w:rFonts w:ascii="Calibri" w:eastAsia="Calibri Light" w:hAnsi="Calibri" w:cs="Calibri"/>
        </w:rPr>
        <w:t xml:space="preserve"> (BMJ Journals, 2025)</w:t>
      </w:r>
      <w:r w:rsidRPr="00406300">
        <w:rPr>
          <w:rFonts w:ascii="Calibri" w:eastAsia="Calibri Light" w:hAnsi="Calibri" w:cs="Calibri"/>
        </w:rPr>
        <w:t xml:space="preserve">. When these needs are not appropriately recognised or supported, children are at greater risk of academic underachievement, negative </w:t>
      </w:r>
      <w:r w:rsidR="517EA2FB" w:rsidRPr="00406300">
        <w:rPr>
          <w:rFonts w:ascii="Calibri" w:eastAsia="Calibri Light" w:hAnsi="Calibri" w:cs="Calibri"/>
        </w:rPr>
        <w:t>labelling,</w:t>
      </w:r>
      <w:r w:rsidRPr="00406300">
        <w:rPr>
          <w:rFonts w:ascii="Calibri" w:eastAsia="Calibri Light" w:hAnsi="Calibri" w:cs="Calibri"/>
        </w:rPr>
        <w:t xml:space="preserve"> and exclusion from learning opportunities. These challenges highlight the importance of understanding ADHD not only as an individual difficulty but also within a wider social, educational, and environmental context (Bronfenbrenner, 1979).</w:t>
      </w:r>
    </w:p>
    <w:p w14:paraId="3CEEEB78" w14:textId="2FAECB62" w:rsidR="0F9AFF62" w:rsidRPr="00406300" w:rsidRDefault="0F9AFF62" w:rsidP="7ED21341">
      <w:pPr>
        <w:spacing w:before="240" w:after="240"/>
        <w:rPr>
          <w:rFonts w:ascii="Calibri" w:hAnsi="Calibri" w:cs="Calibri"/>
        </w:rPr>
      </w:pPr>
      <w:r w:rsidRPr="00406300">
        <w:rPr>
          <w:rFonts w:ascii="Calibri" w:eastAsia="Calibri Light" w:hAnsi="Calibri" w:cs="Calibri"/>
        </w:rPr>
        <w:lastRenderedPageBreak/>
        <w:t>This poster will critically evaluate how ADHD is identified and diagnosed, explore the key barriers experienced by children with ADHD, particularly within school and Early Years environments, and outline a</w:t>
      </w:r>
      <w:r w:rsidR="006F6882" w:rsidRPr="00406300">
        <w:rPr>
          <w:rFonts w:ascii="Calibri" w:eastAsia="Calibri Light" w:hAnsi="Calibri" w:cs="Calibri"/>
        </w:rPr>
        <w:t xml:space="preserve"> </w:t>
      </w:r>
      <w:r w:rsidRPr="00406300">
        <w:rPr>
          <w:rFonts w:ascii="Calibri" w:eastAsia="Calibri Light" w:hAnsi="Calibri" w:cs="Calibri"/>
        </w:rPr>
        <w:t>strategy to reduce these barriers, promote inclusion, and support positive educational and developmental outcomes in line with inclusive practice and SEND guidance.</w:t>
      </w:r>
    </w:p>
    <w:p w14:paraId="4728C81F" w14:textId="53A2049F" w:rsidR="0F9AFF62" w:rsidRPr="00406300" w:rsidRDefault="0F9AFF62" w:rsidP="7ED21341">
      <w:pPr>
        <w:spacing w:before="240" w:after="240"/>
        <w:rPr>
          <w:rFonts w:ascii="Calibri" w:hAnsi="Calibri" w:cs="Calibri"/>
        </w:rPr>
      </w:pPr>
      <w:r w:rsidRPr="00406300">
        <w:rPr>
          <w:rFonts w:ascii="Calibri" w:eastAsia="Calibri Light" w:hAnsi="Calibri" w:cs="Calibri"/>
          <w:b/>
          <w:bCs/>
          <w:u w:val="single"/>
        </w:rPr>
        <w:t>Critical Evaluation – Identification and Diagnosis of ADHD</w:t>
      </w:r>
    </w:p>
    <w:p w14:paraId="236A05F6" w14:textId="24D15A8F" w:rsidR="0F9AFF62" w:rsidRPr="00406300" w:rsidRDefault="0F9AFF62" w:rsidP="7ED21341">
      <w:pPr>
        <w:spacing w:before="240" w:after="240"/>
        <w:rPr>
          <w:rFonts w:ascii="Calibri" w:hAnsi="Calibri" w:cs="Calibri"/>
        </w:rPr>
      </w:pPr>
      <w:r w:rsidRPr="00406300">
        <w:rPr>
          <w:rFonts w:ascii="Calibri" w:eastAsia="Calibri Light" w:hAnsi="Calibri" w:cs="Calibri"/>
        </w:rPr>
        <w:t>ADHD is identified using a multi-method and multi-informant approach. This ensures that symptoms are persistent, pervasive, and significantly impairing across daily functioning (Guy Evans, 2024).</w:t>
      </w:r>
    </w:p>
    <w:p w14:paraId="7014DDC0" w14:textId="5F359A73" w:rsidR="0F9AFF62" w:rsidRPr="00406300" w:rsidRDefault="0F9AFF62" w:rsidP="7ED21341">
      <w:pPr>
        <w:spacing w:before="240" w:after="240"/>
        <w:rPr>
          <w:rFonts w:ascii="Calibri" w:hAnsi="Calibri" w:cs="Calibri"/>
        </w:rPr>
      </w:pPr>
      <w:r w:rsidRPr="00406300">
        <w:rPr>
          <w:rFonts w:ascii="Calibri" w:eastAsia="Calibri Light" w:hAnsi="Calibri" w:cs="Calibri"/>
        </w:rPr>
        <w:t xml:space="preserve">According to the American Psychiatric Association (2022), ADHD is classified into three main presentations. The predominantly inattentive presentation is characterised by difficulties sustaining attention, poor organisation, forgetfulness, and distractibility. The predominantly hyperactive-impulsive presentation involves excessive movement, impulsive actions, difficulty waiting, and interrupting others. The combined presentation includes symptoms of both inattention and hyperactivity-impulsivity and is the most diagnosed </w:t>
      </w:r>
      <w:r w:rsidR="4F12B2D8" w:rsidRPr="00406300">
        <w:rPr>
          <w:rFonts w:ascii="Calibri" w:eastAsia="Calibri Light" w:hAnsi="Calibri" w:cs="Calibri"/>
        </w:rPr>
        <w:t>(Dr.</w:t>
      </w:r>
      <w:r w:rsidR="3529EF24" w:rsidRPr="00406300">
        <w:rPr>
          <w:rFonts w:ascii="Calibri" w:eastAsia="Segoe UI" w:hAnsi="Calibri" w:cs="Calibri"/>
          <w:color w:val="181D27"/>
        </w:rPr>
        <w:t xml:space="preserve"> Rebecca Fernandez, MBBS, 2025).</w:t>
      </w:r>
    </w:p>
    <w:p w14:paraId="4DC98AEF" w14:textId="7F616851" w:rsidR="3529EF24" w:rsidRPr="00406300" w:rsidRDefault="3529EF24" w:rsidP="7ED21341">
      <w:pPr>
        <w:spacing w:before="240" w:after="240"/>
        <w:rPr>
          <w:rFonts w:ascii="Calibri" w:hAnsi="Calibri" w:cs="Calibri"/>
        </w:rPr>
      </w:pPr>
      <w:r w:rsidRPr="00406300">
        <w:rPr>
          <w:rFonts w:ascii="Calibri" w:eastAsia="Segoe UI" w:hAnsi="Calibri" w:cs="Calibri"/>
        </w:rPr>
        <w:t>Diagnosis typically involves behavioural rating scales, such as the Conners Rating Scale or the Strengths and Difficulties Questionnaire, completed by parents and teachers. Clinical interviews and developmental histories are also essential, as they provide detailed information regarding early development, symptom onset, and family history (Young, n.d.).</w:t>
      </w:r>
    </w:p>
    <w:p w14:paraId="1ABECB7C" w14:textId="11FCBED4" w:rsidR="3529EF24" w:rsidRPr="00406300" w:rsidRDefault="3529EF24" w:rsidP="7ED21341">
      <w:pPr>
        <w:spacing w:before="240" w:after="240"/>
        <w:rPr>
          <w:rFonts w:ascii="Calibri" w:hAnsi="Calibri" w:cs="Calibri"/>
        </w:rPr>
      </w:pPr>
      <w:r w:rsidRPr="00406300">
        <w:rPr>
          <w:rFonts w:ascii="Calibri" w:eastAsia="Segoe UI" w:hAnsi="Calibri" w:cs="Calibri"/>
        </w:rPr>
        <w:t>Importantly, symptoms must be evident across two or more settings, such as home and school, and there must be clear evidence of functional impairment in academic, social, or emotional functioning (Winslow, 2025).</w:t>
      </w:r>
    </w:p>
    <w:p w14:paraId="621BFF0A" w14:textId="412100F5" w:rsidR="3529EF24" w:rsidRPr="00406300" w:rsidRDefault="3529EF24" w:rsidP="7ED21341">
      <w:pPr>
        <w:spacing w:before="240" w:after="240"/>
        <w:rPr>
          <w:rFonts w:ascii="Calibri" w:hAnsi="Calibri" w:cs="Calibri"/>
        </w:rPr>
      </w:pPr>
      <w:r w:rsidRPr="00406300">
        <w:rPr>
          <w:rFonts w:ascii="Calibri" w:eastAsia="Segoe UI" w:hAnsi="Calibri" w:cs="Calibri"/>
          <w:b/>
          <w:bCs/>
          <w:u w:val="single"/>
        </w:rPr>
        <w:t>How long does diagnosis take?</w:t>
      </w:r>
    </w:p>
    <w:p w14:paraId="523BD148" w14:textId="2B13C573" w:rsidR="3529EF24" w:rsidRPr="00406300" w:rsidRDefault="3529EF24" w:rsidP="7ED21341">
      <w:pPr>
        <w:spacing w:before="240" w:after="240"/>
        <w:rPr>
          <w:rFonts w:ascii="Calibri" w:hAnsi="Calibri" w:cs="Calibri"/>
        </w:rPr>
      </w:pPr>
      <w:r w:rsidRPr="00406300">
        <w:rPr>
          <w:rFonts w:ascii="Calibri" w:eastAsia="Segoe UI" w:hAnsi="Calibri" w:cs="Calibri"/>
        </w:rPr>
        <w:t>The assessment process itself usually takes several hours and is often spread across one to three appointments. However, waiting times before assessment vary significantly depending on service provision and location (THINK ADHD, n.d.).</w:t>
      </w:r>
    </w:p>
    <w:p w14:paraId="074336BD" w14:textId="2D7E13CA" w:rsidR="3529EF24" w:rsidRPr="00406300" w:rsidRDefault="3529EF24" w:rsidP="7ED21341">
      <w:pPr>
        <w:spacing w:before="240" w:after="240"/>
        <w:rPr>
          <w:rFonts w:ascii="Calibri" w:hAnsi="Calibri" w:cs="Calibri"/>
        </w:rPr>
      </w:pPr>
      <w:r w:rsidRPr="00406300">
        <w:rPr>
          <w:rFonts w:ascii="Calibri" w:eastAsia="Segoe UI" w:hAnsi="Calibri" w:cs="Calibri"/>
        </w:rPr>
        <w:lastRenderedPageBreak/>
        <w:t>In the UK, waiting times within NHS services can range from 18 to 26 weeks, and in some areas considerably longer. In contrast, private providers such as Psychiatry-UK, Clinical Partners, and ADHD360 may offer faster assessments, including through NHS Right to Choose pathways (Get Clarity ADHD, 2025).</w:t>
      </w:r>
    </w:p>
    <w:p w14:paraId="0EF035D2" w14:textId="0A55B114" w:rsidR="3529EF24" w:rsidRPr="00406300" w:rsidRDefault="3529EF24" w:rsidP="7ED21341">
      <w:pPr>
        <w:spacing w:before="240" w:after="240"/>
        <w:rPr>
          <w:rFonts w:ascii="Calibri" w:hAnsi="Calibri" w:cs="Calibri"/>
        </w:rPr>
      </w:pPr>
      <w:r w:rsidRPr="00406300">
        <w:rPr>
          <w:rFonts w:ascii="Calibri" w:eastAsia="Segoe UI" w:hAnsi="Calibri" w:cs="Calibri"/>
        </w:rPr>
        <w:t>Delays in diagnosis can result in unmet needs, increased stress for families, and prolonged difficulties for children who are not receiving appropriate support, particularly within educational settings (Healthwatch, n.d.).</w:t>
      </w:r>
    </w:p>
    <w:p w14:paraId="66F449AF" w14:textId="0A0A47B5" w:rsidR="3529EF24" w:rsidRPr="00406300" w:rsidRDefault="3529EF24" w:rsidP="7ED21341">
      <w:pPr>
        <w:spacing w:before="240" w:after="240"/>
        <w:rPr>
          <w:rFonts w:ascii="Calibri" w:hAnsi="Calibri" w:cs="Calibri"/>
        </w:rPr>
      </w:pPr>
      <w:r w:rsidRPr="00406300">
        <w:rPr>
          <w:rFonts w:ascii="Calibri" w:eastAsia="Segoe UI" w:hAnsi="Calibri" w:cs="Calibri"/>
          <w:b/>
          <w:bCs/>
          <w:u w:val="single"/>
        </w:rPr>
        <w:t>Barriers faced by children with ADHD.</w:t>
      </w:r>
    </w:p>
    <w:p w14:paraId="6D812F84" w14:textId="1C42DEAC" w:rsidR="3529EF24" w:rsidRPr="00406300" w:rsidRDefault="3529EF24" w:rsidP="7ED21341">
      <w:pPr>
        <w:spacing w:before="240" w:after="240"/>
        <w:rPr>
          <w:rFonts w:ascii="Calibri" w:hAnsi="Calibri" w:cs="Calibri"/>
        </w:rPr>
      </w:pPr>
      <w:r w:rsidRPr="00406300">
        <w:rPr>
          <w:rFonts w:ascii="Calibri" w:eastAsia="Segoe UI" w:hAnsi="Calibri" w:cs="Calibri"/>
        </w:rPr>
        <w:t>Children with ADHD face a range of barriers that can negatively impact learning, daily functioning, and overall wellbeing</w:t>
      </w:r>
      <w:r w:rsidR="006F6882" w:rsidRPr="00406300">
        <w:rPr>
          <w:rFonts w:ascii="Calibri" w:eastAsia="Segoe UI" w:hAnsi="Calibri" w:cs="Calibri"/>
        </w:rPr>
        <w:t xml:space="preserve"> (ADDRC, 2025).</w:t>
      </w:r>
    </w:p>
    <w:p w14:paraId="43CA8580" w14:textId="6FE79E91" w:rsidR="3529EF24" w:rsidRPr="00406300" w:rsidRDefault="3529EF24" w:rsidP="7ED21341">
      <w:pPr>
        <w:spacing w:before="240" w:after="240"/>
        <w:rPr>
          <w:rFonts w:ascii="Calibri" w:hAnsi="Calibri" w:cs="Calibri"/>
        </w:rPr>
      </w:pPr>
      <w:r w:rsidRPr="00406300">
        <w:rPr>
          <w:rFonts w:ascii="Calibri" w:eastAsia="Segoe UI" w:hAnsi="Calibri" w:cs="Calibri"/>
        </w:rPr>
        <w:t>From a medical model perspective, ADHD is often viewed as a deficit located within the individual. Difficulties such as inattention, impulsivity, and executive functioning challenges are seen as barriers unless treated through medication or therapy. Responsibility for overcoming these barriers is therefore placed primarily on the child and the healthcare system, rather than on adapting the environment (Zaks, 2022).</w:t>
      </w:r>
    </w:p>
    <w:p w14:paraId="6B0946EF" w14:textId="383AABE0" w:rsidR="3529EF24" w:rsidRPr="00406300" w:rsidRDefault="3529EF24" w:rsidP="7ED21341">
      <w:pPr>
        <w:spacing w:before="240" w:after="240"/>
        <w:rPr>
          <w:rFonts w:ascii="Calibri" w:hAnsi="Calibri" w:cs="Calibri"/>
        </w:rPr>
      </w:pPr>
      <w:r w:rsidRPr="00406300">
        <w:rPr>
          <w:rFonts w:ascii="Calibri" w:eastAsia="Segoe UI" w:hAnsi="Calibri" w:cs="Calibri"/>
        </w:rPr>
        <w:t>As a result, support within the medical model often focuses on diagnosis, medication, and behaviour management, aiming to reduce or control symptoms so that the individual can meet expected norms (American Psychiatric Association, 2022).</w:t>
      </w:r>
    </w:p>
    <w:p w14:paraId="1DF091EB" w14:textId="54BF2C8A" w:rsidR="3529EF24" w:rsidRPr="00406300" w:rsidRDefault="3529EF24" w:rsidP="7ED21341">
      <w:pPr>
        <w:spacing w:before="240" w:after="240"/>
        <w:rPr>
          <w:rFonts w:ascii="Calibri" w:hAnsi="Calibri" w:cs="Calibri"/>
        </w:rPr>
      </w:pPr>
      <w:r w:rsidRPr="00406300">
        <w:rPr>
          <w:rFonts w:ascii="Calibri" w:eastAsia="Segoe UI" w:hAnsi="Calibri" w:cs="Calibri"/>
        </w:rPr>
        <w:t>In educational contexts, children with ADHD frequently struggle in highly structured classroom environments that require sustained attention, behavioural regulation, and organisation. Without appropriate reasonable adjustments, this can lead to academic underachievement, disciplinary actions, and exclusion from learning activities (DuPaul and Stoner, 2014; DfE, 2015). Research also shows that punitive approaches alone are ineffective and may escalate behavioural difficulties by increasing frustration and disengagement (Barkley, 2015).</w:t>
      </w:r>
    </w:p>
    <w:p w14:paraId="34040AB3" w14:textId="00CF96D3" w:rsidR="3529EF24" w:rsidRPr="00406300" w:rsidRDefault="3529EF24" w:rsidP="7ED21341">
      <w:pPr>
        <w:spacing w:before="240" w:after="240"/>
        <w:rPr>
          <w:rFonts w:ascii="Calibri" w:hAnsi="Calibri" w:cs="Calibri"/>
        </w:rPr>
      </w:pPr>
      <w:r w:rsidRPr="00406300">
        <w:rPr>
          <w:rFonts w:ascii="Calibri" w:eastAsia="Segoe UI" w:hAnsi="Calibri" w:cs="Calibri"/>
        </w:rPr>
        <w:t xml:space="preserve">Bronfenbrenner’s ecological systems theory highlights wider environmental barriers. At the exosystem and macrosystem levels, long waiting times, limited access to specialist services, and negative societal attitudes towards ADHD can further disadvantage children. Over time, </w:t>
      </w:r>
      <w:r w:rsidRPr="00406300">
        <w:rPr>
          <w:rFonts w:ascii="Calibri" w:eastAsia="Segoe UI" w:hAnsi="Calibri" w:cs="Calibri"/>
        </w:rPr>
        <w:lastRenderedPageBreak/>
        <w:t>within the chronosystem, delayed diagnosis or lack of early intervention can negatively affect confidence, academic progress, and emotional wellbeing (Medders Denis, 2012).</w:t>
      </w:r>
    </w:p>
    <w:p w14:paraId="5F467061" w14:textId="3DD101DE" w:rsidR="3529EF24" w:rsidRPr="00406300" w:rsidRDefault="3529EF24" w:rsidP="7ED21341">
      <w:pPr>
        <w:spacing w:before="240" w:after="240"/>
        <w:rPr>
          <w:rFonts w:ascii="Calibri" w:hAnsi="Calibri" w:cs="Calibri"/>
        </w:rPr>
      </w:pPr>
      <w:r w:rsidRPr="00406300">
        <w:rPr>
          <w:rFonts w:ascii="Calibri" w:eastAsia="Segoe UI" w:hAnsi="Calibri" w:cs="Calibri"/>
        </w:rPr>
        <w:t>At the mesosystem level, difficulties may be exacerbated by poor communication or lack of collaboration between parents, teachers, SENCOs, and external professionals. When strategies used at home differ from those used in school, children with ADHD may struggle to transfer skills, leading to confusion and increased anxiety (Medders Denis, 2012).</w:t>
      </w:r>
    </w:p>
    <w:p w14:paraId="204E3708" w14:textId="55547B23" w:rsidR="3529EF24" w:rsidRPr="00406300" w:rsidRDefault="3529EF24" w:rsidP="7ED21341">
      <w:pPr>
        <w:spacing w:before="240" w:after="240"/>
        <w:rPr>
          <w:rFonts w:ascii="Calibri" w:hAnsi="Calibri" w:cs="Calibri"/>
        </w:rPr>
      </w:pPr>
      <w:r w:rsidRPr="00406300">
        <w:rPr>
          <w:rFonts w:ascii="Calibri" w:eastAsia="Segoe UI" w:hAnsi="Calibri" w:cs="Calibri"/>
        </w:rPr>
        <w:t>The exosystem level includes wider influences such as school policies, staff training, parental work pressures, and access to specialist services. Limited funding, long waiting lists for assessments, or insufficient staff training in ADHD can indirectly impact the child’s experience, even though the child is not directly involved in these systems (DfE, 2015).</w:t>
      </w:r>
    </w:p>
    <w:p w14:paraId="476A2811" w14:textId="06B5E1A3" w:rsidR="3529EF24" w:rsidRPr="00406300" w:rsidRDefault="3529EF24" w:rsidP="7ED21341">
      <w:pPr>
        <w:spacing w:before="240" w:after="240"/>
        <w:rPr>
          <w:rFonts w:ascii="Calibri" w:hAnsi="Calibri" w:cs="Calibri"/>
        </w:rPr>
      </w:pPr>
      <w:r w:rsidRPr="00406300">
        <w:rPr>
          <w:rFonts w:ascii="Calibri" w:eastAsia="Segoe UI" w:hAnsi="Calibri" w:cs="Calibri"/>
          <w:b/>
          <w:bCs/>
          <w:u w:val="single"/>
        </w:rPr>
        <w:t>Support strategy.</w:t>
      </w:r>
    </w:p>
    <w:p w14:paraId="736169E2" w14:textId="6A84D178" w:rsidR="3529EF24" w:rsidRPr="00406300" w:rsidRDefault="3529EF24" w:rsidP="7ED21341">
      <w:pPr>
        <w:spacing w:before="240" w:after="240"/>
        <w:rPr>
          <w:rFonts w:ascii="Calibri" w:hAnsi="Calibri" w:cs="Calibri"/>
        </w:rPr>
      </w:pPr>
      <w:r w:rsidRPr="00406300">
        <w:rPr>
          <w:rFonts w:ascii="Calibri" w:eastAsia="Segoe UI" w:hAnsi="Calibri" w:cs="Calibri"/>
        </w:rPr>
        <w:t xml:space="preserve">One effective strategy to support children with ADHD, particularly in </w:t>
      </w:r>
      <w:r w:rsidR="148BE474" w:rsidRPr="00406300">
        <w:rPr>
          <w:rFonts w:ascii="Calibri" w:eastAsia="Segoe UI" w:hAnsi="Calibri" w:cs="Calibri"/>
        </w:rPr>
        <w:t>early years</w:t>
      </w:r>
      <w:r w:rsidRPr="00406300">
        <w:rPr>
          <w:rFonts w:ascii="Calibri" w:eastAsia="Segoe UI" w:hAnsi="Calibri" w:cs="Calibri"/>
        </w:rPr>
        <w:t xml:space="preserve"> and school settings, is one-to-one behavioural support (Young Minds, 2025).</w:t>
      </w:r>
    </w:p>
    <w:p w14:paraId="46966CC0" w14:textId="04651276" w:rsidR="3529EF24" w:rsidRPr="00406300" w:rsidRDefault="3529EF24" w:rsidP="7ED21341">
      <w:pPr>
        <w:spacing w:before="240" w:after="240"/>
        <w:rPr>
          <w:rFonts w:ascii="Calibri" w:hAnsi="Calibri" w:cs="Calibri"/>
        </w:rPr>
      </w:pPr>
      <w:r w:rsidRPr="00406300">
        <w:rPr>
          <w:rFonts w:ascii="Calibri" w:eastAsia="Segoe UI" w:hAnsi="Calibri" w:cs="Calibri"/>
        </w:rPr>
        <w:t>This approach provides consistent adult support to help children regulate attention, behaviour, and emotions. Behavioural strategies may include clear routines, visual timetables, reward systems, and positive reinforcement (NHS, 2022).</w:t>
      </w:r>
    </w:p>
    <w:p w14:paraId="73C4D126" w14:textId="237C9F02" w:rsidR="3529EF24" w:rsidRPr="00406300" w:rsidRDefault="3529EF24" w:rsidP="7ED21341">
      <w:pPr>
        <w:spacing w:before="240" w:after="240"/>
        <w:rPr>
          <w:rFonts w:ascii="Calibri" w:hAnsi="Calibri" w:cs="Calibri"/>
        </w:rPr>
      </w:pPr>
      <w:r w:rsidRPr="00406300">
        <w:rPr>
          <w:rFonts w:ascii="Calibri" w:eastAsia="Segoe UI" w:hAnsi="Calibri" w:cs="Calibri"/>
        </w:rPr>
        <w:t>Inclusive classroom strategies are also essential. These may include short, structured learning tasks, movement or sensory breaks, calm-down areas, and simplified instructions. Such approaches allow children with ADHD to engage more successfully with learning and peers (Woodward, n.d.).</w:t>
      </w:r>
    </w:p>
    <w:p w14:paraId="1032FF68" w14:textId="1489D318" w:rsidR="3529EF24" w:rsidRPr="00406300" w:rsidRDefault="3529EF24" w:rsidP="7ED21341">
      <w:pPr>
        <w:spacing w:before="240" w:after="240"/>
        <w:rPr>
          <w:rFonts w:ascii="Calibri" w:hAnsi="Calibri" w:cs="Calibri"/>
        </w:rPr>
      </w:pPr>
      <w:r w:rsidRPr="00406300">
        <w:rPr>
          <w:rFonts w:ascii="Calibri" w:eastAsia="Segoe UI" w:hAnsi="Calibri" w:cs="Calibri"/>
          <w:b/>
          <w:bCs/>
          <w:u w:val="single"/>
        </w:rPr>
        <w:t>Additional one-to-one de-escalation strategies.</w:t>
      </w:r>
    </w:p>
    <w:p w14:paraId="61F794F9" w14:textId="2471A876" w:rsidR="3529EF24" w:rsidRPr="00406300" w:rsidRDefault="3529EF24" w:rsidP="7ED21341">
      <w:pPr>
        <w:spacing w:before="240" w:after="240"/>
        <w:rPr>
          <w:rFonts w:ascii="Calibri" w:hAnsi="Calibri" w:cs="Calibri"/>
        </w:rPr>
      </w:pPr>
      <w:r w:rsidRPr="00406300">
        <w:rPr>
          <w:rFonts w:ascii="Calibri" w:eastAsia="Segoe UI" w:hAnsi="Calibri" w:cs="Calibri"/>
        </w:rPr>
        <w:t>As part of one-to-one support, de-escalation strategies may be used. A calm adult may position themselves between children when a child with ADHD is becoming dysregulated or when conflict is likely</w:t>
      </w:r>
      <w:r w:rsidR="006F6882" w:rsidRPr="00406300">
        <w:rPr>
          <w:rFonts w:ascii="Calibri" w:eastAsia="Segoe UI" w:hAnsi="Calibri" w:cs="Calibri"/>
        </w:rPr>
        <w:t xml:space="preserve"> (Care Learning, 2025).</w:t>
      </w:r>
    </w:p>
    <w:p w14:paraId="23E46642" w14:textId="0F58030B" w:rsidR="3529EF24" w:rsidRPr="00406300" w:rsidRDefault="3529EF24" w:rsidP="7ED21341">
      <w:pPr>
        <w:spacing w:before="240" w:after="240"/>
        <w:rPr>
          <w:rFonts w:ascii="Calibri" w:hAnsi="Calibri" w:cs="Calibri"/>
        </w:rPr>
      </w:pPr>
      <w:r w:rsidRPr="00406300">
        <w:rPr>
          <w:rFonts w:ascii="Calibri" w:eastAsia="Segoe UI" w:hAnsi="Calibri" w:cs="Calibri"/>
        </w:rPr>
        <w:t>This approach helps reduce confrontation and emotional escalation by creating a physical and visual boundary without physical contact. It supports emotional regulation and helps maintain safety for all children (Navarro, 2023).</w:t>
      </w:r>
    </w:p>
    <w:p w14:paraId="57BD448A" w14:textId="306EAA6F" w:rsidR="3529EF24" w:rsidRPr="00406300" w:rsidRDefault="3529EF24" w:rsidP="7ED21341">
      <w:pPr>
        <w:spacing w:before="240" w:after="240"/>
        <w:rPr>
          <w:rFonts w:ascii="Calibri" w:hAnsi="Calibri" w:cs="Calibri"/>
        </w:rPr>
      </w:pPr>
      <w:r w:rsidRPr="00406300">
        <w:rPr>
          <w:rFonts w:ascii="Calibri" w:eastAsia="Segoe UI" w:hAnsi="Calibri" w:cs="Calibri"/>
          <w:b/>
          <w:bCs/>
          <w:u w:val="single"/>
        </w:rPr>
        <w:lastRenderedPageBreak/>
        <w:t>Conclusion.</w:t>
      </w:r>
    </w:p>
    <w:p w14:paraId="74CF9773" w14:textId="7B0E0757" w:rsidR="3529EF24" w:rsidRPr="00406300" w:rsidRDefault="3529EF24" w:rsidP="7ED21341">
      <w:pPr>
        <w:spacing w:before="240" w:after="240"/>
        <w:rPr>
          <w:rFonts w:ascii="Calibri" w:hAnsi="Calibri" w:cs="Calibri"/>
        </w:rPr>
      </w:pPr>
      <w:r w:rsidRPr="00406300">
        <w:rPr>
          <w:rFonts w:ascii="Calibri" w:eastAsia="Segoe UI" w:hAnsi="Calibri" w:cs="Calibri"/>
        </w:rPr>
        <w:t xml:space="preserve">In conclusion, ADHD is a neurodevelopmental condition that can create significant barriers for children in </w:t>
      </w:r>
      <w:r w:rsidR="225453FC" w:rsidRPr="00406300">
        <w:rPr>
          <w:rFonts w:ascii="Calibri" w:eastAsia="Segoe UI" w:hAnsi="Calibri" w:cs="Calibri"/>
        </w:rPr>
        <w:t>early years</w:t>
      </w:r>
      <w:r w:rsidRPr="00406300">
        <w:rPr>
          <w:rFonts w:ascii="Calibri" w:eastAsia="Segoe UI" w:hAnsi="Calibri" w:cs="Calibri"/>
        </w:rPr>
        <w:t xml:space="preserve"> and educational settings when appropriate support and reasonable adjustments are not provided. While the medical model focuses on individual difficulties such as inattention, impulsivity, and emotional regulation, broader approaches, including Bronfenbrenner’s ecological systems theory, highlight the importance of environmental, relational, and systemic influences on a child’s development (Bronfenbrenner, 1979).</w:t>
      </w:r>
    </w:p>
    <w:p w14:paraId="13894D86" w14:textId="5AC12228" w:rsidR="3529EF24" w:rsidRPr="00406300" w:rsidRDefault="3529EF24" w:rsidP="7ED21341">
      <w:pPr>
        <w:spacing w:before="240" w:after="240"/>
        <w:rPr>
          <w:rFonts w:ascii="Calibri" w:hAnsi="Calibri" w:cs="Calibri"/>
        </w:rPr>
      </w:pPr>
      <w:r w:rsidRPr="00406300">
        <w:rPr>
          <w:rFonts w:ascii="Calibri" w:eastAsia="Segoe UI" w:hAnsi="Calibri" w:cs="Calibri"/>
        </w:rPr>
        <w:t xml:space="preserve">To improve outcomes, it is essential that </w:t>
      </w:r>
      <w:r w:rsidR="7DD7BCB1" w:rsidRPr="00406300">
        <w:rPr>
          <w:rFonts w:ascii="Calibri" w:eastAsia="Segoe UI" w:hAnsi="Calibri" w:cs="Calibri"/>
        </w:rPr>
        <w:t xml:space="preserve">early </w:t>
      </w:r>
      <w:r w:rsidR="0B9B9E3E" w:rsidRPr="00406300">
        <w:rPr>
          <w:rFonts w:ascii="Calibri" w:eastAsia="Segoe UI" w:hAnsi="Calibri" w:cs="Calibri"/>
        </w:rPr>
        <w:t>years'</w:t>
      </w:r>
      <w:r w:rsidRPr="00406300">
        <w:rPr>
          <w:rFonts w:ascii="Calibri" w:eastAsia="Segoe UI" w:hAnsi="Calibri" w:cs="Calibri"/>
        </w:rPr>
        <w:t xml:space="preserve"> settings and schools adopt child-centred, inclusive practices, including one-to-one behavioural support, environmental adaptations, and strong partnerships with families and external agencies. By doing so, educational settings can reduce barriers, promote inclusion, and support positive outcomes for children with ADHD.</w:t>
      </w:r>
    </w:p>
    <w:p w14:paraId="7F2475DA" w14:textId="1491C4BC" w:rsidR="5FDFAEA5" w:rsidRPr="00406300" w:rsidRDefault="5FDFAEA5" w:rsidP="7ED21341">
      <w:pPr>
        <w:spacing w:before="240" w:after="240"/>
        <w:rPr>
          <w:rFonts w:ascii="Calibri" w:hAnsi="Calibri" w:cs="Calibri"/>
        </w:rPr>
      </w:pPr>
      <w:r w:rsidRPr="00406300">
        <w:rPr>
          <w:rFonts w:ascii="Calibri" w:eastAsia="Segoe UI" w:hAnsi="Calibri" w:cs="Calibri"/>
          <w:b/>
          <w:bCs/>
          <w:u w:val="single"/>
        </w:rPr>
        <w:t>Questions.</w:t>
      </w:r>
    </w:p>
    <w:p w14:paraId="0AA1257E" w14:textId="5F8BB0CE" w:rsidR="5FDFAEA5" w:rsidRPr="00406300" w:rsidRDefault="5FDFAEA5" w:rsidP="7ED21341">
      <w:pPr>
        <w:spacing w:before="240" w:after="240"/>
        <w:rPr>
          <w:rFonts w:ascii="Calibri" w:eastAsia="Segoe UI" w:hAnsi="Calibri" w:cs="Calibri"/>
        </w:rPr>
      </w:pPr>
      <w:r w:rsidRPr="00406300">
        <w:rPr>
          <w:rFonts w:ascii="Calibri" w:eastAsia="Segoe UI" w:hAnsi="Calibri" w:cs="Calibri"/>
          <w:u w:val="single"/>
        </w:rPr>
        <w:t xml:space="preserve">Dani </w:t>
      </w:r>
      <w:r w:rsidR="13CD1EC7" w:rsidRPr="00406300">
        <w:rPr>
          <w:rFonts w:ascii="Calibri" w:eastAsia="Segoe UI" w:hAnsi="Calibri" w:cs="Calibri"/>
          <w:u w:val="single"/>
        </w:rPr>
        <w:t xml:space="preserve">- </w:t>
      </w:r>
      <w:r w:rsidR="13CD1EC7" w:rsidRPr="00406300">
        <w:rPr>
          <w:rFonts w:ascii="Calibri" w:eastAsia="Segoe UI" w:hAnsi="Calibri" w:cs="Calibri"/>
        </w:rPr>
        <w:t>Just</w:t>
      </w:r>
      <w:r w:rsidRPr="00406300">
        <w:rPr>
          <w:rFonts w:ascii="Calibri" w:eastAsia="Segoe UI" w:hAnsi="Calibri" w:cs="Calibri"/>
        </w:rPr>
        <w:t xml:space="preserve"> a question </w:t>
      </w:r>
      <w:r w:rsidR="0863AF59" w:rsidRPr="00406300">
        <w:rPr>
          <w:rFonts w:ascii="Calibri" w:eastAsia="Segoe UI" w:hAnsi="Calibri" w:cs="Calibri"/>
        </w:rPr>
        <w:t>referring</w:t>
      </w:r>
      <w:r w:rsidRPr="00406300">
        <w:rPr>
          <w:rFonts w:ascii="Calibri" w:eastAsia="Segoe UI" w:hAnsi="Calibri" w:cs="Calibri"/>
        </w:rPr>
        <w:t xml:space="preserve"> to your chosen </w:t>
      </w:r>
      <w:r w:rsidR="4D57720C" w:rsidRPr="00406300">
        <w:rPr>
          <w:rFonts w:ascii="Calibri" w:eastAsia="Segoe UI" w:hAnsi="Calibri" w:cs="Calibri"/>
        </w:rPr>
        <w:t xml:space="preserve">strategy, </w:t>
      </w:r>
      <w:r w:rsidR="7506BDD7" w:rsidRPr="00406300">
        <w:rPr>
          <w:rFonts w:ascii="Calibri" w:eastAsia="Segoe UI" w:hAnsi="Calibri" w:cs="Calibri"/>
        </w:rPr>
        <w:t>how</w:t>
      </w:r>
      <w:r w:rsidRPr="00406300">
        <w:rPr>
          <w:rFonts w:ascii="Calibri" w:eastAsia="Segoe UI" w:hAnsi="Calibri" w:cs="Calibri"/>
        </w:rPr>
        <w:t xml:space="preserve"> can classroom routines support children with </w:t>
      </w:r>
      <w:proofErr w:type="gramStart"/>
      <w:r w:rsidRPr="00406300">
        <w:rPr>
          <w:rFonts w:ascii="Calibri" w:eastAsia="Segoe UI" w:hAnsi="Calibri" w:cs="Calibri"/>
        </w:rPr>
        <w:t>ADHD?</w:t>
      </w:r>
      <w:r w:rsidR="6D8BA1C1" w:rsidRPr="00406300">
        <w:rPr>
          <w:rFonts w:ascii="Calibri" w:eastAsia="Segoe UI" w:hAnsi="Calibri" w:cs="Calibri"/>
        </w:rPr>
        <w:t>.</w:t>
      </w:r>
      <w:proofErr w:type="gramEnd"/>
    </w:p>
    <w:p w14:paraId="5B9389A4" w14:textId="33401923" w:rsidR="5FDFAEA5" w:rsidRPr="00406300" w:rsidRDefault="5FDFAEA5" w:rsidP="7ED21341">
      <w:pPr>
        <w:spacing w:before="240" w:after="240"/>
        <w:rPr>
          <w:rFonts w:ascii="Calibri" w:eastAsia="Segoe UI" w:hAnsi="Calibri" w:cs="Calibri"/>
        </w:rPr>
      </w:pPr>
      <w:r w:rsidRPr="00406300">
        <w:rPr>
          <w:rFonts w:ascii="Calibri" w:eastAsia="Segoe UI" w:hAnsi="Calibri" w:cs="Calibri"/>
          <w:u w:val="single"/>
        </w:rPr>
        <w:t>Kelsey</w:t>
      </w:r>
      <w:r w:rsidR="7CEDD2FB" w:rsidRPr="00406300">
        <w:rPr>
          <w:rFonts w:ascii="Calibri" w:eastAsia="Segoe UI" w:hAnsi="Calibri" w:cs="Calibri"/>
          <w:u w:val="single"/>
        </w:rPr>
        <w:t xml:space="preserve"> –</w:t>
      </w:r>
      <w:r w:rsidR="7CEDD2FB" w:rsidRPr="00406300">
        <w:rPr>
          <w:rFonts w:ascii="Calibri" w:eastAsia="Segoe UI" w:hAnsi="Calibri" w:cs="Calibri"/>
        </w:rPr>
        <w:t xml:space="preserve"> Thank </w:t>
      </w:r>
      <w:r w:rsidR="7B48F0C9" w:rsidRPr="00406300">
        <w:rPr>
          <w:rFonts w:ascii="Calibri" w:eastAsia="Segoe UI" w:hAnsi="Calibri" w:cs="Calibri"/>
        </w:rPr>
        <w:t>you, Dani.</w:t>
      </w:r>
      <w:r w:rsidR="7CEDD2FB" w:rsidRPr="00406300">
        <w:rPr>
          <w:rFonts w:ascii="Calibri" w:eastAsia="Segoe UI" w:hAnsi="Calibri" w:cs="Calibri"/>
        </w:rPr>
        <w:t xml:space="preserve"> </w:t>
      </w:r>
      <w:r w:rsidR="6DB4B9F3" w:rsidRPr="00406300">
        <w:rPr>
          <w:rFonts w:ascii="Calibri" w:eastAsia="Segoe UI" w:hAnsi="Calibri" w:cs="Calibri"/>
        </w:rPr>
        <w:t>Well,</w:t>
      </w:r>
      <w:r w:rsidR="7CEDD2FB" w:rsidRPr="00406300">
        <w:rPr>
          <w:rFonts w:ascii="Calibri" w:eastAsia="Segoe UI" w:hAnsi="Calibri" w:cs="Calibri"/>
        </w:rPr>
        <w:t xml:space="preserve"> according to (The ADHD Centre, 2025) Consistent routines help children with ADHD understand ex</w:t>
      </w:r>
      <w:r w:rsidR="4C979DD9" w:rsidRPr="00406300">
        <w:rPr>
          <w:rFonts w:ascii="Calibri" w:eastAsia="Segoe UI" w:hAnsi="Calibri" w:cs="Calibri"/>
        </w:rPr>
        <w:t>pectations and reduce anxiety</w:t>
      </w:r>
      <w:r w:rsidR="14F7FCE9" w:rsidRPr="00406300">
        <w:rPr>
          <w:rFonts w:ascii="Calibri" w:eastAsia="Segoe UI" w:hAnsi="Calibri" w:cs="Calibri"/>
        </w:rPr>
        <w:t xml:space="preserve">. With visual timetables, clear instructions and predictable transitions support’s attention and </w:t>
      </w:r>
      <w:r w:rsidR="2A8D1710" w:rsidRPr="00406300">
        <w:rPr>
          <w:rFonts w:ascii="Calibri" w:eastAsia="Segoe UI" w:hAnsi="Calibri" w:cs="Calibri"/>
        </w:rPr>
        <w:t xml:space="preserve">behaviour by providing structure and reducing cognitive </w:t>
      </w:r>
      <w:r w:rsidR="1376498C" w:rsidRPr="00406300">
        <w:rPr>
          <w:rFonts w:ascii="Calibri" w:eastAsia="Segoe UI" w:hAnsi="Calibri" w:cs="Calibri"/>
        </w:rPr>
        <w:t>overload (NHS, 2022).</w:t>
      </w:r>
    </w:p>
    <w:p w14:paraId="0E7E7055" w14:textId="751991CE" w:rsidR="3529EF24" w:rsidRDefault="3529EF24" w:rsidP="7ED21341">
      <w:pPr>
        <w:spacing w:before="240" w:after="240"/>
        <w:rPr>
          <w:rFonts w:ascii="Segoe UI" w:eastAsia="Segoe UI" w:hAnsi="Segoe UI" w:cs="Segoe UI"/>
          <w:b/>
          <w:bCs/>
          <w:sz w:val="21"/>
          <w:szCs w:val="21"/>
          <w:u w:val="single"/>
        </w:rPr>
      </w:pPr>
      <w:r w:rsidRPr="7ED21341">
        <w:rPr>
          <w:rFonts w:ascii="Segoe UI" w:eastAsia="Segoe UI" w:hAnsi="Segoe UI" w:cs="Segoe UI"/>
          <w:b/>
          <w:bCs/>
          <w:sz w:val="21"/>
          <w:szCs w:val="21"/>
          <w:u w:val="single"/>
        </w:rPr>
        <w:t>References.</w:t>
      </w:r>
    </w:p>
    <w:p w14:paraId="2919010B"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ADD Resource </w:t>
      </w:r>
      <w:proofErr w:type="spellStart"/>
      <w:r w:rsidRPr="00406300">
        <w:rPr>
          <w:rFonts w:ascii="Calibri" w:hAnsi="Calibri" w:cs="Calibri"/>
          <w:color w:val="000000" w:themeColor="text1"/>
        </w:rPr>
        <w:t>Center</w:t>
      </w:r>
      <w:proofErr w:type="spellEnd"/>
      <w:r w:rsidRPr="00406300">
        <w:rPr>
          <w:rFonts w:ascii="Calibri" w:hAnsi="Calibri" w:cs="Calibri"/>
          <w:color w:val="000000" w:themeColor="text1"/>
        </w:rPr>
        <w:t xml:space="preserve"> (n.d.) Understanding the ADHD diagnostic process: What to expect from evaluation to treatment. Available at: </w:t>
      </w:r>
      <w:hyperlink r:id="rId8" w:history="1">
        <w:r w:rsidRPr="00406300">
          <w:rPr>
            <w:rStyle w:val="Hyperlink"/>
            <w:rFonts w:ascii="Calibri" w:hAnsi="Calibri" w:cs="Calibri"/>
            <w:color w:val="000000" w:themeColor="text1"/>
            <w:u w:val="none"/>
          </w:rPr>
          <w:t>https://www.addrc.org</w:t>
        </w:r>
      </w:hyperlink>
    </w:p>
    <w:p w14:paraId="3F49D1AC"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ADD Resource </w:t>
      </w:r>
      <w:proofErr w:type="spellStart"/>
      <w:r w:rsidRPr="00406300">
        <w:rPr>
          <w:rFonts w:ascii="Calibri" w:hAnsi="Calibri" w:cs="Calibri"/>
          <w:color w:val="000000" w:themeColor="text1"/>
        </w:rPr>
        <w:t>Center</w:t>
      </w:r>
      <w:proofErr w:type="spellEnd"/>
      <w:r w:rsidRPr="00406300">
        <w:rPr>
          <w:rFonts w:ascii="Calibri" w:hAnsi="Calibri" w:cs="Calibri"/>
          <w:color w:val="000000" w:themeColor="text1"/>
        </w:rPr>
        <w:t xml:space="preserve"> (n.d.) Comprehensive analysis of ADHD school issues: Evidence-based insights. Available at: </w:t>
      </w:r>
      <w:hyperlink r:id="rId9" w:history="1">
        <w:r w:rsidRPr="00406300">
          <w:rPr>
            <w:rStyle w:val="Hyperlink"/>
            <w:rFonts w:ascii="Calibri" w:hAnsi="Calibri" w:cs="Calibri"/>
            <w:color w:val="000000" w:themeColor="text1"/>
            <w:u w:val="none"/>
          </w:rPr>
          <w:t>https://www.addrc.org</w:t>
        </w:r>
      </w:hyperlink>
    </w:p>
    <w:p w14:paraId="0DFD82B0"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American Psychiatric Association (2022) Diagnostic and statistical manual of mental disorders (DSM-5-TR). 5th </w:t>
      </w:r>
      <w:proofErr w:type="spellStart"/>
      <w:r w:rsidRPr="00406300">
        <w:rPr>
          <w:rFonts w:ascii="Calibri" w:hAnsi="Calibri" w:cs="Calibri"/>
          <w:color w:val="000000" w:themeColor="text1"/>
        </w:rPr>
        <w:t>edn</w:t>
      </w:r>
      <w:proofErr w:type="spellEnd"/>
      <w:r w:rsidRPr="00406300">
        <w:rPr>
          <w:rFonts w:ascii="Calibri" w:hAnsi="Calibri" w:cs="Calibri"/>
          <w:color w:val="000000" w:themeColor="text1"/>
        </w:rPr>
        <w:t xml:space="preserve"> (text rev.). Washington, DC: American Psychiatric Publishing.</w:t>
      </w:r>
    </w:p>
    <w:p w14:paraId="518B4D30"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lastRenderedPageBreak/>
        <w:t xml:space="preserve">Barkley, R.A. (2015) Attention-deficit hyperactivity disorder: A handbook for diagnosis and treatment. 4th </w:t>
      </w:r>
      <w:proofErr w:type="spellStart"/>
      <w:r w:rsidRPr="00406300">
        <w:rPr>
          <w:rFonts w:ascii="Calibri" w:hAnsi="Calibri" w:cs="Calibri"/>
          <w:color w:val="000000" w:themeColor="text1"/>
        </w:rPr>
        <w:t>edn</w:t>
      </w:r>
      <w:proofErr w:type="spellEnd"/>
      <w:r w:rsidRPr="00406300">
        <w:rPr>
          <w:rFonts w:ascii="Calibri" w:hAnsi="Calibri" w:cs="Calibri"/>
          <w:color w:val="000000" w:themeColor="text1"/>
        </w:rPr>
        <w:t>. New York: Guilford Press.</w:t>
      </w:r>
    </w:p>
    <w:p w14:paraId="681D0D91"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BMJ Paediatrics Open (n.d.) School participation, supports and barriers of children with and without attention deficit hyperactivity disorder. Available at: </w:t>
      </w:r>
      <w:hyperlink r:id="rId10" w:history="1">
        <w:r w:rsidRPr="00406300">
          <w:rPr>
            <w:rStyle w:val="Hyperlink"/>
            <w:rFonts w:ascii="Calibri" w:hAnsi="Calibri" w:cs="Calibri"/>
            <w:color w:val="000000" w:themeColor="text1"/>
            <w:u w:val="none"/>
          </w:rPr>
          <w:t>https://bmjpaedsopen.bmj.com</w:t>
        </w:r>
      </w:hyperlink>
    </w:p>
    <w:p w14:paraId="3D9E596E"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Denis, C.M. (2012) ‘Attention deficit hyperactivity disorder and Bronfenbrenner’s ecology’, International Journal of Psychological Studies, 4(3), pp. 1–10.</w:t>
      </w:r>
    </w:p>
    <w:p w14:paraId="7ED99E0F"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Faraone, S.V., et al. (2021) ‘The World Federation of ADHD international consensus statement: 208 evidence-based conclusions about the disorder’, Neuroscience and </w:t>
      </w:r>
      <w:proofErr w:type="spellStart"/>
      <w:r w:rsidRPr="00406300">
        <w:rPr>
          <w:rFonts w:ascii="Calibri" w:hAnsi="Calibri" w:cs="Calibri"/>
          <w:color w:val="000000" w:themeColor="text1"/>
        </w:rPr>
        <w:t>Biobehavioral</w:t>
      </w:r>
      <w:proofErr w:type="spellEnd"/>
      <w:r w:rsidRPr="00406300">
        <w:rPr>
          <w:rFonts w:ascii="Calibri" w:hAnsi="Calibri" w:cs="Calibri"/>
          <w:color w:val="000000" w:themeColor="text1"/>
        </w:rPr>
        <w:t xml:space="preserve"> Reviews, 128, pp. 789–818.</w:t>
      </w:r>
    </w:p>
    <w:p w14:paraId="7D91A220"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Get Clarity ADHD (2025) ADHD wait times UK 2025: NHS vs private fast-track strategy. Available at: </w:t>
      </w:r>
      <w:hyperlink r:id="rId11" w:history="1">
        <w:r w:rsidRPr="00406300">
          <w:rPr>
            <w:rStyle w:val="Hyperlink"/>
            <w:rFonts w:ascii="Calibri" w:hAnsi="Calibri" w:cs="Calibri"/>
            <w:color w:val="000000" w:themeColor="text1"/>
            <w:u w:val="none"/>
          </w:rPr>
          <w:t>https://www.getclarityadhd.com</w:t>
        </w:r>
      </w:hyperlink>
    </w:p>
    <w:p w14:paraId="5705AF6B"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Healthwatch (2025) ADHD diagnosis delays. Available at: </w:t>
      </w:r>
      <w:hyperlink r:id="rId12" w:history="1">
        <w:r w:rsidRPr="00406300">
          <w:rPr>
            <w:rStyle w:val="Hyperlink"/>
            <w:rFonts w:ascii="Calibri" w:hAnsi="Calibri" w:cs="Calibri"/>
            <w:color w:val="000000" w:themeColor="text1"/>
            <w:u w:val="none"/>
          </w:rPr>
          <w:t>https://www.healthwatch.co.uk</w:t>
        </w:r>
      </w:hyperlink>
    </w:p>
    <w:p w14:paraId="10277736"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Hudson, R. (2023) ADHD in children: symptoms, types and treatment. Available at: </w:t>
      </w:r>
      <w:hyperlink r:id="rId13" w:history="1">
        <w:r w:rsidRPr="00406300">
          <w:rPr>
            <w:rStyle w:val="Hyperlink"/>
            <w:rFonts w:ascii="Calibri" w:hAnsi="Calibri" w:cs="Calibri"/>
            <w:color w:val="000000" w:themeColor="text1"/>
            <w:u w:val="none"/>
          </w:rPr>
          <w:t>https://www.patient.info</w:t>
        </w:r>
      </w:hyperlink>
    </w:p>
    <w:p w14:paraId="55151634"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Matthews, C. (2025) ADHD diagnosis: Complexity and controversy. Available at: </w:t>
      </w:r>
      <w:hyperlink r:id="rId14" w:history="1">
        <w:r w:rsidRPr="00406300">
          <w:rPr>
            <w:rStyle w:val="Hyperlink"/>
            <w:rFonts w:ascii="Calibri" w:hAnsi="Calibri" w:cs="Calibri"/>
            <w:color w:val="000000" w:themeColor="text1"/>
            <w:u w:val="none"/>
          </w:rPr>
          <w:t>https://www.psychologytoday.com</w:t>
        </w:r>
      </w:hyperlink>
    </w:p>
    <w:p w14:paraId="25019C96"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Mental Health Foundation (Evans, G.) (2024) ADHD diagnosis and assessment approaches. Available at: </w:t>
      </w:r>
      <w:hyperlink r:id="rId15" w:history="1">
        <w:r w:rsidRPr="00406300">
          <w:rPr>
            <w:rStyle w:val="Hyperlink"/>
            <w:rFonts w:ascii="Calibri" w:hAnsi="Calibri" w:cs="Calibri"/>
            <w:color w:val="000000" w:themeColor="text1"/>
            <w:u w:val="none"/>
          </w:rPr>
          <w:t>https://www.mentalhealth.org.uk</w:t>
        </w:r>
      </w:hyperlink>
    </w:p>
    <w:p w14:paraId="49E0FC36"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National Health Service (NHS) (2022) ADHD in children and young people. Available at: </w:t>
      </w:r>
      <w:hyperlink r:id="rId16" w:history="1">
        <w:r w:rsidRPr="00406300">
          <w:rPr>
            <w:rStyle w:val="Hyperlink"/>
            <w:rFonts w:ascii="Calibri" w:hAnsi="Calibri" w:cs="Calibri"/>
            <w:color w:val="000000" w:themeColor="text1"/>
            <w:u w:val="none"/>
          </w:rPr>
          <w:t>https://www.nhs.uk</w:t>
        </w:r>
      </w:hyperlink>
    </w:p>
    <w:p w14:paraId="573875AA"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National Institute for Health and Care Excellence (NICE) (2023) </w:t>
      </w:r>
      <w:proofErr w:type="gramStart"/>
      <w:r w:rsidRPr="00406300">
        <w:rPr>
          <w:rFonts w:ascii="Calibri" w:hAnsi="Calibri" w:cs="Calibri"/>
          <w:color w:val="000000" w:themeColor="text1"/>
        </w:rPr>
        <w:t>Attention deficit hyperactivity disorder</w:t>
      </w:r>
      <w:proofErr w:type="gramEnd"/>
      <w:r w:rsidRPr="00406300">
        <w:rPr>
          <w:rFonts w:ascii="Calibri" w:hAnsi="Calibri" w:cs="Calibri"/>
          <w:color w:val="000000" w:themeColor="text1"/>
        </w:rPr>
        <w:t xml:space="preserve">: Diagnosis and management (NG87). Available at: </w:t>
      </w:r>
      <w:hyperlink r:id="rId17" w:history="1">
        <w:r w:rsidRPr="00406300">
          <w:rPr>
            <w:rStyle w:val="Hyperlink"/>
            <w:rFonts w:ascii="Calibri" w:hAnsi="Calibri" w:cs="Calibri"/>
            <w:color w:val="000000" w:themeColor="text1"/>
            <w:u w:val="none"/>
          </w:rPr>
          <w:t>https://www.nice.org.uk</w:t>
        </w:r>
      </w:hyperlink>
    </w:p>
    <w:p w14:paraId="2C06D0A1"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lastRenderedPageBreak/>
        <w:t>Sayal, K., Prasad, V., Daley, D., Ford, T. and Coghill, D. (2018) ‘ADHD in children and young people: prevalence, care pathways, and service provision’, The Lancet Psychiatry, 5(2), pp. 175–186.</w:t>
      </w:r>
    </w:p>
    <w:p w14:paraId="1C7E6A1C"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The ADHD Centre (2025) ADHD in the classroom: How to recognise the signs and support students effectively. Available at: </w:t>
      </w:r>
      <w:hyperlink r:id="rId18" w:history="1">
        <w:r w:rsidRPr="00406300">
          <w:rPr>
            <w:rStyle w:val="Hyperlink"/>
            <w:rFonts w:ascii="Calibri" w:hAnsi="Calibri" w:cs="Calibri"/>
            <w:color w:val="000000" w:themeColor="text1"/>
            <w:u w:val="none"/>
          </w:rPr>
          <w:t>https://www.adhdcentre.co.uk/adhd-in-the-classroom-how-to-recognise-the-signs-support-students-effectively</w:t>
        </w:r>
      </w:hyperlink>
    </w:p>
    <w:p w14:paraId="38B981CC"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Think ADHD (n.d.) ADHD diagnosis and NHS waiting times. Available at: </w:t>
      </w:r>
      <w:hyperlink r:id="rId19" w:history="1">
        <w:r w:rsidRPr="00406300">
          <w:rPr>
            <w:rStyle w:val="Hyperlink"/>
            <w:rFonts w:ascii="Calibri" w:hAnsi="Calibri" w:cs="Calibri"/>
            <w:color w:val="000000" w:themeColor="text1"/>
            <w:u w:val="none"/>
          </w:rPr>
          <w:t>https://www.thinkadhd.co.uk</w:t>
        </w:r>
      </w:hyperlink>
    </w:p>
    <w:p w14:paraId="3FB54FD8"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Woodward, H. (n.d.) What support is available for people with ADHD in the UK? Available at: </w:t>
      </w:r>
      <w:hyperlink r:id="rId20" w:history="1">
        <w:r w:rsidRPr="00406300">
          <w:rPr>
            <w:rStyle w:val="Hyperlink"/>
            <w:rFonts w:ascii="Calibri" w:hAnsi="Calibri" w:cs="Calibri"/>
            <w:color w:val="000000" w:themeColor="text1"/>
            <w:u w:val="none"/>
          </w:rPr>
          <w:t>https://www.drharrywoodward.com</w:t>
        </w:r>
      </w:hyperlink>
    </w:p>
    <w:p w14:paraId="29C4D80E"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Young, C. (n.d.) Clinical interviewing with children. Available at: </w:t>
      </w:r>
      <w:hyperlink r:id="rId21" w:history="1">
        <w:r w:rsidRPr="00406300">
          <w:rPr>
            <w:rStyle w:val="Hyperlink"/>
            <w:rFonts w:ascii="Calibri" w:hAnsi="Calibri" w:cs="Calibri"/>
            <w:color w:val="000000" w:themeColor="text1"/>
            <w:u w:val="none"/>
          </w:rPr>
          <w:t>https://link.springer.com</w:t>
        </w:r>
      </w:hyperlink>
    </w:p>
    <w:p w14:paraId="7FA1489B" w14:textId="77777777" w:rsidR="00406300" w:rsidRPr="00406300" w:rsidRDefault="00406300" w:rsidP="00406300">
      <w:pPr>
        <w:spacing w:before="240" w:after="240"/>
        <w:rPr>
          <w:rFonts w:ascii="Calibri" w:hAnsi="Calibri" w:cs="Calibri"/>
          <w:color w:val="000000" w:themeColor="text1"/>
        </w:rPr>
      </w:pPr>
      <w:proofErr w:type="spellStart"/>
      <w:r w:rsidRPr="00406300">
        <w:rPr>
          <w:rFonts w:ascii="Calibri" w:hAnsi="Calibri" w:cs="Calibri"/>
          <w:color w:val="000000" w:themeColor="text1"/>
        </w:rPr>
        <w:t>YoungMinds</w:t>
      </w:r>
      <w:proofErr w:type="spellEnd"/>
      <w:r w:rsidRPr="00406300">
        <w:rPr>
          <w:rFonts w:ascii="Calibri" w:hAnsi="Calibri" w:cs="Calibri"/>
          <w:color w:val="000000" w:themeColor="text1"/>
        </w:rPr>
        <w:t xml:space="preserve"> (2025) ADHD support for your child. Available at: </w:t>
      </w:r>
      <w:hyperlink r:id="rId22" w:history="1">
        <w:r w:rsidRPr="00406300">
          <w:rPr>
            <w:rStyle w:val="Hyperlink"/>
            <w:rFonts w:ascii="Calibri" w:hAnsi="Calibri" w:cs="Calibri"/>
            <w:color w:val="000000" w:themeColor="text1"/>
            <w:u w:val="none"/>
          </w:rPr>
          <w:t>https://www.youngminds.org.uk</w:t>
        </w:r>
      </w:hyperlink>
    </w:p>
    <w:p w14:paraId="696B5300" w14:textId="77777777" w:rsidR="00406300" w:rsidRPr="00406300" w:rsidRDefault="00406300" w:rsidP="00406300">
      <w:pPr>
        <w:spacing w:before="240" w:after="240"/>
        <w:rPr>
          <w:rFonts w:ascii="Calibri" w:hAnsi="Calibri" w:cs="Calibri"/>
          <w:color w:val="000000" w:themeColor="text1"/>
        </w:rPr>
      </w:pPr>
      <w:r w:rsidRPr="00406300">
        <w:rPr>
          <w:rFonts w:ascii="Calibri" w:hAnsi="Calibri" w:cs="Calibri"/>
          <w:color w:val="000000" w:themeColor="text1"/>
        </w:rPr>
        <w:t xml:space="preserve">Zaks, Z. (2022) ‘Changing the medical model of disability to the normalization model of disability’, Disability and Society. Available at: </w:t>
      </w:r>
      <w:hyperlink r:id="rId23" w:history="1">
        <w:r w:rsidRPr="00406300">
          <w:rPr>
            <w:rStyle w:val="Hyperlink"/>
            <w:rFonts w:ascii="Calibri" w:hAnsi="Calibri" w:cs="Calibri"/>
            <w:color w:val="000000" w:themeColor="text1"/>
            <w:u w:val="none"/>
          </w:rPr>
          <w:t>https://www.tandfonline.com</w:t>
        </w:r>
      </w:hyperlink>
    </w:p>
    <w:p w14:paraId="492C3664" w14:textId="77777777" w:rsidR="00406300" w:rsidRDefault="00406300" w:rsidP="7ED21341">
      <w:pPr>
        <w:spacing w:before="240" w:after="240"/>
      </w:pPr>
    </w:p>
    <w:p w14:paraId="5F47330B" w14:textId="4B36C5BE" w:rsidR="7ED21341" w:rsidRPr="00406300" w:rsidRDefault="07C4A9B9" w:rsidP="7ED21341">
      <w:pPr>
        <w:spacing w:before="240" w:after="240"/>
        <w:rPr>
          <w:color w:val="000000" w:themeColor="text1"/>
        </w:rPr>
      </w:pPr>
      <w:r w:rsidRPr="00406300">
        <w:rPr>
          <w:rFonts w:ascii="Calibri Light" w:eastAsia="Calibri Light" w:hAnsi="Calibri Light" w:cs="Calibri Light"/>
          <w:b/>
          <w:bCs/>
          <w:color w:val="000000" w:themeColor="text1"/>
        </w:rPr>
        <w:t>Basic Acknowledgement format of AI tool use:</w:t>
      </w:r>
    </w:p>
    <w:p w14:paraId="4B58AE72" w14:textId="13B7120B" w:rsidR="07C4A9B9" w:rsidRPr="00406300" w:rsidRDefault="07C4A9B9" w:rsidP="7ED21341">
      <w:pPr>
        <w:spacing w:before="240" w:after="240"/>
        <w:rPr>
          <w:rFonts w:ascii="Calibri Light" w:eastAsia="Calibri Light" w:hAnsi="Calibri Light" w:cs="Calibri Light"/>
          <w:color w:val="000000" w:themeColor="text1"/>
        </w:rPr>
      </w:pPr>
      <w:r w:rsidRPr="00406300">
        <w:rPr>
          <w:rFonts w:ascii="Calibri Light" w:eastAsia="Calibri Light" w:hAnsi="Calibri Light" w:cs="Calibri Light"/>
          <w:color w:val="000000" w:themeColor="text1"/>
        </w:rPr>
        <w:t xml:space="preserve">I acknowledge the use of [AI Tool] [(AI Tool url)] on [Date] to [Purpose my work]. </w:t>
      </w:r>
    </w:p>
    <w:p w14:paraId="3AE5F47A" w14:textId="07827A48" w:rsidR="07C4A9B9" w:rsidRPr="00406300" w:rsidRDefault="07C4A9B9" w:rsidP="7ED21341">
      <w:pPr>
        <w:spacing w:before="240" w:after="240"/>
        <w:rPr>
          <w:rFonts w:ascii="Calibri Light" w:eastAsia="Calibri Light" w:hAnsi="Calibri Light" w:cs="Calibri Light"/>
          <w:color w:val="000000" w:themeColor="text1"/>
        </w:rPr>
      </w:pPr>
      <w:r w:rsidRPr="00406300">
        <w:rPr>
          <w:rFonts w:ascii="Calibri Light" w:eastAsia="Calibri Light" w:hAnsi="Calibri Light" w:cs="Calibri Light"/>
          <w:color w:val="000000" w:themeColor="text1"/>
        </w:rPr>
        <w:t xml:space="preserve">I used the prompt(s): </w:t>
      </w:r>
    </w:p>
    <w:p w14:paraId="2DFE3653" w14:textId="3C5FA22D" w:rsidR="07C4A9B9" w:rsidRPr="00406300" w:rsidRDefault="07C4A9B9" w:rsidP="7ED21341">
      <w:pPr>
        <w:spacing w:before="240" w:after="240"/>
        <w:rPr>
          <w:rFonts w:ascii="Calibri Light" w:eastAsia="Calibri Light" w:hAnsi="Calibri Light" w:cs="Calibri Light"/>
          <w:color w:val="000000" w:themeColor="text1"/>
        </w:rPr>
      </w:pPr>
      <w:r w:rsidRPr="00406300">
        <w:rPr>
          <w:rFonts w:ascii="Calibri Light" w:eastAsia="Calibri Light" w:hAnsi="Calibri Light" w:cs="Calibri Light"/>
          <w:color w:val="000000" w:themeColor="text1"/>
        </w:rPr>
        <w:t xml:space="preserve"> 1. </w:t>
      </w:r>
      <w:r w:rsidR="404ECA30" w:rsidRPr="00406300">
        <w:rPr>
          <w:rFonts w:ascii="Calibri Light" w:eastAsia="Calibri Light" w:hAnsi="Calibri Light" w:cs="Calibri Light"/>
          <w:color w:val="000000" w:themeColor="text1"/>
        </w:rPr>
        <w:t>Grammarly</w:t>
      </w:r>
      <w:r w:rsidRPr="00406300">
        <w:rPr>
          <w:color w:val="000000" w:themeColor="text1"/>
        </w:rPr>
        <w:br/>
      </w:r>
      <w:r w:rsidRPr="00406300">
        <w:rPr>
          <w:rFonts w:ascii="Calibri Light" w:eastAsia="Calibri Light" w:hAnsi="Calibri Light" w:cs="Calibri Light"/>
          <w:color w:val="000000" w:themeColor="text1"/>
        </w:rPr>
        <w:t xml:space="preserve"> 2. </w:t>
      </w:r>
      <w:r w:rsidR="7DBC5903" w:rsidRPr="00406300">
        <w:rPr>
          <w:rFonts w:ascii="Calibri Light" w:eastAsia="Calibri Light" w:hAnsi="Calibri Light" w:cs="Calibri Light"/>
          <w:color w:val="000000" w:themeColor="text1"/>
        </w:rPr>
        <w:t>Google Gemini</w:t>
      </w:r>
    </w:p>
    <w:p w14:paraId="1A10A20D" w14:textId="75B92AD9" w:rsidR="7DBC5903" w:rsidRPr="00406300" w:rsidRDefault="7DBC5903" w:rsidP="7ED21341">
      <w:pPr>
        <w:spacing w:before="240" w:after="240"/>
        <w:rPr>
          <w:rFonts w:ascii="Calibri Light" w:eastAsia="Calibri Light" w:hAnsi="Calibri Light" w:cs="Calibri Light"/>
          <w:color w:val="000000" w:themeColor="text1"/>
        </w:rPr>
      </w:pPr>
      <w:r w:rsidRPr="00406300">
        <w:rPr>
          <w:rFonts w:ascii="Calibri Light" w:eastAsia="Calibri Light" w:hAnsi="Calibri Light" w:cs="Calibri Light"/>
          <w:color w:val="000000" w:themeColor="text1"/>
        </w:rPr>
        <w:t>Used for research and text check over, spelling mistakes etc.</w:t>
      </w:r>
    </w:p>
    <w:p w14:paraId="0CE39E91" w14:textId="240E0AAC" w:rsidR="07C4A9B9" w:rsidRPr="00406300" w:rsidRDefault="07C4A9B9" w:rsidP="7ED21341">
      <w:pPr>
        <w:spacing w:before="240" w:after="240"/>
        <w:rPr>
          <w:rFonts w:ascii="Calibri Light" w:eastAsia="Calibri Light" w:hAnsi="Calibri Light" w:cs="Calibri Light"/>
          <w:color w:val="000000" w:themeColor="text1"/>
        </w:rPr>
      </w:pPr>
      <w:r w:rsidRPr="00406300">
        <w:rPr>
          <w:rFonts w:ascii="Calibri Light" w:eastAsia="Calibri Light" w:hAnsi="Calibri Light" w:cs="Calibri Light"/>
          <w:color w:val="000000" w:themeColor="text1"/>
        </w:rPr>
        <w:t>I confirm that I have not presented any AI generated text as my own work</w:t>
      </w:r>
    </w:p>
    <w:p w14:paraId="74BFFDBF" w14:textId="66C792D0" w:rsidR="07C4A9B9" w:rsidRPr="00406300" w:rsidRDefault="07C4A9B9" w:rsidP="7ED21341">
      <w:pPr>
        <w:spacing w:before="240" w:after="240"/>
        <w:rPr>
          <w:rFonts w:ascii="Calibri Light" w:eastAsia="Calibri Light" w:hAnsi="Calibri Light" w:cs="Calibri Light"/>
          <w:color w:val="000000" w:themeColor="text1"/>
        </w:rPr>
      </w:pPr>
      <w:r w:rsidRPr="00406300">
        <w:rPr>
          <w:rFonts w:ascii="Calibri Light" w:eastAsia="Calibri Light" w:hAnsi="Calibri Light" w:cs="Calibri Light"/>
          <w:color w:val="000000" w:themeColor="text1"/>
        </w:rPr>
        <w:lastRenderedPageBreak/>
        <w:t>I confirm I have copies of my drafts, notes, and other resources I used before, and after the use of AI tools which I may be asked to provide in evidence.</w:t>
      </w:r>
    </w:p>
    <w:p w14:paraId="44222A26" w14:textId="5EFCB843" w:rsidR="7ED21341" w:rsidRDefault="7ED21341" w:rsidP="7ED21341">
      <w:pPr>
        <w:spacing w:before="240" w:after="240"/>
        <w:rPr>
          <w:rFonts w:ascii="Calibri Light" w:eastAsia="Calibri Light" w:hAnsi="Calibri Light" w:cs="Calibri Light"/>
        </w:rPr>
      </w:pPr>
    </w:p>
    <w:p w14:paraId="729C4C49" w14:textId="7E54EA24" w:rsidR="7ED21341" w:rsidRDefault="7ED21341" w:rsidP="7ED21341">
      <w:pPr>
        <w:spacing w:before="240" w:after="240"/>
        <w:rPr>
          <w:rFonts w:ascii="Calibri Light" w:eastAsia="Calibri Light" w:hAnsi="Calibri Light" w:cs="Calibri Light"/>
        </w:rPr>
      </w:pPr>
    </w:p>
    <w:p w14:paraId="5D4276B8" w14:textId="6D83EC17" w:rsidR="7ED21341" w:rsidRDefault="7ED21341" w:rsidP="7ED21341">
      <w:pPr>
        <w:spacing w:before="240" w:after="240"/>
        <w:rPr>
          <w:rFonts w:ascii="Calibri Light" w:eastAsia="Calibri Light" w:hAnsi="Calibri Light" w:cs="Calibri Light"/>
          <w:b/>
          <w:bCs/>
          <w:u w:val="single"/>
        </w:rPr>
      </w:pPr>
    </w:p>
    <w:p w14:paraId="30318790" w14:textId="3B22556B" w:rsidR="7ED21341" w:rsidRDefault="7ED21341" w:rsidP="7ED21341">
      <w:pPr>
        <w:spacing w:before="240" w:after="240"/>
        <w:rPr>
          <w:rFonts w:ascii="Calibri Light" w:eastAsia="Calibri Light" w:hAnsi="Calibri Light" w:cs="Calibri Light"/>
        </w:rPr>
      </w:pPr>
    </w:p>
    <w:p w14:paraId="656C44B7" w14:textId="3C66F0EC" w:rsidR="7ED21341" w:rsidRDefault="7ED21341" w:rsidP="7ED21341">
      <w:pPr>
        <w:spacing w:before="240" w:after="240"/>
        <w:rPr>
          <w:rFonts w:ascii="Aptos" w:eastAsia="Aptos" w:hAnsi="Aptos" w:cs="Aptos"/>
        </w:rPr>
      </w:pPr>
    </w:p>
    <w:p w14:paraId="779BD2FF" w14:textId="02D08313" w:rsidR="7ED21341" w:rsidRDefault="7ED21341" w:rsidP="7ED21341">
      <w:pPr>
        <w:spacing w:before="240" w:after="240"/>
        <w:rPr>
          <w:rFonts w:ascii="Aptos" w:eastAsia="Aptos" w:hAnsi="Aptos" w:cs="Aptos"/>
        </w:rPr>
      </w:pPr>
    </w:p>
    <w:p w14:paraId="75834606" w14:textId="661F671C" w:rsidR="7ED21341" w:rsidRDefault="7ED21341" w:rsidP="7ED21341">
      <w:pPr>
        <w:spacing w:before="240" w:after="240"/>
        <w:rPr>
          <w:rFonts w:ascii="Aptos" w:eastAsia="Aptos" w:hAnsi="Aptos" w:cs="Aptos"/>
        </w:rPr>
      </w:pPr>
    </w:p>
    <w:p w14:paraId="436EFE14" w14:textId="7C15CBEE" w:rsidR="7ED21341" w:rsidRDefault="7ED21341" w:rsidP="7ED21341">
      <w:pPr>
        <w:rPr>
          <w:b/>
          <w:bCs/>
          <w:sz w:val="28"/>
          <w:szCs w:val="28"/>
          <w:u w:val="single"/>
        </w:rPr>
      </w:pPr>
    </w:p>
    <w:p w14:paraId="07CF0428" w14:textId="49F1DC0F" w:rsidR="7ED21341" w:rsidRDefault="7ED21341" w:rsidP="7ED21341"/>
    <w:sectPr w:rsidR="7ED21341">
      <w:headerReference w:type="default" r:id="rId2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F9E222" w14:textId="77777777" w:rsidR="00F55423" w:rsidRDefault="00F55423" w:rsidP="006F6882">
      <w:pPr>
        <w:spacing w:after="0" w:line="240" w:lineRule="auto"/>
      </w:pPr>
      <w:r>
        <w:separator/>
      </w:r>
    </w:p>
  </w:endnote>
  <w:endnote w:type="continuationSeparator" w:id="0">
    <w:p w14:paraId="6A156894" w14:textId="77777777" w:rsidR="00F55423" w:rsidRDefault="00F55423" w:rsidP="006F68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10647B" w14:textId="77777777" w:rsidR="00F55423" w:rsidRDefault="00F55423" w:rsidP="006F6882">
      <w:pPr>
        <w:spacing w:after="0" w:line="240" w:lineRule="auto"/>
      </w:pPr>
      <w:r>
        <w:separator/>
      </w:r>
    </w:p>
  </w:footnote>
  <w:footnote w:type="continuationSeparator" w:id="0">
    <w:p w14:paraId="2054923E" w14:textId="77777777" w:rsidR="00F55423" w:rsidRDefault="00F55423" w:rsidP="006F68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8934FA" w14:textId="5F472C87" w:rsidR="006F6882" w:rsidRDefault="006F6882">
    <w:pPr>
      <w:pStyle w:val="Header"/>
    </w:pPr>
    <w:r>
      <w:t>Kelsey Myles</w:t>
    </w:r>
    <w:r>
      <w:ptab w:relativeTo="margin" w:alignment="center" w:leader="none"/>
    </w:r>
    <w:r w:rsidR="00406300">
      <w:t>ECEY6006</w:t>
    </w:r>
    <w:r>
      <w:ptab w:relativeTo="margin" w:alignment="right" w:leader="none"/>
    </w:r>
    <w:r w:rsidR="00406300">
      <w:t>2305254</w:t>
    </w:r>
  </w:p>
</w:hdr>
</file>

<file path=word/intelligence2.xml><?xml version="1.0" encoding="utf-8"?>
<int2:intelligence xmlns:int2="http://schemas.microsoft.com/office/intelligence/2020/intelligence" xmlns:oel="http://schemas.microsoft.com/office/2019/extlst">
  <int2:observations>
    <int2:textHash int2:hashCode="zPJWlvCfvtssz6" int2:id="EnS88L25">
      <int2:state int2:value="Rejected" int2:type="spell"/>
    </int2:textHash>
    <int2:textHash int2:hashCode="xdQyoR0PppzojD" int2:id="n4g8jrj1">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332070"/>
    <w:multiLevelType w:val="hybridMultilevel"/>
    <w:tmpl w:val="4F7EEB50"/>
    <w:lvl w:ilvl="0" w:tplc="DBF28554">
      <w:start w:val="1"/>
      <w:numFmt w:val="bullet"/>
      <w:lvlText w:val=""/>
      <w:lvlJc w:val="left"/>
      <w:pPr>
        <w:ind w:left="720" w:hanging="360"/>
      </w:pPr>
      <w:rPr>
        <w:rFonts w:ascii="Symbol" w:hAnsi="Symbol" w:hint="default"/>
      </w:rPr>
    </w:lvl>
    <w:lvl w:ilvl="1" w:tplc="753C09A4">
      <w:start w:val="1"/>
      <w:numFmt w:val="bullet"/>
      <w:lvlText w:val="o"/>
      <w:lvlJc w:val="left"/>
      <w:pPr>
        <w:ind w:left="1440" w:hanging="360"/>
      </w:pPr>
      <w:rPr>
        <w:rFonts w:ascii="Courier New" w:hAnsi="Courier New" w:hint="default"/>
      </w:rPr>
    </w:lvl>
    <w:lvl w:ilvl="2" w:tplc="42008D16">
      <w:start w:val="1"/>
      <w:numFmt w:val="bullet"/>
      <w:lvlText w:val=""/>
      <w:lvlJc w:val="left"/>
      <w:pPr>
        <w:ind w:left="2160" w:hanging="360"/>
      </w:pPr>
      <w:rPr>
        <w:rFonts w:ascii="Wingdings" w:hAnsi="Wingdings" w:hint="default"/>
      </w:rPr>
    </w:lvl>
    <w:lvl w:ilvl="3" w:tplc="17C2ABCA">
      <w:start w:val="1"/>
      <w:numFmt w:val="bullet"/>
      <w:lvlText w:val=""/>
      <w:lvlJc w:val="left"/>
      <w:pPr>
        <w:ind w:left="2880" w:hanging="360"/>
      </w:pPr>
      <w:rPr>
        <w:rFonts w:ascii="Symbol" w:hAnsi="Symbol" w:hint="default"/>
      </w:rPr>
    </w:lvl>
    <w:lvl w:ilvl="4" w:tplc="DF58C2A6">
      <w:start w:val="1"/>
      <w:numFmt w:val="bullet"/>
      <w:lvlText w:val="o"/>
      <w:lvlJc w:val="left"/>
      <w:pPr>
        <w:ind w:left="3600" w:hanging="360"/>
      </w:pPr>
      <w:rPr>
        <w:rFonts w:ascii="Courier New" w:hAnsi="Courier New" w:hint="default"/>
      </w:rPr>
    </w:lvl>
    <w:lvl w:ilvl="5" w:tplc="D75C9784">
      <w:start w:val="1"/>
      <w:numFmt w:val="bullet"/>
      <w:lvlText w:val=""/>
      <w:lvlJc w:val="left"/>
      <w:pPr>
        <w:ind w:left="4320" w:hanging="360"/>
      </w:pPr>
      <w:rPr>
        <w:rFonts w:ascii="Wingdings" w:hAnsi="Wingdings" w:hint="default"/>
      </w:rPr>
    </w:lvl>
    <w:lvl w:ilvl="6" w:tplc="3DAC611C">
      <w:start w:val="1"/>
      <w:numFmt w:val="bullet"/>
      <w:lvlText w:val=""/>
      <w:lvlJc w:val="left"/>
      <w:pPr>
        <w:ind w:left="5040" w:hanging="360"/>
      </w:pPr>
      <w:rPr>
        <w:rFonts w:ascii="Symbol" w:hAnsi="Symbol" w:hint="default"/>
      </w:rPr>
    </w:lvl>
    <w:lvl w:ilvl="7" w:tplc="D9727D06">
      <w:start w:val="1"/>
      <w:numFmt w:val="bullet"/>
      <w:lvlText w:val="o"/>
      <w:lvlJc w:val="left"/>
      <w:pPr>
        <w:ind w:left="5760" w:hanging="360"/>
      </w:pPr>
      <w:rPr>
        <w:rFonts w:ascii="Courier New" w:hAnsi="Courier New" w:hint="default"/>
      </w:rPr>
    </w:lvl>
    <w:lvl w:ilvl="8" w:tplc="B22A7596">
      <w:start w:val="1"/>
      <w:numFmt w:val="bullet"/>
      <w:lvlText w:val=""/>
      <w:lvlJc w:val="left"/>
      <w:pPr>
        <w:ind w:left="6480" w:hanging="360"/>
      </w:pPr>
      <w:rPr>
        <w:rFonts w:ascii="Wingdings" w:hAnsi="Wingdings" w:hint="default"/>
      </w:rPr>
    </w:lvl>
  </w:abstractNum>
  <w:abstractNum w:abstractNumId="1" w15:restartNumberingAfterBreak="0">
    <w:nsid w:val="6B1A4EFE"/>
    <w:multiLevelType w:val="hybridMultilevel"/>
    <w:tmpl w:val="27AA01DC"/>
    <w:lvl w:ilvl="0" w:tplc="8CDA0294">
      <w:start w:val="1"/>
      <w:numFmt w:val="bullet"/>
      <w:lvlText w:val=""/>
      <w:lvlJc w:val="left"/>
      <w:pPr>
        <w:ind w:left="720" w:hanging="360"/>
      </w:pPr>
      <w:rPr>
        <w:rFonts w:ascii="Symbol" w:hAnsi="Symbol" w:hint="default"/>
      </w:rPr>
    </w:lvl>
    <w:lvl w:ilvl="1" w:tplc="349C8F72">
      <w:start w:val="1"/>
      <w:numFmt w:val="bullet"/>
      <w:lvlText w:val="o"/>
      <w:lvlJc w:val="left"/>
      <w:pPr>
        <w:ind w:left="1440" w:hanging="360"/>
      </w:pPr>
      <w:rPr>
        <w:rFonts w:ascii="Courier New" w:hAnsi="Courier New" w:hint="default"/>
      </w:rPr>
    </w:lvl>
    <w:lvl w:ilvl="2" w:tplc="B3880B32">
      <w:start w:val="1"/>
      <w:numFmt w:val="bullet"/>
      <w:lvlText w:val=""/>
      <w:lvlJc w:val="left"/>
      <w:pPr>
        <w:ind w:left="2160" w:hanging="360"/>
      </w:pPr>
      <w:rPr>
        <w:rFonts w:ascii="Wingdings" w:hAnsi="Wingdings" w:hint="default"/>
      </w:rPr>
    </w:lvl>
    <w:lvl w:ilvl="3" w:tplc="01B846A2">
      <w:start w:val="1"/>
      <w:numFmt w:val="bullet"/>
      <w:lvlText w:val=""/>
      <w:lvlJc w:val="left"/>
      <w:pPr>
        <w:ind w:left="2880" w:hanging="360"/>
      </w:pPr>
      <w:rPr>
        <w:rFonts w:ascii="Symbol" w:hAnsi="Symbol" w:hint="default"/>
      </w:rPr>
    </w:lvl>
    <w:lvl w:ilvl="4" w:tplc="45AC2AF2">
      <w:start w:val="1"/>
      <w:numFmt w:val="bullet"/>
      <w:lvlText w:val="o"/>
      <w:lvlJc w:val="left"/>
      <w:pPr>
        <w:ind w:left="3600" w:hanging="360"/>
      </w:pPr>
      <w:rPr>
        <w:rFonts w:ascii="Courier New" w:hAnsi="Courier New" w:hint="default"/>
      </w:rPr>
    </w:lvl>
    <w:lvl w:ilvl="5" w:tplc="CE66BC70">
      <w:start w:val="1"/>
      <w:numFmt w:val="bullet"/>
      <w:lvlText w:val=""/>
      <w:lvlJc w:val="left"/>
      <w:pPr>
        <w:ind w:left="4320" w:hanging="360"/>
      </w:pPr>
      <w:rPr>
        <w:rFonts w:ascii="Wingdings" w:hAnsi="Wingdings" w:hint="default"/>
      </w:rPr>
    </w:lvl>
    <w:lvl w:ilvl="6" w:tplc="B13267F0">
      <w:start w:val="1"/>
      <w:numFmt w:val="bullet"/>
      <w:lvlText w:val=""/>
      <w:lvlJc w:val="left"/>
      <w:pPr>
        <w:ind w:left="5040" w:hanging="360"/>
      </w:pPr>
      <w:rPr>
        <w:rFonts w:ascii="Symbol" w:hAnsi="Symbol" w:hint="default"/>
      </w:rPr>
    </w:lvl>
    <w:lvl w:ilvl="7" w:tplc="EB42C32C">
      <w:start w:val="1"/>
      <w:numFmt w:val="bullet"/>
      <w:lvlText w:val="o"/>
      <w:lvlJc w:val="left"/>
      <w:pPr>
        <w:ind w:left="5760" w:hanging="360"/>
      </w:pPr>
      <w:rPr>
        <w:rFonts w:ascii="Courier New" w:hAnsi="Courier New" w:hint="default"/>
      </w:rPr>
    </w:lvl>
    <w:lvl w:ilvl="8" w:tplc="2B663180">
      <w:start w:val="1"/>
      <w:numFmt w:val="bullet"/>
      <w:lvlText w:val=""/>
      <w:lvlJc w:val="left"/>
      <w:pPr>
        <w:ind w:left="6480" w:hanging="360"/>
      </w:pPr>
      <w:rPr>
        <w:rFonts w:ascii="Wingdings" w:hAnsi="Wingdings" w:hint="default"/>
      </w:rPr>
    </w:lvl>
  </w:abstractNum>
  <w:abstractNum w:abstractNumId="2" w15:restartNumberingAfterBreak="0">
    <w:nsid w:val="6B31C971"/>
    <w:multiLevelType w:val="hybridMultilevel"/>
    <w:tmpl w:val="CA8E27DA"/>
    <w:lvl w:ilvl="0" w:tplc="310AA7BE">
      <w:start w:val="1"/>
      <w:numFmt w:val="bullet"/>
      <w:lvlText w:val=""/>
      <w:lvlJc w:val="left"/>
      <w:pPr>
        <w:ind w:left="720" w:hanging="360"/>
      </w:pPr>
      <w:rPr>
        <w:rFonts w:ascii="Symbol" w:hAnsi="Symbol" w:hint="default"/>
      </w:rPr>
    </w:lvl>
    <w:lvl w:ilvl="1" w:tplc="97725BB8">
      <w:start w:val="1"/>
      <w:numFmt w:val="bullet"/>
      <w:lvlText w:val="o"/>
      <w:lvlJc w:val="left"/>
      <w:pPr>
        <w:ind w:left="1440" w:hanging="360"/>
      </w:pPr>
      <w:rPr>
        <w:rFonts w:ascii="Courier New" w:hAnsi="Courier New" w:hint="default"/>
      </w:rPr>
    </w:lvl>
    <w:lvl w:ilvl="2" w:tplc="344A6B16">
      <w:start w:val="1"/>
      <w:numFmt w:val="bullet"/>
      <w:lvlText w:val=""/>
      <w:lvlJc w:val="left"/>
      <w:pPr>
        <w:ind w:left="2160" w:hanging="360"/>
      </w:pPr>
      <w:rPr>
        <w:rFonts w:ascii="Wingdings" w:hAnsi="Wingdings" w:hint="default"/>
      </w:rPr>
    </w:lvl>
    <w:lvl w:ilvl="3" w:tplc="A76081B4">
      <w:start w:val="1"/>
      <w:numFmt w:val="bullet"/>
      <w:lvlText w:val=""/>
      <w:lvlJc w:val="left"/>
      <w:pPr>
        <w:ind w:left="2880" w:hanging="360"/>
      </w:pPr>
      <w:rPr>
        <w:rFonts w:ascii="Symbol" w:hAnsi="Symbol" w:hint="default"/>
      </w:rPr>
    </w:lvl>
    <w:lvl w:ilvl="4" w:tplc="49827B76">
      <w:start w:val="1"/>
      <w:numFmt w:val="bullet"/>
      <w:lvlText w:val="o"/>
      <w:lvlJc w:val="left"/>
      <w:pPr>
        <w:ind w:left="3600" w:hanging="360"/>
      </w:pPr>
      <w:rPr>
        <w:rFonts w:ascii="Courier New" w:hAnsi="Courier New" w:hint="default"/>
      </w:rPr>
    </w:lvl>
    <w:lvl w:ilvl="5" w:tplc="00145016">
      <w:start w:val="1"/>
      <w:numFmt w:val="bullet"/>
      <w:lvlText w:val=""/>
      <w:lvlJc w:val="left"/>
      <w:pPr>
        <w:ind w:left="4320" w:hanging="360"/>
      </w:pPr>
      <w:rPr>
        <w:rFonts w:ascii="Wingdings" w:hAnsi="Wingdings" w:hint="default"/>
      </w:rPr>
    </w:lvl>
    <w:lvl w:ilvl="6" w:tplc="D0806BE4">
      <w:start w:val="1"/>
      <w:numFmt w:val="bullet"/>
      <w:lvlText w:val=""/>
      <w:lvlJc w:val="left"/>
      <w:pPr>
        <w:ind w:left="5040" w:hanging="360"/>
      </w:pPr>
      <w:rPr>
        <w:rFonts w:ascii="Symbol" w:hAnsi="Symbol" w:hint="default"/>
      </w:rPr>
    </w:lvl>
    <w:lvl w:ilvl="7" w:tplc="6E808812">
      <w:start w:val="1"/>
      <w:numFmt w:val="bullet"/>
      <w:lvlText w:val="o"/>
      <w:lvlJc w:val="left"/>
      <w:pPr>
        <w:ind w:left="5760" w:hanging="360"/>
      </w:pPr>
      <w:rPr>
        <w:rFonts w:ascii="Courier New" w:hAnsi="Courier New" w:hint="default"/>
      </w:rPr>
    </w:lvl>
    <w:lvl w:ilvl="8" w:tplc="8E8AC164">
      <w:start w:val="1"/>
      <w:numFmt w:val="bullet"/>
      <w:lvlText w:val=""/>
      <w:lvlJc w:val="left"/>
      <w:pPr>
        <w:ind w:left="6480" w:hanging="360"/>
      </w:pPr>
      <w:rPr>
        <w:rFonts w:ascii="Wingdings" w:hAnsi="Wingdings" w:hint="default"/>
      </w:rPr>
    </w:lvl>
  </w:abstractNum>
  <w:abstractNum w:abstractNumId="3" w15:restartNumberingAfterBreak="0">
    <w:nsid w:val="7B00E817"/>
    <w:multiLevelType w:val="hybridMultilevel"/>
    <w:tmpl w:val="C31EED94"/>
    <w:lvl w:ilvl="0" w:tplc="E112ECC4">
      <w:start w:val="1"/>
      <w:numFmt w:val="bullet"/>
      <w:lvlText w:val=""/>
      <w:lvlJc w:val="left"/>
      <w:pPr>
        <w:ind w:left="720" w:hanging="360"/>
      </w:pPr>
      <w:rPr>
        <w:rFonts w:ascii="Symbol" w:hAnsi="Symbol" w:hint="default"/>
      </w:rPr>
    </w:lvl>
    <w:lvl w:ilvl="1" w:tplc="B2E0BAE0">
      <w:start w:val="1"/>
      <w:numFmt w:val="bullet"/>
      <w:lvlText w:val="o"/>
      <w:lvlJc w:val="left"/>
      <w:pPr>
        <w:ind w:left="1440" w:hanging="360"/>
      </w:pPr>
      <w:rPr>
        <w:rFonts w:ascii="Courier New" w:hAnsi="Courier New" w:hint="default"/>
      </w:rPr>
    </w:lvl>
    <w:lvl w:ilvl="2" w:tplc="CD0A917A">
      <w:start w:val="1"/>
      <w:numFmt w:val="bullet"/>
      <w:lvlText w:val=""/>
      <w:lvlJc w:val="left"/>
      <w:pPr>
        <w:ind w:left="2160" w:hanging="360"/>
      </w:pPr>
      <w:rPr>
        <w:rFonts w:ascii="Wingdings" w:hAnsi="Wingdings" w:hint="default"/>
      </w:rPr>
    </w:lvl>
    <w:lvl w:ilvl="3" w:tplc="7F566BEE">
      <w:start w:val="1"/>
      <w:numFmt w:val="bullet"/>
      <w:lvlText w:val=""/>
      <w:lvlJc w:val="left"/>
      <w:pPr>
        <w:ind w:left="2880" w:hanging="360"/>
      </w:pPr>
      <w:rPr>
        <w:rFonts w:ascii="Symbol" w:hAnsi="Symbol" w:hint="default"/>
      </w:rPr>
    </w:lvl>
    <w:lvl w:ilvl="4" w:tplc="0C68427A">
      <w:start w:val="1"/>
      <w:numFmt w:val="bullet"/>
      <w:lvlText w:val="o"/>
      <w:lvlJc w:val="left"/>
      <w:pPr>
        <w:ind w:left="3600" w:hanging="360"/>
      </w:pPr>
      <w:rPr>
        <w:rFonts w:ascii="Courier New" w:hAnsi="Courier New" w:hint="default"/>
      </w:rPr>
    </w:lvl>
    <w:lvl w:ilvl="5" w:tplc="D848E510">
      <w:start w:val="1"/>
      <w:numFmt w:val="bullet"/>
      <w:lvlText w:val=""/>
      <w:lvlJc w:val="left"/>
      <w:pPr>
        <w:ind w:left="4320" w:hanging="360"/>
      </w:pPr>
      <w:rPr>
        <w:rFonts w:ascii="Wingdings" w:hAnsi="Wingdings" w:hint="default"/>
      </w:rPr>
    </w:lvl>
    <w:lvl w:ilvl="6" w:tplc="1F96323E">
      <w:start w:val="1"/>
      <w:numFmt w:val="bullet"/>
      <w:lvlText w:val=""/>
      <w:lvlJc w:val="left"/>
      <w:pPr>
        <w:ind w:left="5040" w:hanging="360"/>
      </w:pPr>
      <w:rPr>
        <w:rFonts w:ascii="Symbol" w:hAnsi="Symbol" w:hint="default"/>
      </w:rPr>
    </w:lvl>
    <w:lvl w:ilvl="7" w:tplc="BB9AAA28">
      <w:start w:val="1"/>
      <w:numFmt w:val="bullet"/>
      <w:lvlText w:val="o"/>
      <w:lvlJc w:val="left"/>
      <w:pPr>
        <w:ind w:left="5760" w:hanging="360"/>
      </w:pPr>
      <w:rPr>
        <w:rFonts w:ascii="Courier New" w:hAnsi="Courier New" w:hint="default"/>
      </w:rPr>
    </w:lvl>
    <w:lvl w:ilvl="8" w:tplc="4B72B078">
      <w:start w:val="1"/>
      <w:numFmt w:val="bullet"/>
      <w:lvlText w:val=""/>
      <w:lvlJc w:val="left"/>
      <w:pPr>
        <w:ind w:left="6480" w:hanging="360"/>
      </w:pPr>
      <w:rPr>
        <w:rFonts w:ascii="Wingdings" w:hAnsi="Wingdings" w:hint="default"/>
      </w:rPr>
    </w:lvl>
  </w:abstractNum>
  <w:abstractNum w:abstractNumId="4" w15:restartNumberingAfterBreak="0">
    <w:nsid w:val="7B9E91F4"/>
    <w:multiLevelType w:val="hybridMultilevel"/>
    <w:tmpl w:val="74F684EE"/>
    <w:lvl w:ilvl="0" w:tplc="22660898">
      <w:start w:val="1"/>
      <w:numFmt w:val="bullet"/>
      <w:lvlText w:val=""/>
      <w:lvlJc w:val="left"/>
      <w:pPr>
        <w:ind w:left="720" w:hanging="360"/>
      </w:pPr>
      <w:rPr>
        <w:rFonts w:ascii="Symbol" w:hAnsi="Symbol" w:hint="default"/>
      </w:rPr>
    </w:lvl>
    <w:lvl w:ilvl="1" w:tplc="EB68763E">
      <w:start w:val="1"/>
      <w:numFmt w:val="bullet"/>
      <w:lvlText w:val="o"/>
      <w:lvlJc w:val="left"/>
      <w:pPr>
        <w:ind w:left="1440" w:hanging="360"/>
      </w:pPr>
      <w:rPr>
        <w:rFonts w:ascii="Courier New" w:hAnsi="Courier New" w:hint="default"/>
      </w:rPr>
    </w:lvl>
    <w:lvl w:ilvl="2" w:tplc="9790E908">
      <w:start w:val="1"/>
      <w:numFmt w:val="bullet"/>
      <w:lvlText w:val=""/>
      <w:lvlJc w:val="left"/>
      <w:pPr>
        <w:ind w:left="2160" w:hanging="360"/>
      </w:pPr>
      <w:rPr>
        <w:rFonts w:ascii="Wingdings" w:hAnsi="Wingdings" w:hint="default"/>
      </w:rPr>
    </w:lvl>
    <w:lvl w:ilvl="3" w:tplc="5DA042AA">
      <w:start w:val="1"/>
      <w:numFmt w:val="bullet"/>
      <w:lvlText w:val=""/>
      <w:lvlJc w:val="left"/>
      <w:pPr>
        <w:ind w:left="2880" w:hanging="360"/>
      </w:pPr>
      <w:rPr>
        <w:rFonts w:ascii="Symbol" w:hAnsi="Symbol" w:hint="default"/>
      </w:rPr>
    </w:lvl>
    <w:lvl w:ilvl="4" w:tplc="FDB0FB64">
      <w:start w:val="1"/>
      <w:numFmt w:val="bullet"/>
      <w:lvlText w:val="o"/>
      <w:lvlJc w:val="left"/>
      <w:pPr>
        <w:ind w:left="3600" w:hanging="360"/>
      </w:pPr>
      <w:rPr>
        <w:rFonts w:ascii="Courier New" w:hAnsi="Courier New" w:hint="default"/>
      </w:rPr>
    </w:lvl>
    <w:lvl w:ilvl="5" w:tplc="E87EF230">
      <w:start w:val="1"/>
      <w:numFmt w:val="bullet"/>
      <w:lvlText w:val=""/>
      <w:lvlJc w:val="left"/>
      <w:pPr>
        <w:ind w:left="4320" w:hanging="360"/>
      </w:pPr>
      <w:rPr>
        <w:rFonts w:ascii="Wingdings" w:hAnsi="Wingdings" w:hint="default"/>
      </w:rPr>
    </w:lvl>
    <w:lvl w:ilvl="6" w:tplc="DCC037BA">
      <w:start w:val="1"/>
      <w:numFmt w:val="bullet"/>
      <w:lvlText w:val=""/>
      <w:lvlJc w:val="left"/>
      <w:pPr>
        <w:ind w:left="5040" w:hanging="360"/>
      </w:pPr>
      <w:rPr>
        <w:rFonts w:ascii="Symbol" w:hAnsi="Symbol" w:hint="default"/>
      </w:rPr>
    </w:lvl>
    <w:lvl w:ilvl="7" w:tplc="4E7C52BE">
      <w:start w:val="1"/>
      <w:numFmt w:val="bullet"/>
      <w:lvlText w:val="o"/>
      <w:lvlJc w:val="left"/>
      <w:pPr>
        <w:ind w:left="5760" w:hanging="360"/>
      </w:pPr>
      <w:rPr>
        <w:rFonts w:ascii="Courier New" w:hAnsi="Courier New" w:hint="default"/>
      </w:rPr>
    </w:lvl>
    <w:lvl w:ilvl="8" w:tplc="BFDE52FC">
      <w:start w:val="1"/>
      <w:numFmt w:val="bullet"/>
      <w:lvlText w:val=""/>
      <w:lvlJc w:val="left"/>
      <w:pPr>
        <w:ind w:left="6480" w:hanging="360"/>
      </w:pPr>
      <w:rPr>
        <w:rFonts w:ascii="Wingdings" w:hAnsi="Wingdings" w:hint="default"/>
      </w:rPr>
    </w:lvl>
  </w:abstractNum>
  <w:num w:numId="1" w16cid:durableId="986057520">
    <w:abstractNumId w:val="1"/>
  </w:num>
  <w:num w:numId="2" w16cid:durableId="1455713074">
    <w:abstractNumId w:val="2"/>
  </w:num>
  <w:num w:numId="3" w16cid:durableId="2138598391">
    <w:abstractNumId w:val="3"/>
  </w:num>
  <w:num w:numId="4" w16cid:durableId="828447429">
    <w:abstractNumId w:val="4"/>
  </w:num>
  <w:num w:numId="5" w16cid:durableId="5701219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4B0962A"/>
    <w:rsid w:val="00382EA4"/>
    <w:rsid w:val="003962C8"/>
    <w:rsid w:val="00406300"/>
    <w:rsid w:val="00591C5F"/>
    <w:rsid w:val="00694E10"/>
    <w:rsid w:val="006F6882"/>
    <w:rsid w:val="008F11F3"/>
    <w:rsid w:val="00B6166C"/>
    <w:rsid w:val="00F55423"/>
    <w:rsid w:val="014B6617"/>
    <w:rsid w:val="01AF243C"/>
    <w:rsid w:val="01C8F51C"/>
    <w:rsid w:val="01E1A6D9"/>
    <w:rsid w:val="01EB335E"/>
    <w:rsid w:val="030AC999"/>
    <w:rsid w:val="03714A3B"/>
    <w:rsid w:val="0382EFE0"/>
    <w:rsid w:val="0429B5FA"/>
    <w:rsid w:val="04A1DFA1"/>
    <w:rsid w:val="04B0962A"/>
    <w:rsid w:val="05B5D035"/>
    <w:rsid w:val="05BC9661"/>
    <w:rsid w:val="064C1EF7"/>
    <w:rsid w:val="06A9CE69"/>
    <w:rsid w:val="06BF1C9D"/>
    <w:rsid w:val="06D3E837"/>
    <w:rsid w:val="07A359EA"/>
    <w:rsid w:val="07C4A9B9"/>
    <w:rsid w:val="07E616BC"/>
    <w:rsid w:val="08465149"/>
    <w:rsid w:val="0863AF59"/>
    <w:rsid w:val="08F4DB65"/>
    <w:rsid w:val="08F53231"/>
    <w:rsid w:val="0915FD13"/>
    <w:rsid w:val="0B36A438"/>
    <w:rsid w:val="0B9B9E3E"/>
    <w:rsid w:val="0C0F0EA6"/>
    <w:rsid w:val="0C3DDF00"/>
    <w:rsid w:val="0CD90216"/>
    <w:rsid w:val="0D12C559"/>
    <w:rsid w:val="0D23A56A"/>
    <w:rsid w:val="0DCAACF3"/>
    <w:rsid w:val="0DF541C9"/>
    <w:rsid w:val="0DF8C11D"/>
    <w:rsid w:val="0DFF247F"/>
    <w:rsid w:val="0F2DA87B"/>
    <w:rsid w:val="0F3391CE"/>
    <w:rsid w:val="0F9AFF62"/>
    <w:rsid w:val="1071013F"/>
    <w:rsid w:val="108F6884"/>
    <w:rsid w:val="11F0B89C"/>
    <w:rsid w:val="1248EA46"/>
    <w:rsid w:val="12B20277"/>
    <w:rsid w:val="12BBA50D"/>
    <w:rsid w:val="1321FA29"/>
    <w:rsid w:val="133CAE11"/>
    <w:rsid w:val="1376498C"/>
    <w:rsid w:val="13CD1EC7"/>
    <w:rsid w:val="13CE0758"/>
    <w:rsid w:val="142DD7C7"/>
    <w:rsid w:val="1438BCF7"/>
    <w:rsid w:val="14557D3B"/>
    <w:rsid w:val="148BE474"/>
    <w:rsid w:val="14D447EF"/>
    <w:rsid w:val="14F7FCE9"/>
    <w:rsid w:val="150311FF"/>
    <w:rsid w:val="1591CACA"/>
    <w:rsid w:val="159717D7"/>
    <w:rsid w:val="16071A63"/>
    <w:rsid w:val="177F9705"/>
    <w:rsid w:val="1787C131"/>
    <w:rsid w:val="1793784E"/>
    <w:rsid w:val="17EE0009"/>
    <w:rsid w:val="17EECECC"/>
    <w:rsid w:val="18B30389"/>
    <w:rsid w:val="18CF1F39"/>
    <w:rsid w:val="19D19D2E"/>
    <w:rsid w:val="1A95A0FA"/>
    <w:rsid w:val="1BB3DCB3"/>
    <w:rsid w:val="1C3607C2"/>
    <w:rsid w:val="1C42BD04"/>
    <w:rsid w:val="1CF6B014"/>
    <w:rsid w:val="1D7D5796"/>
    <w:rsid w:val="1DD9AAE2"/>
    <w:rsid w:val="1E0B58AD"/>
    <w:rsid w:val="1EEA21C0"/>
    <w:rsid w:val="1EF1F102"/>
    <w:rsid w:val="1F20AAF0"/>
    <w:rsid w:val="1F820884"/>
    <w:rsid w:val="1FBBE4BF"/>
    <w:rsid w:val="2019242B"/>
    <w:rsid w:val="212E39E2"/>
    <w:rsid w:val="2182E97D"/>
    <w:rsid w:val="21BD007E"/>
    <w:rsid w:val="225453FC"/>
    <w:rsid w:val="22B85768"/>
    <w:rsid w:val="22BCA972"/>
    <w:rsid w:val="230805DF"/>
    <w:rsid w:val="23194C8F"/>
    <w:rsid w:val="23B8FDB0"/>
    <w:rsid w:val="23B95063"/>
    <w:rsid w:val="23E5BDA4"/>
    <w:rsid w:val="2489953A"/>
    <w:rsid w:val="254C88E6"/>
    <w:rsid w:val="256C274B"/>
    <w:rsid w:val="25C66BF8"/>
    <w:rsid w:val="261BC606"/>
    <w:rsid w:val="26DABBAD"/>
    <w:rsid w:val="276384B6"/>
    <w:rsid w:val="276E8158"/>
    <w:rsid w:val="28EDF8A8"/>
    <w:rsid w:val="28F5191E"/>
    <w:rsid w:val="296BF8AE"/>
    <w:rsid w:val="297F329C"/>
    <w:rsid w:val="2A31B4EB"/>
    <w:rsid w:val="2A8D1710"/>
    <w:rsid w:val="2A8E0E74"/>
    <w:rsid w:val="2BC9F047"/>
    <w:rsid w:val="2C09899F"/>
    <w:rsid w:val="2D965FD1"/>
    <w:rsid w:val="2E46AD41"/>
    <w:rsid w:val="2E581505"/>
    <w:rsid w:val="2E75521D"/>
    <w:rsid w:val="30458870"/>
    <w:rsid w:val="316807C3"/>
    <w:rsid w:val="319C88A1"/>
    <w:rsid w:val="320616D4"/>
    <w:rsid w:val="32B7FB8D"/>
    <w:rsid w:val="33722074"/>
    <w:rsid w:val="337BED8E"/>
    <w:rsid w:val="344BBAB0"/>
    <w:rsid w:val="3529EF24"/>
    <w:rsid w:val="35FCC3FF"/>
    <w:rsid w:val="361BC3CF"/>
    <w:rsid w:val="36503388"/>
    <w:rsid w:val="3681A1C4"/>
    <w:rsid w:val="37AF7466"/>
    <w:rsid w:val="37DAC96A"/>
    <w:rsid w:val="38383E88"/>
    <w:rsid w:val="3863CB0A"/>
    <w:rsid w:val="3892EA9B"/>
    <w:rsid w:val="3A70EF59"/>
    <w:rsid w:val="3B997E34"/>
    <w:rsid w:val="3BEEA5C8"/>
    <w:rsid w:val="3C3A6391"/>
    <w:rsid w:val="3C3E0D49"/>
    <w:rsid w:val="3C61F2C3"/>
    <w:rsid w:val="3C668F5E"/>
    <w:rsid w:val="3D1F4031"/>
    <w:rsid w:val="3E729C71"/>
    <w:rsid w:val="3EE0FDF8"/>
    <w:rsid w:val="3EE4CDE1"/>
    <w:rsid w:val="3F31AD4D"/>
    <w:rsid w:val="40356EFF"/>
    <w:rsid w:val="404ECA30"/>
    <w:rsid w:val="4160EF80"/>
    <w:rsid w:val="41A0AA25"/>
    <w:rsid w:val="42A92893"/>
    <w:rsid w:val="42BF584D"/>
    <w:rsid w:val="42D7DA0C"/>
    <w:rsid w:val="42E84B23"/>
    <w:rsid w:val="42F3462E"/>
    <w:rsid w:val="42F49F71"/>
    <w:rsid w:val="443A687A"/>
    <w:rsid w:val="445EEA6E"/>
    <w:rsid w:val="450C2E8D"/>
    <w:rsid w:val="4634F310"/>
    <w:rsid w:val="473B83CC"/>
    <w:rsid w:val="4AFA2B9D"/>
    <w:rsid w:val="4B48DA01"/>
    <w:rsid w:val="4B8BE245"/>
    <w:rsid w:val="4C979DD9"/>
    <w:rsid w:val="4CD41960"/>
    <w:rsid w:val="4D57720C"/>
    <w:rsid w:val="4DF21993"/>
    <w:rsid w:val="4E9653C7"/>
    <w:rsid w:val="4EB066E1"/>
    <w:rsid w:val="4F12B2D8"/>
    <w:rsid w:val="4FAD3954"/>
    <w:rsid w:val="4FB11E03"/>
    <w:rsid w:val="505C4D84"/>
    <w:rsid w:val="517EA2FB"/>
    <w:rsid w:val="51A2F0DA"/>
    <w:rsid w:val="51BDC119"/>
    <w:rsid w:val="52624976"/>
    <w:rsid w:val="52F1070F"/>
    <w:rsid w:val="52FE0C38"/>
    <w:rsid w:val="53124167"/>
    <w:rsid w:val="533F3035"/>
    <w:rsid w:val="534CDEB5"/>
    <w:rsid w:val="543EDC83"/>
    <w:rsid w:val="545612D6"/>
    <w:rsid w:val="5474E395"/>
    <w:rsid w:val="5479366B"/>
    <w:rsid w:val="551FA685"/>
    <w:rsid w:val="5528A87F"/>
    <w:rsid w:val="552C0E01"/>
    <w:rsid w:val="552DC978"/>
    <w:rsid w:val="5534F7DE"/>
    <w:rsid w:val="553A33BA"/>
    <w:rsid w:val="56E4DA8D"/>
    <w:rsid w:val="571AD10B"/>
    <w:rsid w:val="57EAA056"/>
    <w:rsid w:val="5875B7C5"/>
    <w:rsid w:val="5877A288"/>
    <w:rsid w:val="5882206B"/>
    <w:rsid w:val="59047251"/>
    <w:rsid w:val="592E2FAF"/>
    <w:rsid w:val="5939C0C7"/>
    <w:rsid w:val="597AFBEB"/>
    <w:rsid w:val="5B0D6ADD"/>
    <w:rsid w:val="5B1E3B5B"/>
    <w:rsid w:val="5BB964FE"/>
    <w:rsid w:val="5C611345"/>
    <w:rsid w:val="5D9FFD30"/>
    <w:rsid w:val="5E57AB94"/>
    <w:rsid w:val="5E6E8FA0"/>
    <w:rsid w:val="5EA73823"/>
    <w:rsid w:val="5F37B602"/>
    <w:rsid w:val="5F577205"/>
    <w:rsid w:val="5F7C8184"/>
    <w:rsid w:val="5FDFAEA5"/>
    <w:rsid w:val="6012CCC9"/>
    <w:rsid w:val="6012E354"/>
    <w:rsid w:val="60164C24"/>
    <w:rsid w:val="6057646D"/>
    <w:rsid w:val="60DFF5C9"/>
    <w:rsid w:val="613B295E"/>
    <w:rsid w:val="61C27D85"/>
    <w:rsid w:val="61D5CAA7"/>
    <w:rsid w:val="62C1D082"/>
    <w:rsid w:val="6324BD86"/>
    <w:rsid w:val="6372B8E4"/>
    <w:rsid w:val="646FD3DC"/>
    <w:rsid w:val="64CC1D9C"/>
    <w:rsid w:val="65CDC5DB"/>
    <w:rsid w:val="676E3ADF"/>
    <w:rsid w:val="67D6AFC3"/>
    <w:rsid w:val="6867094F"/>
    <w:rsid w:val="68866AF3"/>
    <w:rsid w:val="688A1100"/>
    <w:rsid w:val="68CEBC20"/>
    <w:rsid w:val="69DC4C76"/>
    <w:rsid w:val="6B8F61E2"/>
    <w:rsid w:val="6CE9A2B5"/>
    <w:rsid w:val="6D8BA1C1"/>
    <w:rsid w:val="6DB4B9F3"/>
    <w:rsid w:val="6E777E00"/>
    <w:rsid w:val="6EC4FADA"/>
    <w:rsid w:val="6F32C5D9"/>
    <w:rsid w:val="6FCE48E0"/>
    <w:rsid w:val="6FE6C638"/>
    <w:rsid w:val="7001A023"/>
    <w:rsid w:val="7022DA1A"/>
    <w:rsid w:val="713B74F6"/>
    <w:rsid w:val="720A0D71"/>
    <w:rsid w:val="721A5F1A"/>
    <w:rsid w:val="721D184E"/>
    <w:rsid w:val="72B1E11E"/>
    <w:rsid w:val="72CDA9B6"/>
    <w:rsid w:val="72FE171B"/>
    <w:rsid w:val="73967480"/>
    <w:rsid w:val="73A34AEE"/>
    <w:rsid w:val="73A78874"/>
    <w:rsid w:val="742C4BB4"/>
    <w:rsid w:val="74EE6610"/>
    <w:rsid w:val="7506BDD7"/>
    <w:rsid w:val="75AC293C"/>
    <w:rsid w:val="75D945F1"/>
    <w:rsid w:val="75F12E61"/>
    <w:rsid w:val="75FA4253"/>
    <w:rsid w:val="76210330"/>
    <w:rsid w:val="765564EB"/>
    <w:rsid w:val="766F4BBD"/>
    <w:rsid w:val="76E9A22E"/>
    <w:rsid w:val="7739CBF6"/>
    <w:rsid w:val="774B755A"/>
    <w:rsid w:val="779FB8BE"/>
    <w:rsid w:val="77D82DE1"/>
    <w:rsid w:val="784B928B"/>
    <w:rsid w:val="79952977"/>
    <w:rsid w:val="79E385A5"/>
    <w:rsid w:val="7A790EBF"/>
    <w:rsid w:val="7B48F0C9"/>
    <w:rsid w:val="7CEDD2FB"/>
    <w:rsid w:val="7D813E11"/>
    <w:rsid w:val="7DBC5903"/>
    <w:rsid w:val="7DD7BCB1"/>
    <w:rsid w:val="7E2B3312"/>
    <w:rsid w:val="7ED21341"/>
    <w:rsid w:val="7F1B06DF"/>
    <w:rsid w:val="7FDD0536"/>
    <w:rsid w:val="7FF93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0962A"/>
  <w15:chartTrackingRefBased/>
  <w15:docId w15:val="{42501197-9EED-40E5-B432-E5CA124BD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72CDA9B6"/>
    <w:rPr>
      <w:color w:val="467886"/>
      <w:u w:val="single"/>
    </w:rPr>
  </w:style>
  <w:style w:type="paragraph" w:styleId="ListParagraph">
    <w:name w:val="List Paragraph"/>
    <w:basedOn w:val="Normal"/>
    <w:uiPriority w:val="34"/>
    <w:qFormat/>
    <w:rsid w:val="72CDA9B6"/>
    <w:pPr>
      <w:ind w:left="720"/>
      <w:contextualSpacing/>
    </w:pPr>
  </w:style>
  <w:style w:type="character" w:styleId="UnresolvedMention">
    <w:name w:val="Unresolved Mention"/>
    <w:basedOn w:val="DefaultParagraphFont"/>
    <w:uiPriority w:val="99"/>
    <w:semiHidden/>
    <w:unhideWhenUsed/>
    <w:rsid w:val="006F6882"/>
    <w:rPr>
      <w:color w:val="605E5C"/>
      <w:shd w:val="clear" w:color="auto" w:fill="E1DFDD"/>
    </w:rPr>
  </w:style>
  <w:style w:type="paragraph" w:styleId="Header">
    <w:name w:val="header"/>
    <w:basedOn w:val="Normal"/>
    <w:link w:val="HeaderChar"/>
    <w:uiPriority w:val="99"/>
    <w:unhideWhenUsed/>
    <w:rsid w:val="006F68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6882"/>
  </w:style>
  <w:style w:type="paragraph" w:styleId="Footer">
    <w:name w:val="footer"/>
    <w:basedOn w:val="Normal"/>
    <w:link w:val="FooterChar"/>
    <w:uiPriority w:val="99"/>
    <w:unhideWhenUsed/>
    <w:rsid w:val="006F68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68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ddrc.org/" TargetMode="External"/><Relationship Id="rId13" Type="http://schemas.openxmlformats.org/officeDocument/2006/relationships/hyperlink" Target="https://www.patient.info/" TargetMode="External"/><Relationship Id="rId18" Type="http://schemas.openxmlformats.org/officeDocument/2006/relationships/hyperlink" Target="https://www.adhdcentre.co.uk/adhd-in-the-classroom-how-to-recognise-the-signs-support-students-effectively"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link.springer.com/" TargetMode="External"/><Relationship Id="rId7" Type="http://schemas.openxmlformats.org/officeDocument/2006/relationships/endnotes" Target="endnotes.xml"/><Relationship Id="rId12" Type="http://schemas.openxmlformats.org/officeDocument/2006/relationships/hyperlink" Target="https://www.healthwatch.co.uk/" TargetMode="External"/><Relationship Id="rId17" Type="http://schemas.openxmlformats.org/officeDocument/2006/relationships/hyperlink" Target="https://www.nice.org.u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nhs.uk/" TargetMode="External"/><Relationship Id="rId20" Type="http://schemas.openxmlformats.org/officeDocument/2006/relationships/hyperlink" Target="https://www.drharrywoodward.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etclarityadhd.com/" TargetMode="External"/><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www.mentalhealth.org.uk/" TargetMode="External"/><Relationship Id="rId23" Type="http://schemas.openxmlformats.org/officeDocument/2006/relationships/hyperlink" Target="https://www.tandfonline.com/" TargetMode="External"/><Relationship Id="rId10" Type="http://schemas.openxmlformats.org/officeDocument/2006/relationships/hyperlink" Target="https://bmjpaedsopen.bmj.com/" TargetMode="External"/><Relationship Id="rId19" Type="http://schemas.openxmlformats.org/officeDocument/2006/relationships/hyperlink" Target="https://www.thinkadhd.co.uk/" TargetMode="External"/><Relationship Id="rId4" Type="http://schemas.openxmlformats.org/officeDocument/2006/relationships/settings" Target="settings.xml"/><Relationship Id="rId9" Type="http://schemas.openxmlformats.org/officeDocument/2006/relationships/hyperlink" Target="https://www.addrc.org/" TargetMode="External"/><Relationship Id="rId14" Type="http://schemas.openxmlformats.org/officeDocument/2006/relationships/hyperlink" Target="https://www.psychologytoday.com/" TargetMode="External"/><Relationship Id="rId22" Type="http://schemas.openxmlformats.org/officeDocument/2006/relationships/hyperlink" Target="https://www.youngminds.org.uk/" TargetMode="External"/><Relationship Id="rId27"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DDFE5E-36A2-47DC-B0BA-462FC3D458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8</Pages>
  <Words>2068</Words>
  <Characters>11790</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Myles (2305254)</dc:creator>
  <cp:keywords/>
  <dc:description/>
  <cp:lastModifiedBy>kelsey myles</cp:lastModifiedBy>
  <cp:revision>3</cp:revision>
  <dcterms:created xsi:type="dcterms:W3CDTF">2026-01-14T17:19:00Z</dcterms:created>
  <dcterms:modified xsi:type="dcterms:W3CDTF">2026-01-17T22:36:00Z</dcterms:modified>
</cp:coreProperties>
</file>