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DD602" w14:textId="77777777" w:rsidR="00B97128" w:rsidRPr="00E41CED" w:rsidRDefault="00B97128" w:rsidP="003A0A98">
      <w:pPr>
        <w:pStyle w:val="Title"/>
        <w:spacing w:before="120"/>
        <w:jc w:val="center"/>
        <w:rPr>
          <w:rFonts w:ascii="Arial" w:hAnsi="Arial" w:cs="Arial"/>
        </w:rPr>
      </w:pPr>
      <w:r w:rsidRPr="00E41CED">
        <w:rPr>
          <w:rFonts w:ascii="Arial" w:hAnsi="Arial" w:cs="Arial"/>
          <w:noProof/>
        </w:rPr>
        <w:drawing>
          <wp:inline distT="0" distB="0" distL="0" distR="0" wp14:anchorId="35E3E947" wp14:editId="03792688">
            <wp:extent cx="2743200" cy="904825"/>
            <wp:effectExtent l="0" t="0" r="0" b="0"/>
            <wp:docPr id="1" name="Picture 1" descr="Prifysgol Cymru Y Drindod Dewi Sant | University of Wales Trinity Saint  David - NP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 University of Wales Trinity Saint  David - NPLD"/>
                    <pic:cNvPicPr>
                      <a:picLocks noChangeAspect="1" noChangeArrowheads="1"/>
                    </pic:cNvPicPr>
                  </pic:nvPicPr>
                  <pic:blipFill rotWithShape="1">
                    <a:blip r:embed="rId8">
                      <a:extLst>
                        <a:ext uri="{28A0092B-C50C-407E-A947-70E740481C1C}">
                          <a14:useLocalDpi xmlns:a14="http://schemas.microsoft.com/office/drawing/2010/main" val="0"/>
                        </a:ext>
                      </a:extLst>
                    </a:blip>
                    <a:srcRect l="2166" t="17667" r="2334" b="19333"/>
                    <a:stretch/>
                  </pic:blipFill>
                  <pic:spPr bwMode="auto">
                    <a:xfrm>
                      <a:off x="0" y="0"/>
                      <a:ext cx="2835801" cy="935369"/>
                    </a:xfrm>
                    <a:prstGeom prst="rect">
                      <a:avLst/>
                    </a:prstGeom>
                    <a:noFill/>
                    <a:ln>
                      <a:noFill/>
                    </a:ln>
                    <a:extLst>
                      <a:ext uri="{53640926-AAD7-44D8-BBD7-CCE9431645EC}">
                        <a14:shadowObscured xmlns:a14="http://schemas.microsoft.com/office/drawing/2010/main"/>
                      </a:ext>
                    </a:extLst>
                  </pic:spPr>
                </pic:pic>
              </a:graphicData>
            </a:graphic>
          </wp:inline>
        </w:drawing>
      </w:r>
    </w:p>
    <w:p w14:paraId="1067CC84" w14:textId="77777777" w:rsidR="001829D9" w:rsidRPr="00E41CED" w:rsidRDefault="00B97128" w:rsidP="009B5F95">
      <w:pPr>
        <w:pStyle w:val="Title"/>
        <w:pBdr>
          <w:top w:val="single" w:sz="4" w:space="1" w:color="auto"/>
        </w:pBdr>
        <w:spacing w:before="120"/>
        <w:jc w:val="center"/>
        <w:rPr>
          <w:rFonts w:ascii="Arial" w:hAnsi="Arial" w:cs="Arial"/>
          <w:sz w:val="32"/>
        </w:rPr>
      </w:pPr>
      <w:r w:rsidRPr="00E41CED">
        <w:rPr>
          <w:rFonts w:ascii="Arial" w:hAnsi="Arial" w:cs="Arial"/>
          <w:sz w:val="32"/>
        </w:rPr>
        <w:t>INTRODUCTION TO HEALTH AND SOCIAL CARE</w:t>
      </w:r>
    </w:p>
    <w:p w14:paraId="791DA9DC" w14:textId="77777777" w:rsidR="001829D9" w:rsidRPr="00E41CED" w:rsidRDefault="00B97128" w:rsidP="003A0A98">
      <w:pPr>
        <w:pStyle w:val="Subtitle"/>
        <w:spacing w:before="120"/>
        <w:jc w:val="center"/>
        <w:rPr>
          <w:rFonts w:ascii="Arial" w:hAnsi="Arial" w:cs="Arial"/>
          <w:b/>
          <w:sz w:val="32"/>
        </w:rPr>
      </w:pPr>
      <w:r w:rsidRPr="00E41CED">
        <w:rPr>
          <w:rFonts w:ascii="Arial" w:hAnsi="Arial" w:cs="Arial"/>
          <w:b/>
          <w:i w:val="0"/>
          <w:sz w:val="32"/>
        </w:rPr>
        <w:t>Component 1 Portfolio</w:t>
      </w:r>
    </w:p>
    <w:p w14:paraId="020A48D3" w14:textId="77777777" w:rsidR="001829D9" w:rsidRPr="00E41CED" w:rsidRDefault="00B97128" w:rsidP="009B5F95">
      <w:pPr>
        <w:pBdr>
          <w:bottom w:val="single" w:sz="4" w:space="1" w:color="auto"/>
        </w:pBdr>
        <w:spacing w:before="120"/>
        <w:jc w:val="center"/>
        <w:rPr>
          <w:rFonts w:cs="Arial"/>
          <w:b/>
          <w:sz w:val="32"/>
        </w:rPr>
      </w:pPr>
      <w:r w:rsidRPr="00E41CED">
        <w:rPr>
          <w:rFonts w:cs="Arial"/>
          <w:b/>
          <w:sz w:val="32"/>
        </w:rPr>
        <w:t>Community Mental Health Services and Pharmacy Services</w:t>
      </w:r>
    </w:p>
    <w:tbl>
      <w:tblPr>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2324"/>
        <w:gridCol w:w="6746"/>
      </w:tblGrid>
      <w:tr w:rsidR="001829D9" w:rsidRPr="00E41CED" w14:paraId="3CB93D47" w14:textId="77777777">
        <w:trPr>
          <w:cantSplit/>
          <w:jc w:val="center"/>
        </w:trPr>
        <w:tc>
          <w:tcPr>
            <w:tcW w:w="2324" w:type="dxa"/>
            <w:shd w:val="clear" w:color="auto" w:fill="F2F2F2"/>
            <w:tcMar>
              <w:top w:w="95" w:type="dxa"/>
              <w:left w:w="95" w:type="dxa"/>
              <w:bottom w:w="95" w:type="dxa"/>
              <w:right w:w="95" w:type="dxa"/>
            </w:tcMar>
            <w:vAlign w:val="center"/>
          </w:tcPr>
          <w:p w14:paraId="5F986958" w14:textId="77777777" w:rsidR="001829D9" w:rsidRPr="00E41CED" w:rsidRDefault="00CD3897" w:rsidP="002B4895">
            <w:pPr>
              <w:spacing w:before="120"/>
              <w:jc w:val="both"/>
              <w:rPr>
                <w:rFonts w:cs="Arial"/>
              </w:rPr>
            </w:pPr>
            <w:r w:rsidRPr="00E41CED">
              <w:rPr>
                <w:rFonts w:cs="Arial"/>
                <w:b/>
              </w:rPr>
              <w:t>Student name</w:t>
            </w:r>
          </w:p>
        </w:tc>
        <w:tc>
          <w:tcPr>
            <w:tcW w:w="6746" w:type="dxa"/>
            <w:tcMar>
              <w:top w:w="95" w:type="dxa"/>
              <w:left w:w="95" w:type="dxa"/>
              <w:bottom w:w="95" w:type="dxa"/>
              <w:right w:w="95" w:type="dxa"/>
            </w:tcMar>
            <w:vAlign w:val="center"/>
          </w:tcPr>
          <w:p w14:paraId="750E32A1" w14:textId="355DCE83" w:rsidR="001829D9" w:rsidRPr="00E41CED" w:rsidRDefault="00A34DC1" w:rsidP="002B4895">
            <w:pPr>
              <w:spacing w:before="120"/>
              <w:jc w:val="both"/>
              <w:rPr>
                <w:rFonts w:cs="Arial"/>
              </w:rPr>
            </w:pPr>
            <w:proofErr w:type="spellStart"/>
            <w:r>
              <w:rPr>
                <w:rFonts w:cs="Arial"/>
              </w:rPr>
              <w:t>Rizwana</w:t>
            </w:r>
            <w:proofErr w:type="spellEnd"/>
            <w:r>
              <w:rPr>
                <w:rFonts w:cs="Arial"/>
              </w:rPr>
              <w:t xml:space="preserve"> </w:t>
            </w:r>
            <w:proofErr w:type="spellStart"/>
            <w:r>
              <w:rPr>
                <w:rFonts w:cs="Arial"/>
              </w:rPr>
              <w:t>Zahiem</w:t>
            </w:r>
            <w:proofErr w:type="spellEnd"/>
          </w:p>
        </w:tc>
      </w:tr>
      <w:tr w:rsidR="001829D9" w:rsidRPr="00E41CED" w14:paraId="55ACE4C3" w14:textId="77777777">
        <w:trPr>
          <w:cantSplit/>
          <w:jc w:val="center"/>
        </w:trPr>
        <w:tc>
          <w:tcPr>
            <w:tcW w:w="2324" w:type="dxa"/>
            <w:shd w:val="clear" w:color="auto" w:fill="F2F2F2"/>
            <w:tcMar>
              <w:top w:w="95" w:type="dxa"/>
              <w:left w:w="95" w:type="dxa"/>
              <w:bottom w:w="95" w:type="dxa"/>
              <w:right w:w="95" w:type="dxa"/>
            </w:tcMar>
            <w:vAlign w:val="center"/>
          </w:tcPr>
          <w:p w14:paraId="2970B120" w14:textId="77777777" w:rsidR="001829D9" w:rsidRPr="00E41CED" w:rsidRDefault="00CD3897" w:rsidP="002B4895">
            <w:pPr>
              <w:spacing w:before="120"/>
              <w:jc w:val="both"/>
              <w:rPr>
                <w:rFonts w:cs="Arial"/>
              </w:rPr>
            </w:pPr>
            <w:r w:rsidRPr="00E41CED">
              <w:rPr>
                <w:rFonts w:cs="Arial"/>
                <w:b/>
              </w:rPr>
              <w:t>Student number</w:t>
            </w:r>
          </w:p>
        </w:tc>
        <w:tc>
          <w:tcPr>
            <w:tcW w:w="6746" w:type="dxa"/>
            <w:tcMar>
              <w:top w:w="95" w:type="dxa"/>
              <w:left w:w="95" w:type="dxa"/>
              <w:bottom w:w="95" w:type="dxa"/>
              <w:right w:w="95" w:type="dxa"/>
            </w:tcMar>
            <w:vAlign w:val="center"/>
          </w:tcPr>
          <w:p w14:paraId="6347D46A" w14:textId="0F1CC19E" w:rsidR="001829D9" w:rsidRPr="00E41CED" w:rsidRDefault="00A34DC1" w:rsidP="002B4895">
            <w:pPr>
              <w:spacing w:before="120"/>
              <w:jc w:val="both"/>
              <w:rPr>
                <w:rFonts w:cs="Arial"/>
              </w:rPr>
            </w:pPr>
            <w:r>
              <w:rPr>
                <w:rFonts w:cs="Arial"/>
              </w:rPr>
              <w:t>254</w:t>
            </w:r>
            <w:r w:rsidR="00804967">
              <w:rPr>
                <w:rFonts w:cs="Arial"/>
              </w:rPr>
              <w:t>2634</w:t>
            </w:r>
          </w:p>
        </w:tc>
      </w:tr>
      <w:tr w:rsidR="001829D9" w:rsidRPr="00E41CED" w14:paraId="710DC7E1" w14:textId="77777777">
        <w:trPr>
          <w:cantSplit/>
          <w:jc w:val="center"/>
        </w:trPr>
        <w:tc>
          <w:tcPr>
            <w:tcW w:w="2324" w:type="dxa"/>
            <w:shd w:val="clear" w:color="auto" w:fill="F2F2F2"/>
            <w:tcMar>
              <w:top w:w="95" w:type="dxa"/>
              <w:left w:w="95" w:type="dxa"/>
              <w:bottom w:w="95" w:type="dxa"/>
              <w:right w:w="95" w:type="dxa"/>
            </w:tcMar>
            <w:vAlign w:val="center"/>
          </w:tcPr>
          <w:p w14:paraId="64D0E926" w14:textId="77777777" w:rsidR="001829D9" w:rsidRPr="00E41CED" w:rsidRDefault="00CD3897" w:rsidP="002B4895">
            <w:pPr>
              <w:spacing w:before="120"/>
              <w:jc w:val="both"/>
              <w:rPr>
                <w:rFonts w:cs="Arial"/>
              </w:rPr>
            </w:pPr>
            <w:r w:rsidRPr="00E41CED">
              <w:rPr>
                <w:rFonts w:cs="Arial"/>
                <w:b/>
              </w:rPr>
              <w:t>Programme</w:t>
            </w:r>
          </w:p>
        </w:tc>
        <w:tc>
          <w:tcPr>
            <w:tcW w:w="6746" w:type="dxa"/>
            <w:tcMar>
              <w:top w:w="95" w:type="dxa"/>
              <w:left w:w="95" w:type="dxa"/>
              <w:bottom w:w="95" w:type="dxa"/>
              <w:right w:w="95" w:type="dxa"/>
            </w:tcMar>
            <w:vAlign w:val="center"/>
          </w:tcPr>
          <w:p w14:paraId="3D8D4E9E" w14:textId="77777777" w:rsidR="001829D9" w:rsidRPr="00E41CED" w:rsidRDefault="00CD3897" w:rsidP="002B4895">
            <w:pPr>
              <w:spacing w:before="120"/>
              <w:jc w:val="both"/>
              <w:rPr>
                <w:rFonts w:cs="Arial"/>
              </w:rPr>
            </w:pPr>
            <w:r w:rsidRPr="00E41CED">
              <w:rPr>
                <w:rFonts w:cs="Arial"/>
              </w:rPr>
              <w:t>Certificate of Higher Education Skills for the Workplace (Health and Social Care)</w:t>
            </w:r>
          </w:p>
        </w:tc>
      </w:tr>
      <w:tr w:rsidR="001829D9" w:rsidRPr="00E41CED" w14:paraId="699ECBDF" w14:textId="77777777">
        <w:trPr>
          <w:cantSplit/>
          <w:jc w:val="center"/>
        </w:trPr>
        <w:tc>
          <w:tcPr>
            <w:tcW w:w="2324" w:type="dxa"/>
            <w:shd w:val="clear" w:color="auto" w:fill="F2F2F2"/>
            <w:tcMar>
              <w:top w:w="95" w:type="dxa"/>
              <w:left w:w="95" w:type="dxa"/>
              <w:bottom w:w="95" w:type="dxa"/>
              <w:right w:w="95" w:type="dxa"/>
            </w:tcMar>
            <w:vAlign w:val="center"/>
          </w:tcPr>
          <w:p w14:paraId="38BA03B1" w14:textId="77777777" w:rsidR="001829D9" w:rsidRPr="00E41CED" w:rsidRDefault="00CD3897" w:rsidP="002B4895">
            <w:pPr>
              <w:spacing w:before="120"/>
              <w:jc w:val="both"/>
              <w:rPr>
                <w:rFonts w:cs="Arial"/>
              </w:rPr>
            </w:pPr>
            <w:r w:rsidRPr="00E41CED">
              <w:rPr>
                <w:rFonts w:cs="Arial"/>
                <w:b/>
              </w:rPr>
              <w:t>Module code</w:t>
            </w:r>
          </w:p>
        </w:tc>
        <w:tc>
          <w:tcPr>
            <w:tcW w:w="6746" w:type="dxa"/>
            <w:tcMar>
              <w:top w:w="95" w:type="dxa"/>
              <w:left w:w="95" w:type="dxa"/>
              <w:bottom w:w="95" w:type="dxa"/>
              <w:right w:w="95" w:type="dxa"/>
            </w:tcMar>
            <w:vAlign w:val="center"/>
          </w:tcPr>
          <w:p w14:paraId="532C6801" w14:textId="77777777" w:rsidR="001829D9" w:rsidRPr="00E41CED" w:rsidRDefault="00CD3897" w:rsidP="002B4895">
            <w:pPr>
              <w:spacing w:before="120"/>
              <w:jc w:val="both"/>
              <w:rPr>
                <w:rFonts w:cs="Arial"/>
              </w:rPr>
            </w:pPr>
            <w:r w:rsidRPr="00E41CED">
              <w:rPr>
                <w:rFonts w:cs="Arial"/>
              </w:rPr>
              <w:t>LCHS4003</w:t>
            </w:r>
          </w:p>
        </w:tc>
      </w:tr>
      <w:tr w:rsidR="001829D9" w:rsidRPr="00E41CED" w14:paraId="07271E8E" w14:textId="77777777">
        <w:trPr>
          <w:cantSplit/>
          <w:jc w:val="center"/>
        </w:trPr>
        <w:tc>
          <w:tcPr>
            <w:tcW w:w="2324" w:type="dxa"/>
            <w:shd w:val="clear" w:color="auto" w:fill="F2F2F2"/>
            <w:tcMar>
              <w:top w:w="95" w:type="dxa"/>
              <w:left w:w="95" w:type="dxa"/>
              <w:bottom w:w="95" w:type="dxa"/>
              <w:right w:w="95" w:type="dxa"/>
            </w:tcMar>
            <w:vAlign w:val="center"/>
          </w:tcPr>
          <w:p w14:paraId="0C001E3B" w14:textId="77777777" w:rsidR="001829D9" w:rsidRPr="00E41CED" w:rsidRDefault="00CD3897" w:rsidP="002B4895">
            <w:pPr>
              <w:spacing w:before="120"/>
              <w:jc w:val="both"/>
              <w:rPr>
                <w:rFonts w:cs="Arial"/>
              </w:rPr>
            </w:pPr>
            <w:r w:rsidRPr="00E41CED">
              <w:rPr>
                <w:rFonts w:cs="Arial"/>
                <w:b/>
              </w:rPr>
              <w:t>Module title</w:t>
            </w:r>
          </w:p>
        </w:tc>
        <w:tc>
          <w:tcPr>
            <w:tcW w:w="6746" w:type="dxa"/>
            <w:tcMar>
              <w:top w:w="95" w:type="dxa"/>
              <w:left w:w="95" w:type="dxa"/>
              <w:bottom w:w="95" w:type="dxa"/>
              <w:right w:w="95" w:type="dxa"/>
            </w:tcMar>
            <w:vAlign w:val="center"/>
          </w:tcPr>
          <w:p w14:paraId="7B946657" w14:textId="77777777" w:rsidR="001829D9" w:rsidRPr="00E41CED" w:rsidRDefault="00CD3897" w:rsidP="002B4895">
            <w:pPr>
              <w:spacing w:before="120"/>
              <w:jc w:val="both"/>
              <w:rPr>
                <w:rFonts w:cs="Arial"/>
              </w:rPr>
            </w:pPr>
            <w:r w:rsidRPr="00E41CED">
              <w:rPr>
                <w:rFonts w:cs="Arial"/>
              </w:rPr>
              <w:t>Introduction to Health and Social Care</w:t>
            </w:r>
          </w:p>
        </w:tc>
      </w:tr>
      <w:tr w:rsidR="001829D9" w:rsidRPr="00E41CED" w14:paraId="6F4206C8" w14:textId="77777777">
        <w:trPr>
          <w:cantSplit/>
          <w:jc w:val="center"/>
        </w:trPr>
        <w:tc>
          <w:tcPr>
            <w:tcW w:w="2324" w:type="dxa"/>
            <w:shd w:val="clear" w:color="auto" w:fill="F2F2F2"/>
            <w:tcMar>
              <w:top w:w="95" w:type="dxa"/>
              <w:left w:w="95" w:type="dxa"/>
              <w:bottom w:w="95" w:type="dxa"/>
              <w:right w:w="95" w:type="dxa"/>
            </w:tcMar>
            <w:vAlign w:val="center"/>
          </w:tcPr>
          <w:p w14:paraId="02CBE650" w14:textId="77777777" w:rsidR="001829D9" w:rsidRPr="00E41CED" w:rsidRDefault="00CD3897" w:rsidP="002B4895">
            <w:pPr>
              <w:spacing w:before="120"/>
              <w:jc w:val="both"/>
              <w:rPr>
                <w:rFonts w:cs="Arial"/>
              </w:rPr>
            </w:pPr>
            <w:r w:rsidRPr="00E41CED">
              <w:rPr>
                <w:rFonts w:cs="Arial"/>
                <w:b/>
              </w:rPr>
              <w:t>Lecturer</w:t>
            </w:r>
          </w:p>
        </w:tc>
        <w:tc>
          <w:tcPr>
            <w:tcW w:w="6746" w:type="dxa"/>
            <w:tcMar>
              <w:top w:w="95" w:type="dxa"/>
              <w:left w:w="95" w:type="dxa"/>
              <w:bottom w:w="95" w:type="dxa"/>
              <w:right w:w="95" w:type="dxa"/>
            </w:tcMar>
            <w:vAlign w:val="center"/>
          </w:tcPr>
          <w:p w14:paraId="634F2B6E" w14:textId="32085C6A" w:rsidR="001829D9" w:rsidRPr="00E41CED" w:rsidRDefault="00CD3897" w:rsidP="002B4895">
            <w:pPr>
              <w:spacing w:before="120"/>
              <w:jc w:val="both"/>
              <w:rPr>
                <w:rFonts w:cs="Arial"/>
              </w:rPr>
            </w:pPr>
            <w:proofErr w:type="spellStart"/>
            <w:r w:rsidRPr="00E41CED">
              <w:rPr>
                <w:rFonts w:cs="Arial"/>
              </w:rPr>
              <w:t>Dr</w:t>
            </w:r>
            <w:proofErr w:type="spellEnd"/>
            <w:r w:rsidRPr="00E41CED">
              <w:rPr>
                <w:rFonts w:cs="Arial"/>
              </w:rPr>
              <w:t xml:space="preserve"> </w:t>
            </w:r>
            <w:proofErr w:type="spellStart"/>
            <w:r w:rsidR="00804967">
              <w:rPr>
                <w:rFonts w:cs="Arial"/>
              </w:rPr>
              <w:t>jane</w:t>
            </w:r>
            <w:proofErr w:type="spellEnd"/>
          </w:p>
        </w:tc>
      </w:tr>
      <w:tr w:rsidR="001829D9" w:rsidRPr="00E41CED" w14:paraId="40AD3893" w14:textId="77777777">
        <w:trPr>
          <w:cantSplit/>
          <w:jc w:val="center"/>
        </w:trPr>
        <w:tc>
          <w:tcPr>
            <w:tcW w:w="2324" w:type="dxa"/>
            <w:shd w:val="clear" w:color="auto" w:fill="F2F2F2"/>
            <w:tcMar>
              <w:top w:w="95" w:type="dxa"/>
              <w:left w:w="95" w:type="dxa"/>
              <w:bottom w:w="95" w:type="dxa"/>
              <w:right w:w="95" w:type="dxa"/>
            </w:tcMar>
            <w:vAlign w:val="center"/>
          </w:tcPr>
          <w:p w14:paraId="530B261C" w14:textId="77777777" w:rsidR="001829D9" w:rsidRPr="00E41CED" w:rsidRDefault="00CD3897" w:rsidP="002B4895">
            <w:pPr>
              <w:spacing w:before="120"/>
              <w:jc w:val="both"/>
              <w:rPr>
                <w:rFonts w:cs="Arial"/>
              </w:rPr>
            </w:pPr>
            <w:r w:rsidRPr="00E41CED">
              <w:rPr>
                <w:rFonts w:cs="Arial"/>
                <w:b/>
              </w:rPr>
              <w:t>Assignment title</w:t>
            </w:r>
          </w:p>
        </w:tc>
        <w:tc>
          <w:tcPr>
            <w:tcW w:w="6746" w:type="dxa"/>
            <w:tcMar>
              <w:top w:w="95" w:type="dxa"/>
              <w:left w:w="95" w:type="dxa"/>
              <w:bottom w:w="95" w:type="dxa"/>
              <w:right w:w="95" w:type="dxa"/>
            </w:tcMar>
            <w:vAlign w:val="center"/>
          </w:tcPr>
          <w:p w14:paraId="6DC1D8F6" w14:textId="77777777" w:rsidR="001829D9" w:rsidRPr="00E41CED" w:rsidRDefault="00CD3897" w:rsidP="002B4895">
            <w:pPr>
              <w:spacing w:before="120"/>
              <w:jc w:val="both"/>
              <w:rPr>
                <w:rFonts w:cs="Arial"/>
              </w:rPr>
            </w:pPr>
            <w:r w:rsidRPr="00E41CED">
              <w:rPr>
                <w:rFonts w:cs="Arial"/>
              </w:rPr>
              <w:t>Component 1 Portfolio Mini Report and Essay</w:t>
            </w:r>
          </w:p>
        </w:tc>
      </w:tr>
      <w:tr w:rsidR="001829D9" w:rsidRPr="00E41CED" w14:paraId="6762B8FB" w14:textId="77777777">
        <w:trPr>
          <w:cantSplit/>
          <w:jc w:val="center"/>
        </w:trPr>
        <w:tc>
          <w:tcPr>
            <w:tcW w:w="2324" w:type="dxa"/>
            <w:shd w:val="clear" w:color="auto" w:fill="F2F2F2"/>
            <w:tcMar>
              <w:top w:w="95" w:type="dxa"/>
              <w:left w:w="95" w:type="dxa"/>
              <w:bottom w:w="95" w:type="dxa"/>
              <w:right w:w="95" w:type="dxa"/>
            </w:tcMar>
            <w:vAlign w:val="center"/>
          </w:tcPr>
          <w:p w14:paraId="506025C2" w14:textId="77777777" w:rsidR="001829D9" w:rsidRPr="00E41CED" w:rsidRDefault="00CD3897" w:rsidP="002B4895">
            <w:pPr>
              <w:spacing w:before="120"/>
              <w:jc w:val="both"/>
              <w:rPr>
                <w:rFonts w:cs="Arial"/>
              </w:rPr>
            </w:pPr>
            <w:r w:rsidRPr="00E41CED">
              <w:rPr>
                <w:rFonts w:cs="Arial"/>
                <w:b/>
              </w:rPr>
              <w:t>Assessment brief</w:t>
            </w:r>
          </w:p>
        </w:tc>
        <w:tc>
          <w:tcPr>
            <w:tcW w:w="6746" w:type="dxa"/>
            <w:tcMar>
              <w:top w:w="95" w:type="dxa"/>
              <w:left w:w="95" w:type="dxa"/>
              <w:bottom w:w="95" w:type="dxa"/>
              <w:right w:w="95" w:type="dxa"/>
            </w:tcMar>
            <w:vAlign w:val="center"/>
          </w:tcPr>
          <w:p w14:paraId="139572D3" w14:textId="77777777" w:rsidR="001829D9" w:rsidRPr="00E41CED" w:rsidRDefault="00CD3897" w:rsidP="002B4895">
            <w:pPr>
              <w:spacing w:before="120"/>
              <w:jc w:val="both"/>
              <w:rPr>
                <w:rFonts w:cs="Arial"/>
              </w:rPr>
            </w:pPr>
            <w:r w:rsidRPr="00E41CED">
              <w:rPr>
                <w:rFonts w:cs="Arial"/>
              </w:rPr>
              <w:t>September 2026</w:t>
            </w:r>
          </w:p>
        </w:tc>
      </w:tr>
      <w:tr w:rsidR="001829D9" w:rsidRPr="00E41CED" w14:paraId="0EC287BB" w14:textId="77777777">
        <w:trPr>
          <w:cantSplit/>
          <w:jc w:val="center"/>
        </w:trPr>
        <w:tc>
          <w:tcPr>
            <w:tcW w:w="2324" w:type="dxa"/>
            <w:shd w:val="clear" w:color="auto" w:fill="F2F2F2"/>
            <w:tcMar>
              <w:top w:w="95" w:type="dxa"/>
              <w:left w:w="95" w:type="dxa"/>
              <w:bottom w:w="95" w:type="dxa"/>
              <w:right w:w="95" w:type="dxa"/>
            </w:tcMar>
            <w:vAlign w:val="center"/>
          </w:tcPr>
          <w:p w14:paraId="515F5517" w14:textId="77777777" w:rsidR="001829D9" w:rsidRPr="00E41CED" w:rsidRDefault="00CD3897" w:rsidP="002B4895">
            <w:pPr>
              <w:spacing w:before="120"/>
              <w:jc w:val="both"/>
              <w:rPr>
                <w:rFonts w:cs="Arial"/>
              </w:rPr>
            </w:pPr>
            <w:r w:rsidRPr="00E41CED">
              <w:rPr>
                <w:rFonts w:cs="Arial"/>
                <w:b/>
              </w:rPr>
              <w:t>Date</w:t>
            </w:r>
          </w:p>
        </w:tc>
        <w:tc>
          <w:tcPr>
            <w:tcW w:w="6746" w:type="dxa"/>
            <w:tcMar>
              <w:top w:w="95" w:type="dxa"/>
              <w:left w:w="95" w:type="dxa"/>
              <w:bottom w:w="95" w:type="dxa"/>
              <w:right w:w="95" w:type="dxa"/>
            </w:tcMar>
            <w:vAlign w:val="center"/>
          </w:tcPr>
          <w:p w14:paraId="51504060" w14:textId="77777777" w:rsidR="001829D9" w:rsidRPr="00E41CED" w:rsidRDefault="00CD3897" w:rsidP="002B4895">
            <w:pPr>
              <w:spacing w:before="120"/>
              <w:jc w:val="both"/>
              <w:rPr>
                <w:rFonts w:cs="Arial"/>
              </w:rPr>
            </w:pPr>
            <w:r w:rsidRPr="00E41CED">
              <w:rPr>
                <w:rFonts w:cs="Arial"/>
              </w:rPr>
              <w:t>9 October 2026</w:t>
            </w:r>
          </w:p>
        </w:tc>
      </w:tr>
    </w:tbl>
    <w:p w14:paraId="57DDD724" w14:textId="77777777" w:rsidR="000D75E5" w:rsidRDefault="000D75E5" w:rsidP="000D75E5"/>
    <w:p w14:paraId="7493617B" w14:textId="77777777" w:rsidR="000D75E5" w:rsidRDefault="000D75E5" w:rsidP="000D75E5"/>
    <w:p w14:paraId="550FB0FB" w14:textId="77777777" w:rsidR="000D75E5" w:rsidRDefault="000D75E5" w:rsidP="000D75E5"/>
    <w:p w14:paraId="56056C6B" w14:textId="77777777" w:rsidR="000D75E5" w:rsidRDefault="000D75E5" w:rsidP="000D75E5"/>
    <w:p w14:paraId="291D198B" w14:textId="77777777" w:rsidR="000D75E5" w:rsidRDefault="000D75E5" w:rsidP="000D75E5"/>
    <w:p w14:paraId="5C69A6B6" w14:textId="77777777" w:rsidR="000D75E5" w:rsidRDefault="000D75E5" w:rsidP="000D75E5"/>
    <w:p w14:paraId="5C2D7D51" w14:textId="77777777" w:rsidR="000D75E5" w:rsidRPr="000D75E5" w:rsidRDefault="000D75E5" w:rsidP="009B5F95">
      <w:pPr>
        <w:pBdr>
          <w:bottom w:val="single" w:sz="4" w:space="1" w:color="auto"/>
        </w:pBdr>
        <w:jc w:val="center"/>
        <w:rPr>
          <w:b/>
          <w:sz w:val="32"/>
        </w:rPr>
      </w:pPr>
      <w:r w:rsidRPr="000D75E5">
        <w:rPr>
          <w:b/>
          <w:sz w:val="32"/>
        </w:rPr>
        <w:t>Portfolio’s Outlines</w:t>
      </w:r>
    </w:p>
    <w:p w14:paraId="582D672A" w14:textId="77777777" w:rsidR="000D75E5" w:rsidRDefault="000D75E5">
      <w:pPr>
        <w:pStyle w:val="TOC1"/>
        <w:tabs>
          <w:tab w:val="right" w:leader="dot" w:pos="9062"/>
        </w:tabs>
        <w:rPr>
          <w:noProof/>
        </w:rPr>
      </w:pPr>
      <w:r>
        <w:fldChar w:fldCharType="begin"/>
      </w:r>
      <w:r>
        <w:instrText xml:space="preserve"> TOC \o "1-3" \h \z \u </w:instrText>
      </w:r>
      <w:r>
        <w:fldChar w:fldCharType="separate"/>
      </w:r>
      <w:hyperlink w:anchor="_Toc242443095" w:history="1">
        <w:r w:rsidRPr="00967ADB">
          <w:rPr>
            <w:rStyle w:val="Hyperlink"/>
            <w:rFonts w:cs="Arial"/>
            <w:noProof/>
          </w:rPr>
          <w:t>Task 1 Mini report on community mental health services</w:t>
        </w:r>
        <w:r>
          <w:rPr>
            <w:noProof/>
            <w:webHidden/>
          </w:rPr>
          <w:tab/>
        </w:r>
        <w:r>
          <w:rPr>
            <w:noProof/>
            <w:webHidden/>
          </w:rPr>
          <w:fldChar w:fldCharType="begin"/>
        </w:r>
        <w:r>
          <w:rPr>
            <w:noProof/>
            <w:webHidden/>
          </w:rPr>
          <w:instrText xml:space="preserve"> PAGEREF _Toc242443095 \h </w:instrText>
        </w:r>
        <w:r>
          <w:rPr>
            <w:noProof/>
            <w:webHidden/>
          </w:rPr>
        </w:r>
        <w:r>
          <w:rPr>
            <w:noProof/>
            <w:webHidden/>
          </w:rPr>
          <w:fldChar w:fldCharType="separate"/>
        </w:r>
        <w:r w:rsidR="0032040E">
          <w:rPr>
            <w:noProof/>
            <w:webHidden/>
          </w:rPr>
          <w:t>3</w:t>
        </w:r>
        <w:r>
          <w:rPr>
            <w:noProof/>
            <w:webHidden/>
          </w:rPr>
          <w:fldChar w:fldCharType="end"/>
        </w:r>
      </w:hyperlink>
    </w:p>
    <w:p w14:paraId="60DB8ED2" w14:textId="77777777" w:rsidR="000D75E5" w:rsidRDefault="000D75E5">
      <w:pPr>
        <w:pStyle w:val="TOC2"/>
        <w:tabs>
          <w:tab w:val="right" w:leader="dot" w:pos="9062"/>
        </w:tabs>
        <w:rPr>
          <w:noProof/>
        </w:rPr>
      </w:pPr>
      <w:hyperlink w:anchor="_Toc242443096" w:history="1">
        <w:r w:rsidRPr="00967ADB">
          <w:rPr>
            <w:rStyle w:val="Hyperlink"/>
            <w:rFonts w:cs="Arial"/>
            <w:noProof/>
          </w:rPr>
          <w:t>Introduction</w:t>
        </w:r>
        <w:r>
          <w:rPr>
            <w:noProof/>
            <w:webHidden/>
          </w:rPr>
          <w:tab/>
        </w:r>
        <w:r>
          <w:rPr>
            <w:noProof/>
            <w:webHidden/>
          </w:rPr>
          <w:fldChar w:fldCharType="begin"/>
        </w:r>
        <w:r>
          <w:rPr>
            <w:noProof/>
            <w:webHidden/>
          </w:rPr>
          <w:instrText xml:space="preserve"> PAGEREF _Toc242443096 \h </w:instrText>
        </w:r>
        <w:r>
          <w:rPr>
            <w:noProof/>
            <w:webHidden/>
          </w:rPr>
        </w:r>
        <w:r>
          <w:rPr>
            <w:noProof/>
            <w:webHidden/>
          </w:rPr>
          <w:fldChar w:fldCharType="separate"/>
        </w:r>
        <w:r w:rsidR="0032040E">
          <w:rPr>
            <w:noProof/>
            <w:webHidden/>
          </w:rPr>
          <w:t>3</w:t>
        </w:r>
        <w:r>
          <w:rPr>
            <w:noProof/>
            <w:webHidden/>
          </w:rPr>
          <w:fldChar w:fldCharType="end"/>
        </w:r>
      </w:hyperlink>
    </w:p>
    <w:p w14:paraId="620302F3" w14:textId="77777777" w:rsidR="000D75E5" w:rsidRDefault="000D75E5">
      <w:pPr>
        <w:pStyle w:val="TOC2"/>
        <w:tabs>
          <w:tab w:val="right" w:leader="dot" w:pos="9062"/>
        </w:tabs>
        <w:rPr>
          <w:noProof/>
        </w:rPr>
      </w:pPr>
      <w:hyperlink w:anchor="_Toc242443097" w:history="1">
        <w:r w:rsidRPr="00967ADB">
          <w:rPr>
            <w:rStyle w:val="Hyperlink"/>
            <w:rFonts w:cs="Arial"/>
            <w:noProof/>
          </w:rPr>
          <w:t>Impact on the community</w:t>
        </w:r>
        <w:r>
          <w:rPr>
            <w:noProof/>
            <w:webHidden/>
          </w:rPr>
          <w:tab/>
        </w:r>
        <w:r>
          <w:rPr>
            <w:noProof/>
            <w:webHidden/>
          </w:rPr>
          <w:fldChar w:fldCharType="begin"/>
        </w:r>
        <w:r>
          <w:rPr>
            <w:noProof/>
            <w:webHidden/>
          </w:rPr>
          <w:instrText xml:space="preserve"> PAGEREF _Toc242443097 \h </w:instrText>
        </w:r>
        <w:r>
          <w:rPr>
            <w:noProof/>
            <w:webHidden/>
          </w:rPr>
        </w:r>
        <w:r>
          <w:rPr>
            <w:noProof/>
            <w:webHidden/>
          </w:rPr>
          <w:fldChar w:fldCharType="separate"/>
        </w:r>
        <w:r w:rsidR="0032040E">
          <w:rPr>
            <w:noProof/>
            <w:webHidden/>
          </w:rPr>
          <w:t>3</w:t>
        </w:r>
        <w:r>
          <w:rPr>
            <w:noProof/>
            <w:webHidden/>
          </w:rPr>
          <w:fldChar w:fldCharType="end"/>
        </w:r>
      </w:hyperlink>
    </w:p>
    <w:p w14:paraId="28951D5D" w14:textId="77777777" w:rsidR="000D75E5" w:rsidRDefault="000D75E5">
      <w:pPr>
        <w:pStyle w:val="TOC2"/>
        <w:tabs>
          <w:tab w:val="right" w:leader="dot" w:pos="9062"/>
        </w:tabs>
        <w:rPr>
          <w:noProof/>
        </w:rPr>
      </w:pPr>
      <w:hyperlink w:anchor="_Toc242443098" w:history="1">
        <w:r w:rsidRPr="00967ADB">
          <w:rPr>
            <w:rStyle w:val="Hyperlink"/>
            <w:rFonts w:cs="Arial"/>
            <w:noProof/>
          </w:rPr>
          <w:t>Recommendations</w:t>
        </w:r>
        <w:r>
          <w:rPr>
            <w:noProof/>
            <w:webHidden/>
          </w:rPr>
          <w:tab/>
        </w:r>
        <w:r>
          <w:rPr>
            <w:noProof/>
            <w:webHidden/>
          </w:rPr>
          <w:fldChar w:fldCharType="begin"/>
        </w:r>
        <w:r>
          <w:rPr>
            <w:noProof/>
            <w:webHidden/>
          </w:rPr>
          <w:instrText xml:space="preserve"> PAGEREF _Toc242443098 \h </w:instrText>
        </w:r>
        <w:r>
          <w:rPr>
            <w:noProof/>
            <w:webHidden/>
          </w:rPr>
        </w:r>
        <w:r>
          <w:rPr>
            <w:noProof/>
            <w:webHidden/>
          </w:rPr>
          <w:fldChar w:fldCharType="separate"/>
        </w:r>
        <w:r w:rsidR="0032040E">
          <w:rPr>
            <w:noProof/>
            <w:webHidden/>
          </w:rPr>
          <w:t>4</w:t>
        </w:r>
        <w:r>
          <w:rPr>
            <w:noProof/>
            <w:webHidden/>
          </w:rPr>
          <w:fldChar w:fldCharType="end"/>
        </w:r>
      </w:hyperlink>
    </w:p>
    <w:p w14:paraId="7B9440A3" w14:textId="77777777" w:rsidR="000D75E5" w:rsidRDefault="000D75E5">
      <w:pPr>
        <w:pStyle w:val="TOC2"/>
        <w:tabs>
          <w:tab w:val="right" w:leader="dot" w:pos="9062"/>
        </w:tabs>
        <w:rPr>
          <w:noProof/>
        </w:rPr>
      </w:pPr>
      <w:hyperlink w:anchor="_Toc242443099" w:history="1">
        <w:r w:rsidRPr="00967ADB">
          <w:rPr>
            <w:rStyle w:val="Hyperlink"/>
            <w:rFonts w:cs="Arial"/>
            <w:noProof/>
          </w:rPr>
          <w:t>Conclusion</w:t>
        </w:r>
        <w:r>
          <w:rPr>
            <w:noProof/>
            <w:webHidden/>
          </w:rPr>
          <w:tab/>
        </w:r>
        <w:r>
          <w:rPr>
            <w:noProof/>
            <w:webHidden/>
          </w:rPr>
          <w:fldChar w:fldCharType="begin"/>
        </w:r>
        <w:r>
          <w:rPr>
            <w:noProof/>
            <w:webHidden/>
          </w:rPr>
          <w:instrText xml:space="preserve"> PAGEREF _Toc242443099 \h </w:instrText>
        </w:r>
        <w:r>
          <w:rPr>
            <w:noProof/>
            <w:webHidden/>
          </w:rPr>
        </w:r>
        <w:r>
          <w:rPr>
            <w:noProof/>
            <w:webHidden/>
          </w:rPr>
          <w:fldChar w:fldCharType="separate"/>
        </w:r>
        <w:r w:rsidR="0032040E">
          <w:rPr>
            <w:noProof/>
            <w:webHidden/>
          </w:rPr>
          <w:t>4</w:t>
        </w:r>
        <w:r>
          <w:rPr>
            <w:noProof/>
            <w:webHidden/>
          </w:rPr>
          <w:fldChar w:fldCharType="end"/>
        </w:r>
      </w:hyperlink>
    </w:p>
    <w:p w14:paraId="0180B4D7" w14:textId="77777777" w:rsidR="000D75E5" w:rsidRDefault="000D75E5">
      <w:pPr>
        <w:pStyle w:val="TOC1"/>
        <w:tabs>
          <w:tab w:val="right" w:leader="dot" w:pos="9062"/>
        </w:tabs>
        <w:rPr>
          <w:noProof/>
        </w:rPr>
      </w:pPr>
      <w:hyperlink w:anchor="_Toc242443100" w:history="1">
        <w:r w:rsidRPr="00967ADB">
          <w:rPr>
            <w:rStyle w:val="Hyperlink"/>
            <w:rFonts w:cs="Arial"/>
            <w:noProof/>
          </w:rPr>
          <w:t>Task 2 Essay on pharmacy services in England</w:t>
        </w:r>
        <w:r>
          <w:rPr>
            <w:noProof/>
            <w:webHidden/>
          </w:rPr>
          <w:tab/>
        </w:r>
        <w:r>
          <w:rPr>
            <w:noProof/>
            <w:webHidden/>
          </w:rPr>
          <w:fldChar w:fldCharType="begin"/>
        </w:r>
        <w:r>
          <w:rPr>
            <w:noProof/>
            <w:webHidden/>
          </w:rPr>
          <w:instrText xml:space="preserve"> PAGEREF _Toc242443100 \h </w:instrText>
        </w:r>
        <w:r>
          <w:rPr>
            <w:noProof/>
            <w:webHidden/>
          </w:rPr>
        </w:r>
        <w:r>
          <w:rPr>
            <w:noProof/>
            <w:webHidden/>
          </w:rPr>
          <w:fldChar w:fldCharType="separate"/>
        </w:r>
        <w:r w:rsidR="0032040E">
          <w:rPr>
            <w:noProof/>
            <w:webHidden/>
          </w:rPr>
          <w:t>6</w:t>
        </w:r>
        <w:r>
          <w:rPr>
            <w:noProof/>
            <w:webHidden/>
          </w:rPr>
          <w:fldChar w:fldCharType="end"/>
        </w:r>
      </w:hyperlink>
    </w:p>
    <w:p w14:paraId="41A646BD" w14:textId="77777777" w:rsidR="000D75E5" w:rsidRDefault="000D75E5">
      <w:pPr>
        <w:pStyle w:val="TOC2"/>
        <w:tabs>
          <w:tab w:val="right" w:leader="dot" w:pos="9062"/>
        </w:tabs>
        <w:rPr>
          <w:noProof/>
        </w:rPr>
      </w:pPr>
      <w:hyperlink w:anchor="_Toc242443101" w:history="1">
        <w:r w:rsidRPr="00967ADB">
          <w:rPr>
            <w:rStyle w:val="Hyperlink"/>
            <w:rFonts w:cs="Arial"/>
            <w:noProof/>
          </w:rPr>
          <w:t>Introduction</w:t>
        </w:r>
        <w:r>
          <w:rPr>
            <w:noProof/>
            <w:webHidden/>
          </w:rPr>
          <w:tab/>
        </w:r>
        <w:r>
          <w:rPr>
            <w:noProof/>
            <w:webHidden/>
          </w:rPr>
          <w:fldChar w:fldCharType="begin"/>
        </w:r>
        <w:r>
          <w:rPr>
            <w:noProof/>
            <w:webHidden/>
          </w:rPr>
          <w:instrText xml:space="preserve"> PAGEREF _Toc242443101 \h </w:instrText>
        </w:r>
        <w:r>
          <w:rPr>
            <w:noProof/>
            <w:webHidden/>
          </w:rPr>
        </w:r>
        <w:r>
          <w:rPr>
            <w:noProof/>
            <w:webHidden/>
          </w:rPr>
          <w:fldChar w:fldCharType="separate"/>
        </w:r>
        <w:r w:rsidR="0032040E">
          <w:rPr>
            <w:noProof/>
            <w:webHidden/>
          </w:rPr>
          <w:t>6</w:t>
        </w:r>
        <w:r>
          <w:rPr>
            <w:noProof/>
            <w:webHidden/>
          </w:rPr>
          <w:fldChar w:fldCharType="end"/>
        </w:r>
      </w:hyperlink>
    </w:p>
    <w:p w14:paraId="22F4A811" w14:textId="77777777" w:rsidR="000D75E5" w:rsidRDefault="000D75E5">
      <w:pPr>
        <w:pStyle w:val="TOC2"/>
        <w:tabs>
          <w:tab w:val="right" w:leader="dot" w:pos="9062"/>
        </w:tabs>
        <w:rPr>
          <w:noProof/>
        </w:rPr>
      </w:pPr>
      <w:hyperlink w:anchor="_Toc242443102" w:history="1">
        <w:r w:rsidRPr="00967ADB">
          <w:rPr>
            <w:rStyle w:val="Hyperlink"/>
            <w:rFonts w:cs="Arial"/>
            <w:noProof/>
          </w:rPr>
          <w:t>Historical context and current function</w:t>
        </w:r>
        <w:r>
          <w:rPr>
            <w:noProof/>
            <w:webHidden/>
          </w:rPr>
          <w:tab/>
        </w:r>
        <w:r>
          <w:rPr>
            <w:noProof/>
            <w:webHidden/>
          </w:rPr>
          <w:fldChar w:fldCharType="begin"/>
        </w:r>
        <w:r>
          <w:rPr>
            <w:noProof/>
            <w:webHidden/>
          </w:rPr>
          <w:instrText xml:space="preserve"> PAGEREF _Toc242443102 \h </w:instrText>
        </w:r>
        <w:r>
          <w:rPr>
            <w:noProof/>
            <w:webHidden/>
          </w:rPr>
        </w:r>
        <w:r>
          <w:rPr>
            <w:noProof/>
            <w:webHidden/>
          </w:rPr>
          <w:fldChar w:fldCharType="separate"/>
        </w:r>
        <w:r w:rsidR="0032040E">
          <w:rPr>
            <w:noProof/>
            <w:webHidden/>
          </w:rPr>
          <w:t>6</w:t>
        </w:r>
        <w:r>
          <w:rPr>
            <w:noProof/>
            <w:webHidden/>
          </w:rPr>
          <w:fldChar w:fldCharType="end"/>
        </w:r>
      </w:hyperlink>
    </w:p>
    <w:p w14:paraId="1EE0463B" w14:textId="77777777" w:rsidR="000D75E5" w:rsidRDefault="000D75E5">
      <w:pPr>
        <w:pStyle w:val="TOC2"/>
        <w:tabs>
          <w:tab w:val="right" w:leader="dot" w:pos="9062"/>
        </w:tabs>
        <w:rPr>
          <w:noProof/>
        </w:rPr>
      </w:pPr>
      <w:hyperlink w:anchor="_Toc242443103" w:history="1">
        <w:r w:rsidRPr="00967ADB">
          <w:rPr>
            <w:rStyle w:val="Hyperlink"/>
            <w:rFonts w:cs="Arial"/>
            <w:noProof/>
          </w:rPr>
          <w:t>Critical evaluation and significance for service users</w:t>
        </w:r>
        <w:r>
          <w:rPr>
            <w:noProof/>
            <w:webHidden/>
          </w:rPr>
          <w:tab/>
        </w:r>
        <w:r>
          <w:rPr>
            <w:noProof/>
            <w:webHidden/>
          </w:rPr>
          <w:fldChar w:fldCharType="begin"/>
        </w:r>
        <w:r>
          <w:rPr>
            <w:noProof/>
            <w:webHidden/>
          </w:rPr>
          <w:instrText xml:space="preserve"> PAGEREF _Toc242443103 \h </w:instrText>
        </w:r>
        <w:r>
          <w:rPr>
            <w:noProof/>
            <w:webHidden/>
          </w:rPr>
        </w:r>
        <w:r>
          <w:rPr>
            <w:noProof/>
            <w:webHidden/>
          </w:rPr>
          <w:fldChar w:fldCharType="separate"/>
        </w:r>
        <w:r w:rsidR="0032040E">
          <w:rPr>
            <w:noProof/>
            <w:webHidden/>
          </w:rPr>
          <w:t>7</w:t>
        </w:r>
        <w:r>
          <w:rPr>
            <w:noProof/>
            <w:webHidden/>
          </w:rPr>
          <w:fldChar w:fldCharType="end"/>
        </w:r>
      </w:hyperlink>
    </w:p>
    <w:p w14:paraId="1CF305CD" w14:textId="77777777" w:rsidR="000D75E5" w:rsidRDefault="000D75E5">
      <w:pPr>
        <w:pStyle w:val="TOC2"/>
        <w:tabs>
          <w:tab w:val="right" w:leader="dot" w:pos="9062"/>
        </w:tabs>
        <w:rPr>
          <w:noProof/>
        </w:rPr>
      </w:pPr>
      <w:hyperlink w:anchor="_Toc242443104" w:history="1">
        <w:r w:rsidRPr="00967ADB">
          <w:rPr>
            <w:rStyle w:val="Hyperlink"/>
            <w:rFonts w:cs="Arial"/>
            <w:noProof/>
          </w:rPr>
          <w:t>Conclusion</w:t>
        </w:r>
        <w:r>
          <w:rPr>
            <w:noProof/>
            <w:webHidden/>
          </w:rPr>
          <w:tab/>
        </w:r>
        <w:r>
          <w:rPr>
            <w:noProof/>
            <w:webHidden/>
          </w:rPr>
          <w:fldChar w:fldCharType="begin"/>
        </w:r>
        <w:r>
          <w:rPr>
            <w:noProof/>
            <w:webHidden/>
          </w:rPr>
          <w:instrText xml:space="preserve"> PAGEREF _Toc242443104 \h </w:instrText>
        </w:r>
        <w:r>
          <w:rPr>
            <w:noProof/>
            <w:webHidden/>
          </w:rPr>
        </w:r>
        <w:r>
          <w:rPr>
            <w:noProof/>
            <w:webHidden/>
          </w:rPr>
          <w:fldChar w:fldCharType="separate"/>
        </w:r>
        <w:r w:rsidR="0032040E">
          <w:rPr>
            <w:noProof/>
            <w:webHidden/>
          </w:rPr>
          <w:t>7</w:t>
        </w:r>
        <w:r>
          <w:rPr>
            <w:noProof/>
            <w:webHidden/>
          </w:rPr>
          <w:fldChar w:fldCharType="end"/>
        </w:r>
      </w:hyperlink>
    </w:p>
    <w:p w14:paraId="32323E13" w14:textId="77777777" w:rsidR="000D75E5" w:rsidRDefault="000D75E5">
      <w:pPr>
        <w:pStyle w:val="TOC1"/>
        <w:tabs>
          <w:tab w:val="right" w:leader="dot" w:pos="9062"/>
        </w:tabs>
        <w:rPr>
          <w:noProof/>
        </w:rPr>
      </w:pPr>
      <w:hyperlink w:anchor="_Toc242443105" w:history="1">
        <w:r w:rsidRPr="00967ADB">
          <w:rPr>
            <w:rStyle w:val="Hyperlink"/>
            <w:rFonts w:cs="Arial"/>
            <w:noProof/>
          </w:rPr>
          <w:t>Reference list</w:t>
        </w:r>
        <w:r>
          <w:rPr>
            <w:noProof/>
            <w:webHidden/>
          </w:rPr>
          <w:tab/>
        </w:r>
        <w:r>
          <w:rPr>
            <w:noProof/>
            <w:webHidden/>
          </w:rPr>
          <w:fldChar w:fldCharType="begin"/>
        </w:r>
        <w:r>
          <w:rPr>
            <w:noProof/>
            <w:webHidden/>
          </w:rPr>
          <w:instrText xml:space="preserve"> PAGEREF _Toc242443105 \h </w:instrText>
        </w:r>
        <w:r>
          <w:rPr>
            <w:noProof/>
            <w:webHidden/>
          </w:rPr>
        </w:r>
        <w:r>
          <w:rPr>
            <w:noProof/>
            <w:webHidden/>
          </w:rPr>
          <w:fldChar w:fldCharType="separate"/>
        </w:r>
        <w:r w:rsidR="0032040E">
          <w:rPr>
            <w:noProof/>
            <w:webHidden/>
          </w:rPr>
          <w:t>8</w:t>
        </w:r>
        <w:r>
          <w:rPr>
            <w:noProof/>
            <w:webHidden/>
          </w:rPr>
          <w:fldChar w:fldCharType="end"/>
        </w:r>
      </w:hyperlink>
    </w:p>
    <w:p w14:paraId="4C842602" w14:textId="77777777" w:rsidR="000D75E5" w:rsidRDefault="000D75E5" w:rsidP="000D75E5">
      <w:r>
        <w:fldChar w:fldCharType="end"/>
      </w:r>
    </w:p>
    <w:p w14:paraId="04B30308" w14:textId="77777777" w:rsidR="001829D9" w:rsidRPr="00E41CED" w:rsidRDefault="00CD3897" w:rsidP="00EB3974">
      <w:pPr>
        <w:pStyle w:val="Heading1"/>
        <w:pBdr>
          <w:bottom w:val="single" w:sz="4" w:space="1" w:color="auto"/>
        </w:pBdr>
        <w:rPr>
          <w:rFonts w:ascii="Arial" w:hAnsi="Arial" w:cs="Arial"/>
        </w:rPr>
      </w:pPr>
      <w:bookmarkStart w:id="0" w:name="_Toc242443095"/>
      <w:r w:rsidRPr="00E41CED">
        <w:rPr>
          <w:rFonts w:ascii="Arial" w:hAnsi="Arial" w:cs="Arial"/>
        </w:rPr>
        <w:t>Task 1 Mini report on community mental health services</w:t>
      </w:r>
      <w:bookmarkEnd w:id="0"/>
    </w:p>
    <w:p w14:paraId="6287F763" w14:textId="77777777" w:rsidR="001829D9" w:rsidRPr="00E41CED" w:rsidRDefault="00CD3897" w:rsidP="002B4895">
      <w:pPr>
        <w:spacing w:before="120"/>
        <w:jc w:val="both"/>
        <w:rPr>
          <w:rFonts w:cs="Arial"/>
        </w:rPr>
      </w:pPr>
      <w:r w:rsidRPr="00E41CED">
        <w:rPr>
          <w:rFonts w:cs="Arial"/>
          <w:b/>
        </w:rPr>
        <w:t xml:space="preserve">To: </w:t>
      </w:r>
      <w:r w:rsidRPr="00E41CED">
        <w:rPr>
          <w:rFonts w:cs="Arial"/>
        </w:rPr>
        <w:t>Councillor Nosheen Khalid, Alum Rock Ward, Birmingham City Council</w:t>
      </w:r>
    </w:p>
    <w:p w14:paraId="152A749F" w14:textId="77777777" w:rsidR="001829D9" w:rsidRPr="00E41CED" w:rsidRDefault="00CD3897" w:rsidP="002B4895">
      <w:pPr>
        <w:spacing w:before="120"/>
        <w:jc w:val="both"/>
        <w:rPr>
          <w:rFonts w:cs="Arial"/>
        </w:rPr>
      </w:pPr>
      <w:r w:rsidRPr="00E41CED">
        <w:rPr>
          <w:rFonts w:cs="Arial"/>
          <w:b/>
        </w:rPr>
        <w:t xml:space="preserve">Address: </w:t>
      </w:r>
      <w:r w:rsidRPr="00E41CED">
        <w:rPr>
          <w:rFonts w:cs="Arial"/>
        </w:rPr>
        <w:t>Council House, Victoria Square, Birmingham, B1 1BB</w:t>
      </w:r>
    </w:p>
    <w:p w14:paraId="18C8C192" w14:textId="77777777" w:rsidR="001829D9" w:rsidRPr="00E41CED" w:rsidRDefault="00CD3897" w:rsidP="002B4895">
      <w:pPr>
        <w:spacing w:before="120"/>
        <w:jc w:val="both"/>
        <w:rPr>
          <w:rFonts w:cs="Arial"/>
        </w:rPr>
      </w:pPr>
      <w:r w:rsidRPr="00E41CED">
        <w:rPr>
          <w:rFonts w:cs="Arial"/>
          <w:b/>
        </w:rPr>
        <w:t xml:space="preserve">Subject: </w:t>
      </w:r>
      <w:r w:rsidRPr="00E41CED">
        <w:rPr>
          <w:rFonts w:cs="Arial"/>
        </w:rPr>
        <w:t>Addressing the shortage of community mental health services in Birmingham</w:t>
      </w:r>
    </w:p>
    <w:p w14:paraId="68B6AE4A" w14:textId="77777777" w:rsidR="001829D9" w:rsidRPr="00E41CED" w:rsidRDefault="00CD3897" w:rsidP="002B4895">
      <w:pPr>
        <w:spacing w:before="120"/>
        <w:jc w:val="both"/>
        <w:rPr>
          <w:rFonts w:cs="Arial"/>
        </w:rPr>
      </w:pPr>
      <w:r w:rsidRPr="00E41CED">
        <w:rPr>
          <w:rFonts w:cs="Arial"/>
          <w:b/>
        </w:rPr>
        <w:t xml:space="preserve">Prepared by: </w:t>
      </w:r>
    </w:p>
    <w:p w14:paraId="43494C30" w14:textId="77777777" w:rsidR="001829D9" w:rsidRPr="00E41CED" w:rsidRDefault="00CD3897" w:rsidP="002B4895">
      <w:pPr>
        <w:spacing w:before="120"/>
        <w:jc w:val="both"/>
        <w:rPr>
          <w:rFonts w:cs="Arial"/>
        </w:rPr>
      </w:pPr>
      <w:r w:rsidRPr="00E41CED">
        <w:rPr>
          <w:rFonts w:cs="Arial"/>
          <w:b/>
        </w:rPr>
        <w:t xml:space="preserve">Date: </w:t>
      </w:r>
      <w:r w:rsidRPr="00E41CED">
        <w:rPr>
          <w:rFonts w:cs="Arial"/>
        </w:rPr>
        <w:t>9 October 2026</w:t>
      </w:r>
    </w:p>
    <w:p w14:paraId="6DFC9837" w14:textId="77777777" w:rsidR="001829D9" w:rsidRPr="00E41CED" w:rsidRDefault="00CD3897" w:rsidP="002B4895">
      <w:pPr>
        <w:spacing w:before="120"/>
        <w:jc w:val="both"/>
        <w:rPr>
          <w:rFonts w:cs="Arial"/>
        </w:rPr>
      </w:pPr>
      <w:r w:rsidRPr="00E41CED">
        <w:rPr>
          <w:rFonts w:cs="Arial"/>
        </w:rPr>
        <w:t>Councillor contact details (Birmingham City Council, 2026).</w:t>
      </w:r>
    </w:p>
    <w:p w14:paraId="0E685A76" w14:textId="77777777" w:rsidR="001829D9" w:rsidRPr="00E41CED" w:rsidRDefault="00CD3897" w:rsidP="00E41CED">
      <w:pPr>
        <w:pStyle w:val="Heading2"/>
        <w:rPr>
          <w:rFonts w:ascii="Arial" w:hAnsi="Arial" w:cs="Arial"/>
        </w:rPr>
      </w:pPr>
      <w:bookmarkStart w:id="1" w:name="_Toc242443096"/>
      <w:r w:rsidRPr="00E41CED">
        <w:rPr>
          <w:rFonts w:ascii="Arial" w:hAnsi="Arial" w:cs="Arial"/>
        </w:rPr>
        <w:t>Introduction</w:t>
      </w:r>
      <w:bookmarkEnd w:id="1"/>
    </w:p>
    <w:p w14:paraId="54632AAC" w14:textId="77777777" w:rsidR="007B3487" w:rsidRPr="00E41CED" w:rsidRDefault="00CD3897" w:rsidP="002B4895">
      <w:pPr>
        <w:spacing w:before="120"/>
        <w:jc w:val="both"/>
        <w:rPr>
          <w:rFonts w:cs="Arial"/>
        </w:rPr>
      </w:pPr>
      <w:r w:rsidRPr="00E41CED">
        <w:rPr>
          <w:rFonts w:cs="Arial"/>
        </w:rPr>
        <w:t xml:space="preserve">Birmingham City Council should strengthen community mental health services through early support and coordinated care. </w:t>
      </w:r>
      <w:r w:rsidR="007B3487" w:rsidRPr="00E41CED">
        <w:rPr>
          <w:rFonts w:cs="Arial"/>
        </w:rPr>
        <w:t>This report has assumed that there is shortage for adults experiencing mental health difficulties. Community services assess and treat through psychology, support with medication and practical support, and help people stay in their communities (NHS England and NHS Improvement, 2019). Accessible provision matters as recovery is about sustaining relationships, employment and daily activities, not just managing symptoms.</w:t>
      </w:r>
    </w:p>
    <w:p w14:paraId="7B68DF19" w14:textId="77777777" w:rsidR="001829D9" w:rsidRPr="00E41CED" w:rsidRDefault="00182604" w:rsidP="002B4895">
      <w:pPr>
        <w:spacing w:before="120"/>
        <w:jc w:val="both"/>
        <w:rPr>
          <w:rFonts w:cs="Arial"/>
        </w:rPr>
      </w:pPr>
      <w:r w:rsidRPr="00E41CED">
        <w:rPr>
          <w:rFonts w:cs="Arial"/>
        </w:rPr>
        <w:t>Part 1 of the Care Act 2014 provides the basis for council action</w:t>
      </w:r>
      <w:r w:rsidR="007B3487" w:rsidRPr="00E41CED">
        <w:rPr>
          <w:rFonts w:cs="Arial"/>
        </w:rPr>
        <w:t xml:space="preserve">. Individual wellbeing should be promoted including mental health, dignity and control over daily life, in Section 1. Section 2 involves preventative support prior to the development of need. These responsibilities warrant investment in community support, and NHS partners will still have their clinical treatment responsibilities. </w:t>
      </w:r>
      <w:r w:rsidR="00CD3897" w:rsidRPr="00E41CED">
        <w:rPr>
          <w:rFonts w:cs="Arial"/>
        </w:rPr>
        <w:t>(</w:t>
      </w:r>
      <w:r w:rsidR="00CD3897" w:rsidRPr="00E41CED">
        <w:rPr>
          <w:rFonts w:cs="Arial"/>
          <w:i/>
        </w:rPr>
        <w:t>Care Act 2014</w:t>
      </w:r>
      <w:r w:rsidR="00CD3897" w:rsidRPr="00E41CED">
        <w:rPr>
          <w:rFonts w:cs="Arial"/>
        </w:rPr>
        <w:t>, ss. 1-3 and 22).</w:t>
      </w:r>
    </w:p>
    <w:p w14:paraId="0143C164" w14:textId="77777777" w:rsidR="001829D9" w:rsidRPr="00E41CED" w:rsidRDefault="00CD3897" w:rsidP="00E41CED">
      <w:pPr>
        <w:pStyle w:val="Heading2"/>
        <w:rPr>
          <w:rFonts w:ascii="Arial" w:hAnsi="Arial" w:cs="Arial"/>
        </w:rPr>
      </w:pPr>
      <w:bookmarkStart w:id="2" w:name="_Toc242443097"/>
      <w:r w:rsidRPr="00E41CED">
        <w:rPr>
          <w:rFonts w:ascii="Arial" w:hAnsi="Arial" w:cs="Arial"/>
        </w:rPr>
        <w:t>Impact on the community</w:t>
      </w:r>
      <w:bookmarkEnd w:id="2"/>
    </w:p>
    <w:p w14:paraId="1F5EBDD2" w14:textId="77777777" w:rsidR="00811F9D" w:rsidRPr="00E41CED" w:rsidRDefault="00CD3897" w:rsidP="002B4895">
      <w:pPr>
        <w:spacing w:before="120"/>
        <w:jc w:val="both"/>
        <w:rPr>
          <w:rFonts w:cs="Arial"/>
        </w:rPr>
      </w:pPr>
      <w:r w:rsidRPr="00E41CED">
        <w:rPr>
          <w:rFonts w:cs="Arial"/>
        </w:rPr>
        <w:t xml:space="preserve">Insufficient support may allow difficulties to worsen before treatment begins, disrupting employment and </w:t>
      </w:r>
      <w:proofErr w:type="spellStart"/>
      <w:r w:rsidRPr="00E41CED">
        <w:rPr>
          <w:rFonts w:cs="Arial"/>
        </w:rPr>
        <w:t>relationships</w:t>
      </w:r>
      <w:r w:rsidR="00811F9D" w:rsidRPr="00E41CED">
        <w:rPr>
          <w:rFonts w:cs="Arial"/>
        </w:rPr>
        <w:t>Less</w:t>
      </w:r>
      <w:proofErr w:type="spellEnd"/>
      <w:r w:rsidR="00811F9D" w:rsidRPr="00E41CED">
        <w:rPr>
          <w:rFonts w:cs="Arial"/>
        </w:rPr>
        <w:t xml:space="preserve"> contact can also result in fewer individuals being isolated and make it more difficult to detect deterioration. However, NICE advises that there shall be timely access to treatment and continuity of treatment via a multidisciplinary community team, which would be compromised by shortages </w:t>
      </w:r>
      <w:r w:rsidR="002E3982" w:rsidRPr="00E41CED">
        <w:rPr>
          <w:rFonts w:cs="Arial"/>
        </w:rPr>
        <w:t>(National Institute for Health and Care Excellence [NICE], 2011, section 1.4)</w:t>
      </w:r>
      <w:r w:rsidR="00811F9D" w:rsidRPr="00E41CED">
        <w:rPr>
          <w:rFonts w:cs="Arial"/>
        </w:rPr>
        <w:t>.</w:t>
      </w:r>
    </w:p>
    <w:p w14:paraId="10A4E661" w14:textId="77777777" w:rsidR="00811F9D" w:rsidRPr="00E41CED" w:rsidRDefault="00F22035" w:rsidP="002B4895">
      <w:pPr>
        <w:spacing w:before="120"/>
        <w:jc w:val="both"/>
        <w:rPr>
          <w:rFonts w:cs="Arial"/>
        </w:rPr>
      </w:pPr>
      <w:r w:rsidRPr="00E41CED">
        <w:rPr>
          <w:rFonts w:cs="Arial"/>
        </w:rPr>
        <w:t>Local evidence supports targeted action</w:t>
      </w:r>
      <w:r w:rsidR="00811F9D" w:rsidRPr="00E41CED">
        <w:rPr>
          <w:rFonts w:cs="Arial"/>
        </w:rPr>
        <w:t xml:space="preserve">. Birmingham and </w:t>
      </w:r>
      <w:proofErr w:type="spellStart"/>
      <w:r w:rsidR="00811F9D" w:rsidRPr="00E41CED">
        <w:rPr>
          <w:rFonts w:cs="Arial"/>
        </w:rPr>
        <w:t>Solihull</w:t>
      </w:r>
      <w:proofErr w:type="spellEnd"/>
      <w:r w:rsidR="00811F9D" w:rsidRPr="00E41CED">
        <w:rPr>
          <w:rFonts w:cs="Arial"/>
        </w:rPr>
        <w:t xml:space="preserve"> Mental Health NHS Foundation Trust (2025) identified a rise in referrals, concerns for waiting times and lack of culturally appropriate care. Service was not equally accessible to the South Asian, Chinese and Black African communities. These findings show unequal access and increasing pressure but do not provide any measure of an assumed shortage. So further appointments, by themselves, may do little to bring about change unless the communication and cultural obstacles are overcome.</w:t>
      </w:r>
    </w:p>
    <w:p w14:paraId="2126C1FD" w14:textId="77777777" w:rsidR="001829D9" w:rsidRPr="00E41CED" w:rsidRDefault="00D16D4F" w:rsidP="002B4895">
      <w:pPr>
        <w:spacing w:before="120"/>
        <w:jc w:val="both"/>
        <w:rPr>
          <w:rFonts w:cs="Arial"/>
        </w:rPr>
      </w:pPr>
      <w:r w:rsidRPr="00E41CED">
        <w:rPr>
          <w:rFonts w:cs="Arial"/>
        </w:rPr>
        <w:t>Families may provide unpaid care, affecting their health and ability to work</w:t>
      </w:r>
      <w:r w:rsidR="00811F9D" w:rsidRPr="00E41CED">
        <w:rPr>
          <w:rFonts w:cs="Arial"/>
        </w:rPr>
        <w:t>. Assessments are needed in Section 9 and 10 for adults/</w:t>
      </w:r>
      <w:proofErr w:type="spellStart"/>
      <w:r w:rsidR="00811F9D" w:rsidRPr="00E41CED">
        <w:rPr>
          <w:rFonts w:cs="Arial"/>
        </w:rPr>
        <w:t>carers</w:t>
      </w:r>
      <w:proofErr w:type="spellEnd"/>
      <w:r w:rsidR="00811F9D" w:rsidRPr="00E41CED">
        <w:rPr>
          <w:rFonts w:cs="Arial"/>
        </w:rPr>
        <w:t xml:space="preserve"> where support is required (not solely due to financial considerations). Assessment does not mean eligibility or entitlement for free care. However, a delayed evaluation may also be able to mask unrecognized needs as well as the planning of appropriate assistance </w:t>
      </w:r>
      <w:r w:rsidR="00CD3897" w:rsidRPr="00E41CED">
        <w:rPr>
          <w:rFonts w:cs="Arial"/>
        </w:rPr>
        <w:t>(</w:t>
      </w:r>
      <w:r w:rsidR="00CD3897" w:rsidRPr="00E41CED">
        <w:rPr>
          <w:rFonts w:cs="Arial"/>
          <w:i/>
        </w:rPr>
        <w:t>Care Act 2014</w:t>
      </w:r>
      <w:r w:rsidR="00CD3897" w:rsidRPr="00E41CED">
        <w:rPr>
          <w:rFonts w:cs="Arial"/>
        </w:rPr>
        <w:t>, ss. 9-10; Department of Health and Social Care, 2025, chapter 6).</w:t>
      </w:r>
    </w:p>
    <w:p w14:paraId="66ECBF37" w14:textId="77777777" w:rsidR="001829D9" w:rsidRPr="00E41CED" w:rsidRDefault="00CD3897" w:rsidP="00E41CED">
      <w:pPr>
        <w:pStyle w:val="Heading2"/>
        <w:rPr>
          <w:rFonts w:ascii="Arial" w:hAnsi="Arial" w:cs="Arial"/>
        </w:rPr>
      </w:pPr>
      <w:bookmarkStart w:id="3" w:name="_Toc242443098"/>
      <w:r w:rsidRPr="00E41CED">
        <w:rPr>
          <w:rFonts w:ascii="Arial" w:hAnsi="Arial" w:cs="Arial"/>
        </w:rPr>
        <w:t>Recommendations</w:t>
      </w:r>
      <w:bookmarkEnd w:id="3"/>
    </w:p>
    <w:p w14:paraId="2370A14C" w14:textId="77777777" w:rsidR="001F32E5" w:rsidRPr="00E41CED" w:rsidRDefault="000A553D" w:rsidP="002B4895">
      <w:pPr>
        <w:spacing w:before="120"/>
        <w:jc w:val="both"/>
        <w:rPr>
          <w:rFonts w:cs="Arial"/>
        </w:rPr>
      </w:pPr>
      <w:r w:rsidRPr="00E41CED">
        <w:rPr>
          <w:rFonts w:cs="Arial"/>
        </w:rPr>
        <w:t>In the next three months, t</w:t>
      </w:r>
      <w:r w:rsidR="001F32E5" w:rsidRPr="00E41CED">
        <w:rPr>
          <w:rFonts w:cs="Arial"/>
        </w:rPr>
        <w:t xml:space="preserve">he council should, collaborate with the integrated care board and local NHS trust to identify waiting lists and access and staffing levels by </w:t>
      </w:r>
      <w:proofErr w:type="spellStart"/>
      <w:r w:rsidR="001F32E5" w:rsidRPr="00E41CED">
        <w:rPr>
          <w:rFonts w:cs="Arial"/>
        </w:rPr>
        <w:t>neighbourhood</w:t>
      </w:r>
      <w:proofErr w:type="spellEnd"/>
      <w:r w:rsidR="001F32E5" w:rsidRPr="00E41CED">
        <w:rPr>
          <w:rFonts w:cs="Arial"/>
        </w:rPr>
        <w:t>. Service users/</w:t>
      </w:r>
      <w:proofErr w:type="spellStart"/>
      <w:r w:rsidR="001F32E5" w:rsidRPr="00E41CED">
        <w:rPr>
          <w:rFonts w:cs="Arial"/>
        </w:rPr>
        <w:t>carers</w:t>
      </w:r>
      <w:proofErr w:type="spellEnd"/>
      <w:r w:rsidR="001F32E5" w:rsidRPr="00E41CED">
        <w:rPr>
          <w:rFonts w:cs="Arial"/>
        </w:rPr>
        <w:t xml:space="preserve"> should identify barriers. A shared referral process and named coordinator would </w:t>
      </w:r>
      <w:proofErr w:type="spellStart"/>
      <w:r w:rsidR="001F32E5" w:rsidRPr="00E41CED">
        <w:rPr>
          <w:rFonts w:cs="Arial"/>
        </w:rPr>
        <w:t>minimise</w:t>
      </w:r>
      <w:proofErr w:type="spellEnd"/>
      <w:r w:rsidR="001F32E5" w:rsidRPr="00E41CED">
        <w:rPr>
          <w:rFonts w:cs="Arial"/>
        </w:rPr>
        <w:t xml:space="preserve"> repeat assessments and the dispersion of responsibility, enabling integration under section 3 (Care Act 2014, s. 3).</w:t>
      </w:r>
    </w:p>
    <w:p w14:paraId="32E8A997" w14:textId="77777777" w:rsidR="001F32E5" w:rsidRPr="00E41CED" w:rsidRDefault="00FD5E26" w:rsidP="002B4895">
      <w:pPr>
        <w:spacing w:before="120"/>
        <w:jc w:val="both"/>
        <w:rPr>
          <w:rFonts w:cs="Arial"/>
        </w:rPr>
      </w:pPr>
      <w:r w:rsidRPr="00E41CED">
        <w:rPr>
          <w:rFonts w:cs="Arial"/>
        </w:rPr>
        <w:t>A costed six-month pilot should expand peer support, practical recovery assistance and links to housing and employment in existing community venues</w:t>
      </w:r>
      <w:r w:rsidR="001F32E5" w:rsidRPr="00E41CED">
        <w:rPr>
          <w:rFonts w:cs="Arial"/>
        </w:rPr>
        <w:t>. Staff are to enhance people's abilities and their identified aspirations, in line with strengths-based approaches (Social Care Institute for Excellence, 2015). This would mean that section 2 would be applicable through early intervention and support for independence and not in lieu of specialist treatment. The pilot should ensure that the pilot continues to have clear routes to NHS crisis teams for urgent clinical needs, and that council staff will deal with safeguarding and practical support issues in the agreed ways, with regular joint case reviews.</w:t>
      </w:r>
    </w:p>
    <w:p w14:paraId="22BEDC8D" w14:textId="77777777" w:rsidR="001F32E5" w:rsidRPr="00E41CED" w:rsidRDefault="001F32E5" w:rsidP="002B4895">
      <w:pPr>
        <w:spacing w:before="120"/>
        <w:jc w:val="both"/>
        <w:rPr>
          <w:rFonts w:cs="Arial"/>
        </w:rPr>
      </w:pPr>
      <w:r w:rsidRPr="00E41CED">
        <w:rPr>
          <w:rFonts w:cs="Arial"/>
        </w:rPr>
        <w:t xml:space="preserve">Commissioners should provide funding for interpreters, and accessible information and outreach efforts with trusted community </w:t>
      </w:r>
      <w:proofErr w:type="spellStart"/>
      <w:r w:rsidRPr="00E41CED">
        <w:rPr>
          <w:rFonts w:cs="Arial"/>
        </w:rPr>
        <w:t>organisations</w:t>
      </w:r>
      <w:proofErr w:type="spellEnd"/>
      <w:r w:rsidRPr="00E41CED">
        <w:rPr>
          <w:rFonts w:cs="Arial"/>
        </w:rPr>
        <w:t xml:space="preserve">. They should also agree sustainable staffing, supervision and training requirements with providers, in line with the duty in section 5 to promote diverse, good quality provision under the Care Act </w:t>
      </w:r>
      <w:r w:rsidR="007F7935" w:rsidRPr="00E41CED">
        <w:rPr>
          <w:rFonts w:cs="Arial"/>
        </w:rPr>
        <w:t>(Care Act 2014, s. 5).</w:t>
      </w:r>
    </w:p>
    <w:p w14:paraId="0F1FC6C5" w14:textId="77777777" w:rsidR="001829D9" w:rsidRPr="00E41CED" w:rsidRDefault="001F32E5" w:rsidP="002B4895">
      <w:pPr>
        <w:spacing w:before="120"/>
        <w:jc w:val="both"/>
        <w:rPr>
          <w:rFonts w:cs="Arial"/>
        </w:rPr>
      </w:pPr>
      <w:r w:rsidRPr="00E41CED">
        <w:rPr>
          <w:rFonts w:cs="Arial"/>
        </w:rPr>
        <w:t xml:space="preserve">Assessment teams should focus on the immediate risks and should keep in touch while waiting to </w:t>
      </w:r>
      <w:proofErr w:type="spellStart"/>
      <w:r w:rsidRPr="00E41CED">
        <w:rPr>
          <w:rFonts w:cs="Arial"/>
        </w:rPr>
        <w:t>organise</w:t>
      </w:r>
      <w:proofErr w:type="spellEnd"/>
      <w:r w:rsidRPr="00E41CED">
        <w:rPr>
          <w:rFonts w:cs="Arial"/>
        </w:rPr>
        <w:t xml:space="preserve"> interim support where appropriate. Section 18 needs to be met where statutory conditions are met. Monitoring of waiting times, continuity, wellbeing and inequalities in access should be done quarterly, not by counting appointments </w:t>
      </w:r>
      <w:r w:rsidR="00CD3897" w:rsidRPr="00E41CED">
        <w:rPr>
          <w:rFonts w:cs="Arial"/>
        </w:rPr>
        <w:t>(</w:t>
      </w:r>
      <w:r w:rsidR="00CD3897" w:rsidRPr="00E41CED">
        <w:rPr>
          <w:rFonts w:cs="Arial"/>
          <w:i/>
        </w:rPr>
        <w:t>Care Act 2014</w:t>
      </w:r>
      <w:r w:rsidR="00CD3897" w:rsidRPr="00E41CED">
        <w:rPr>
          <w:rFonts w:cs="Arial"/>
        </w:rPr>
        <w:t>, s. 18; NICE, 2011).</w:t>
      </w:r>
    </w:p>
    <w:p w14:paraId="51193A39" w14:textId="77777777" w:rsidR="001829D9" w:rsidRPr="00E41CED" w:rsidRDefault="00CD3897" w:rsidP="00E41CED">
      <w:pPr>
        <w:pStyle w:val="Heading2"/>
        <w:rPr>
          <w:rFonts w:ascii="Arial" w:hAnsi="Arial" w:cs="Arial"/>
        </w:rPr>
      </w:pPr>
      <w:bookmarkStart w:id="4" w:name="_Toc242443099"/>
      <w:r w:rsidRPr="00E41CED">
        <w:rPr>
          <w:rFonts w:ascii="Arial" w:hAnsi="Arial" w:cs="Arial"/>
        </w:rPr>
        <w:t>Conclusion</w:t>
      </w:r>
      <w:bookmarkEnd w:id="4"/>
    </w:p>
    <w:p w14:paraId="4FDB818F" w14:textId="77777777" w:rsidR="00425443" w:rsidRPr="00E41CED" w:rsidRDefault="00C346F6" w:rsidP="002B4895">
      <w:pPr>
        <w:spacing w:before="120"/>
        <w:jc w:val="both"/>
        <w:rPr>
          <w:rFonts w:cs="Arial"/>
        </w:rPr>
      </w:pPr>
      <w:r w:rsidRPr="00E41CED">
        <w:rPr>
          <w:rFonts w:cs="Arial"/>
        </w:rPr>
        <w:t>To conclude, c</w:t>
      </w:r>
      <w:r w:rsidR="00425443" w:rsidRPr="00E41CED">
        <w:rPr>
          <w:rFonts w:cs="Arial"/>
        </w:rPr>
        <w:t xml:space="preserve">ommunity based mental health provision would help Birmingham residents stay independent and get support before problems escalate into crises. This is linked to wellbeing, prevention, assessment and meeting eligible needs in the Care Act. To make an effective action there is a need to coordinate provision between the NHS and the council, accessible services and sustainable staffing. </w:t>
      </w:r>
      <w:proofErr w:type="spellStart"/>
      <w:r w:rsidR="00425443" w:rsidRPr="00E41CED">
        <w:rPr>
          <w:rFonts w:cs="Arial"/>
        </w:rPr>
        <w:t>Councillor</w:t>
      </w:r>
      <w:proofErr w:type="spellEnd"/>
      <w:r w:rsidR="00425443" w:rsidRPr="00E41CED">
        <w:rPr>
          <w:rFonts w:cs="Arial"/>
        </w:rPr>
        <w:t xml:space="preserve"> Khalid should recommend a costed pilot; accountability with regular monitoring of outcomes. Growth should be based on evidence of increased access and recovery, including increased access to care for communities currently underrepresented in care.</w:t>
      </w:r>
    </w:p>
    <w:p w14:paraId="33063785" w14:textId="77777777" w:rsidR="001829D9" w:rsidRPr="00E41CED" w:rsidRDefault="00CD3897" w:rsidP="00EB3974">
      <w:pPr>
        <w:pStyle w:val="Heading1"/>
        <w:pBdr>
          <w:bottom w:val="single" w:sz="4" w:space="1" w:color="auto"/>
        </w:pBdr>
        <w:rPr>
          <w:rFonts w:ascii="Arial" w:hAnsi="Arial" w:cs="Arial"/>
        </w:rPr>
      </w:pPr>
      <w:bookmarkStart w:id="5" w:name="_Toc242443100"/>
      <w:r w:rsidRPr="00E41CED">
        <w:rPr>
          <w:rFonts w:ascii="Arial" w:hAnsi="Arial" w:cs="Arial"/>
        </w:rPr>
        <w:t>Task 2 Essay on pharmacy services in England</w:t>
      </w:r>
      <w:bookmarkEnd w:id="5"/>
    </w:p>
    <w:p w14:paraId="108CCABA" w14:textId="77777777" w:rsidR="001829D9" w:rsidRPr="00E41CED" w:rsidRDefault="00CD3897" w:rsidP="00E41CED">
      <w:pPr>
        <w:pStyle w:val="Heading2"/>
        <w:rPr>
          <w:rFonts w:ascii="Arial" w:hAnsi="Arial" w:cs="Arial"/>
        </w:rPr>
      </w:pPr>
      <w:bookmarkStart w:id="6" w:name="_Toc242443101"/>
      <w:r w:rsidRPr="00E41CED">
        <w:rPr>
          <w:rFonts w:ascii="Arial" w:hAnsi="Arial" w:cs="Arial"/>
        </w:rPr>
        <w:t>Introduction</w:t>
      </w:r>
      <w:bookmarkEnd w:id="6"/>
    </w:p>
    <w:p w14:paraId="0449FA25" w14:textId="77777777" w:rsidR="00693BB1" w:rsidRPr="00E41CED" w:rsidRDefault="00CD3897" w:rsidP="002B4895">
      <w:pPr>
        <w:spacing w:before="120"/>
        <w:jc w:val="both"/>
        <w:rPr>
          <w:rFonts w:cs="Arial"/>
        </w:rPr>
      </w:pPr>
      <w:r w:rsidRPr="00E41CED">
        <w:rPr>
          <w:rFonts w:cs="Arial"/>
        </w:rPr>
        <w:t xml:space="preserve">Pharmacy services support the safe supply and use of medicines and provide accessible healthcare advice. </w:t>
      </w:r>
      <w:r w:rsidR="00693BB1" w:rsidRPr="00E41CED">
        <w:rPr>
          <w:rFonts w:cs="Arial"/>
        </w:rPr>
        <w:t xml:space="preserve">Pharmacists also work within hospitals and general practice but this essay will concentrate on community pharmacy in England. Community pharmacists counsel on symptoms, and provide advice and refer when additional assessment is required. </w:t>
      </w:r>
      <w:r w:rsidR="00F37C43" w:rsidRPr="00E41CED">
        <w:rPr>
          <w:rFonts w:cs="Arial"/>
        </w:rPr>
        <w:t>Pharmacy First also enables treatment of specified common conditions without a GP appointment, subject to eligibility and clinical assessment</w:t>
      </w:r>
      <w:r w:rsidR="00693BB1" w:rsidRPr="00E41CED">
        <w:rPr>
          <w:rFonts w:cs="Arial"/>
        </w:rPr>
        <w:t xml:space="preserve"> (NHS, 2024).</w:t>
      </w:r>
    </w:p>
    <w:p w14:paraId="250E163D" w14:textId="77777777" w:rsidR="001829D9" w:rsidRPr="00E41CED" w:rsidRDefault="00693BB1" w:rsidP="002B4895">
      <w:pPr>
        <w:spacing w:before="120"/>
        <w:jc w:val="both"/>
        <w:rPr>
          <w:rFonts w:cs="Arial"/>
        </w:rPr>
      </w:pPr>
      <w:r w:rsidRPr="00E41CED">
        <w:rPr>
          <w:rFonts w:cs="Arial"/>
        </w:rPr>
        <w:t xml:space="preserve">These functions can enhance the quality of life, alleviate symptoms and help people to manage their ongoing treatment. Their usefulness is dependent on the level of care provided and available. It is important to explore the history of the evolution of pharmacy, therefore, to understand the growing clinical role and the challenge of providing accessible services in the </w:t>
      </w:r>
      <w:proofErr w:type="spellStart"/>
      <w:r w:rsidRPr="00E41CED">
        <w:rPr>
          <w:rFonts w:cs="Arial"/>
        </w:rPr>
        <w:t>neighbourhood</w:t>
      </w:r>
      <w:proofErr w:type="spellEnd"/>
      <w:r w:rsidRPr="00E41CED">
        <w:rPr>
          <w:rFonts w:cs="Arial"/>
        </w:rPr>
        <w:t xml:space="preserve"> whilst still using resources to ensure the services are provided safely</w:t>
      </w:r>
      <w:r w:rsidR="00CD3897" w:rsidRPr="00E41CED">
        <w:rPr>
          <w:rFonts w:cs="Arial"/>
        </w:rPr>
        <w:t>.</w:t>
      </w:r>
    </w:p>
    <w:p w14:paraId="2877EFDD" w14:textId="77777777" w:rsidR="001829D9" w:rsidRPr="00E41CED" w:rsidRDefault="00CD3897" w:rsidP="00E41CED">
      <w:pPr>
        <w:pStyle w:val="Heading2"/>
        <w:rPr>
          <w:rFonts w:ascii="Arial" w:hAnsi="Arial" w:cs="Arial"/>
        </w:rPr>
      </w:pPr>
      <w:bookmarkStart w:id="7" w:name="_Toc242443102"/>
      <w:r w:rsidRPr="00E41CED">
        <w:rPr>
          <w:rFonts w:ascii="Arial" w:hAnsi="Arial" w:cs="Arial"/>
        </w:rPr>
        <w:t>Historical context and current function</w:t>
      </w:r>
      <w:bookmarkEnd w:id="7"/>
    </w:p>
    <w:p w14:paraId="1C39B2A0" w14:textId="77777777" w:rsidR="00CF3481" w:rsidRPr="00E41CED" w:rsidRDefault="00CD3897" w:rsidP="002B4895">
      <w:pPr>
        <w:spacing w:before="120"/>
        <w:jc w:val="both"/>
        <w:rPr>
          <w:rFonts w:cs="Arial"/>
        </w:rPr>
      </w:pPr>
      <w:r w:rsidRPr="00E41CED">
        <w:rPr>
          <w:rFonts w:cs="Arial"/>
        </w:rPr>
        <w:t xml:space="preserve">Community pharmacy developed from apothecaries and the chemists and druggists who emerged during eighteenth-century industrialisation. </w:t>
      </w:r>
      <w:r w:rsidR="00CF3481" w:rsidRPr="00E41CED">
        <w:rPr>
          <w:rFonts w:cs="Arial"/>
        </w:rPr>
        <w:t xml:space="preserve">Pharmaceutical Society of Great Britain (PSGB) established in 1841 for the promotion of education and professional recognition. The Pharmacy Act 1868 tightened up the rules on the dispensing of poisons. These developments met the dangers of the unregulated sale of medicines, and set competence as the foundation for public trust. The introduction of the NHS in 1948 then led to an increase in the prescription dispensing role of the pharmacist (Royal Pharmaceutical Society, </w:t>
      </w:r>
      <w:r w:rsidR="002B2673" w:rsidRPr="00E41CED">
        <w:rPr>
          <w:rFonts w:cs="Arial"/>
        </w:rPr>
        <w:t>2026</w:t>
      </w:r>
      <w:r w:rsidR="00CF3481" w:rsidRPr="00E41CED">
        <w:rPr>
          <w:rFonts w:cs="Arial"/>
        </w:rPr>
        <w:t>).</w:t>
      </w:r>
    </w:p>
    <w:p w14:paraId="6C866696" w14:textId="77777777" w:rsidR="00CF3481" w:rsidRPr="00E41CED" w:rsidRDefault="00CF3481" w:rsidP="002B4895">
      <w:pPr>
        <w:spacing w:before="120"/>
        <w:jc w:val="both"/>
        <w:rPr>
          <w:rFonts w:cs="Arial"/>
        </w:rPr>
      </w:pPr>
      <w:r w:rsidRPr="00E41CED">
        <w:rPr>
          <w:rFonts w:cs="Arial"/>
        </w:rPr>
        <w:t xml:space="preserve">The Community Pharmacy Contractual Framework was implemented in 2005 and provided for </w:t>
      </w:r>
      <w:proofErr w:type="spellStart"/>
      <w:r w:rsidRPr="00E41CED">
        <w:rPr>
          <w:rFonts w:cs="Arial"/>
        </w:rPr>
        <w:t>structuralisation</w:t>
      </w:r>
      <w:proofErr w:type="spellEnd"/>
      <w:r w:rsidRPr="00E41CED">
        <w:rPr>
          <w:rFonts w:cs="Arial"/>
        </w:rPr>
        <w:t xml:space="preserve"> of provision in essential services, advanced services and locally commissioned services. This resulted in an opportunity to extend professional involvement in the services they provide beyond dispensing, to prevention and medicines support (Community Pharmacy England, 2025). History of development therefore mirrors the evolution of public expectations, medicine safety worries and demand for easily accessible health services.</w:t>
      </w:r>
    </w:p>
    <w:p w14:paraId="7B1A66C0" w14:textId="77777777" w:rsidR="001829D9" w:rsidRPr="00E41CED" w:rsidRDefault="003132C9" w:rsidP="002B4895">
      <w:pPr>
        <w:spacing w:before="120"/>
        <w:jc w:val="both"/>
        <w:rPr>
          <w:rFonts w:cs="Arial"/>
        </w:rPr>
      </w:pPr>
      <w:r w:rsidRPr="00E41CED">
        <w:rPr>
          <w:rFonts w:cs="Arial"/>
        </w:rPr>
        <w:t>Today, community pharmacies usually operate as independent businesses contracted to provide NHS services</w:t>
      </w:r>
      <w:r w:rsidR="00CF3481" w:rsidRPr="00E41CED">
        <w:rPr>
          <w:rFonts w:cs="Arial"/>
        </w:rPr>
        <w:t>. The key services are dispensing, safe disposal of medicines and support for self-care, and other services are dependent on participation and commissioning by the NHS Business Services Authority (NHS Business Services Authority, 2025; Community Pharmacy England, 2025). Pharmacists determine appropriateness for treatment, provide counseling and refer patients whose needs are beyond the scope of the service. The service's initial rollout in autumn 2026 is through selected pharmacies, demonstrating more clinical growth and also that availability does not exist everywhere</w:t>
      </w:r>
      <w:r w:rsidR="00CD3897" w:rsidRPr="00E41CED">
        <w:rPr>
          <w:rFonts w:cs="Arial"/>
        </w:rPr>
        <w:t xml:space="preserve"> (NHS England, 2026).</w:t>
      </w:r>
    </w:p>
    <w:p w14:paraId="3EE4C0EC" w14:textId="77777777" w:rsidR="001829D9" w:rsidRPr="00E41CED" w:rsidRDefault="00CD3897" w:rsidP="00E41CED">
      <w:pPr>
        <w:pStyle w:val="Heading2"/>
        <w:rPr>
          <w:rFonts w:ascii="Arial" w:hAnsi="Arial" w:cs="Arial"/>
        </w:rPr>
      </w:pPr>
      <w:bookmarkStart w:id="8" w:name="_Toc242443103"/>
      <w:r w:rsidRPr="00E41CED">
        <w:rPr>
          <w:rFonts w:ascii="Arial" w:hAnsi="Arial" w:cs="Arial"/>
        </w:rPr>
        <w:t>Critical evaluation and significance for service users</w:t>
      </w:r>
      <w:bookmarkEnd w:id="8"/>
    </w:p>
    <w:p w14:paraId="68C9EA3C" w14:textId="77777777" w:rsidR="00A32920" w:rsidRPr="00E41CED" w:rsidRDefault="00CD3897" w:rsidP="002B4895">
      <w:pPr>
        <w:spacing w:before="120"/>
        <w:jc w:val="both"/>
        <w:rPr>
          <w:rFonts w:cs="Arial"/>
        </w:rPr>
      </w:pPr>
      <w:r w:rsidRPr="00E41CED">
        <w:rPr>
          <w:rFonts w:cs="Arial"/>
        </w:rPr>
        <w:t xml:space="preserve">A major strength is convenient access to advice without routinely requiring a GP appointment. </w:t>
      </w:r>
      <w:r w:rsidR="00A32920" w:rsidRPr="00E41CED">
        <w:rPr>
          <w:rFonts w:cs="Arial"/>
        </w:rPr>
        <w:t>Explain treatment; can increase confidence and adherence for those with long-term conditions. When people are taking multiple medications, continuity is important. Elliott et al. (2016) reported greater self-reported adherence at 10 weeks following New Medicine Service consultations than usual care. The study cited, however, only targeted medications and was based on self-report and thus did not provide evidence for sustained improvements in quality of life. Possibly, but not proof of, better adherence leading to better disease control.</w:t>
      </w:r>
    </w:p>
    <w:p w14:paraId="252BEB19" w14:textId="77777777" w:rsidR="00A32920" w:rsidRPr="00E41CED" w:rsidRDefault="00AD7F45" w:rsidP="002B4895">
      <w:pPr>
        <w:spacing w:before="120"/>
        <w:jc w:val="both"/>
        <w:rPr>
          <w:rFonts w:cs="Arial"/>
        </w:rPr>
      </w:pPr>
      <w:r w:rsidRPr="00E41CED">
        <w:rPr>
          <w:rFonts w:cs="Arial"/>
        </w:rPr>
        <w:t>Capacity constrains these benefits</w:t>
      </w:r>
      <w:r w:rsidR="00A32920" w:rsidRPr="00E41CED">
        <w:rPr>
          <w:rFonts w:cs="Arial"/>
        </w:rPr>
        <w:t>. In 2024</w:t>
      </w:r>
      <w:r w:rsidRPr="00E41CED">
        <w:rPr>
          <w:rFonts w:cs="Arial"/>
        </w:rPr>
        <w:t>-</w:t>
      </w:r>
      <w:r w:rsidR="00A32920" w:rsidRPr="00E41CED">
        <w:rPr>
          <w:rFonts w:cs="Arial"/>
        </w:rPr>
        <w:t>25, the number of prescription items dispensed in community pharmacies rose by 4% compared to 2023</w:t>
      </w:r>
      <w:r w:rsidR="001176AB" w:rsidRPr="00E41CED">
        <w:rPr>
          <w:rFonts w:cs="Arial"/>
        </w:rPr>
        <w:t>-</w:t>
      </w:r>
      <w:r w:rsidR="00A32920" w:rsidRPr="00E41CED">
        <w:rPr>
          <w:rFonts w:cs="Arial"/>
        </w:rPr>
        <w:t>24 to 1.16 billion (NHS Business Services Authority, 2025). When activity increases, consultation time can be overshadowed (particularly with reduced staffing). There are no indicators of workload using dispensing volume and dispensed volume cannot provide evidence of improved health as a result of each consultation or the equity of access.</w:t>
      </w:r>
    </w:p>
    <w:p w14:paraId="20E6D5C2" w14:textId="77777777" w:rsidR="001829D9" w:rsidRPr="00E41CED" w:rsidRDefault="000407C9" w:rsidP="002B4895">
      <w:pPr>
        <w:spacing w:before="120"/>
        <w:jc w:val="both"/>
        <w:rPr>
          <w:rFonts w:cs="Arial"/>
        </w:rPr>
      </w:pPr>
      <w:r w:rsidRPr="00E41CED">
        <w:rPr>
          <w:rFonts w:cs="Arial"/>
        </w:rPr>
        <w:t>Safe expansion therefore requires adequate staff, suitable premises and clear referral arrangements</w:t>
      </w:r>
      <w:r w:rsidR="00A32920" w:rsidRPr="00E41CED">
        <w:rPr>
          <w:rFonts w:cs="Arial"/>
        </w:rPr>
        <w:t xml:space="preserve">. There are requirements for the General Pharmaceutical Council (2018) standards for adequate competent staff and privacy protection. </w:t>
      </w:r>
      <w:r w:rsidR="00E266AD" w:rsidRPr="00E41CED">
        <w:rPr>
          <w:rFonts w:cs="Arial"/>
        </w:rPr>
        <w:t>However, a</w:t>
      </w:r>
      <w:r w:rsidR="00A32920" w:rsidRPr="00E41CED">
        <w:rPr>
          <w:rFonts w:cs="Arial"/>
        </w:rPr>
        <w:t xml:space="preserve"> consultation can be beneficial, if individuals are not able to share sensitive concerns privately they may find it less helpful. Patients outside of these defined clinical and age criteria may need another professional (NHS, 2024). Pharmacy can only fill a gap in one place if referrals, information sharing and capacity support continuity of care</w:t>
      </w:r>
      <w:r w:rsidR="00CD3897" w:rsidRPr="00E41CED">
        <w:rPr>
          <w:rFonts w:cs="Arial"/>
        </w:rPr>
        <w:t>.</w:t>
      </w:r>
    </w:p>
    <w:p w14:paraId="52A32561" w14:textId="77777777" w:rsidR="001829D9" w:rsidRPr="00E41CED" w:rsidRDefault="00CD3897" w:rsidP="00E41CED">
      <w:pPr>
        <w:pStyle w:val="Heading2"/>
        <w:rPr>
          <w:rFonts w:ascii="Arial" w:hAnsi="Arial" w:cs="Arial"/>
        </w:rPr>
      </w:pPr>
      <w:bookmarkStart w:id="9" w:name="_Toc242443104"/>
      <w:r w:rsidRPr="00E41CED">
        <w:rPr>
          <w:rFonts w:ascii="Arial" w:hAnsi="Arial" w:cs="Arial"/>
        </w:rPr>
        <w:t>Conclusion</w:t>
      </w:r>
      <w:bookmarkEnd w:id="9"/>
    </w:p>
    <w:p w14:paraId="57DDD307" w14:textId="77777777" w:rsidR="001829D9" w:rsidRPr="00E41CED" w:rsidRDefault="007506C7" w:rsidP="002B4895">
      <w:pPr>
        <w:spacing w:before="120"/>
        <w:jc w:val="both"/>
        <w:rPr>
          <w:rFonts w:cs="Arial"/>
        </w:rPr>
      </w:pPr>
      <w:r w:rsidRPr="00E41CED">
        <w:rPr>
          <w:rFonts w:cs="Arial"/>
        </w:rPr>
        <w:t xml:space="preserve">Community pharmacy has evolved from medicine retailing to becoming a regulated clinical service, driven by professional education, NHS provision and evolving commissioning models. It has the strengths of easy-to-understand tips, symptom management and treatment assistance. These can help build towards independence and wellbeing, but they should not be assumed to be evidence of ongoing benefits based on activity or </w:t>
      </w:r>
      <w:r w:rsidR="00F50F65" w:rsidRPr="00E41CED">
        <w:rPr>
          <w:rFonts w:cs="Arial"/>
        </w:rPr>
        <w:t>short-term</w:t>
      </w:r>
      <w:r w:rsidRPr="00E41CED">
        <w:rPr>
          <w:rFonts w:cs="Arial"/>
        </w:rPr>
        <w:t xml:space="preserve"> adherence. Sustainable staffing, privacy and reliable referrals are essential as responsibilities expand. Safe care, equitable access and patient outcomes, in addition to the amount of medicines supplied, should be used to measure services</w:t>
      </w:r>
      <w:r w:rsidR="00CD3897" w:rsidRPr="00E41CED">
        <w:rPr>
          <w:rFonts w:cs="Arial"/>
        </w:rPr>
        <w:t>.</w:t>
      </w:r>
    </w:p>
    <w:p w14:paraId="73F596BF" w14:textId="77777777" w:rsidR="001829D9" w:rsidRPr="00E41CED" w:rsidRDefault="00CD3897" w:rsidP="001A043A">
      <w:pPr>
        <w:pStyle w:val="Heading1"/>
        <w:rPr>
          <w:rFonts w:ascii="Arial" w:hAnsi="Arial" w:cs="Arial"/>
        </w:rPr>
      </w:pPr>
      <w:bookmarkStart w:id="10" w:name="_Toc242443105"/>
      <w:r w:rsidRPr="00E41CED">
        <w:rPr>
          <w:rFonts w:ascii="Arial" w:hAnsi="Arial" w:cs="Arial"/>
        </w:rPr>
        <w:t>Reference list</w:t>
      </w:r>
      <w:bookmarkEnd w:id="10"/>
    </w:p>
    <w:p w14:paraId="2FA50A1C" w14:textId="77777777" w:rsidR="001829D9" w:rsidRPr="00E41CED" w:rsidRDefault="00CD3897" w:rsidP="002B4895">
      <w:pPr>
        <w:keepLines/>
        <w:spacing w:before="120"/>
        <w:ind w:left="397" w:hanging="397"/>
        <w:jc w:val="both"/>
        <w:rPr>
          <w:rFonts w:cs="Arial"/>
        </w:rPr>
      </w:pPr>
      <w:r w:rsidRPr="00E41CED">
        <w:rPr>
          <w:rFonts w:cs="Arial"/>
        </w:rPr>
        <w:t xml:space="preserve">Birmingham City Council (2026) </w:t>
      </w:r>
      <w:r w:rsidRPr="00E41CED">
        <w:rPr>
          <w:rFonts w:cs="Arial"/>
          <w:i/>
        </w:rPr>
        <w:t>Councillor Nosheen Khalid</w:t>
      </w:r>
      <w:r w:rsidRPr="00E41CED">
        <w:rPr>
          <w:rFonts w:cs="Arial"/>
        </w:rPr>
        <w:t xml:space="preserve">. Available at: </w:t>
      </w:r>
      <w:hyperlink r:id="rId9">
        <w:r w:rsidRPr="008702E5">
          <w:rPr>
            <w:rFonts w:cs="Arial"/>
            <w:color w:val="0000FF"/>
          </w:rPr>
          <w:t>https://www.birmingham.gov.uk/councillors/61/nosheen_khalid</w:t>
        </w:r>
      </w:hyperlink>
      <w:r w:rsidR="0046588F" w:rsidRPr="00E41CED">
        <w:rPr>
          <w:rFonts w:cs="Arial"/>
        </w:rPr>
        <w:t xml:space="preserve"> </w:t>
      </w:r>
      <w:r w:rsidRPr="00E41CED">
        <w:rPr>
          <w:rFonts w:cs="Arial"/>
        </w:rPr>
        <w:t>(Accessed: 9 October 2026).</w:t>
      </w:r>
    </w:p>
    <w:p w14:paraId="69819D3A" w14:textId="77777777" w:rsidR="001829D9" w:rsidRPr="00E41CED" w:rsidRDefault="00CD3897" w:rsidP="002B4895">
      <w:pPr>
        <w:keepLines/>
        <w:spacing w:before="120"/>
        <w:ind w:left="397" w:hanging="397"/>
        <w:jc w:val="both"/>
        <w:rPr>
          <w:rFonts w:cs="Arial"/>
        </w:rPr>
      </w:pPr>
      <w:r w:rsidRPr="00E41CED">
        <w:rPr>
          <w:rFonts w:cs="Arial"/>
        </w:rPr>
        <w:t xml:space="preserve">Birmingham and Solihull Mental Health NHS Foundation Trust (2025) </w:t>
      </w:r>
      <w:r w:rsidRPr="00E41CED">
        <w:rPr>
          <w:rFonts w:cs="Arial"/>
          <w:i/>
        </w:rPr>
        <w:t>Understanding the mental health needs of Birmingham and Solihull</w:t>
      </w:r>
      <w:r w:rsidRPr="00E41CED">
        <w:rPr>
          <w:rFonts w:cs="Arial"/>
        </w:rPr>
        <w:t xml:space="preserve">. Available at: </w:t>
      </w:r>
      <w:hyperlink r:id="rId10">
        <w:r w:rsidRPr="008702E5">
          <w:rPr>
            <w:rFonts w:cs="Arial"/>
            <w:color w:val="0000FF"/>
          </w:rPr>
          <w:t>https://www.bsmhft.nhs.uk/about-us/news/understanding-the-mental-health-needs-of-birmingham-and-solihull/</w:t>
        </w:r>
      </w:hyperlink>
      <w:r w:rsidRPr="008702E5">
        <w:rPr>
          <w:rFonts w:cs="Arial"/>
          <w:color w:val="0000FF"/>
        </w:rPr>
        <w:t xml:space="preserve"> </w:t>
      </w:r>
      <w:r w:rsidRPr="00E41CED">
        <w:rPr>
          <w:rFonts w:cs="Arial"/>
        </w:rPr>
        <w:t>(Accessed: 9 October 2026).</w:t>
      </w:r>
    </w:p>
    <w:p w14:paraId="2C7997BB" w14:textId="77777777" w:rsidR="001829D9" w:rsidRPr="00E41CED" w:rsidRDefault="00CD3897" w:rsidP="002B4895">
      <w:pPr>
        <w:keepLines/>
        <w:spacing w:before="120"/>
        <w:ind w:left="397" w:hanging="397"/>
        <w:jc w:val="both"/>
        <w:rPr>
          <w:rFonts w:cs="Arial"/>
        </w:rPr>
      </w:pPr>
      <w:r w:rsidRPr="00E41CED">
        <w:rPr>
          <w:rFonts w:cs="Arial"/>
          <w:i/>
        </w:rPr>
        <w:t>Care Act 2014</w:t>
      </w:r>
      <w:r w:rsidRPr="00E41CED">
        <w:rPr>
          <w:rFonts w:cs="Arial"/>
        </w:rPr>
        <w:t xml:space="preserve">, c. 23, Part 1. Available at: </w:t>
      </w:r>
      <w:hyperlink r:id="rId11">
        <w:r w:rsidRPr="00E41CED">
          <w:rPr>
            <w:rFonts w:cs="Arial"/>
          </w:rPr>
          <w:t>https://www.legislation.gov.uk/ukpga/2014/23/part/1</w:t>
        </w:r>
      </w:hyperlink>
      <w:r w:rsidRPr="00E41CED">
        <w:rPr>
          <w:rFonts w:cs="Arial"/>
        </w:rPr>
        <w:t xml:space="preserve"> (Accessed: 9 October 2026).</w:t>
      </w:r>
    </w:p>
    <w:p w14:paraId="4FBEBCB8" w14:textId="77777777" w:rsidR="001829D9" w:rsidRPr="00E41CED" w:rsidRDefault="00CD3897" w:rsidP="002B4895">
      <w:pPr>
        <w:keepLines/>
        <w:spacing w:before="120"/>
        <w:ind w:left="397" w:hanging="397"/>
        <w:jc w:val="both"/>
        <w:rPr>
          <w:rFonts w:cs="Arial"/>
        </w:rPr>
      </w:pPr>
      <w:r w:rsidRPr="00E41CED">
        <w:rPr>
          <w:rFonts w:cs="Arial"/>
        </w:rPr>
        <w:t xml:space="preserve">Community Pharmacy England (2025) </w:t>
      </w:r>
      <w:r w:rsidRPr="00E41CED">
        <w:rPr>
          <w:rFonts w:cs="Arial"/>
          <w:i/>
        </w:rPr>
        <w:t>Community Pharmacy England’s brief guide to the Community Pharmacy Contractual Framework and funding</w:t>
      </w:r>
      <w:r w:rsidRPr="00E41CED">
        <w:rPr>
          <w:rFonts w:cs="Arial"/>
        </w:rPr>
        <w:t xml:space="preserve">. Available at: </w:t>
      </w:r>
      <w:hyperlink r:id="rId12">
        <w:r w:rsidRPr="005F51A2">
          <w:rPr>
            <w:rFonts w:cs="Arial"/>
            <w:color w:val="0000FF"/>
          </w:rPr>
          <w:t>https://cpe.org.uk/wp-content/uploads/2025/05/Brief-guide-to-the-CPCF-and-funding-May-2025.pdf</w:t>
        </w:r>
      </w:hyperlink>
      <w:r w:rsidRPr="00E41CED">
        <w:rPr>
          <w:rFonts w:cs="Arial"/>
        </w:rPr>
        <w:t xml:space="preserve"> (Accessed: 9 October 2026).</w:t>
      </w:r>
    </w:p>
    <w:p w14:paraId="635ACC3D" w14:textId="77777777" w:rsidR="001829D9" w:rsidRPr="00E41CED" w:rsidRDefault="00CD3897" w:rsidP="002B4895">
      <w:pPr>
        <w:keepLines/>
        <w:spacing w:before="120"/>
        <w:ind w:left="397" w:hanging="397"/>
        <w:jc w:val="both"/>
        <w:rPr>
          <w:rFonts w:cs="Arial"/>
        </w:rPr>
      </w:pPr>
      <w:r w:rsidRPr="00E41CED">
        <w:rPr>
          <w:rFonts w:cs="Arial"/>
        </w:rPr>
        <w:t xml:space="preserve">Department of Health and Social Care (2025) </w:t>
      </w:r>
      <w:r w:rsidRPr="00E41CED">
        <w:rPr>
          <w:rFonts w:cs="Arial"/>
          <w:i/>
        </w:rPr>
        <w:t>Care and support statutory guidance</w:t>
      </w:r>
      <w:r w:rsidRPr="00E41CED">
        <w:rPr>
          <w:rFonts w:cs="Arial"/>
        </w:rPr>
        <w:t xml:space="preserve">. Available at: </w:t>
      </w:r>
      <w:hyperlink r:id="rId13">
        <w:r w:rsidRPr="005F51A2">
          <w:rPr>
            <w:rFonts w:cs="Arial"/>
            <w:color w:val="0000FF"/>
          </w:rPr>
          <w:t>https://www.gov.uk/government/publications/care-act-statutory-guidance/care-and-support-statutory-guidance</w:t>
        </w:r>
      </w:hyperlink>
      <w:r w:rsidRPr="005F51A2">
        <w:rPr>
          <w:rFonts w:cs="Arial"/>
          <w:color w:val="0000FF"/>
        </w:rPr>
        <w:t xml:space="preserve"> </w:t>
      </w:r>
      <w:r w:rsidRPr="00E41CED">
        <w:rPr>
          <w:rFonts w:cs="Arial"/>
        </w:rPr>
        <w:t>(Accessed: 9 October 2026).</w:t>
      </w:r>
    </w:p>
    <w:p w14:paraId="2D5A217E" w14:textId="77777777" w:rsidR="001829D9" w:rsidRPr="00E41CED" w:rsidRDefault="00CD3897" w:rsidP="002B4895">
      <w:pPr>
        <w:keepLines/>
        <w:spacing w:before="120"/>
        <w:ind w:left="397" w:hanging="397"/>
        <w:jc w:val="both"/>
        <w:rPr>
          <w:rFonts w:cs="Arial"/>
        </w:rPr>
      </w:pPr>
      <w:r w:rsidRPr="00E41CED">
        <w:rPr>
          <w:rFonts w:cs="Arial"/>
        </w:rPr>
        <w:t xml:space="preserve">Elliott, R.A., Boyd, M.J., Salema, N.-E., Davies, J., Barber, N., Mehta, R.L., Tanajewski, L., Waring, J., Latif, A., Gkountouras, G., Avery, A.J., Chuter, A. and Craig, C. (2016) ‘Supporting adherence for people starting a new medication for a long-term condition through community pharmacies: a pragmatic randomised controlled trial of the New Medicine Service’, </w:t>
      </w:r>
      <w:r w:rsidRPr="00E41CED">
        <w:rPr>
          <w:rFonts w:cs="Arial"/>
          <w:i/>
        </w:rPr>
        <w:t>BMJ Quality &amp; Safety</w:t>
      </w:r>
      <w:r w:rsidRPr="00E41CED">
        <w:rPr>
          <w:rFonts w:cs="Arial"/>
        </w:rPr>
        <w:t xml:space="preserve">, 25(10), pp. 747-758. Available at: </w:t>
      </w:r>
      <w:hyperlink r:id="rId14">
        <w:r w:rsidRPr="005F51A2">
          <w:rPr>
            <w:rFonts w:cs="Arial"/>
            <w:color w:val="0000FF"/>
          </w:rPr>
          <w:t>https://doi.org/10.1136/bmjqs-2015-004400</w:t>
        </w:r>
      </w:hyperlink>
    </w:p>
    <w:p w14:paraId="75C3B6BC" w14:textId="77777777" w:rsidR="001829D9" w:rsidRPr="00E41CED" w:rsidRDefault="00CD3897" w:rsidP="002B4895">
      <w:pPr>
        <w:keepLines/>
        <w:spacing w:before="120"/>
        <w:ind w:left="397" w:hanging="397"/>
        <w:jc w:val="both"/>
        <w:rPr>
          <w:rFonts w:cs="Arial"/>
        </w:rPr>
      </w:pPr>
      <w:r w:rsidRPr="00E41CED">
        <w:rPr>
          <w:rFonts w:cs="Arial"/>
        </w:rPr>
        <w:t xml:space="preserve">General Pharmaceutical Council (2018) </w:t>
      </w:r>
      <w:r w:rsidRPr="00E41CED">
        <w:rPr>
          <w:rFonts w:cs="Arial"/>
          <w:i/>
        </w:rPr>
        <w:t>Standards for registered pharmacies</w:t>
      </w:r>
      <w:r w:rsidRPr="00E41CED">
        <w:rPr>
          <w:rFonts w:cs="Arial"/>
        </w:rPr>
        <w:t xml:space="preserve">. Available at: </w:t>
      </w:r>
      <w:hyperlink r:id="rId15">
        <w:r w:rsidRPr="005F51A2">
          <w:rPr>
            <w:rFonts w:cs="Arial"/>
            <w:color w:val="0000FF"/>
          </w:rPr>
          <w:t>https://assets.pharmacyregulation.org/files/document/standards_for_registered_pharmacies_june_2018_0.pdf</w:t>
        </w:r>
      </w:hyperlink>
      <w:r w:rsidRPr="00E41CED">
        <w:rPr>
          <w:rFonts w:cs="Arial"/>
        </w:rPr>
        <w:t xml:space="preserve"> (Accessed: 9 October 2026).</w:t>
      </w:r>
    </w:p>
    <w:p w14:paraId="704653F0" w14:textId="77777777" w:rsidR="001829D9" w:rsidRPr="00E41CED" w:rsidRDefault="00CD3897" w:rsidP="002B4895">
      <w:pPr>
        <w:keepLines/>
        <w:spacing w:before="120"/>
        <w:ind w:left="397" w:hanging="397"/>
        <w:jc w:val="both"/>
        <w:rPr>
          <w:rFonts w:cs="Arial"/>
        </w:rPr>
      </w:pPr>
      <w:r w:rsidRPr="00E41CED">
        <w:rPr>
          <w:rFonts w:cs="Arial"/>
        </w:rPr>
        <w:t xml:space="preserve">National Institute for Health and Care Excellence [NICE] (2011) </w:t>
      </w:r>
      <w:r w:rsidRPr="00E41CED">
        <w:rPr>
          <w:rFonts w:cs="Arial"/>
          <w:i/>
        </w:rPr>
        <w:t>Service user experience in adult mental health: improving the experience of care for people using adult NHS mental health services</w:t>
      </w:r>
      <w:r w:rsidRPr="00E41CED">
        <w:rPr>
          <w:rFonts w:cs="Arial"/>
        </w:rPr>
        <w:t xml:space="preserve">. Clinical guideline CG136. Available at: </w:t>
      </w:r>
      <w:hyperlink r:id="rId16">
        <w:r w:rsidRPr="005F51A2">
          <w:rPr>
            <w:rFonts w:cs="Arial"/>
            <w:color w:val="0000FF"/>
          </w:rPr>
          <w:t>https://www.nice.org.uk/guidance/cg136</w:t>
        </w:r>
      </w:hyperlink>
      <w:r w:rsidRPr="00E41CED">
        <w:rPr>
          <w:rFonts w:cs="Arial"/>
        </w:rPr>
        <w:t xml:space="preserve"> (Accessed: 9 October 2026).</w:t>
      </w:r>
    </w:p>
    <w:p w14:paraId="550F11F3" w14:textId="77777777" w:rsidR="001829D9" w:rsidRPr="00E41CED" w:rsidRDefault="00CD3897" w:rsidP="002B4895">
      <w:pPr>
        <w:keepLines/>
        <w:spacing w:before="120"/>
        <w:ind w:left="397" w:hanging="397"/>
        <w:jc w:val="both"/>
        <w:rPr>
          <w:rFonts w:cs="Arial"/>
        </w:rPr>
      </w:pPr>
      <w:r w:rsidRPr="00E41CED">
        <w:rPr>
          <w:rFonts w:cs="Arial"/>
        </w:rPr>
        <w:t xml:space="preserve">NHS (2024) </w:t>
      </w:r>
      <w:r w:rsidRPr="00E41CED">
        <w:rPr>
          <w:rFonts w:cs="Arial"/>
          <w:i/>
        </w:rPr>
        <w:t>How pharmacies can help</w:t>
      </w:r>
      <w:r w:rsidRPr="00E41CED">
        <w:rPr>
          <w:rFonts w:cs="Arial"/>
        </w:rPr>
        <w:t xml:space="preserve">. Available at: </w:t>
      </w:r>
      <w:hyperlink r:id="rId17">
        <w:r w:rsidRPr="005F51A2">
          <w:rPr>
            <w:rFonts w:cs="Arial"/>
            <w:color w:val="0000FF"/>
          </w:rPr>
          <w:t>https://www.nhs.uk/nhs-services/pharmacies/how-pharmacies-can-help/</w:t>
        </w:r>
      </w:hyperlink>
      <w:r w:rsidRPr="005F51A2">
        <w:rPr>
          <w:rFonts w:cs="Arial"/>
          <w:color w:val="0000FF"/>
        </w:rPr>
        <w:t xml:space="preserve"> </w:t>
      </w:r>
      <w:r w:rsidRPr="00E41CED">
        <w:rPr>
          <w:rFonts w:cs="Arial"/>
        </w:rPr>
        <w:t>(Accessed: 9 October 2026).</w:t>
      </w:r>
    </w:p>
    <w:p w14:paraId="3E30898B" w14:textId="77777777" w:rsidR="001829D9" w:rsidRPr="00E41CED" w:rsidRDefault="00CD3897" w:rsidP="002B4895">
      <w:pPr>
        <w:keepLines/>
        <w:spacing w:before="120"/>
        <w:ind w:left="397" w:hanging="397"/>
        <w:jc w:val="both"/>
        <w:rPr>
          <w:rFonts w:cs="Arial"/>
        </w:rPr>
      </w:pPr>
      <w:r w:rsidRPr="00E41CED">
        <w:rPr>
          <w:rFonts w:cs="Arial"/>
        </w:rPr>
        <w:t xml:space="preserve">NHS Business Services Authority (2025) </w:t>
      </w:r>
      <w:r w:rsidRPr="00E41CED">
        <w:rPr>
          <w:rFonts w:cs="Arial"/>
          <w:i/>
        </w:rPr>
        <w:t>General Pharmaceutical Services in England 2015/16 to 2024/25</w:t>
      </w:r>
      <w:r w:rsidRPr="00E41CED">
        <w:rPr>
          <w:rFonts w:cs="Arial"/>
        </w:rPr>
        <w:t xml:space="preserve">. Available at: </w:t>
      </w:r>
      <w:hyperlink r:id="rId18">
        <w:r w:rsidRPr="005F51A2">
          <w:rPr>
            <w:rFonts w:cs="Arial"/>
            <w:color w:val="0000FF"/>
          </w:rPr>
          <w:t>https://www.nhsbsa.nhs.uk/statistical-collections/general-pharmaceutical-services-england/general-pharmaceutical-services-england-201516-202425</w:t>
        </w:r>
      </w:hyperlink>
      <w:r w:rsidRPr="00E41CED">
        <w:rPr>
          <w:rFonts w:cs="Arial"/>
        </w:rPr>
        <w:t xml:space="preserve"> (Accessed: 9 October 2026).</w:t>
      </w:r>
    </w:p>
    <w:p w14:paraId="67197368" w14:textId="77777777" w:rsidR="001829D9" w:rsidRPr="00E41CED" w:rsidRDefault="00CD3897" w:rsidP="002B4895">
      <w:pPr>
        <w:keepLines/>
        <w:spacing w:before="120"/>
        <w:ind w:left="397" w:hanging="397"/>
        <w:jc w:val="both"/>
        <w:rPr>
          <w:rFonts w:cs="Arial"/>
        </w:rPr>
      </w:pPr>
      <w:r w:rsidRPr="00E41CED">
        <w:rPr>
          <w:rFonts w:cs="Arial"/>
        </w:rPr>
        <w:t xml:space="preserve">NHS England (2026) </w:t>
      </w:r>
      <w:r w:rsidRPr="00E41CED">
        <w:rPr>
          <w:rFonts w:cs="Arial"/>
          <w:i/>
        </w:rPr>
        <w:t>Patients to get quicker treatment for migraines, acne and 3 other everyday conditions at pharmacies</w:t>
      </w:r>
      <w:r w:rsidRPr="00E41CED">
        <w:rPr>
          <w:rFonts w:cs="Arial"/>
        </w:rPr>
        <w:t xml:space="preserve">. Available at: </w:t>
      </w:r>
      <w:hyperlink r:id="rId19">
        <w:r w:rsidRPr="005F51A2">
          <w:rPr>
            <w:rFonts w:cs="Arial"/>
            <w:color w:val="0000FF"/>
          </w:rPr>
          <w:t>https://www.england.nhs.uk/2026/09/patients-to-get-quicker-treatment-for-migraines-acne-and-3-other-everyday-conditions-at-pharmacies/</w:t>
        </w:r>
      </w:hyperlink>
      <w:r w:rsidRPr="00E41CED">
        <w:rPr>
          <w:rFonts w:cs="Arial"/>
        </w:rPr>
        <w:t xml:space="preserve"> (Accessed: 9 October 2026).</w:t>
      </w:r>
    </w:p>
    <w:p w14:paraId="566D5BC9" w14:textId="77777777" w:rsidR="001829D9" w:rsidRPr="00E41CED" w:rsidRDefault="00CD3897" w:rsidP="002B4895">
      <w:pPr>
        <w:keepLines/>
        <w:spacing w:before="120"/>
        <w:ind w:left="397" w:hanging="397"/>
        <w:jc w:val="both"/>
        <w:rPr>
          <w:rFonts w:cs="Arial"/>
        </w:rPr>
      </w:pPr>
      <w:r w:rsidRPr="00E41CED">
        <w:rPr>
          <w:rFonts w:cs="Arial"/>
        </w:rPr>
        <w:t xml:space="preserve">NHS England and NHS Improvement (2019) </w:t>
      </w:r>
      <w:r w:rsidRPr="00E41CED">
        <w:rPr>
          <w:rFonts w:cs="Arial"/>
          <w:i/>
        </w:rPr>
        <w:t>The community mental health framework for adults and older adults</w:t>
      </w:r>
      <w:r w:rsidRPr="00E41CED">
        <w:rPr>
          <w:rFonts w:cs="Arial"/>
        </w:rPr>
        <w:t xml:space="preserve">. Available at: </w:t>
      </w:r>
      <w:hyperlink r:id="rId20">
        <w:r w:rsidRPr="005F51A2">
          <w:rPr>
            <w:rFonts w:cs="Arial"/>
            <w:color w:val="0000FF"/>
          </w:rPr>
          <w:t>https://www.england.nhs.uk/wp-content/uploads/2019/09/community-mental-health-framework-for-adults-and-older-adults.pdf</w:t>
        </w:r>
      </w:hyperlink>
      <w:r w:rsidRPr="00E41CED">
        <w:rPr>
          <w:rFonts w:cs="Arial"/>
        </w:rPr>
        <w:t xml:space="preserve"> (Accessed: 9 October 2026).</w:t>
      </w:r>
    </w:p>
    <w:p w14:paraId="3C67034A" w14:textId="77777777" w:rsidR="001829D9" w:rsidRPr="00E41CED" w:rsidRDefault="00CD3897" w:rsidP="002B4895">
      <w:pPr>
        <w:keepLines/>
        <w:spacing w:before="120"/>
        <w:ind w:left="397" w:hanging="397"/>
        <w:jc w:val="both"/>
        <w:rPr>
          <w:rFonts w:cs="Arial"/>
        </w:rPr>
      </w:pPr>
      <w:r w:rsidRPr="00E41CED">
        <w:rPr>
          <w:rFonts w:cs="Arial"/>
        </w:rPr>
        <w:t>Royal Pharmaceutical Society (</w:t>
      </w:r>
      <w:r w:rsidR="00A26644" w:rsidRPr="00E41CED">
        <w:rPr>
          <w:rFonts w:cs="Arial"/>
        </w:rPr>
        <w:t>2026</w:t>
      </w:r>
      <w:r w:rsidRPr="00E41CED">
        <w:rPr>
          <w:rFonts w:cs="Arial"/>
        </w:rPr>
        <w:t xml:space="preserve">) </w:t>
      </w:r>
      <w:r w:rsidRPr="00E41CED">
        <w:rPr>
          <w:rFonts w:cs="Arial"/>
          <w:i/>
        </w:rPr>
        <w:t>The history of the Royal Pharmaceutical Society</w:t>
      </w:r>
      <w:r w:rsidRPr="00E41CED">
        <w:rPr>
          <w:rFonts w:cs="Arial"/>
        </w:rPr>
        <w:t xml:space="preserve">. Available at: </w:t>
      </w:r>
      <w:hyperlink r:id="rId21">
        <w:r w:rsidRPr="001C2E5B">
          <w:rPr>
            <w:rFonts w:cs="Arial"/>
            <w:color w:val="0000FF"/>
          </w:rPr>
          <w:t>https://museum.rcpharm.org/exhibitions/the-history-of-the-royal-pharmaceutical-society/</w:t>
        </w:r>
      </w:hyperlink>
      <w:r w:rsidRPr="001C2E5B">
        <w:rPr>
          <w:rFonts w:cs="Arial"/>
          <w:color w:val="0000FF"/>
        </w:rPr>
        <w:t xml:space="preserve"> </w:t>
      </w:r>
      <w:r w:rsidRPr="00E41CED">
        <w:rPr>
          <w:rFonts w:cs="Arial"/>
        </w:rPr>
        <w:t>(Accessed: 9 October 2026).</w:t>
      </w:r>
    </w:p>
    <w:p w14:paraId="56F5FC7B" w14:textId="77777777" w:rsidR="001829D9" w:rsidRPr="00E41CED" w:rsidRDefault="00CD3897" w:rsidP="002B4895">
      <w:pPr>
        <w:keepLines/>
        <w:spacing w:before="120"/>
        <w:ind w:left="397" w:hanging="397"/>
        <w:jc w:val="both"/>
        <w:rPr>
          <w:rFonts w:cs="Arial"/>
        </w:rPr>
      </w:pPr>
      <w:r w:rsidRPr="00E41CED">
        <w:rPr>
          <w:rFonts w:cs="Arial"/>
        </w:rPr>
        <w:t xml:space="preserve">Social Care Institute for Excellence (2015) </w:t>
      </w:r>
      <w:r w:rsidRPr="00E41CED">
        <w:rPr>
          <w:rFonts w:cs="Arial"/>
          <w:i/>
        </w:rPr>
        <w:t>Strengths-based approaches - Care Act guidance</w:t>
      </w:r>
      <w:r w:rsidRPr="00E41CED">
        <w:rPr>
          <w:rFonts w:cs="Arial"/>
        </w:rPr>
        <w:t xml:space="preserve">. Available at: </w:t>
      </w:r>
      <w:hyperlink r:id="rId22">
        <w:r w:rsidRPr="001C2E5B">
          <w:rPr>
            <w:rFonts w:cs="Arial"/>
            <w:color w:val="0000FF"/>
          </w:rPr>
          <w:t>https://www.scie.org.uk/strengths-based-approaches/guidance/</w:t>
        </w:r>
      </w:hyperlink>
      <w:r w:rsidRPr="00E41CED">
        <w:rPr>
          <w:rFonts w:cs="Arial"/>
        </w:rPr>
        <w:t xml:space="preserve"> (Accessed: 9 October 2026).</w:t>
      </w:r>
    </w:p>
    <w:sectPr w:rsidR="001829D9" w:rsidRPr="00E41CED" w:rsidSect="00034616">
      <w:footerReference w:type="default" r:id="rId23"/>
      <w:pgSz w:w="11906" w:h="16838"/>
      <w:pgMar w:top="1304" w:right="1417" w:bottom="1304" w:left="1417" w:header="720" w:footer="62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2C121A" w14:textId="77777777" w:rsidR="00CD3897" w:rsidRDefault="00CD3897">
      <w:pPr>
        <w:spacing w:after="0" w:line="240" w:lineRule="auto"/>
      </w:pPr>
      <w:r>
        <w:separator/>
      </w:r>
    </w:p>
  </w:endnote>
  <w:endnote w:type="continuationSeparator" w:id="0">
    <w:p w14:paraId="6DA5C9AA" w14:textId="77777777" w:rsidR="00CD3897" w:rsidRDefault="00CD38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0164631"/>
      <w:docPartObj>
        <w:docPartGallery w:val="Page Numbers (Bottom of Page)"/>
        <w:docPartUnique/>
      </w:docPartObj>
    </w:sdtPr>
    <w:sdtEndPr>
      <w:rPr>
        <w:noProof/>
      </w:rPr>
    </w:sdtEndPr>
    <w:sdtContent>
      <w:p w14:paraId="1D1CA9E2" w14:textId="77777777" w:rsidR="000D75E5" w:rsidRDefault="000D75E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ADF680" w14:textId="77777777" w:rsidR="001829D9" w:rsidRDefault="001829D9">
    <w:pPr>
      <w:pStyle w:val="Footer"/>
      <w:spacing w:line="360" w:lineRule="auto"/>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ADDA62" w14:textId="77777777" w:rsidR="00CD3897" w:rsidRDefault="00CD3897">
      <w:pPr>
        <w:spacing w:after="0" w:line="240" w:lineRule="auto"/>
      </w:pPr>
      <w:r>
        <w:separator/>
      </w:r>
    </w:p>
  </w:footnote>
  <w:footnote w:type="continuationSeparator" w:id="0">
    <w:p w14:paraId="61148224" w14:textId="77777777" w:rsidR="00CD3897" w:rsidRDefault="00CD38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92056964">
    <w:abstractNumId w:val="8"/>
  </w:num>
  <w:num w:numId="2" w16cid:durableId="462773527">
    <w:abstractNumId w:val="6"/>
  </w:num>
  <w:num w:numId="3" w16cid:durableId="109012774">
    <w:abstractNumId w:val="5"/>
  </w:num>
  <w:num w:numId="4" w16cid:durableId="15354435">
    <w:abstractNumId w:val="4"/>
  </w:num>
  <w:num w:numId="5" w16cid:durableId="1805852356">
    <w:abstractNumId w:val="7"/>
  </w:num>
  <w:num w:numId="6" w16cid:durableId="608270660">
    <w:abstractNumId w:val="3"/>
  </w:num>
  <w:num w:numId="7" w16cid:durableId="1758093560">
    <w:abstractNumId w:val="2"/>
  </w:num>
  <w:num w:numId="8" w16cid:durableId="910500149">
    <w:abstractNumId w:val="1"/>
  </w:num>
  <w:num w:numId="9" w16cid:durableId="3953996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2"/>
  <w:proofState w:spelling="clean" w:grammar="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4F89"/>
    <w:rsid w:val="00034616"/>
    <w:rsid w:val="000407C9"/>
    <w:rsid w:val="0006063C"/>
    <w:rsid w:val="00074F7E"/>
    <w:rsid w:val="000A19E9"/>
    <w:rsid w:val="000A553D"/>
    <w:rsid w:val="000D75E5"/>
    <w:rsid w:val="000E717C"/>
    <w:rsid w:val="001176AB"/>
    <w:rsid w:val="0015074B"/>
    <w:rsid w:val="00182604"/>
    <w:rsid w:val="001829D9"/>
    <w:rsid w:val="001A043A"/>
    <w:rsid w:val="001C2E5B"/>
    <w:rsid w:val="001F32E5"/>
    <w:rsid w:val="002310C7"/>
    <w:rsid w:val="0029639D"/>
    <w:rsid w:val="002B0C29"/>
    <w:rsid w:val="002B2673"/>
    <w:rsid w:val="002B4895"/>
    <w:rsid w:val="002E3982"/>
    <w:rsid w:val="003132C9"/>
    <w:rsid w:val="0032040E"/>
    <w:rsid w:val="00326F90"/>
    <w:rsid w:val="00355E19"/>
    <w:rsid w:val="00387625"/>
    <w:rsid w:val="003A0A98"/>
    <w:rsid w:val="003D4431"/>
    <w:rsid w:val="00425443"/>
    <w:rsid w:val="0046588F"/>
    <w:rsid w:val="0046640F"/>
    <w:rsid w:val="0049198D"/>
    <w:rsid w:val="004F75F9"/>
    <w:rsid w:val="00514297"/>
    <w:rsid w:val="005E37CC"/>
    <w:rsid w:val="005F3DFF"/>
    <w:rsid w:val="005F51A2"/>
    <w:rsid w:val="00693BB1"/>
    <w:rsid w:val="006A268B"/>
    <w:rsid w:val="006C7F39"/>
    <w:rsid w:val="007506C7"/>
    <w:rsid w:val="00771752"/>
    <w:rsid w:val="007B3487"/>
    <w:rsid w:val="007D0538"/>
    <w:rsid w:val="007F7935"/>
    <w:rsid w:val="00804967"/>
    <w:rsid w:val="00811F9D"/>
    <w:rsid w:val="008702E5"/>
    <w:rsid w:val="009A14D7"/>
    <w:rsid w:val="009A4C92"/>
    <w:rsid w:val="009B5F95"/>
    <w:rsid w:val="00A00978"/>
    <w:rsid w:val="00A17FB3"/>
    <w:rsid w:val="00A21061"/>
    <w:rsid w:val="00A26644"/>
    <w:rsid w:val="00A32920"/>
    <w:rsid w:val="00A34DC1"/>
    <w:rsid w:val="00A40128"/>
    <w:rsid w:val="00A74C85"/>
    <w:rsid w:val="00A955DD"/>
    <w:rsid w:val="00AA1D8D"/>
    <w:rsid w:val="00AD7F45"/>
    <w:rsid w:val="00B0413A"/>
    <w:rsid w:val="00B47730"/>
    <w:rsid w:val="00B97128"/>
    <w:rsid w:val="00BE7014"/>
    <w:rsid w:val="00C023D7"/>
    <w:rsid w:val="00C346F6"/>
    <w:rsid w:val="00CB0664"/>
    <w:rsid w:val="00CD3897"/>
    <w:rsid w:val="00CF3481"/>
    <w:rsid w:val="00D16D4F"/>
    <w:rsid w:val="00DC6AB7"/>
    <w:rsid w:val="00DF0B46"/>
    <w:rsid w:val="00E266AD"/>
    <w:rsid w:val="00E41CED"/>
    <w:rsid w:val="00EA198B"/>
    <w:rsid w:val="00EA4F9A"/>
    <w:rsid w:val="00EB3974"/>
    <w:rsid w:val="00EC5458"/>
    <w:rsid w:val="00F22035"/>
    <w:rsid w:val="00F37C43"/>
    <w:rsid w:val="00F50F65"/>
    <w:rsid w:val="00F62932"/>
    <w:rsid w:val="00FC693F"/>
    <w:rsid w:val="00FD5E2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5E4C41F"/>
  <w14:defaultImageDpi w14:val="300"/>
  <w15:docId w15:val="{1F2B7C36-E2CA-4F16-B528-5DBC312DC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Arial" w:hAnsi="Arial"/>
      <w:color w:val="000000"/>
    </w:rPr>
  </w:style>
  <w:style w:type="paragraph" w:styleId="Heading1">
    <w:name w:val="heading 1"/>
    <w:basedOn w:val="Normal"/>
    <w:next w:val="Normal"/>
    <w:link w:val="Heading1Char"/>
    <w:autoRedefine/>
    <w:uiPriority w:val="9"/>
    <w:qFormat/>
    <w:rsid w:val="001A043A"/>
    <w:pPr>
      <w:keepNext/>
      <w:keepLines/>
      <w:pageBreakBefore/>
      <w:spacing w:before="120"/>
      <w:jc w:val="center"/>
      <w:outlineLvl w:val="0"/>
    </w:pPr>
    <w:rPr>
      <w:rFonts w:asciiTheme="majorHAnsi" w:eastAsiaTheme="majorEastAsia" w:hAnsiTheme="majorHAnsi" w:cstheme="majorBidi"/>
      <w:b/>
      <w:bCs/>
      <w:sz w:val="32"/>
      <w:szCs w:val="28"/>
    </w:rPr>
  </w:style>
  <w:style w:type="paragraph" w:styleId="Heading2">
    <w:name w:val="heading 2"/>
    <w:basedOn w:val="Normal"/>
    <w:next w:val="Normal"/>
    <w:link w:val="Heading2Char"/>
    <w:autoRedefine/>
    <w:uiPriority w:val="9"/>
    <w:unhideWhenUsed/>
    <w:qFormat/>
    <w:rsid w:val="00E41CED"/>
    <w:pPr>
      <w:keepNext/>
      <w:keepLines/>
      <w:spacing w:before="120"/>
      <w:outlineLvl w:val="1"/>
    </w:pPr>
    <w:rPr>
      <w:rFonts w:asciiTheme="majorHAnsi" w:eastAsiaTheme="majorEastAsia" w:hAnsiTheme="majorHAnsi" w:cstheme="majorBidi"/>
      <w:b/>
      <w:bCs/>
      <w:sz w:val="24"/>
      <w:szCs w:val="26"/>
    </w:rPr>
  </w:style>
  <w:style w:type="paragraph" w:styleId="Heading3">
    <w:name w:val="heading 3"/>
    <w:basedOn w:val="Normal"/>
    <w:next w:val="Normal"/>
    <w:link w:val="Heading3Char"/>
    <w:uiPriority w:val="9"/>
    <w:unhideWhenUsed/>
    <w:qFormat/>
    <w:rsid w:val="00FC693F"/>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1A043A"/>
    <w:rPr>
      <w:rFonts w:asciiTheme="majorHAnsi" w:eastAsiaTheme="majorEastAsia" w:hAnsiTheme="majorHAnsi" w:cstheme="majorBidi"/>
      <w:b/>
      <w:bCs/>
      <w:color w:val="000000"/>
      <w:sz w:val="32"/>
      <w:szCs w:val="28"/>
    </w:rPr>
  </w:style>
  <w:style w:type="character" w:customStyle="1" w:styleId="Heading2Char">
    <w:name w:val="Heading 2 Char"/>
    <w:basedOn w:val="DefaultParagraphFont"/>
    <w:link w:val="Heading2"/>
    <w:uiPriority w:val="9"/>
    <w:rsid w:val="00E41CED"/>
    <w:rPr>
      <w:rFonts w:asciiTheme="majorHAnsi" w:eastAsiaTheme="majorEastAsia" w:hAnsiTheme="majorHAnsi" w:cstheme="majorBidi"/>
      <w:b/>
      <w:bCs/>
      <w:color w:val="000000"/>
      <w:sz w:val="24"/>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contextualSpacing/>
    </w:pPr>
    <w:rPr>
      <w:rFonts w:asciiTheme="majorHAnsi" w:eastAsiaTheme="majorEastAsia" w:hAnsiTheme="majorHAnsi" w:cstheme="majorBidi"/>
      <w:b/>
      <w:spacing w:val="5"/>
      <w:kern w:val="2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0D75E5"/>
    <w:pPr>
      <w:spacing w:after="100"/>
    </w:pPr>
  </w:style>
  <w:style w:type="paragraph" w:styleId="TOC2">
    <w:name w:val="toc 2"/>
    <w:basedOn w:val="Normal"/>
    <w:next w:val="Normal"/>
    <w:autoRedefine/>
    <w:uiPriority w:val="39"/>
    <w:unhideWhenUsed/>
    <w:rsid w:val="000D75E5"/>
    <w:pPr>
      <w:spacing w:after="100"/>
      <w:ind w:left="220"/>
    </w:pPr>
  </w:style>
  <w:style w:type="character" w:styleId="Hyperlink">
    <w:name w:val="Hyperlink"/>
    <w:basedOn w:val="DefaultParagraphFont"/>
    <w:uiPriority w:val="99"/>
    <w:unhideWhenUsed/>
    <w:rsid w:val="000D75E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hyperlink" Target="https://www.gov.uk/government/publications/care-act-statutory-guidance/care-and-support-statutory-guidance" TargetMode="External" /><Relationship Id="rId18" Type="http://schemas.openxmlformats.org/officeDocument/2006/relationships/hyperlink" Target="https://www.nhsbsa.nhs.uk/statistical-collections/general-pharmaceutical-services-england/general-pharmaceutical-services-england-201516-202425" TargetMode="External" /><Relationship Id="rId3" Type="http://schemas.openxmlformats.org/officeDocument/2006/relationships/styles" Target="styles.xml" /><Relationship Id="rId21" Type="http://schemas.openxmlformats.org/officeDocument/2006/relationships/hyperlink" Target="https://museum.rcpharm.org/exhibitions/the-history-of-the-royal-pharmaceutical-society/" TargetMode="External" /><Relationship Id="rId7" Type="http://schemas.openxmlformats.org/officeDocument/2006/relationships/endnotes" Target="endnotes.xml" /><Relationship Id="rId12" Type="http://schemas.openxmlformats.org/officeDocument/2006/relationships/hyperlink" Target="https://cpe.org.uk/wp-content/uploads/2025/05/Brief-guide-to-the-CPCF-and-funding-May-2025.pdf" TargetMode="External" /><Relationship Id="rId17" Type="http://schemas.openxmlformats.org/officeDocument/2006/relationships/hyperlink" Target="https://www.nhs.uk/nhs-services/pharmacies/how-pharmacies-can-help/" TargetMode="External" /><Relationship Id="rId25"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hyperlink" Target="https://www.nice.org.uk/guidance/cg136" TargetMode="External" /><Relationship Id="rId20" Type="http://schemas.openxmlformats.org/officeDocument/2006/relationships/hyperlink" Target="https://www.england.nhs.uk/wp-content/uploads/2019/09/community-mental-health-framework-for-adults-and-older-adults.pdf"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legislation.gov.uk/ukpga/2014/23/part/1" TargetMode="External" /><Relationship Id="rId24"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hyperlink" Target="https://assets.pharmacyregulation.org/files/document/standards_for_registered_pharmacies_june_2018_0.pdf" TargetMode="External" /><Relationship Id="rId23" Type="http://schemas.openxmlformats.org/officeDocument/2006/relationships/footer" Target="footer1.xml" /><Relationship Id="rId10" Type="http://schemas.openxmlformats.org/officeDocument/2006/relationships/hyperlink" Target="https://www.bsmhft.nhs.uk/about-us/news/understanding-the-mental-health-needs-of-birmingham-and-solihull/" TargetMode="External" /><Relationship Id="rId19" Type="http://schemas.openxmlformats.org/officeDocument/2006/relationships/hyperlink" Target="https://www.england.nhs.uk/2026/09/patients-to-get-quicker-treatment-for-migraines-acne-and-3-other-everyday-conditions-at-pharmacies/" TargetMode="External" /><Relationship Id="rId4" Type="http://schemas.openxmlformats.org/officeDocument/2006/relationships/settings" Target="settings.xml" /><Relationship Id="rId9" Type="http://schemas.openxmlformats.org/officeDocument/2006/relationships/hyperlink" Target="https://www.birmingham.gov.uk/councillors/61/nosheen_khalid" TargetMode="External" /><Relationship Id="rId14" Type="http://schemas.openxmlformats.org/officeDocument/2006/relationships/hyperlink" Target="https://doi.org/10.1136/bmjqs-2015-004400" TargetMode="External" /><Relationship Id="rId22" Type="http://schemas.openxmlformats.org/officeDocument/2006/relationships/hyperlink" Target="https://www.scie.org.uk/strengths-based-approaches/guidanc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4FCCB5-7167-41B8-AB04-BDC860ABE68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2578</Words>
  <Characters>14698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LCHS4003 Component 1 Portfolio Community Mental Health and Pharmacy Services</vt:lpstr>
    </vt:vector>
  </TitlesOfParts>
  <Manager/>
  <Company/>
  <LinksUpToDate>false</LinksUpToDate>
  <CharactersWithSpaces>17242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Sunbal Babar</dc:creator>
  <cp:keywords/>
  <dc:description/>
  <cp:lastModifiedBy>Rizwana Zahiem (2542634)</cp:lastModifiedBy>
  <cp:revision>2</cp:revision>
  <dcterms:created xsi:type="dcterms:W3CDTF">2026-10-10T19:26:00Z</dcterms:created>
  <dcterms:modified xsi:type="dcterms:W3CDTF">2026-10-10T19:26:00Z</dcterms:modified>
  <cp:category/>
</cp:coreProperties>
</file>