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C2B87" w14:textId="77777777" w:rsidR="00026512" w:rsidRDefault="00026512" w:rsidP="00026512">
      <w:pPr>
        <w:jc w:val="center"/>
        <w:rPr>
          <w:b/>
          <w:sz w:val="32"/>
        </w:rPr>
      </w:pPr>
    </w:p>
    <w:p w14:paraId="73EEBDB2" w14:textId="77777777" w:rsidR="00026512" w:rsidRDefault="00026512" w:rsidP="00026512">
      <w:pPr>
        <w:jc w:val="center"/>
        <w:rPr>
          <w:b/>
          <w:sz w:val="32"/>
        </w:rPr>
      </w:pPr>
    </w:p>
    <w:p w14:paraId="28F045D5" w14:textId="77777777" w:rsidR="00026512" w:rsidRDefault="00026512" w:rsidP="00026512">
      <w:pPr>
        <w:jc w:val="center"/>
        <w:rPr>
          <w:noProof/>
          <w:lang w:val="en-GB" w:eastAsia="en-GB"/>
        </w:rPr>
      </w:pPr>
    </w:p>
    <w:p w14:paraId="24B3D313" w14:textId="77777777" w:rsidR="00026512" w:rsidRDefault="00E64515" w:rsidP="00026512">
      <w:pPr>
        <w:jc w:val="center"/>
        <w:rPr>
          <w:b/>
          <w:sz w:val="32"/>
        </w:rPr>
      </w:pPr>
      <w:r>
        <w:rPr>
          <w:noProof/>
          <w:lang w:val="en-GB" w:eastAsia="en-GB"/>
        </w:rPr>
        <w:drawing>
          <wp:inline distT="0" distB="0" distL="0" distR="0" wp14:anchorId="3B823CD0" wp14:editId="0E63C198">
            <wp:extent cx="2105025" cy="776681"/>
            <wp:effectExtent l="0" t="0" r="0" b="4445"/>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ogo Vector - (.SVG ..."/>
                    <pic:cNvPicPr>
                      <a:picLocks noChangeAspect="1" noChangeArrowheads="1"/>
                    </pic:cNvPicPr>
                  </pic:nvPicPr>
                  <pic:blipFill>
                    <a:blip r:embed="rId7" cstate="print">
                      <a:extLst>
                        <a:ext uri="{28A0092B-C50C-407E-A947-70E740481C1C}">
                          <a14:useLocalDpi xmlns:a14="http://schemas.microsoft.com/office/drawing/2010/main" val="0"/>
                        </a:ext>
                      </a:extLst>
                    </a:blip>
                    <a:srcRect t="14659" b="18927"/>
                    <a:stretch>
                      <a:fillRect/>
                    </a:stretch>
                  </pic:blipFill>
                  <pic:spPr bwMode="auto">
                    <a:xfrm>
                      <a:off x="0" y="0"/>
                      <a:ext cx="2141894" cy="790284"/>
                    </a:xfrm>
                    <a:prstGeom prst="rect">
                      <a:avLst/>
                    </a:prstGeom>
                    <a:noFill/>
                    <a:ln>
                      <a:noFill/>
                    </a:ln>
                    <a:extLst>
                      <a:ext uri="{53640926-AAD7-44D8-BBD7-CCE9431645EC}">
                        <a14:shadowObscured xmlns:a14="http://schemas.microsoft.com/office/drawing/2010/main"/>
                      </a:ext>
                    </a:extLst>
                  </pic:spPr>
                </pic:pic>
              </a:graphicData>
            </a:graphic>
          </wp:inline>
        </w:drawing>
      </w:r>
    </w:p>
    <w:p w14:paraId="21B53973" w14:textId="77777777" w:rsidR="00026512" w:rsidRDefault="00026512" w:rsidP="00026512">
      <w:pPr>
        <w:jc w:val="center"/>
        <w:rPr>
          <w:b/>
          <w:sz w:val="32"/>
        </w:rPr>
      </w:pPr>
    </w:p>
    <w:p w14:paraId="4069B76F" w14:textId="77777777" w:rsidR="00026512" w:rsidRDefault="00026512" w:rsidP="00026512">
      <w:pPr>
        <w:jc w:val="center"/>
        <w:rPr>
          <w:b/>
          <w:sz w:val="32"/>
        </w:rPr>
      </w:pPr>
    </w:p>
    <w:p w14:paraId="32AF022E" w14:textId="77777777" w:rsidR="00026512" w:rsidRDefault="00026512" w:rsidP="00026512">
      <w:pPr>
        <w:jc w:val="center"/>
        <w:rPr>
          <w:b/>
          <w:sz w:val="32"/>
        </w:rPr>
      </w:pPr>
    </w:p>
    <w:p w14:paraId="7EF364EA" w14:textId="77777777" w:rsidR="00026512" w:rsidRDefault="00E64515" w:rsidP="00026512">
      <w:pPr>
        <w:jc w:val="center"/>
        <w:rPr>
          <w:b/>
          <w:sz w:val="32"/>
        </w:rPr>
      </w:pPr>
      <w:r w:rsidRPr="00026512">
        <w:rPr>
          <w:b/>
          <w:sz w:val="32"/>
        </w:rPr>
        <w:t>BA Business Management</w:t>
      </w:r>
    </w:p>
    <w:p w14:paraId="5A736CC7" w14:textId="77777777" w:rsidR="00026512" w:rsidRDefault="00E64515" w:rsidP="00026512">
      <w:pPr>
        <w:jc w:val="center"/>
        <w:rPr>
          <w:b/>
          <w:sz w:val="32"/>
        </w:rPr>
      </w:pPr>
      <w:r w:rsidRPr="00026512">
        <w:rPr>
          <w:b/>
          <w:sz w:val="32"/>
        </w:rPr>
        <w:t>LCBB4002 Community Engagement</w:t>
      </w:r>
    </w:p>
    <w:p w14:paraId="1920ED3B" w14:textId="77777777" w:rsidR="00026512" w:rsidRDefault="00E64515" w:rsidP="00026512">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651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1</w:t>
      </w:r>
    </w:p>
    <w:p w14:paraId="1F39A93B" w14:textId="77777777" w:rsidR="00026512" w:rsidRDefault="00026512" w:rsidP="00026512">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1E0A23" w14:textId="77777777" w:rsidR="00026512" w:rsidRDefault="00026512" w:rsidP="00026512">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77A20D" w14:textId="77777777" w:rsidR="00026512" w:rsidRDefault="00026512" w:rsidP="00026512"/>
    <w:p w14:paraId="6990B58C" w14:textId="77777777" w:rsidR="00026512" w:rsidRDefault="00026512" w:rsidP="00026512"/>
    <w:p w14:paraId="6F91B11F" w14:textId="77777777" w:rsidR="00026512" w:rsidRDefault="00026512" w:rsidP="00026512"/>
    <w:p w14:paraId="4344D65E" w14:textId="77777777" w:rsidR="00026512" w:rsidRDefault="00026512" w:rsidP="00026512"/>
    <w:p w14:paraId="42E0A166" w14:textId="51C3DF88" w:rsidR="00026512" w:rsidRPr="00026512" w:rsidRDefault="00E64515" w:rsidP="00026512">
      <w:pPr>
        <w:rPr>
          <w:b/>
          <w:sz w:val="32"/>
        </w:rPr>
      </w:pPr>
      <w:r w:rsidRPr="00026512">
        <w:rPr>
          <w:b/>
          <w:sz w:val="32"/>
        </w:rPr>
        <w:t>Student Name:</w:t>
      </w:r>
      <w:r w:rsidR="007A4FE5">
        <w:rPr>
          <w:b/>
          <w:sz w:val="32"/>
        </w:rPr>
        <w:t xml:space="preserve"> Alice-Ana-Maria Casota </w:t>
      </w:r>
    </w:p>
    <w:p w14:paraId="102695BD" w14:textId="77777777" w:rsidR="0007539D" w:rsidRDefault="00E64515" w:rsidP="00026512">
      <w:pPr>
        <w:rPr>
          <w:b/>
          <w:sz w:val="32"/>
        </w:rPr>
      </w:pPr>
      <w:r w:rsidRPr="00026512">
        <w:rPr>
          <w:b/>
          <w:sz w:val="32"/>
        </w:rPr>
        <w:t>Student ID:</w:t>
      </w:r>
      <w:r w:rsidR="00A055A7" w:rsidRPr="00A055A7">
        <w:rPr>
          <w:b/>
          <w:sz w:val="32"/>
        </w:rPr>
        <w:t xml:space="preserve"> 2117332</w:t>
      </w:r>
    </w:p>
    <w:p w14:paraId="3E9CAA4F" w14:textId="45178D77" w:rsidR="00CF4EFF" w:rsidRDefault="0007539D" w:rsidP="00026512">
      <w:r w:rsidRPr="0007539D">
        <w:t>Module Coordinator</w:t>
      </w:r>
      <w:r>
        <w:t xml:space="preserve">: </w:t>
      </w:r>
      <w:r w:rsidR="00B37FBF" w:rsidRPr="00B37FBF">
        <w:t>Dr Molly Jack- GP 1&amp;2</w:t>
      </w:r>
      <w:r w:rsidR="00E64515">
        <w:br w:type="page"/>
      </w:r>
    </w:p>
    <w:p w14:paraId="1B3E73E4" w14:textId="77777777" w:rsidR="00CF4EFF" w:rsidRPr="00CF4EFF" w:rsidRDefault="00E64515" w:rsidP="00CF4EFF">
      <w:pPr>
        <w:spacing w:after="0" w:line="360" w:lineRule="auto"/>
        <w:jc w:val="center"/>
        <w:rPr>
          <w:b/>
          <w:sz w:val="32"/>
        </w:rPr>
      </w:pPr>
      <w:r w:rsidRPr="00CF4EFF">
        <w:rPr>
          <w:b/>
          <w:sz w:val="32"/>
        </w:rPr>
        <w:lastRenderedPageBreak/>
        <w:t>An essay on Community Engagement</w:t>
      </w:r>
    </w:p>
    <w:p w14:paraId="45F0A77A" w14:textId="77777777" w:rsidR="00EF6E8E" w:rsidRDefault="00E64515" w:rsidP="00797EB7">
      <w:pPr>
        <w:spacing w:after="0" w:line="360" w:lineRule="auto"/>
        <w:jc w:val="both"/>
      </w:pPr>
      <w:r w:rsidRPr="00483C8A">
        <w:t>The vast majority of communities take part in community engagement projects to combat the social and economic issues that have long plagued them</w:t>
      </w:r>
      <w:r>
        <w:t xml:space="preserve"> </w:t>
      </w:r>
      <w:r w:rsidRPr="00483C8A">
        <w:t>(Christens and Zeldin, 2011). But to get effective and lasting outcomes and impact communities, they need a professional community engagement practitioner to help them execute most</w:t>
      </w:r>
      <w:r>
        <w:t xml:space="preserve"> of the activities</w:t>
      </w:r>
      <w:r w:rsidR="00797EB7">
        <w:t xml:space="preserve"> </w:t>
      </w:r>
      <w:r w:rsidR="00797EB7" w:rsidRPr="00797EB7">
        <w:t>(Ahmed and Palermo, 2010)</w:t>
      </w:r>
      <w:r>
        <w:t xml:space="preserve">. This essay’s </w:t>
      </w:r>
      <w:r w:rsidRPr="00483C8A">
        <w:t xml:space="preserve">goal is to elaborate on the function of community engagement practitioners in assisting communities in solving a wide range of social and economic problems. </w:t>
      </w:r>
      <w:r>
        <w:t>T</w:t>
      </w:r>
      <w:r w:rsidRPr="00483C8A">
        <w:t>he New Deal for Communities initiative in Bristol, England, the United Kingdom as a case study to examine how social deprivation might be reduced using this strategy</w:t>
      </w:r>
      <w:r>
        <w:t xml:space="preserve"> will be described in this essay</w:t>
      </w:r>
      <w:r w:rsidRPr="00483C8A">
        <w:t xml:space="preserve">. The methods used by locals to carry out fruitful community engagement programs are </w:t>
      </w:r>
      <w:r>
        <w:t>also investigated in this essay</w:t>
      </w:r>
      <w:r w:rsidRPr="00483C8A">
        <w:t xml:space="preserve">. </w:t>
      </w:r>
      <w:r>
        <w:t>S</w:t>
      </w:r>
      <w:r w:rsidRPr="00483C8A">
        <w:t>ome guidelines for how everyone involved can reap the most benefits from their involvement</w:t>
      </w:r>
      <w:r>
        <w:t xml:space="preserve"> will be described in this essay. Next, the essay</w:t>
      </w:r>
      <w:r w:rsidRPr="00483C8A">
        <w:t xml:space="preserve"> will analyze the relationships between the different stakeholders to determine the best social media platform strategy for maximizing community inv</w:t>
      </w:r>
      <w:r>
        <w:t>olvement. Furthermore, the essay</w:t>
      </w:r>
      <w:r w:rsidRPr="00483C8A">
        <w:t xml:space="preserve"> will highlight a variety of techniques for promoting multiculturalism and societal integration by strengthening community collaboration, involvement, inclusion, a</w:t>
      </w:r>
      <w:r>
        <w:t>nd diversity. Finally, the essay</w:t>
      </w:r>
      <w:r w:rsidRPr="00483C8A">
        <w:t xml:space="preserve"> will </w:t>
      </w:r>
      <w:r w:rsidR="00797EB7">
        <w:t xml:space="preserve">describe </w:t>
      </w:r>
      <w:r w:rsidRPr="00483C8A">
        <w:t>why practitioners of community engagement should take a prospective stance when imparting knowledge to locals about the internal and external elements that play a role in shaping their communities.</w:t>
      </w:r>
    </w:p>
    <w:p w14:paraId="3C55CF42" w14:textId="77777777" w:rsidR="00797EB7" w:rsidRDefault="00E64515" w:rsidP="00797EB7">
      <w:pPr>
        <w:spacing w:after="0" w:line="360" w:lineRule="auto"/>
        <w:jc w:val="both"/>
      </w:pPr>
      <w:r w:rsidRPr="00797EB7">
        <w:t>Government officials in the United Kingdom have launched a revitalization initiative called "The New Deal for Communities," which will target the most disadvantaged communities in England, including those in Bristol, Liverpool, and Norwich</w:t>
      </w:r>
      <w:r>
        <w:t xml:space="preserve"> </w:t>
      </w:r>
      <w:r w:rsidRPr="00797EB7">
        <w:t>(Halliday and Popay, 2014). However, the ideas and practices of community engagement in the Bristol area wil</w:t>
      </w:r>
      <w:r>
        <w:t>l be the emphasis of this essay</w:t>
      </w:r>
      <w:r w:rsidRPr="00797EB7">
        <w:t>. Since its inception in 2001 and for a full decade between 2001 and 2010, this Area Based Initiative program has been one of the best of its kind at closing the economic gap between the poorest areas of the country and the rest of the country. Neighborhood Renewal Unit of the Department of Local Government and Communities oversaw the program</w:t>
      </w:r>
      <w:r w:rsidR="00933CC1">
        <w:t xml:space="preserve"> </w:t>
      </w:r>
      <w:r w:rsidR="00933CC1" w:rsidRPr="00933CC1">
        <w:t>(Popay et al., 2015)</w:t>
      </w:r>
      <w:r w:rsidRPr="00797EB7">
        <w:t>. To combat social deprivation, lessen the effects of poverty, and promote social inclusion, however, the program was built around a wide range of community members as its driving force. In addition, the NDC strategy concentrated on resolving critical issues including high unemployment and restricted access to education. The community, the local government, and the federal government are the primary program stakeholders.</w:t>
      </w:r>
    </w:p>
    <w:p w14:paraId="42FCEBF2" w14:textId="77777777" w:rsidR="00933CC1" w:rsidRDefault="00E64515" w:rsidP="00933CC1">
      <w:pPr>
        <w:spacing w:after="0" w:line="360" w:lineRule="auto"/>
        <w:jc w:val="both"/>
      </w:pPr>
      <w:r>
        <w:lastRenderedPageBreak/>
        <w:t>The following are the guiding principles and standards used by the New Deal Community program’s stakeholders, as well as the benefits they receive from taking part in the community initiatives.</w:t>
      </w:r>
    </w:p>
    <w:p w14:paraId="7BF47C00" w14:textId="77777777" w:rsidR="00933CC1" w:rsidRDefault="00E64515" w:rsidP="00933CC1">
      <w:pPr>
        <w:spacing w:after="0" w:line="360" w:lineRule="auto"/>
        <w:jc w:val="both"/>
      </w:pPr>
      <w:r w:rsidRPr="002E2475">
        <w:rPr>
          <w:b/>
        </w:rPr>
        <w:t>Extensive thinking and organizing before action</w:t>
      </w:r>
      <w:r>
        <w:t>. Leaders of community programs make sure the initiative's goals and objectives are well-articulated and that the program's scope is enough to meet those demands</w:t>
      </w:r>
      <w:r w:rsidR="002E2475">
        <w:t xml:space="preserve"> </w:t>
      </w:r>
      <w:r w:rsidR="002E2475" w:rsidRPr="002E2475">
        <w:t>(Patricia Ann Wilson, 2019)</w:t>
      </w:r>
      <w:r>
        <w:t>. Numerous factors, including a high unemployment rate, substandard living conditions, and limited educational opportunities, have had a major impact on the Bristol area. As a result, the plan for this project was made to accommodate any interested parties in the area. Planning how to undertake various activities that would help poverty reduction involves the residents, community-based organizations, the local government, and the heads of various institutions.</w:t>
      </w:r>
    </w:p>
    <w:p w14:paraId="6D460B13" w14:textId="77777777" w:rsidR="00933CC1" w:rsidRDefault="00E64515" w:rsidP="00933CC1">
      <w:pPr>
        <w:spacing w:after="0" w:line="360" w:lineRule="auto"/>
        <w:jc w:val="both"/>
      </w:pPr>
      <w:r>
        <w:t xml:space="preserve">An agreement and </w:t>
      </w:r>
      <w:r w:rsidRPr="002E2475">
        <w:rPr>
          <w:b/>
        </w:rPr>
        <w:t>working together for a common goal</w:t>
      </w:r>
      <w:r>
        <w:t>. By adhering to this guiding principle, all parties involved will be able to work together toward a single goal with a clearer vision</w:t>
      </w:r>
      <w:r w:rsidR="002E2475">
        <w:t xml:space="preserve"> </w:t>
      </w:r>
      <w:r w:rsidR="002E2475" w:rsidRPr="002E2475">
        <w:t>(Kaner, Jossey-Bass, and Al, 2014)</w:t>
      </w:r>
      <w:r>
        <w:t xml:space="preserve">. As part of the New Deal Communities initiative, all parties involved worked together toward a common goal. They have recognized problems that need fixing, and are now working together to address issues like </w:t>
      </w:r>
      <w:r w:rsidR="002E2475">
        <w:t>youth employment and education.</w:t>
      </w:r>
    </w:p>
    <w:p w14:paraId="3323DA81" w14:textId="77777777" w:rsidR="00933CC1" w:rsidRDefault="00E64515" w:rsidP="00933CC1">
      <w:pPr>
        <w:spacing w:after="0" w:line="360" w:lineRule="auto"/>
        <w:jc w:val="both"/>
      </w:pPr>
      <w:r w:rsidRPr="002E2475">
        <w:rPr>
          <w:b/>
        </w:rPr>
        <w:t>Inclusion and diversity</w:t>
      </w:r>
      <w:r>
        <w:t xml:space="preserve"> across demographics. Based on the findings, it seems the locals support using an inclusive approach when rolling out new programs</w:t>
      </w:r>
      <w:r w:rsidR="00367DCF">
        <w:t xml:space="preserve"> </w:t>
      </w:r>
      <w:r w:rsidR="00367DCF" w:rsidRPr="002E2475">
        <w:t>(Patricia Ann Wilson, 2019)</w:t>
      </w:r>
      <w:r>
        <w:t>. This is accomplished by welcoming and considering the perspectives of a wide range of individuals to improve the final product and promote the democratic legitimacy of the people's decisions. Leaders, young people, women, persons with disabilities, and the loca</w:t>
      </w:r>
      <w:r w:rsidR="002E2475">
        <w:t>l government all pull together.</w:t>
      </w:r>
    </w:p>
    <w:p w14:paraId="0182516C" w14:textId="77777777" w:rsidR="00933CC1" w:rsidRDefault="00E64515" w:rsidP="00933CC1">
      <w:pPr>
        <w:spacing w:after="0" w:line="360" w:lineRule="auto"/>
        <w:jc w:val="both"/>
      </w:pPr>
      <w:r>
        <w:t xml:space="preserve">The pursuit of knowledge via </w:t>
      </w:r>
      <w:r w:rsidRPr="002E2475">
        <w:rPr>
          <w:b/>
        </w:rPr>
        <w:t>openness and honesty</w:t>
      </w:r>
      <w:r>
        <w:t>. Those who stand to benefit from community activities were given access to a transparent procedure for doing so. As a result of participants' willingness to collaborate and learn from one another, participants are better able to broaden their horizons and discover novel approaches to facilitating eff</w:t>
      </w:r>
      <w:r w:rsidR="002E2475">
        <w:t>ective community participation.</w:t>
      </w:r>
    </w:p>
    <w:p w14:paraId="7F7A4571" w14:textId="77777777" w:rsidR="00933CC1" w:rsidRDefault="00E64515" w:rsidP="00933CC1">
      <w:pPr>
        <w:spacing w:after="0" w:line="360" w:lineRule="auto"/>
        <w:jc w:val="both"/>
      </w:pPr>
      <w:r>
        <w:t xml:space="preserve">Culture of </w:t>
      </w:r>
      <w:r w:rsidRPr="002E2475">
        <w:rPr>
          <w:b/>
        </w:rPr>
        <w:t>participation and ongoing involvement</w:t>
      </w:r>
      <w:r>
        <w:t>. Sustainable participation both during and after a program is implemented is made possible through the application of participatory and sustained engagement principles</w:t>
      </w:r>
      <w:r w:rsidR="00367DCF">
        <w:t xml:space="preserve"> </w:t>
      </w:r>
      <w:r w:rsidR="00367DCF" w:rsidRPr="00367DCF">
        <w:t>(Viars, 2020)</w:t>
      </w:r>
      <w:r>
        <w:t>. Communities can realize a high standard of continuous community interaction by adhering to this approach. The diagram below illustrates the connection between collaboration and the participation of relevant parties.</w:t>
      </w:r>
    </w:p>
    <w:p w14:paraId="10C6FC83" w14:textId="77777777" w:rsidR="00367DCF" w:rsidRDefault="00367DCF" w:rsidP="00933CC1">
      <w:pPr>
        <w:spacing w:after="0" w:line="360" w:lineRule="auto"/>
        <w:jc w:val="both"/>
      </w:pPr>
    </w:p>
    <w:p w14:paraId="3CD1E15E" w14:textId="77777777" w:rsidR="00E764E5" w:rsidRDefault="00E64515" w:rsidP="00E764E5">
      <w:pPr>
        <w:spacing w:after="0" w:line="360" w:lineRule="auto"/>
        <w:jc w:val="both"/>
      </w:pPr>
      <w:r>
        <w:lastRenderedPageBreak/>
        <w:t xml:space="preserve">The goal of community involvement is to have a positive effect on the community as a whole while also helping to address the problem at hand </w:t>
      </w:r>
      <w:r w:rsidRPr="00E764E5">
        <w:t>(Patricia Ann Wilson, 2019)</w:t>
      </w:r>
      <w:r>
        <w:t xml:space="preserve">. Here is evidence of how community engagement in Bristol has helped alleviate poverty among residents thanks to input from many stakeholders. It was easy to identify the gains made by the various parties involved owing to the interim evaluation report covering the period of 2001–2005 published by New Deal Communities. While just 24% of residents feel that the NDC project has helped the area in terms of education, health facilities, crime reduction, and unemployment, the survey shows that 32 out of the 36 primary indicators have changed positively </w:t>
      </w:r>
      <w:r w:rsidRPr="00E764E5">
        <w:t>(Halliday and Popay, 2014)</w:t>
      </w:r>
      <w:r>
        <w:t>.</w:t>
      </w:r>
    </w:p>
    <w:p w14:paraId="5ABF9A54" w14:textId="77777777" w:rsidR="00E764E5" w:rsidRDefault="00E64515" w:rsidP="00E764E5">
      <w:pPr>
        <w:spacing w:after="0" w:line="360" w:lineRule="auto"/>
        <w:jc w:val="both"/>
      </w:pPr>
      <w:r>
        <w:t xml:space="preserve">There were fewer positive changes in the Bristol area between 2002 and 2006, however, 16 of the indicators did improve. There was also a 27% drop in people's reported fear of crime, an increase in the number of new employment, and a decrease in the incidence of death and illness between different demographic groups, all of which point to improvements in health </w:t>
      </w:r>
      <w:r w:rsidRPr="00E764E5">
        <w:t>(Lawless et al., 2009)</w:t>
      </w:r>
      <w:r>
        <w:t>. All these improvements were discovered by comparing each country's performance to that of the other 39 countries involved in the project's core research group.</w:t>
      </w:r>
    </w:p>
    <w:p w14:paraId="039077CA" w14:textId="77777777" w:rsidR="00E764E5" w:rsidRDefault="00E64515" w:rsidP="00E764E5">
      <w:pPr>
        <w:spacing w:after="0" w:line="360" w:lineRule="auto"/>
        <w:jc w:val="both"/>
      </w:pPr>
      <w:r>
        <w:t>Social media engagement strategies that are suited to the needs o</w:t>
      </w:r>
      <w:r w:rsidR="004A5CCA">
        <w:t>f stakeholders. Knowing who the stakeholders are can help authorities</w:t>
      </w:r>
      <w:r>
        <w:t xml:space="preserve"> choose the best channels to reach out to them and gain their input. All parties involved in community engagement need to be on the same page and up-to-date with the program's development, therefore daily communication is essential</w:t>
      </w:r>
      <w:r w:rsidR="004A5CCA">
        <w:t xml:space="preserve"> </w:t>
      </w:r>
      <w:r w:rsidR="004A5CCA" w:rsidRPr="004A5CCA">
        <w:t>(Wingo, Heppler, and Schadewald, 2020)</w:t>
      </w:r>
      <w:r>
        <w:t>. The necessity for a diverse communication platform is supported by the results of the NDC program's stakeholder mapping, which show that the project's reach is far-reaching, its proximity extensive, and its partners hail from a wide range of demographic backgrounds. But they work well together, sharing a spirit of camaraderie and a common goal. Therefore, some of the social media sites that can be leveraged to improve engagement are</w:t>
      </w:r>
    </w:p>
    <w:p w14:paraId="585029BE" w14:textId="77777777" w:rsidR="00E764E5" w:rsidRDefault="00E64515" w:rsidP="00E764E5">
      <w:pPr>
        <w:spacing w:after="0" w:line="360" w:lineRule="auto"/>
        <w:jc w:val="both"/>
      </w:pPr>
      <w:r w:rsidRPr="00E764E5">
        <w:rPr>
          <w:b/>
        </w:rPr>
        <w:t>WhatsApp.</w:t>
      </w:r>
      <w:r>
        <w:t xml:space="preserve"> To facilitate efficient information sharing, this social media platform is used to consolidate all participants into one central group. WhatsApp's instant group and one-on-one text messaging features assist bridge cultural divides. Only an internet connection is needed for this incredibly effective and cheap method of communication. Stakeholders can use video calls to update the entire team on pressing issues, as well as exchange images documenting the project's progress</w:t>
      </w:r>
      <w:r w:rsidR="00D15157">
        <w:t xml:space="preserve"> </w:t>
      </w:r>
      <w:r w:rsidR="00D15157" w:rsidRPr="00D15157">
        <w:t>(Sheninger, 2014)</w:t>
      </w:r>
      <w:r>
        <w:t>. Among WhatsApp's many benefits is its ability to facilitate both one-on-one and group video and voice calls. Since many of the people involved in the NDC initiative live in rural areas and are illiterate, WhatsApp provides them with an accessible means of staying in touch and learning about the development of the program.</w:t>
      </w:r>
    </w:p>
    <w:p w14:paraId="165E420E" w14:textId="77777777" w:rsidR="00E764E5" w:rsidRDefault="00E64515" w:rsidP="00E764E5">
      <w:pPr>
        <w:spacing w:after="0" w:line="360" w:lineRule="auto"/>
        <w:jc w:val="both"/>
      </w:pPr>
      <w:r w:rsidRPr="00D15157">
        <w:rPr>
          <w:b/>
        </w:rPr>
        <w:lastRenderedPageBreak/>
        <w:t>LinkedI</w:t>
      </w:r>
      <w:r>
        <w:t>n</w:t>
      </w:r>
      <w:r w:rsidR="00D15157">
        <w:t>: Owing</w:t>
      </w:r>
      <w:r>
        <w:t xml:space="preserve"> to advances in social media technology that facilitate the remote meeting and stakeholder involvement, the frequency with which stakeholders used to convene in person to discuss issues is decreasing. But many groups are having trouble keeping up their robust outreach efforts. Businesses have started using social media sites like LinkedIn to update their followers on the development of their projects</w:t>
      </w:r>
      <w:r w:rsidR="00CD1085">
        <w:t xml:space="preserve"> </w:t>
      </w:r>
      <w:r w:rsidR="00CD1085" w:rsidRPr="00CD1085">
        <w:t>(Kretzman and Mcknight, 2014)</w:t>
      </w:r>
      <w:r>
        <w:t>. As such, it is helpful to publicly display significant accomplishments. Using a professional network like LinkedIn helps to ensure good communication and sharing of information among the stakeholders, which, in the case of the NDC initiative, comprises both local</w:t>
      </w:r>
      <w:r w:rsidR="004A5CCA">
        <w:t>s and government organizations.</w:t>
      </w:r>
    </w:p>
    <w:p w14:paraId="3918D95F" w14:textId="77777777" w:rsidR="00E764E5" w:rsidRDefault="00E64515" w:rsidP="00E764E5">
      <w:pPr>
        <w:spacing w:after="0" w:line="360" w:lineRule="auto"/>
        <w:jc w:val="both"/>
      </w:pPr>
      <w:r w:rsidRPr="004A5CCA">
        <w:rPr>
          <w:b/>
        </w:rPr>
        <w:t xml:space="preserve">Facebook </w:t>
      </w:r>
      <w:r>
        <w:t>has undergone more changes than any other social media site. Facebook encourages both individual and corporate participation in its ecosystem by backing a unified approach to stakeholder engagement. Facebook facilitates the fast and easy dissemination of substantial content to significant audiences around the world</w:t>
      </w:r>
      <w:r w:rsidR="00CD1085">
        <w:t xml:space="preserve"> </w:t>
      </w:r>
      <w:r w:rsidR="00CD1085" w:rsidRPr="00CD1085">
        <w:t>(medium.com, 2020)</w:t>
      </w:r>
      <w:r w:rsidR="00CD1085">
        <w:t>.</w:t>
      </w:r>
      <w:r>
        <w:t xml:space="preserve"> This makes it easier for interested parties to adjust their settings so that they can access material from specific providers. Involved parties in the NDC program can provide comments on Facebook posts by "liking" or "sharing" them, making Facebook an ideal platform for disseminating program-related information. Those who are blocked from the official company websites can nevertheless have access to the information thro</w:t>
      </w:r>
      <w:r w:rsidR="004A5CCA">
        <w:t>ugh the posts of their friends</w:t>
      </w:r>
      <w:r w:rsidR="004A5CCA" w:rsidRPr="004A5CCA">
        <w:rPr>
          <w:b/>
        </w:rPr>
        <w:t>. Twitter</w:t>
      </w:r>
      <w:r w:rsidRPr="004A5CCA">
        <w:rPr>
          <w:b/>
        </w:rPr>
        <w:t>.</w:t>
      </w:r>
      <w:r>
        <w:t xml:space="preserve"> Through the use of hashtags, this platform enables rapid dissemination of the company's message to a wi</w:t>
      </w:r>
      <w:r w:rsidR="004A5CCA">
        <w:t>de audience with a single post.</w:t>
      </w:r>
    </w:p>
    <w:p w14:paraId="0957D387" w14:textId="77777777" w:rsidR="00367DCF" w:rsidRDefault="00E64515" w:rsidP="00E764E5">
      <w:pPr>
        <w:spacing w:after="0" w:line="360" w:lineRule="auto"/>
        <w:jc w:val="both"/>
      </w:pPr>
      <w:r>
        <w:t xml:space="preserve">Stakeholders in a project can use the </w:t>
      </w:r>
      <w:r w:rsidRPr="00CD1085">
        <w:rPr>
          <w:b/>
        </w:rPr>
        <w:t>audio and video capabilities</w:t>
      </w:r>
      <w:r>
        <w:t xml:space="preserve"> of social media platforms to communicate effectively and in real-time about the project's status, progress, and other relevant details. The capacity to connect with many different people at once, as well as the </w:t>
      </w:r>
      <w:r w:rsidR="00D15157">
        <w:t>partner’s</w:t>
      </w:r>
      <w:r>
        <w:t xml:space="preserve"> </w:t>
      </w:r>
      <w:r w:rsidR="00D15157">
        <w:t xml:space="preserve">authorities </w:t>
      </w:r>
      <w:r>
        <w:t>working with, is a major benefit</w:t>
      </w:r>
      <w:r w:rsidR="00CD1085">
        <w:t xml:space="preserve"> </w:t>
      </w:r>
      <w:r w:rsidR="00CD1085" w:rsidRPr="004A5CCA">
        <w:t>(Wingo, Heppler, and Schadewald, 2020)</w:t>
      </w:r>
      <w:r>
        <w:t>. Because of the increased website traffic generated by these channels, the organization is better able to respond to inquiries, improve its products and services based on customer input, and more. Because of this, such mediums contribute significantly to the progress made by an enterprise.</w:t>
      </w:r>
    </w:p>
    <w:p w14:paraId="095A967F" w14:textId="77777777" w:rsidR="00CD1085" w:rsidRDefault="00E64515" w:rsidP="00CD1085">
      <w:pPr>
        <w:spacing w:after="0" w:line="360" w:lineRule="auto"/>
        <w:jc w:val="both"/>
      </w:pPr>
      <w:r>
        <w:t xml:space="preserve">Diverse stakeholders might pose challenges to a project's smooth execution due to their internal considerations that influence community development. Conversely, environmental, technological, cultural, and political elements all pose potential challenges and opportunities to projects. Community practitioners that focus on involvement should take a proactive stance toward educating locals </w:t>
      </w:r>
      <w:r w:rsidRPr="00CD1085">
        <w:t>(Karlsen, 2002)</w:t>
      </w:r>
      <w:r>
        <w:t>.</w:t>
      </w:r>
    </w:p>
    <w:p w14:paraId="734C3F4E" w14:textId="77777777" w:rsidR="00CD1085" w:rsidRDefault="00E64515" w:rsidP="00CD1085">
      <w:pPr>
        <w:spacing w:after="0" w:line="360" w:lineRule="auto"/>
        <w:jc w:val="both"/>
      </w:pPr>
      <w:r>
        <w:lastRenderedPageBreak/>
        <w:t>The ability to assess the current state of an issue to predict its future state is the essence of a forward-looking strategy. As a result, professionals in the field of community engagement need to conduct in-depth analyses of internal and external elements influencing the business to devise long-term strategies for moving the project forward and realizing its objectives. Since the primary goal of the NDC program is to eradicate poverty, it is crucial to assess the program's efficacy by gauging its actual effects on people's lives and how it can influence social development</w:t>
      </w:r>
      <w:r w:rsidR="00CF4EFF">
        <w:t xml:space="preserve"> </w:t>
      </w:r>
      <w:r w:rsidR="00CF4EFF" w:rsidRPr="00CF4EFF">
        <w:t>(Halliday and Popay, 2014)</w:t>
      </w:r>
      <w:r>
        <w:t>.</w:t>
      </w:r>
    </w:p>
    <w:p w14:paraId="4F2583E1" w14:textId="77777777" w:rsidR="00CD1085" w:rsidRDefault="00E64515" w:rsidP="00CD1085">
      <w:pPr>
        <w:spacing w:after="0" w:line="360" w:lineRule="auto"/>
        <w:jc w:val="both"/>
      </w:pPr>
      <w:r>
        <w:t>Community involvement is crucial to finding long-term answers to the social and economic problems facing a certain area. However, with the assistance of a community engagement practitioner, success can be facilitated via careful preparation and the active participation of all relevant parties. As seen by the failures of Area Based Initiatives, the New Deal for Communities program was found to have been overly ambitious. As another issue, the initiative lacked a concise summary of its desired outcomes. There were too many concepts imposed on the program, and having the community serve as its beating heart was not the most effective mechanism for a 10-year endeavor. The neighborhood leaders cared more about quick fixes to their pressing problems of poverty and joblessness. As a result, it is suggested that the project make sure it is addressing the needs of the community and giving the stakeholders a clear intended outcome. Second, to make sure the goals are achieved, it's smart to think about a more targeted project with a narrow scope. Finally, programs ought to be made to address pressing issues in the community and provide visible outcomes in a reasonable amount of time.</w:t>
      </w:r>
    </w:p>
    <w:p w14:paraId="6D4121FB" w14:textId="77777777" w:rsidR="00CF4EFF" w:rsidRDefault="00E64515">
      <w:r>
        <w:br w:type="page"/>
      </w:r>
    </w:p>
    <w:p w14:paraId="76C192D1" w14:textId="77777777" w:rsidR="00CF4EFF" w:rsidRDefault="00E64515" w:rsidP="00CF4EFF">
      <w:pPr>
        <w:pStyle w:val="Heading1"/>
        <w:spacing w:after="0" w:line="360" w:lineRule="auto"/>
      </w:pPr>
      <w:r>
        <w:lastRenderedPageBreak/>
        <w:t>References:</w:t>
      </w:r>
    </w:p>
    <w:p w14:paraId="7B2A46D8"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Ahmed, S.M. and Palermo, A.-G.S. (2010). Community Engagement in Research: Frameworks for Education and Peer Review. </w:t>
      </w:r>
      <w:r w:rsidRPr="00CF4EFF">
        <w:rPr>
          <w:rFonts w:cs="Times New Roman"/>
          <w:iCs/>
          <w:szCs w:val="24"/>
        </w:rPr>
        <w:t>American Journal of Public Health</w:t>
      </w:r>
      <w:r w:rsidRPr="00CF4EFF">
        <w:rPr>
          <w:rFonts w:cs="Times New Roman"/>
          <w:szCs w:val="24"/>
        </w:rPr>
        <w:t>, [online] 100(8), pp.1380–1387. doi:</w:t>
      </w:r>
      <w:hyperlink r:id="rId8" w:history="1">
        <w:r w:rsidRPr="00CF4EFF">
          <w:rPr>
            <w:rFonts w:cs="Times New Roman"/>
            <w:szCs w:val="24"/>
          </w:rPr>
          <w:t>10.2105/ajph.2009.178137</w:t>
        </w:r>
      </w:hyperlink>
      <w:r w:rsidRPr="00CF4EFF">
        <w:rPr>
          <w:rFonts w:cs="Times New Roman"/>
          <w:szCs w:val="24"/>
        </w:rPr>
        <w:t>.</w:t>
      </w:r>
    </w:p>
    <w:p w14:paraId="1FECD477"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Christens, B.D. and Zeldin, S. (2011). Community Engagement. </w:t>
      </w:r>
      <w:r w:rsidRPr="00CF4EFF">
        <w:rPr>
          <w:rFonts w:cs="Times New Roman"/>
          <w:iCs/>
          <w:szCs w:val="24"/>
        </w:rPr>
        <w:t>Encyclopedia of Adolescence</w:t>
      </w:r>
      <w:r w:rsidRPr="00CF4EFF">
        <w:rPr>
          <w:rFonts w:cs="Times New Roman"/>
          <w:szCs w:val="24"/>
        </w:rPr>
        <w:t>, 1(1), pp.479–487. doi:</w:t>
      </w:r>
      <w:hyperlink r:id="rId9" w:history="1">
        <w:r w:rsidRPr="00CF4EFF">
          <w:rPr>
            <w:rFonts w:cs="Times New Roman"/>
            <w:szCs w:val="24"/>
          </w:rPr>
          <w:t>10.1007/978-1-4419-1695-2_24</w:t>
        </w:r>
      </w:hyperlink>
      <w:r w:rsidRPr="00CF4EFF">
        <w:rPr>
          <w:rFonts w:cs="Times New Roman"/>
          <w:szCs w:val="24"/>
        </w:rPr>
        <w:t>.</w:t>
      </w:r>
    </w:p>
    <w:p w14:paraId="5B9FA6C8"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Halliday, E. and Popay, J. (2014). New Deal for Communities as a ‘Natural Policy Experiment’. 1(1). doi:</w:t>
      </w:r>
      <w:hyperlink r:id="rId10" w:history="1">
        <w:r w:rsidRPr="00CF4EFF">
          <w:rPr>
            <w:rFonts w:cs="Times New Roman"/>
            <w:szCs w:val="24"/>
          </w:rPr>
          <w:t>10.4135/978144627305014529526</w:t>
        </w:r>
      </w:hyperlink>
      <w:r w:rsidRPr="00CF4EFF">
        <w:rPr>
          <w:rFonts w:cs="Times New Roman"/>
          <w:szCs w:val="24"/>
        </w:rPr>
        <w:t>.</w:t>
      </w:r>
    </w:p>
    <w:p w14:paraId="16CE206C"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Kaner, S., Jossey-Bass and Al, E. (2014). </w:t>
      </w:r>
      <w:r w:rsidRPr="00CF4EFF">
        <w:rPr>
          <w:rFonts w:cs="Times New Roman"/>
          <w:iCs/>
          <w:szCs w:val="24"/>
        </w:rPr>
        <w:t>Facilitator’s Guide to Participatory decision-making</w:t>
      </w:r>
      <w:r w:rsidRPr="00CF4EFF">
        <w:rPr>
          <w:rFonts w:cs="Times New Roman"/>
          <w:szCs w:val="24"/>
        </w:rPr>
        <w:t>. San Francisco (Ca): Jossey-Bass.</w:t>
      </w:r>
    </w:p>
    <w:p w14:paraId="7CBE99EF"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Karlsen, J.T. (2002). Project Stakeholder Management. </w:t>
      </w:r>
      <w:r w:rsidRPr="00CF4EFF">
        <w:rPr>
          <w:rFonts w:cs="Times New Roman"/>
          <w:iCs/>
          <w:szCs w:val="24"/>
        </w:rPr>
        <w:t>Engineering Management Journal</w:t>
      </w:r>
      <w:r w:rsidRPr="00CF4EFF">
        <w:rPr>
          <w:rFonts w:cs="Times New Roman"/>
          <w:szCs w:val="24"/>
        </w:rPr>
        <w:t>, [online] 14(4), pp.19–24. doi:</w:t>
      </w:r>
      <w:hyperlink r:id="rId11" w:history="1">
        <w:r w:rsidRPr="00CF4EFF">
          <w:rPr>
            <w:rFonts w:cs="Times New Roman"/>
            <w:szCs w:val="24"/>
          </w:rPr>
          <w:t>10.1080/10429247.2002.11415180</w:t>
        </w:r>
      </w:hyperlink>
      <w:r w:rsidRPr="00CF4EFF">
        <w:rPr>
          <w:rFonts w:cs="Times New Roman"/>
          <w:szCs w:val="24"/>
        </w:rPr>
        <w:t>.</w:t>
      </w:r>
    </w:p>
    <w:p w14:paraId="372469B3"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Kretzman, J.P. and Mcknight, J. (2014). </w:t>
      </w:r>
      <w:r w:rsidRPr="00CF4EFF">
        <w:rPr>
          <w:rFonts w:cs="Times New Roman"/>
          <w:iCs/>
          <w:szCs w:val="24"/>
        </w:rPr>
        <w:t>Building Communities from the inside out a Path toward Finding and Mobilizing a community’s Assets</w:t>
      </w:r>
      <w:r w:rsidRPr="00CF4EFF">
        <w:rPr>
          <w:rFonts w:cs="Times New Roman"/>
          <w:szCs w:val="24"/>
        </w:rPr>
        <w:t>. Vancouver, B.C.: Langara College.</w:t>
      </w:r>
    </w:p>
    <w:p w14:paraId="0AF7C5E2"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Lawless, P., Foden, M., Wilson, I. and Beatty, C. (2009). Understanding Area-based Regeneration: the New Deal for Communities Programme in England. </w:t>
      </w:r>
      <w:r w:rsidRPr="00CF4EFF">
        <w:rPr>
          <w:rFonts w:cs="Times New Roman"/>
          <w:iCs/>
          <w:szCs w:val="24"/>
        </w:rPr>
        <w:t>Urban Studies</w:t>
      </w:r>
      <w:r w:rsidRPr="00CF4EFF">
        <w:rPr>
          <w:rFonts w:cs="Times New Roman"/>
          <w:szCs w:val="24"/>
        </w:rPr>
        <w:t>, 47(2), pp.257–275. doi:</w:t>
      </w:r>
      <w:hyperlink r:id="rId12" w:history="1">
        <w:r w:rsidRPr="00CF4EFF">
          <w:rPr>
            <w:rFonts w:cs="Times New Roman"/>
            <w:szCs w:val="24"/>
          </w:rPr>
          <w:t>10.1177/0042098009348324</w:t>
        </w:r>
      </w:hyperlink>
      <w:r w:rsidRPr="00CF4EFF">
        <w:rPr>
          <w:rFonts w:cs="Times New Roman"/>
          <w:szCs w:val="24"/>
        </w:rPr>
        <w:t>.</w:t>
      </w:r>
    </w:p>
    <w:p w14:paraId="5E6F1803"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medium.com (2020). </w:t>
      </w:r>
      <w:r w:rsidRPr="00CF4EFF">
        <w:rPr>
          <w:rFonts w:cs="Times New Roman"/>
          <w:iCs/>
          <w:szCs w:val="24"/>
        </w:rPr>
        <w:t>Community Engagement and Social Media</w:t>
      </w:r>
      <w:r w:rsidRPr="00CF4EFF">
        <w:rPr>
          <w:rFonts w:cs="Times New Roman"/>
          <w:szCs w:val="24"/>
        </w:rPr>
        <w:t>.</w:t>
      </w:r>
      <w:r w:rsidR="00461109">
        <w:rPr>
          <w:rFonts w:cs="Times New Roman"/>
          <w:szCs w:val="24"/>
        </w:rPr>
        <w:t xml:space="preserve"> [online] Medium. Available at:</w:t>
      </w:r>
      <w:hyperlink r:id="rId13" w:history="1">
        <w:r w:rsidRPr="00CF4EFF">
          <w:rPr>
            <w:rFonts w:cs="Times New Roman"/>
            <w:szCs w:val="24"/>
          </w:rPr>
          <w:t>https://medium.com/the-guide-to-remote-community-engagement/community-engagement-and-social-media-8b5164a8486f</w:t>
        </w:r>
      </w:hyperlink>
      <w:r w:rsidRPr="00CF4EFF">
        <w:rPr>
          <w:rFonts w:cs="Times New Roman"/>
          <w:szCs w:val="24"/>
        </w:rPr>
        <w:t xml:space="preserve"> [Accessed 19 Aug. 2022].</w:t>
      </w:r>
    </w:p>
    <w:p w14:paraId="66F90BAC"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Patricia Ann Wilson (2019). </w:t>
      </w:r>
      <w:r w:rsidRPr="00CF4EFF">
        <w:rPr>
          <w:rFonts w:cs="Times New Roman"/>
          <w:iCs/>
          <w:szCs w:val="24"/>
        </w:rPr>
        <w:t xml:space="preserve">The Heart of Community </w:t>
      </w:r>
      <w:r w:rsidR="00461109" w:rsidRPr="00CF4EFF">
        <w:rPr>
          <w:rFonts w:cs="Times New Roman"/>
          <w:iCs/>
          <w:szCs w:val="24"/>
        </w:rPr>
        <w:t>Engagement:</w:t>
      </w:r>
      <w:r w:rsidRPr="00CF4EFF">
        <w:rPr>
          <w:rFonts w:cs="Times New Roman"/>
          <w:iCs/>
          <w:szCs w:val="24"/>
        </w:rPr>
        <w:t xml:space="preserve"> Practitioner Stories from across the Globe</w:t>
      </w:r>
      <w:r w:rsidRPr="00CF4EFF">
        <w:rPr>
          <w:rFonts w:cs="Times New Roman"/>
          <w:szCs w:val="24"/>
        </w:rPr>
        <w:t>. Abingdon, Oxon; New York, NY: Routledge.</w:t>
      </w:r>
    </w:p>
    <w:p w14:paraId="7B41A47D"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Popay, J., Whitehead, M., Carr-Hill, R., Dibben, C., Dixon, P., Halliday, E., Nazroo, J., Peart, E., Povall, S., Stafford, M., Turner, J. and Walthery, P. (2015). The impact on health inequalities of approaches to community engagement in the New Deal for Communities regeneration initiative: a mixed-methods evaluation. </w:t>
      </w:r>
      <w:r w:rsidRPr="00CF4EFF">
        <w:rPr>
          <w:rFonts w:cs="Times New Roman"/>
          <w:iCs/>
          <w:szCs w:val="24"/>
        </w:rPr>
        <w:t>Public Health Research</w:t>
      </w:r>
      <w:r w:rsidRPr="00CF4EFF">
        <w:rPr>
          <w:rFonts w:cs="Times New Roman"/>
          <w:szCs w:val="24"/>
        </w:rPr>
        <w:t>, 3(12), pp.1–146. doi:</w:t>
      </w:r>
      <w:hyperlink r:id="rId14" w:history="1">
        <w:r w:rsidRPr="00CF4EFF">
          <w:rPr>
            <w:rFonts w:cs="Times New Roman"/>
            <w:szCs w:val="24"/>
          </w:rPr>
          <w:t>10.3310/phr03120</w:t>
        </w:r>
      </w:hyperlink>
      <w:r w:rsidRPr="00CF4EFF">
        <w:rPr>
          <w:rFonts w:cs="Times New Roman"/>
          <w:szCs w:val="24"/>
        </w:rPr>
        <w:t>.</w:t>
      </w:r>
    </w:p>
    <w:p w14:paraId="20505BE7"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Sheninger, E.C. (2014). </w:t>
      </w:r>
      <w:r w:rsidRPr="00CF4EFF">
        <w:rPr>
          <w:rFonts w:cs="Times New Roman"/>
          <w:iCs/>
          <w:szCs w:val="24"/>
        </w:rPr>
        <w:t>Digital Leadership: Changing Paradigms for Changing Times</w:t>
      </w:r>
      <w:r w:rsidRPr="00CF4EFF">
        <w:rPr>
          <w:rFonts w:cs="Times New Roman"/>
          <w:szCs w:val="24"/>
        </w:rPr>
        <w:t>. Thousand Oaks, California: Corwin.</w:t>
      </w:r>
    </w:p>
    <w:p w14:paraId="45E27693" w14:textId="77777777" w:rsidR="00CF4EFF"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Viars, S. (2020). </w:t>
      </w:r>
      <w:r w:rsidRPr="00CF4EFF">
        <w:rPr>
          <w:rFonts w:cs="Times New Roman"/>
          <w:iCs/>
          <w:szCs w:val="24"/>
        </w:rPr>
        <w:t>Loving Your Community: Proven Practices for community-based Outreach Ministry</w:t>
      </w:r>
      <w:r w:rsidRPr="00CF4EFF">
        <w:rPr>
          <w:rFonts w:cs="Times New Roman"/>
          <w:szCs w:val="24"/>
        </w:rPr>
        <w:t>. Grand Rapids, Mi: Baker Books.</w:t>
      </w:r>
    </w:p>
    <w:p w14:paraId="1BEBAE16" w14:textId="77777777" w:rsidR="00483C8A" w:rsidRPr="00CF4EFF" w:rsidRDefault="00E64515" w:rsidP="00CF4EFF">
      <w:pPr>
        <w:widowControl w:val="0"/>
        <w:autoSpaceDE w:val="0"/>
        <w:autoSpaceDN w:val="0"/>
        <w:adjustRightInd w:val="0"/>
        <w:spacing w:after="0" w:line="360" w:lineRule="auto"/>
        <w:jc w:val="both"/>
        <w:rPr>
          <w:rFonts w:cs="Times New Roman"/>
          <w:szCs w:val="24"/>
        </w:rPr>
      </w:pPr>
      <w:r w:rsidRPr="00CF4EFF">
        <w:rPr>
          <w:rFonts w:cs="Times New Roman"/>
          <w:szCs w:val="24"/>
        </w:rPr>
        <w:t xml:space="preserve">Wingo, R.S., Heppler, J.A. and Schadewald, P. (2020). </w:t>
      </w:r>
      <w:r w:rsidRPr="00CF4EFF">
        <w:rPr>
          <w:rFonts w:cs="Times New Roman"/>
          <w:iCs/>
          <w:szCs w:val="24"/>
        </w:rPr>
        <w:t>Digital Community Engagement: Partnering Communities with the Academy</w:t>
      </w:r>
      <w:r w:rsidRPr="00CF4EFF">
        <w:rPr>
          <w:rFonts w:cs="Times New Roman"/>
          <w:szCs w:val="24"/>
        </w:rPr>
        <w:t>. Cincinnati: University of Cincinnati Press.</w:t>
      </w:r>
    </w:p>
    <w:sectPr w:rsidR="00483C8A" w:rsidRPr="00CF4EF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ECAB7" w14:textId="77777777" w:rsidR="00E64515" w:rsidRDefault="00E64515">
      <w:pPr>
        <w:spacing w:after="0" w:line="240" w:lineRule="auto"/>
      </w:pPr>
      <w:r>
        <w:separator/>
      </w:r>
    </w:p>
  </w:endnote>
  <w:endnote w:type="continuationSeparator" w:id="0">
    <w:p w14:paraId="64BDF6DC" w14:textId="77777777" w:rsidR="00E64515" w:rsidRDefault="00E64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F7AA" w14:textId="77777777" w:rsidR="0090733E" w:rsidRDefault="009073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455216"/>
      <w:docPartObj>
        <w:docPartGallery w:val="Page Numbers (Bottom of Page)"/>
        <w:docPartUnique/>
      </w:docPartObj>
    </w:sdtPr>
    <w:sdtEndPr>
      <w:rPr>
        <w:color w:val="7F7F7F" w:themeColor="background1" w:themeShade="7F"/>
        <w:spacing w:val="60"/>
      </w:rPr>
    </w:sdtEndPr>
    <w:sdtContent>
      <w:p w14:paraId="3D2A2538" w14:textId="77777777" w:rsidR="00CE2F97" w:rsidRDefault="00E645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D712A" w:rsidRPr="000D712A">
          <w:rPr>
            <w:b/>
            <w:bCs/>
            <w:noProof/>
          </w:rPr>
          <w:t>2</w:t>
        </w:r>
        <w:r>
          <w:rPr>
            <w:b/>
            <w:bCs/>
            <w:noProof/>
          </w:rPr>
          <w:fldChar w:fldCharType="end"/>
        </w:r>
        <w:r>
          <w:rPr>
            <w:b/>
            <w:bCs/>
          </w:rPr>
          <w:t xml:space="preserve"> | </w:t>
        </w:r>
        <w:r>
          <w:rPr>
            <w:color w:val="7F7F7F" w:themeColor="background1" w:themeShade="7F"/>
            <w:spacing w:val="60"/>
          </w:rPr>
          <w:t>Page</w:t>
        </w:r>
      </w:p>
    </w:sdtContent>
  </w:sdt>
  <w:p w14:paraId="14E2B734" w14:textId="77777777" w:rsidR="00CE2F97" w:rsidRDefault="00CE2F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B418E" w14:textId="77777777" w:rsidR="0090733E" w:rsidRDefault="00907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CBAD1" w14:textId="77777777" w:rsidR="00E64515" w:rsidRDefault="00E64515">
      <w:pPr>
        <w:spacing w:after="0" w:line="240" w:lineRule="auto"/>
      </w:pPr>
      <w:r>
        <w:separator/>
      </w:r>
    </w:p>
  </w:footnote>
  <w:footnote w:type="continuationSeparator" w:id="0">
    <w:p w14:paraId="1AE131EF" w14:textId="77777777" w:rsidR="00E64515" w:rsidRDefault="00E64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E96CA" w14:textId="77777777" w:rsidR="0090733E" w:rsidRDefault="009073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BCCF4" w14:textId="77777777" w:rsidR="0090733E" w:rsidRDefault="009073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0E14" w14:textId="77777777" w:rsidR="0090733E" w:rsidRDefault="00907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50A"/>
    <w:multiLevelType w:val="multilevel"/>
    <w:tmpl w:val="E1DC76A0"/>
    <w:lvl w:ilvl="0">
      <w:start w:val="1"/>
      <w:numFmt w:val="decimal"/>
      <w:lvlText w:val="%1."/>
      <w:lvlJc w:val="left"/>
      <w:pPr>
        <w:ind w:left="720" w:hanging="360"/>
      </w:pPr>
    </w:lvl>
    <w:lvl w:ilvl="1">
      <w:start w:val="1"/>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7A858C1"/>
    <w:multiLevelType w:val="hybridMultilevel"/>
    <w:tmpl w:val="00BA518C"/>
    <w:lvl w:ilvl="0" w:tplc="B5CCDE4A">
      <w:start w:val="1"/>
      <w:numFmt w:val="decimal"/>
      <w:lvlText w:val="%1."/>
      <w:lvlJc w:val="left"/>
      <w:pPr>
        <w:ind w:left="360" w:hanging="360"/>
      </w:pPr>
      <w:rPr>
        <w:rFonts w:hint="default"/>
      </w:rPr>
    </w:lvl>
    <w:lvl w:ilvl="1" w:tplc="5140760E" w:tentative="1">
      <w:start w:val="1"/>
      <w:numFmt w:val="lowerLetter"/>
      <w:lvlText w:val="%2."/>
      <w:lvlJc w:val="left"/>
      <w:pPr>
        <w:ind w:left="1080" w:hanging="360"/>
      </w:pPr>
    </w:lvl>
    <w:lvl w:ilvl="2" w:tplc="730AC850" w:tentative="1">
      <w:start w:val="1"/>
      <w:numFmt w:val="lowerRoman"/>
      <w:lvlText w:val="%3."/>
      <w:lvlJc w:val="right"/>
      <w:pPr>
        <w:ind w:left="1800" w:hanging="180"/>
      </w:pPr>
    </w:lvl>
    <w:lvl w:ilvl="3" w:tplc="479A4682" w:tentative="1">
      <w:start w:val="1"/>
      <w:numFmt w:val="decimal"/>
      <w:lvlText w:val="%4."/>
      <w:lvlJc w:val="left"/>
      <w:pPr>
        <w:ind w:left="2520" w:hanging="360"/>
      </w:pPr>
    </w:lvl>
    <w:lvl w:ilvl="4" w:tplc="70A86062" w:tentative="1">
      <w:start w:val="1"/>
      <w:numFmt w:val="lowerLetter"/>
      <w:lvlText w:val="%5."/>
      <w:lvlJc w:val="left"/>
      <w:pPr>
        <w:ind w:left="3240" w:hanging="360"/>
      </w:pPr>
    </w:lvl>
    <w:lvl w:ilvl="5" w:tplc="E38638B6" w:tentative="1">
      <w:start w:val="1"/>
      <w:numFmt w:val="lowerRoman"/>
      <w:lvlText w:val="%6."/>
      <w:lvlJc w:val="right"/>
      <w:pPr>
        <w:ind w:left="3960" w:hanging="180"/>
      </w:pPr>
    </w:lvl>
    <w:lvl w:ilvl="6" w:tplc="09068F32" w:tentative="1">
      <w:start w:val="1"/>
      <w:numFmt w:val="decimal"/>
      <w:lvlText w:val="%7."/>
      <w:lvlJc w:val="left"/>
      <w:pPr>
        <w:ind w:left="4680" w:hanging="360"/>
      </w:pPr>
    </w:lvl>
    <w:lvl w:ilvl="7" w:tplc="F9EEB1E8" w:tentative="1">
      <w:start w:val="1"/>
      <w:numFmt w:val="lowerLetter"/>
      <w:lvlText w:val="%8."/>
      <w:lvlJc w:val="left"/>
      <w:pPr>
        <w:ind w:left="5400" w:hanging="360"/>
      </w:pPr>
    </w:lvl>
    <w:lvl w:ilvl="8" w:tplc="96526CEE" w:tentative="1">
      <w:start w:val="1"/>
      <w:numFmt w:val="lowerRoman"/>
      <w:lvlText w:val="%9."/>
      <w:lvlJc w:val="right"/>
      <w:pPr>
        <w:ind w:left="6120" w:hanging="180"/>
      </w:pPr>
    </w:lvl>
  </w:abstractNum>
  <w:abstractNum w:abstractNumId="2" w15:restartNumberingAfterBreak="0">
    <w:nsid w:val="625C3E66"/>
    <w:multiLevelType w:val="hybridMultilevel"/>
    <w:tmpl w:val="6B52BB46"/>
    <w:lvl w:ilvl="0" w:tplc="B422FAF0">
      <w:start w:val="1"/>
      <w:numFmt w:val="decimal"/>
      <w:lvlText w:val="%1."/>
      <w:lvlJc w:val="left"/>
      <w:pPr>
        <w:ind w:left="360" w:hanging="360"/>
      </w:pPr>
      <w:rPr>
        <w:rFonts w:hint="default"/>
      </w:rPr>
    </w:lvl>
    <w:lvl w:ilvl="1" w:tplc="91B2C260" w:tentative="1">
      <w:start w:val="1"/>
      <w:numFmt w:val="lowerLetter"/>
      <w:lvlText w:val="%2."/>
      <w:lvlJc w:val="left"/>
      <w:pPr>
        <w:ind w:left="1080" w:hanging="360"/>
      </w:pPr>
    </w:lvl>
    <w:lvl w:ilvl="2" w:tplc="8B9AFB08" w:tentative="1">
      <w:start w:val="1"/>
      <w:numFmt w:val="lowerRoman"/>
      <w:lvlText w:val="%3."/>
      <w:lvlJc w:val="right"/>
      <w:pPr>
        <w:ind w:left="1800" w:hanging="180"/>
      </w:pPr>
    </w:lvl>
    <w:lvl w:ilvl="3" w:tplc="0AC0CCEC" w:tentative="1">
      <w:start w:val="1"/>
      <w:numFmt w:val="decimal"/>
      <w:lvlText w:val="%4."/>
      <w:lvlJc w:val="left"/>
      <w:pPr>
        <w:ind w:left="2520" w:hanging="360"/>
      </w:pPr>
    </w:lvl>
    <w:lvl w:ilvl="4" w:tplc="FB7ED01E" w:tentative="1">
      <w:start w:val="1"/>
      <w:numFmt w:val="lowerLetter"/>
      <w:lvlText w:val="%5."/>
      <w:lvlJc w:val="left"/>
      <w:pPr>
        <w:ind w:left="3240" w:hanging="360"/>
      </w:pPr>
    </w:lvl>
    <w:lvl w:ilvl="5" w:tplc="C0A624CC" w:tentative="1">
      <w:start w:val="1"/>
      <w:numFmt w:val="lowerRoman"/>
      <w:lvlText w:val="%6."/>
      <w:lvlJc w:val="right"/>
      <w:pPr>
        <w:ind w:left="3960" w:hanging="180"/>
      </w:pPr>
    </w:lvl>
    <w:lvl w:ilvl="6" w:tplc="17660200" w:tentative="1">
      <w:start w:val="1"/>
      <w:numFmt w:val="decimal"/>
      <w:lvlText w:val="%7."/>
      <w:lvlJc w:val="left"/>
      <w:pPr>
        <w:ind w:left="4680" w:hanging="360"/>
      </w:pPr>
    </w:lvl>
    <w:lvl w:ilvl="7" w:tplc="1C4AAC34" w:tentative="1">
      <w:start w:val="1"/>
      <w:numFmt w:val="lowerLetter"/>
      <w:lvlText w:val="%8."/>
      <w:lvlJc w:val="left"/>
      <w:pPr>
        <w:ind w:left="5400" w:hanging="360"/>
      </w:pPr>
    </w:lvl>
    <w:lvl w:ilvl="8" w:tplc="C840F8DE" w:tentative="1">
      <w:start w:val="1"/>
      <w:numFmt w:val="lowerRoman"/>
      <w:lvlText w:val="%9."/>
      <w:lvlJc w:val="right"/>
      <w:pPr>
        <w:ind w:left="6120" w:hanging="180"/>
      </w:pPr>
    </w:lvl>
  </w:abstractNum>
  <w:abstractNum w:abstractNumId="3" w15:restartNumberingAfterBreak="0">
    <w:nsid w:val="7B262D3A"/>
    <w:multiLevelType w:val="multilevel"/>
    <w:tmpl w:val="EF424F16"/>
    <w:lvl w:ilvl="0">
      <w:start w:val="1"/>
      <w:numFmt w:val="decimal"/>
      <w:lvlText w:val="%1."/>
      <w:lvlJc w:val="left"/>
      <w:pPr>
        <w:ind w:left="786"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1F5513"/>
    <w:multiLevelType w:val="hybridMultilevel"/>
    <w:tmpl w:val="87E4BB2A"/>
    <w:lvl w:ilvl="0" w:tplc="5CC8DCC0">
      <w:start w:val="1"/>
      <w:numFmt w:val="upperLetter"/>
      <w:lvlText w:val="%1."/>
      <w:lvlJc w:val="left"/>
      <w:pPr>
        <w:ind w:left="360" w:hanging="360"/>
      </w:pPr>
      <w:rPr>
        <w:rFonts w:hint="default"/>
      </w:rPr>
    </w:lvl>
    <w:lvl w:ilvl="1" w:tplc="3566174C" w:tentative="1">
      <w:start w:val="1"/>
      <w:numFmt w:val="lowerLetter"/>
      <w:lvlText w:val="%2."/>
      <w:lvlJc w:val="left"/>
      <w:pPr>
        <w:ind w:left="1080" w:hanging="360"/>
      </w:pPr>
    </w:lvl>
    <w:lvl w:ilvl="2" w:tplc="31EEF90A" w:tentative="1">
      <w:start w:val="1"/>
      <w:numFmt w:val="lowerRoman"/>
      <w:lvlText w:val="%3."/>
      <w:lvlJc w:val="right"/>
      <w:pPr>
        <w:ind w:left="1800" w:hanging="180"/>
      </w:pPr>
    </w:lvl>
    <w:lvl w:ilvl="3" w:tplc="823CBEBA" w:tentative="1">
      <w:start w:val="1"/>
      <w:numFmt w:val="decimal"/>
      <w:lvlText w:val="%4."/>
      <w:lvlJc w:val="left"/>
      <w:pPr>
        <w:ind w:left="2520" w:hanging="360"/>
      </w:pPr>
    </w:lvl>
    <w:lvl w:ilvl="4" w:tplc="906E4268" w:tentative="1">
      <w:start w:val="1"/>
      <w:numFmt w:val="lowerLetter"/>
      <w:lvlText w:val="%5."/>
      <w:lvlJc w:val="left"/>
      <w:pPr>
        <w:ind w:left="3240" w:hanging="360"/>
      </w:pPr>
    </w:lvl>
    <w:lvl w:ilvl="5" w:tplc="0284EDDC" w:tentative="1">
      <w:start w:val="1"/>
      <w:numFmt w:val="lowerRoman"/>
      <w:lvlText w:val="%6."/>
      <w:lvlJc w:val="right"/>
      <w:pPr>
        <w:ind w:left="3960" w:hanging="180"/>
      </w:pPr>
    </w:lvl>
    <w:lvl w:ilvl="6" w:tplc="ACE2D49A" w:tentative="1">
      <w:start w:val="1"/>
      <w:numFmt w:val="decimal"/>
      <w:lvlText w:val="%7."/>
      <w:lvlJc w:val="left"/>
      <w:pPr>
        <w:ind w:left="4680" w:hanging="360"/>
      </w:pPr>
    </w:lvl>
    <w:lvl w:ilvl="7" w:tplc="D1C89376" w:tentative="1">
      <w:start w:val="1"/>
      <w:numFmt w:val="lowerLetter"/>
      <w:lvlText w:val="%8."/>
      <w:lvlJc w:val="left"/>
      <w:pPr>
        <w:ind w:left="5400" w:hanging="360"/>
      </w:pPr>
    </w:lvl>
    <w:lvl w:ilvl="8" w:tplc="8A429CD6" w:tentative="1">
      <w:start w:val="1"/>
      <w:numFmt w:val="lowerRoman"/>
      <w:lvlText w:val="%9."/>
      <w:lvlJc w:val="right"/>
      <w:pPr>
        <w:ind w:left="6120" w:hanging="180"/>
      </w:pPr>
    </w:lvl>
  </w:abstractNum>
  <w:abstractNum w:abstractNumId="5" w15:restartNumberingAfterBreak="0">
    <w:nsid w:val="7DF211A3"/>
    <w:multiLevelType w:val="multilevel"/>
    <w:tmpl w:val="BC4A02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4076511">
    <w:abstractNumId w:val="3"/>
  </w:num>
  <w:num w:numId="2" w16cid:durableId="514224558">
    <w:abstractNumId w:val="5"/>
  </w:num>
  <w:num w:numId="3" w16cid:durableId="232547947">
    <w:abstractNumId w:val="4"/>
  </w:num>
  <w:num w:numId="4" w16cid:durableId="1855725458">
    <w:abstractNumId w:val="1"/>
  </w:num>
  <w:num w:numId="5" w16cid:durableId="1225335462">
    <w:abstractNumId w:val="2"/>
  </w:num>
  <w:num w:numId="6" w16cid:durableId="349070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8E4"/>
    <w:rsid w:val="000206DB"/>
    <w:rsid w:val="00024BBC"/>
    <w:rsid w:val="00026512"/>
    <w:rsid w:val="00040BD7"/>
    <w:rsid w:val="00045D6C"/>
    <w:rsid w:val="000729F4"/>
    <w:rsid w:val="0007539D"/>
    <w:rsid w:val="0008161D"/>
    <w:rsid w:val="0008302B"/>
    <w:rsid w:val="000857A1"/>
    <w:rsid w:val="000D168A"/>
    <w:rsid w:val="000D5543"/>
    <w:rsid w:val="000D712A"/>
    <w:rsid w:val="000D7BC2"/>
    <w:rsid w:val="0013546C"/>
    <w:rsid w:val="00135807"/>
    <w:rsid w:val="00141843"/>
    <w:rsid w:val="00165750"/>
    <w:rsid w:val="00171F43"/>
    <w:rsid w:val="001817C4"/>
    <w:rsid w:val="001D4E23"/>
    <w:rsid w:val="00203E58"/>
    <w:rsid w:val="0020596E"/>
    <w:rsid w:val="0021016D"/>
    <w:rsid w:val="00211BFF"/>
    <w:rsid w:val="00222F5D"/>
    <w:rsid w:val="00251582"/>
    <w:rsid w:val="0026018E"/>
    <w:rsid w:val="00271BFC"/>
    <w:rsid w:val="002B3E0F"/>
    <w:rsid w:val="002D15D5"/>
    <w:rsid w:val="002E2475"/>
    <w:rsid w:val="002F6211"/>
    <w:rsid w:val="00304A77"/>
    <w:rsid w:val="003071C7"/>
    <w:rsid w:val="00327317"/>
    <w:rsid w:val="00367DCF"/>
    <w:rsid w:val="00375C42"/>
    <w:rsid w:val="003B5448"/>
    <w:rsid w:val="003C1804"/>
    <w:rsid w:val="003D048D"/>
    <w:rsid w:val="00403037"/>
    <w:rsid w:val="0041123C"/>
    <w:rsid w:val="004207C7"/>
    <w:rsid w:val="0042300F"/>
    <w:rsid w:val="00434FBB"/>
    <w:rsid w:val="00453794"/>
    <w:rsid w:val="00461109"/>
    <w:rsid w:val="00483C8A"/>
    <w:rsid w:val="00497AEE"/>
    <w:rsid w:val="004A5CCA"/>
    <w:rsid w:val="004C0CFC"/>
    <w:rsid w:val="004E5F87"/>
    <w:rsid w:val="004F2F58"/>
    <w:rsid w:val="00534C17"/>
    <w:rsid w:val="00563A38"/>
    <w:rsid w:val="005678EA"/>
    <w:rsid w:val="00577F01"/>
    <w:rsid w:val="005B5233"/>
    <w:rsid w:val="005B6A98"/>
    <w:rsid w:val="005C3411"/>
    <w:rsid w:val="005C5345"/>
    <w:rsid w:val="005D5B41"/>
    <w:rsid w:val="006005C3"/>
    <w:rsid w:val="00603CE7"/>
    <w:rsid w:val="00614925"/>
    <w:rsid w:val="006161C4"/>
    <w:rsid w:val="006455EE"/>
    <w:rsid w:val="00662283"/>
    <w:rsid w:val="00670A79"/>
    <w:rsid w:val="00685ECD"/>
    <w:rsid w:val="00686867"/>
    <w:rsid w:val="006B3722"/>
    <w:rsid w:val="006B5B78"/>
    <w:rsid w:val="006C790F"/>
    <w:rsid w:val="00702AAE"/>
    <w:rsid w:val="00704D8F"/>
    <w:rsid w:val="007303C8"/>
    <w:rsid w:val="00755AD7"/>
    <w:rsid w:val="007864CE"/>
    <w:rsid w:val="00797EB7"/>
    <w:rsid w:val="007A4FE5"/>
    <w:rsid w:val="00805A01"/>
    <w:rsid w:val="008077D8"/>
    <w:rsid w:val="00846777"/>
    <w:rsid w:val="00854E1F"/>
    <w:rsid w:val="0086283E"/>
    <w:rsid w:val="00892D6B"/>
    <w:rsid w:val="008A2E38"/>
    <w:rsid w:val="008C37AF"/>
    <w:rsid w:val="008C3C69"/>
    <w:rsid w:val="008E4322"/>
    <w:rsid w:val="0090733E"/>
    <w:rsid w:val="00912A0C"/>
    <w:rsid w:val="00913CDD"/>
    <w:rsid w:val="0093128C"/>
    <w:rsid w:val="00933CC1"/>
    <w:rsid w:val="009375DF"/>
    <w:rsid w:val="009A24B9"/>
    <w:rsid w:val="009A4103"/>
    <w:rsid w:val="009B2CCA"/>
    <w:rsid w:val="009E6C59"/>
    <w:rsid w:val="009F1B73"/>
    <w:rsid w:val="00A055A7"/>
    <w:rsid w:val="00A1625D"/>
    <w:rsid w:val="00A57456"/>
    <w:rsid w:val="00A6434D"/>
    <w:rsid w:val="00A650ED"/>
    <w:rsid w:val="00A651D2"/>
    <w:rsid w:val="00A71E02"/>
    <w:rsid w:val="00A827A3"/>
    <w:rsid w:val="00A842F5"/>
    <w:rsid w:val="00AD25D6"/>
    <w:rsid w:val="00B37FBF"/>
    <w:rsid w:val="00B42F81"/>
    <w:rsid w:val="00B579A7"/>
    <w:rsid w:val="00BA2D65"/>
    <w:rsid w:val="00BA30AE"/>
    <w:rsid w:val="00BA5BB5"/>
    <w:rsid w:val="00BA78E4"/>
    <w:rsid w:val="00BD7F52"/>
    <w:rsid w:val="00C116BC"/>
    <w:rsid w:val="00C44B7E"/>
    <w:rsid w:val="00C52A09"/>
    <w:rsid w:val="00C7494E"/>
    <w:rsid w:val="00C8764F"/>
    <w:rsid w:val="00CA052C"/>
    <w:rsid w:val="00CA0C02"/>
    <w:rsid w:val="00CC3A23"/>
    <w:rsid w:val="00CC4437"/>
    <w:rsid w:val="00CC7615"/>
    <w:rsid w:val="00CD1085"/>
    <w:rsid w:val="00CD17AD"/>
    <w:rsid w:val="00CD3D86"/>
    <w:rsid w:val="00CD693D"/>
    <w:rsid w:val="00CE041E"/>
    <w:rsid w:val="00CE2F97"/>
    <w:rsid w:val="00CF4EFF"/>
    <w:rsid w:val="00D15157"/>
    <w:rsid w:val="00D22795"/>
    <w:rsid w:val="00D328FB"/>
    <w:rsid w:val="00D45730"/>
    <w:rsid w:val="00D469B5"/>
    <w:rsid w:val="00D5138D"/>
    <w:rsid w:val="00D61C77"/>
    <w:rsid w:val="00D9231E"/>
    <w:rsid w:val="00DA362F"/>
    <w:rsid w:val="00DB6179"/>
    <w:rsid w:val="00DB7008"/>
    <w:rsid w:val="00DB7F3C"/>
    <w:rsid w:val="00DD67C4"/>
    <w:rsid w:val="00DD71A1"/>
    <w:rsid w:val="00DE35FE"/>
    <w:rsid w:val="00E043D7"/>
    <w:rsid w:val="00E06E24"/>
    <w:rsid w:val="00E2293A"/>
    <w:rsid w:val="00E35FFA"/>
    <w:rsid w:val="00E40563"/>
    <w:rsid w:val="00E41C05"/>
    <w:rsid w:val="00E64515"/>
    <w:rsid w:val="00E6552E"/>
    <w:rsid w:val="00E764E5"/>
    <w:rsid w:val="00E84593"/>
    <w:rsid w:val="00E91DBC"/>
    <w:rsid w:val="00E945F3"/>
    <w:rsid w:val="00EC535B"/>
    <w:rsid w:val="00EF6E8E"/>
    <w:rsid w:val="00F441B4"/>
    <w:rsid w:val="00F55F23"/>
    <w:rsid w:val="00F67784"/>
    <w:rsid w:val="00F8087E"/>
    <w:rsid w:val="00F870A2"/>
    <w:rsid w:val="00F9715C"/>
    <w:rsid w:val="00FB79AD"/>
    <w:rsid w:val="00FC0C80"/>
    <w:rsid w:val="00FC275D"/>
    <w:rsid w:val="00FD4F71"/>
    <w:rsid w:val="00FF3073"/>
    <w:rsid w:val="00FF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A5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31E"/>
    <w:rPr>
      <w:rFonts w:ascii="Times New Roman" w:eastAsiaTheme="minorEastAsia" w:hAnsi="Times New Roman"/>
      <w:sz w:val="24"/>
      <w:lang w:val="en-US"/>
    </w:rPr>
  </w:style>
  <w:style w:type="paragraph" w:styleId="Heading1">
    <w:name w:val="heading 1"/>
    <w:basedOn w:val="Normal"/>
    <w:next w:val="Normal"/>
    <w:link w:val="Heading1Char"/>
    <w:autoRedefine/>
    <w:uiPriority w:val="9"/>
    <w:qFormat/>
    <w:rsid w:val="00CF4EFF"/>
    <w:pPr>
      <w:keepNext/>
      <w:keepLines/>
      <w:spacing w:after="40"/>
      <w:outlineLvl w:val="0"/>
    </w:pPr>
    <w:rPr>
      <w:rFonts w:eastAsiaTheme="majorEastAsia" w:cstheme="majorBidi"/>
      <w:b/>
      <w:sz w:val="32"/>
      <w:szCs w:val="36"/>
      <w:lang w:val="en-GB"/>
    </w:rPr>
  </w:style>
  <w:style w:type="paragraph" w:styleId="Heading2">
    <w:name w:val="heading 2"/>
    <w:basedOn w:val="Normal"/>
    <w:next w:val="Normal"/>
    <w:link w:val="Heading2Char"/>
    <w:autoRedefine/>
    <w:uiPriority w:val="9"/>
    <w:unhideWhenUsed/>
    <w:qFormat/>
    <w:rsid w:val="00D9231E"/>
    <w:pPr>
      <w:keepNext/>
      <w:keepLines/>
      <w:spacing w:before="120" w:after="0"/>
      <w:outlineLvl w:val="1"/>
    </w:pPr>
    <w:rPr>
      <w:rFonts w:eastAsiaTheme="majorEastAsia" w:cstheme="majorBidi"/>
      <w:b/>
      <w:caps/>
      <w:sz w:val="28"/>
      <w:szCs w:val="28"/>
      <w:lang w:val="en-GB"/>
    </w:rPr>
  </w:style>
  <w:style w:type="paragraph" w:styleId="Heading3">
    <w:name w:val="heading 3"/>
    <w:basedOn w:val="Normal"/>
    <w:next w:val="Normal"/>
    <w:link w:val="Heading3Char"/>
    <w:autoRedefine/>
    <w:uiPriority w:val="9"/>
    <w:unhideWhenUsed/>
    <w:qFormat/>
    <w:rsid w:val="00D9231E"/>
    <w:pPr>
      <w:keepNext/>
      <w:keepLines/>
      <w:spacing w:before="120" w:after="0" w:line="240" w:lineRule="auto"/>
      <w:outlineLvl w:val="2"/>
    </w:pPr>
    <w:rPr>
      <w:rFonts w:eastAsiaTheme="majorEastAsia" w:cstheme="majorBidi"/>
      <w:b/>
      <w:smallCaps/>
      <w:szCs w:val="28"/>
      <w:lang w:val="en-GB"/>
    </w:rPr>
  </w:style>
  <w:style w:type="paragraph" w:styleId="Heading4">
    <w:name w:val="heading 4"/>
    <w:basedOn w:val="Normal"/>
    <w:next w:val="Normal"/>
    <w:link w:val="Heading4Char"/>
    <w:autoRedefine/>
    <w:uiPriority w:val="9"/>
    <w:unhideWhenUsed/>
    <w:qFormat/>
    <w:rsid w:val="00854E1F"/>
    <w:pPr>
      <w:keepNext/>
      <w:keepLines/>
      <w:spacing w:after="120"/>
      <w:outlineLvl w:val="3"/>
    </w:pPr>
    <w:rPr>
      <w:rFonts w:eastAsiaTheme="majorEastAsia" w:cstheme="majorBidi"/>
      <w:cap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EFF"/>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D9231E"/>
    <w:rPr>
      <w:rFonts w:ascii="Times New Roman" w:eastAsiaTheme="majorEastAsia" w:hAnsi="Times New Roman" w:cstheme="majorBidi"/>
      <w:b/>
      <w:caps/>
      <w:sz w:val="28"/>
      <w:szCs w:val="28"/>
    </w:rPr>
  </w:style>
  <w:style w:type="character" w:customStyle="1" w:styleId="Heading3Char">
    <w:name w:val="Heading 3 Char"/>
    <w:basedOn w:val="DefaultParagraphFont"/>
    <w:link w:val="Heading3"/>
    <w:uiPriority w:val="9"/>
    <w:rsid w:val="00D9231E"/>
    <w:rPr>
      <w:rFonts w:ascii="Times New Roman" w:eastAsiaTheme="majorEastAsia" w:hAnsi="Times New Roman" w:cstheme="majorBidi"/>
      <w:b/>
      <w:smallCaps/>
      <w:sz w:val="24"/>
      <w:szCs w:val="28"/>
    </w:rPr>
  </w:style>
  <w:style w:type="paragraph" w:styleId="Title">
    <w:name w:val="Title"/>
    <w:basedOn w:val="Normal"/>
    <w:next w:val="Normal"/>
    <w:link w:val="TitleChar"/>
    <w:uiPriority w:val="10"/>
    <w:qFormat/>
    <w:rsid w:val="00686867"/>
    <w:pPr>
      <w:spacing w:after="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86867"/>
    <w:rPr>
      <w:rFonts w:asciiTheme="majorHAnsi" w:eastAsiaTheme="majorEastAsia" w:hAnsiTheme="majorHAnsi" w:cstheme="majorBidi"/>
      <w:spacing w:val="-10"/>
      <w:kern w:val="28"/>
      <w:sz w:val="56"/>
      <w:szCs w:val="71"/>
      <w:lang w:val="en-US" w:bidi="bn-BD"/>
    </w:rPr>
  </w:style>
  <w:style w:type="character" w:customStyle="1" w:styleId="Heading4Char">
    <w:name w:val="Heading 4 Char"/>
    <w:basedOn w:val="DefaultParagraphFont"/>
    <w:link w:val="Heading4"/>
    <w:uiPriority w:val="9"/>
    <w:rsid w:val="00854E1F"/>
    <w:rPr>
      <w:rFonts w:ascii="Times New Roman" w:eastAsiaTheme="majorEastAsia" w:hAnsi="Times New Roman" w:cstheme="majorBidi"/>
      <w:caps/>
      <w:sz w:val="24"/>
    </w:rPr>
  </w:style>
  <w:style w:type="paragraph" w:styleId="Subtitle">
    <w:name w:val="Subtitle"/>
    <w:basedOn w:val="Normal"/>
    <w:next w:val="Normal"/>
    <w:link w:val="SubtitleChar"/>
    <w:autoRedefine/>
    <w:uiPriority w:val="11"/>
    <w:qFormat/>
    <w:rsid w:val="00327317"/>
    <w:pPr>
      <w:numPr>
        <w:ilvl w:val="1"/>
      </w:numPr>
      <w:spacing w:before="120"/>
    </w:pPr>
    <w:rPr>
      <w:spacing w:val="15"/>
      <w:sz w:val="28"/>
      <w:lang w:val="en-GB"/>
    </w:rPr>
  </w:style>
  <w:style w:type="character" w:customStyle="1" w:styleId="SubtitleChar">
    <w:name w:val="Subtitle Char"/>
    <w:basedOn w:val="DefaultParagraphFont"/>
    <w:link w:val="Subtitle"/>
    <w:uiPriority w:val="11"/>
    <w:rsid w:val="00327317"/>
    <w:rPr>
      <w:rFonts w:ascii="Times New Roman" w:eastAsiaTheme="minorEastAsia" w:hAnsi="Times New Roman"/>
      <w:spacing w:val="15"/>
      <w:sz w:val="28"/>
    </w:rPr>
  </w:style>
  <w:style w:type="paragraph" w:styleId="TOCHeading">
    <w:name w:val="TOC Heading"/>
    <w:basedOn w:val="Heading1"/>
    <w:next w:val="Normal"/>
    <w:autoRedefine/>
    <w:uiPriority w:val="39"/>
    <w:unhideWhenUsed/>
    <w:qFormat/>
    <w:rsid w:val="007864CE"/>
    <w:pPr>
      <w:outlineLvl w:val="9"/>
    </w:pPr>
    <w:rPr>
      <w:bCs/>
      <w:lang w:val="en-US"/>
    </w:rPr>
  </w:style>
  <w:style w:type="paragraph" w:customStyle="1" w:styleId="Style1">
    <w:name w:val="Style1"/>
    <w:basedOn w:val="Heading1"/>
    <w:link w:val="Style1Char"/>
    <w:autoRedefine/>
    <w:qFormat/>
    <w:rsid w:val="007864CE"/>
    <w:rPr>
      <w:rFonts w:eastAsiaTheme="minorHAnsi" w:cstheme="minorBidi"/>
      <w:bCs/>
      <w:sz w:val="40"/>
    </w:rPr>
  </w:style>
  <w:style w:type="character" w:customStyle="1" w:styleId="Style1Char">
    <w:name w:val="Style1 Char"/>
    <w:basedOn w:val="Heading1Char"/>
    <w:link w:val="Style1"/>
    <w:rsid w:val="007864CE"/>
    <w:rPr>
      <w:rFonts w:ascii="Times New Roman" w:eastAsiaTheme="majorEastAsia" w:hAnsi="Times New Roman" w:cs="Arial"/>
      <w:b/>
      <w:bCs/>
      <w:caps w:val="0"/>
      <w:color w:val="2E74B5" w:themeColor="accent1" w:themeShade="BF"/>
      <w:kern w:val="2"/>
      <w:sz w:val="40"/>
      <w:szCs w:val="40"/>
      <w:lang w:eastAsia="zh-CN" w:bidi="hi-IN"/>
    </w:rPr>
  </w:style>
  <w:style w:type="paragraph" w:styleId="NoSpacing">
    <w:name w:val="No Spacing"/>
    <w:aliases w:val="Normal1"/>
    <w:basedOn w:val="Normal"/>
    <w:next w:val="Normal"/>
    <w:autoRedefine/>
    <w:uiPriority w:val="1"/>
    <w:qFormat/>
    <w:rsid w:val="00BA5BB5"/>
    <w:pPr>
      <w:spacing w:after="0"/>
    </w:pPr>
    <w:rPr>
      <w:rFonts w:cs="Times New Roman"/>
      <w:szCs w:val="24"/>
      <w:lang w:val="en-GB" w:eastAsia="en-ZA"/>
    </w:rPr>
  </w:style>
  <w:style w:type="paragraph" w:styleId="Header">
    <w:name w:val="header"/>
    <w:basedOn w:val="Normal"/>
    <w:link w:val="HeaderChar"/>
    <w:uiPriority w:val="99"/>
    <w:unhideWhenUsed/>
    <w:rsid w:val="00CE2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F97"/>
    <w:rPr>
      <w:rFonts w:ascii="Times New Roman" w:eastAsiaTheme="minorEastAsia" w:hAnsi="Times New Roman"/>
      <w:sz w:val="24"/>
      <w:lang w:val="en-US"/>
    </w:rPr>
  </w:style>
  <w:style w:type="paragraph" w:styleId="Footer">
    <w:name w:val="footer"/>
    <w:basedOn w:val="Normal"/>
    <w:link w:val="FooterChar"/>
    <w:uiPriority w:val="99"/>
    <w:unhideWhenUsed/>
    <w:rsid w:val="00CE2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F97"/>
    <w:rPr>
      <w:rFonts w:ascii="Times New Roman" w:eastAsiaTheme="minorEastAsia"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95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mrul%20Islam%20Sakib\Downloads\10.2105\ajph.2009.178137" TargetMode="External"/><Relationship Id="rId13" Type="http://schemas.openxmlformats.org/officeDocument/2006/relationships/hyperlink" Target="https://medium.com/the-guide-to-remote-community-engagement/community-engagement-and-social-media-8b5164a8486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file:///C:\Users\Kamrul%20Islam%20Sakib\Downloads\10.1177\004209800934832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amrul%20Islam%20Sakib\Downloads\10.1080\10429247.2002.1141518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file:///C:\Users\Kamrul%20Islam%20Sakib\Downloads\10.4135\978144627305014529526"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file:///C:\Users\Kamrul%20Islam%20Sakib\Downloads\10.1007\978-1-4419-1695-2_24" TargetMode="External"/><Relationship Id="rId14" Type="http://schemas.openxmlformats.org/officeDocument/2006/relationships/hyperlink" Target="file:///C:\Users\Kamrul%20Islam%20Sakib\Downloads\10.3310\phr031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2022-09-04T20:14:00Z</dcterms:created>
  <dcterms:modified xsi:type="dcterms:W3CDTF">2022-09-04T20:14:00Z</dcterms:modified>
</cp:coreProperties>
</file>