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C4815" w14:textId="6C0B6E56"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This assignment is going to discuss defamation and whether Ffion and Kieran both have a case to make a defamation claim. </w:t>
      </w:r>
      <w:r>
        <w:rPr>
          <w:rStyle w:val="eop"/>
          <w:rFonts w:ascii="Calibri" w:hAnsi="Calibri" w:cs="Calibri"/>
          <w:sz w:val="28"/>
          <w:szCs w:val="28"/>
        </w:rPr>
        <w:t> </w:t>
      </w:r>
    </w:p>
    <w:p w14:paraId="0D94C5F7"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33D6363B" w14:textId="6C47A871"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Defamation has been put into place to protect an individual’s reputation (Horsey &amp; Rackley, 2021). There have been many concerns regarding the law surrounding defamation mainly due to the balance between Freedom of expression in Article 10 of the European Convention on Human Rights Act 1998 and the right to respect for private and family life under Article 8 of the European Convention of Human Rights Act 1998. The Defamation Act 2013 was bought in to improve the balance of both the Articles within the Human Rights Act 1998 (Lunny,</w:t>
      </w:r>
      <w:r w:rsidR="00A56B20">
        <w:rPr>
          <w:rStyle w:val="normaltextrun"/>
          <w:rFonts w:ascii="Calibri" w:hAnsi="Calibri" w:cs="Calibri"/>
          <w:sz w:val="28"/>
          <w:szCs w:val="28"/>
        </w:rPr>
        <w:t xml:space="preserve"> </w:t>
      </w:r>
      <w:r>
        <w:rPr>
          <w:rStyle w:val="normaltextrun"/>
          <w:rFonts w:ascii="Calibri" w:hAnsi="Calibri" w:cs="Calibri"/>
          <w:sz w:val="28"/>
          <w:szCs w:val="28"/>
        </w:rPr>
        <w:t>Nolan &amp; Oliphant 2017). </w:t>
      </w:r>
      <w:r>
        <w:rPr>
          <w:rStyle w:val="eop"/>
          <w:rFonts w:ascii="Calibri" w:hAnsi="Calibri" w:cs="Calibri"/>
          <w:sz w:val="28"/>
          <w:szCs w:val="28"/>
        </w:rPr>
        <w:t> </w:t>
      </w:r>
    </w:p>
    <w:p w14:paraId="5AC9C5AE"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3BEB3ECA" w14:textId="09B18000"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There are two forms of defamation they are slander and libel. Slander is mostly an oral statement that has tarnished an individual’s reputation, whilst libel is the most important form of defamation for the press. To establish a case of defamation under section 1 of the Defamation Act 2013 there are four elements that need to be proven they are 1) the defendants’ words are defamatory 2) the words refer to the claimant 3) the words have been published and 4) their publication has caused serious harm to the claimant’s reputation. </w:t>
      </w:r>
      <w:r>
        <w:rPr>
          <w:rStyle w:val="eop"/>
          <w:rFonts w:ascii="Calibri" w:hAnsi="Calibri" w:cs="Calibri"/>
          <w:sz w:val="28"/>
          <w:szCs w:val="28"/>
        </w:rPr>
        <w:t> </w:t>
      </w:r>
    </w:p>
    <w:p w14:paraId="79884707"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4AD49E8E" w14:textId="7C19DF3C"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The first element that needs to be established is that the words that the defendant used were defamatory towards Ffion. A statement is defamatory if a claimant’s reputation has been lowered within the eye of a right-thinking member of society, as shown within the case of Sim v Stretch (1946). It also needs to be proven that the words used would expose Ffion to hatred and contempt. The article does meet this element that the words were defamatory as the accusations that have been made against Ffion would lower her reputation within society, and the accusations are of criminal activity and dishonesty which could potentially lead some individuals especially ones that believe Ffion has stolen from them, to feel hatred and contempt towards her. As within the case of Hewson v Times Newspaper Ltd (2019), the newspaper had the meaning that there were reasonable grounds for an investigation to be carried out and that criminal activity had occurred, this case could also be used as an example of the reputation rule. </w:t>
      </w:r>
      <w:r>
        <w:rPr>
          <w:rStyle w:val="eop"/>
          <w:rFonts w:ascii="Calibri" w:hAnsi="Calibri" w:cs="Calibri"/>
          <w:sz w:val="28"/>
          <w:szCs w:val="28"/>
        </w:rPr>
        <w:t> </w:t>
      </w:r>
    </w:p>
    <w:p w14:paraId="0795FF34"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59D378E3" w14:textId="206C31DA"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 xml:space="preserve">The second element that needs to be established is that the words refer to Ffion. The title of the article is ‘Ffion the con’, not only does the title state her name but within the article it states that Ffion is funding her lifestyle from the pension pot. As Ffion is a successful businesswoman within Wales many right thinking people would know that the article is regarding her, as shown in the case of Morgan v </w:t>
      </w:r>
      <w:proofErr w:type="spellStart"/>
      <w:r>
        <w:rPr>
          <w:rStyle w:val="normaltextrun"/>
          <w:rFonts w:ascii="Calibri" w:hAnsi="Calibri" w:cs="Calibri"/>
          <w:sz w:val="28"/>
          <w:szCs w:val="28"/>
        </w:rPr>
        <w:t>Odham</w:t>
      </w:r>
      <w:proofErr w:type="spellEnd"/>
      <w:r>
        <w:rPr>
          <w:rStyle w:val="normaltextrun"/>
          <w:rFonts w:ascii="Calibri" w:hAnsi="Calibri" w:cs="Calibri"/>
          <w:sz w:val="28"/>
          <w:szCs w:val="28"/>
        </w:rPr>
        <w:t xml:space="preserve"> Press Ltd (1971) that stated that even if the article </w:t>
      </w:r>
      <w:r>
        <w:rPr>
          <w:rStyle w:val="normaltextrun"/>
          <w:rFonts w:ascii="Calibri" w:hAnsi="Calibri" w:cs="Calibri"/>
          <w:sz w:val="28"/>
          <w:szCs w:val="28"/>
        </w:rPr>
        <w:lastRenderedPageBreak/>
        <w:t xml:space="preserve">does not state the individuals full name or their business, but they can be clearly identified as the individual then this is </w:t>
      </w:r>
      <w:proofErr w:type="gramStart"/>
      <w:r>
        <w:rPr>
          <w:rStyle w:val="normaltextrun"/>
          <w:rFonts w:ascii="Calibri" w:hAnsi="Calibri" w:cs="Calibri"/>
          <w:sz w:val="28"/>
          <w:szCs w:val="28"/>
        </w:rPr>
        <w:t>sufficient enough</w:t>
      </w:r>
      <w:proofErr w:type="gramEnd"/>
      <w:r>
        <w:rPr>
          <w:rStyle w:val="normaltextrun"/>
          <w:rFonts w:ascii="Calibri" w:hAnsi="Calibri" w:cs="Calibri"/>
          <w:sz w:val="28"/>
          <w:szCs w:val="28"/>
        </w:rPr>
        <w:t>, therefore this element has been met. </w:t>
      </w:r>
      <w:r>
        <w:rPr>
          <w:rStyle w:val="eop"/>
          <w:rFonts w:ascii="Calibri" w:hAnsi="Calibri" w:cs="Calibri"/>
          <w:sz w:val="28"/>
          <w:szCs w:val="28"/>
        </w:rPr>
        <w:t> </w:t>
      </w:r>
    </w:p>
    <w:p w14:paraId="71C1485E"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306A3F1F" w14:textId="77777777" w:rsidR="005035DF" w:rsidRDefault="005035DF" w:rsidP="005035DF">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With regards to the words having been published this has also been met as the article was published online for many people to read throughout Wales but also as it was published online other people outside of Wales has access to read the article. As publication is not </w:t>
      </w:r>
      <w:proofErr w:type="gramStart"/>
      <w:r>
        <w:rPr>
          <w:rStyle w:val="normaltextrun"/>
          <w:rFonts w:ascii="Calibri" w:hAnsi="Calibri" w:cs="Calibri"/>
          <w:sz w:val="28"/>
          <w:szCs w:val="28"/>
        </w:rPr>
        <w:t>sufficient enough</w:t>
      </w:r>
      <w:proofErr w:type="gramEnd"/>
      <w:r>
        <w:rPr>
          <w:rStyle w:val="normaltextrun"/>
          <w:rFonts w:ascii="Calibri" w:hAnsi="Calibri" w:cs="Calibri"/>
          <w:sz w:val="28"/>
          <w:szCs w:val="28"/>
        </w:rPr>
        <w:t xml:space="preserve"> it could be argued that not only did the article injure Ffion reputation it has also damaged her business reputation and could cause serious financial harm, as seen within the case of </w:t>
      </w:r>
      <w:proofErr w:type="spellStart"/>
      <w:r>
        <w:rPr>
          <w:rStyle w:val="normaltextrun"/>
          <w:rFonts w:ascii="Calibri" w:hAnsi="Calibri" w:cs="Calibri"/>
          <w:sz w:val="28"/>
          <w:szCs w:val="28"/>
        </w:rPr>
        <w:t>Jammal</w:t>
      </w:r>
      <w:proofErr w:type="spellEnd"/>
      <w:r>
        <w:rPr>
          <w:rStyle w:val="normaltextrun"/>
          <w:rFonts w:ascii="Calibri" w:hAnsi="Calibri" w:cs="Calibri"/>
          <w:sz w:val="28"/>
          <w:szCs w:val="28"/>
        </w:rPr>
        <w:t xml:space="preserve"> v Dow Jones (2005), it was held that the defamatory statement does not have to be read by many people but the fact that the statement was published is sufficient enough and income was lost. </w:t>
      </w:r>
    </w:p>
    <w:p w14:paraId="20D18B5C" w14:textId="1F0225A0"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1DC1BAB" w14:textId="7704537D"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Under section 1 (1) of the Defamation Act 2013 it needs to be proven that the article has caused or is likely to cause serious harm to Ffion’s reputation. It can be argued that the words used are more than likely to cause serious harm to not only Ffion’s reputation as she has been accused of criminal activity, but it could also have a huge impact on her ability to work as the accusations are also regarding her company, therefore this could have a serious economic impact on her. As seen within the case of Thornton v Telegraph Media Group (2010) the severity of the words would severely lower her reputation with right thinking individuals, but it could also have a huge financial impact on the business and due to the financial loss, it could also affect others. </w:t>
      </w:r>
      <w:r>
        <w:rPr>
          <w:rStyle w:val="eop"/>
          <w:rFonts w:ascii="Calibri" w:hAnsi="Calibri" w:cs="Calibri"/>
          <w:sz w:val="28"/>
          <w:szCs w:val="28"/>
        </w:rPr>
        <w:t> </w:t>
      </w:r>
    </w:p>
    <w:p w14:paraId="7C03CA55"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141E4165" w14:textId="28CF94F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The defence may use the public interest Defence Act under section 4 (6) of the Defamation Act 2013 and back it up with the case of Reynolds v Times Newspaper (2001). Within the case Lord Nicholls provided a list of what the courts could permit the defence to use. 1) Subject matter- this can be seen as being met, as Ffion being a successful public figure within Wales the defence could argue that it was important for the general public to know that criminal activity was occurring, and Ffion was stealing from her employees. 2) Source- the defence could use Section 10 Contempt of Court Act 1981 protection of journalist source; they could argue that they did not need to find the source as this act would safeguard the source. 3) Urgency- this will more than likely fail as there is no reason why the article was published so quickly. 4) Balance- there is no balance within the article as they have not done any investigating and they have not asked Ffion for her side of the story prior to publishing the article. 5) Seriousness- the fact that the allegations are of a serious criminal matter, and they are false allegations defence of public interest will fail. </w:t>
      </w:r>
      <w:r>
        <w:rPr>
          <w:rStyle w:val="eop"/>
          <w:rFonts w:ascii="Calibri" w:hAnsi="Calibri" w:cs="Calibri"/>
          <w:sz w:val="28"/>
          <w:szCs w:val="28"/>
        </w:rPr>
        <w:t> </w:t>
      </w:r>
    </w:p>
    <w:p w14:paraId="67BF8419" w14:textId="38761CAF"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lastRenderedPageBreak/>
        <w:t>The defence could also use the defence of truth as at the time of publication the journalist had reason to believe that the information that they had was correct and that Ffion was funding her lifestyle through criminal activity, as seen with the case of Flood v Times Newspaper (2012) where Lord Brown referred to Article 10 of the European Convention of Human Rights Act 1998 of freedom of expression and that the newspaper acted responsible in publishing an article on corruption and fraud. </w:t>
      </w:r>
      <w:r>
        <w:rPr>
          <w:rStyle w:val="eop"/>
          <w:rFonts w:ascii="Calibri" w:hAnsi="Calibri" w:cs="Calibri"/>
          <w:sz w:val="28"/>
          <w:szCs w:val="28"/>
        </w:rPr>
        <w:t> </w:t>
      </w:r>
    </w:p>
    <w:p w14:paraId="26373E84"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393BAD11" w14:textId="306618BC"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 xml:space="preserve">However, the accusations that have been made against Ffion are serious and have not been verified and, they do not have any source of where the information came from. There is no reason why the article was published with such haste except for the pressure </w:t>
      </w:r>
      <w:proofErr w:type="spellStart"/>
      <w:r>
        <w:rPr>
          <w:rStyle w:val="normaltextrun"/>
          <w:rFonts w:ascii="Calibri" w:hAnsi="Calibri" w:cs="Calibri"/>
          <w:sz w:val="28"/>
          <w:szCs w:val="28"/>
        </w:rPr>
        <w:t>Iuan</w:t>
      </w:r>
      <w:proofErr w:type="spellEnd"/>
      <w:r>
        <w:rPr>
          <w:rStyle w:val="normaltextrun"/>
          <w:rFonts w:ascii="Calibri" w:hAnsi="Calibri" w:cs="Calibri"/>
          <w:sz w:val="28"/>
          <w:szCs w:val="28"/>
        </w:rPr>
        <w:t xml:space="preserve"> received from Kieran to publish a major story and no investigation was done as to who the source was. The public interest defence will fail, and the defence truth will also more than likely fail therefore Ffion will have a claim for libel damage. </w:t>
      </w:r>
      <w:r>
        <w:rPr>
          <w:rStyle w:val="eop"/>
          <w:rFonts w:ascii="Calibri" w:hAnsi="Calibri" w:cs="Calibri"/>
          <w:sz w:val="28"/>
          <w:szCs w:val="28"/>
        </w:rPr>
        <w:t> </w:t>
      </w:r>
    </w:p>
    <w:p w14:paraId="57CFA269"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416B33ED" w14:textId="5396863D"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With regards to Kieran’s defamation case, the first element that needs to be proven is whether Juliet’s words were defamatory as she has accused Kieran of disliking successful women which can cause people to view Kieran as sexist. This could consequently lower his reputation within society and expose Kieran to hate and contempt from others. Whilst it could be argued that being accused of sexism may not be a criminal offence, this does not detract from the fact that it could still significantly lower Kieran’s reputation. It would not only lower Kieran’s personal reputation it could also damage the image of WNO as people may believe that the organisation is one of sexism. </w:t>
      </w:r>
      <w:r>
        <w:rPr>
          <w:rStyle w:val="eop"/>
          <w:rFonts w:ascii="Calibri" w:hAnsi="Calibri" w:cs="Calibri"/>
          <w:sz w:val="28"/>
          <w:szCs w:val="28"/>
        </w:rPr>
        <w:t> </w:t>
      </w:r>
    </w:p>
    <w:p w14:paraId="50A8A1CF"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6FD757BE" w14:textId="77777777" w:rsidR="005035DF" w:rsidRDefault="005035DF" w:rsidP="005035DF">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The second element that needs to be satisfied for Kieran to make a successful defamation claim is that the words Juliet used must have been in reference to Kieran. Whilst Juliet does not specifically use Kieran’s name during Parliament session, she still refers to the editor of WNO which clearly shows that the person she is referring to is Kieran. Whilst many people might not know who Kieran is outside of Wales it could be argued that people have easy access to the internet and would be able to find out who Juliet is referring to. </w:t>
      </w:r>
    </w:p>
    <w:p w14:paraId="48B3E144" w14:textId="70545F42"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7D5C332" w14:textId="334DFC1A"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 xml:space="preserve">In addition to this, the words that Juliet used must have been published. Ordinarily, one would assume that this means Juliet’s words must be in written form, however this is not the case. Instead, published words can also include oral statements that are addressed to </w:t>
      </w:r>
      <w:proofErr w:type="gramStart"/>
      <w:r>
        <w:rPr>
          <w:rStyle w:val="normaltextrun"/>
          <w:rFonts w:ascii="Calibri" w:hAnsi="Calibri" w:cs="Calibri"/>
          <w:sz w:val="28"/>
          <w:szCs w:val="28"/>
        </w:rPr>
        <w:t>a number of</w:t>
      </w:r>
      <w:proofErr w:type="gramEnd"/>
      <w:r>
        <w:rPr>
          <w:rStyle w:val="normaltextrun"/>
          <w:rFonts w:ascii="Calibri" w:hAnsi="Calibri" w:cs="Calibri"/>
          <w:sz w:val="28"/>
          <w:szCs w:val="28"/>
        </w:rPr>
        <w:t xml:space="preserve"> people, which could consequently allow Juliet’s words to satisfy this requirement as her statement was made during a Parliament session where it is guaranteed that many </w:t>
      </w:r>
      <w:r>
        <w:rPr>
          <w:rStyle w:val="normaltextrun"/>
          <w:rFonts w:ascii="Calibri" w:hAnsi="Calibri" w:cs="Calibri"/>
          <w:sz w:val="28"/>
          <w:szCs w:val="28"/>
        </w:rPr>
        <w:lastRenderedPageBreak/>
        <w:t>people will be present, but it will also be recorded live on the internet therefore many individuals would hear her statement. </w:t>
      </w:r>
      <w:r>
        <w:rPr>
          <w:rStyle w:val="eop"/>
          <w:rFonts w:ascii="Calibri" w:hAnsi="Calibri" w:cs="Calibri"/>
          <w:sz w:val="28"/>
          <w:szCs w:val="28"/>
        </w:rPr>
        <w:t> </w:t>
      </w:r>
    </w:p>
    <w:p w14:paraId="51CD3076"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1EAE38AC" w14:textId="6125A5B5"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Furthermore, for the publication to be regarded as defamatory it must have caused serious harm to Kieran’s reputation. Upon initial consideration of the fact that Kieran was accused of being sexist, many would assume that this accusation was not serious enough to cause serious harm as it is not a criminal accusation. However, for a publication to be regarded as defamatory it does not necessarily consist of criminal accusations in order to be sufficiently serious. The test laid out by Lord Atkin in Sim v Stretch (1946) that the statement to be defamatory must ‘lower the plaintiff in the estimation of a right-thinking member of society’. Therefore, Juliet’s publication has potentially caused serious harm to Kieran as it will affect the public</w:t>
      </w:r>
      <w:r w:rsidR="00A56B20">
        <w:rPr>
          <w:rStyle w:val="normaltextrun"/>
          <w:rFonts w:ascii="Calibri" w:hAnsi="Calibri" w:cs="Calibri"/>
          <w:sz w:val="28"/>
          <w:szCs w:val="28"/>
        </w:rPr>
        <w:t>’</w:t>
      </w:r>
      <w:r>
        <w:rPr>
          <w:rStyle w:val="normaltextrun"/>
          <w:rFonts w:ascii="Calibri" w:hAnsi="Calibri" w:cs="Calibri"/>
          <w:sz w:val="28"/>
          <w:szCs w:val="28"/>
        </w:rPr>
        <w:t xml:space="preserve">s perception of him as he will be viewed as a sexist. </w:t>
      </w:r>
      <w:proofErr w:type="gramStart"/>
      <w:r>
        <w:rPr>
          <w:rStyle w:val="normaltextrun"/>
          <w:rFonts w:ascii="Calibri" w:hAnsi="Calibri" w:cs="Calibri"/>
          <w:sz w:val="28"/>
          <w:szCs w:val="28"/>
        </w:rPr>
        <w:t>As a consequence</w:t>
      </w:r>
      <w:proofErr w:type="gramEnd"/>
      <w:r>
        <w:rPr>
          <w:rStyle w:val="normaltextrun"/>
          <w:rFonts w:ascii="Calibri" w:hAnsi="Calibri" w:cs="Calibri"/>
          <w:sz w:val="28"/>
          <w:szCs w:val="28"/>
        </w:rPr>
        <w:t>, Juliet’s statement was defamatory and could allow Kieran to make a case against Juliet for slander. </w:t>
      </w:r>
      <w:r>
        <w:rPr>
          <w:rStyle w:val="eop"/>
          <w:rFonts w:ascii="Calibri" w:hAnsi="Calibri" w:cs="Calibri"/>
          <w:sz w:val="28"/>
          <w:szCs w:val="28"/>
        </w:rPr>
        <w:t> </w:t>
      </w:r>
    </w:p>
    <w:p w14:paraId="02987956"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1CC0DA5B" w14:textId="1762B3D6"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 xml:space="preserve">However, Juliet could potentially use the defence of Honest comment. This defence is found under section 3 of the Defamation Act 2013. Juliet could state that the statement that she gave was her honest opinion, that the basis to her opinion is due to the false accusations made about a successful businesswoman and many other </w:t>
      </w:r>
      <w:r w:rsidR="00A56B20">
        <w:rPr>
          <w:rStyle w:val="normaltextrun"/>
          <w:rFonts w:ascii="Calibri" w:hAnsi="Calibri" w:cs="Calibri"/>
          <w:sz w:val="28"/>
          <w:szCs w:val="28"/>
        </w:rPr>
        <w:t>right-thinking</w:t>
      </w:r>
      <w:r>
        <w:rPr>
          <w:rStyle w:val="normaltextrun"/>
          <w:rFonts w:ascii="Calibri" w:hAnsi="Calibri" w:cs="Calibri"/>
          <w:sz w:val="28"/>
          <w:szCs w:val="28"/>
        </w:rPr>
        <w:t xml:space="preserve"> individual would have been under the same opinion as Juliet, case law which could apply here is Joseph and Others v Spiller and Another (2010). </w:t>
      </w:r>
      <w:r>
        <w:rPr>
          <w:rStyle w:val="eop"/>
          <w:rFonts w:ascii="Calibri" w:hAnsi="Calibri" w:cs="Calibri"/>
          <w:sz w:val="28"/>
          <w:szCs w:val="28"/>
        </w:rPr>
        <w:t> </w:t>
      </w:r>
    </w:p>
    <w:p w14:paraId="22EBF633"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2D858D8E" w14:textId="65A7B249" w:rsidR="005035DF" w:rsidRDefault="005035DF" w:rsidP="005035DF">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 xml:space="preserve">Whilst Juliet could succeed with the defence of honest comment, she could also rely on the defence found in Article 9 of the Bill of Rights 1689 which states that the ‘freedom of speech and debates or proceedings in Parliament ought not to be impeached or questioned in any court or place of Parliament. Therefore, </w:t>
      </w:r>
      <w:proofErr w:type="gramStart"/>
      <w:r>
        <w:rPr>
          <w:rStyle w:val="normaltextrun"/>
          <w:rFonts w:ascii="Calibri" w:hAnsi="Calibri" w:cs="Calibri"/>
          <w:sz w:val="28"/>
          <w:szCs w:val="28"/>
        </w:rPr>
        <w:t>it is clear that members</w:t>
      </w:r>
      <w:proofErr w:type="gramEnd"/>
      <w:r>
        <w:rPr>
          <w:rStyle w:val="normaltextrun"/>
          <w:rFonts w:ascii="Calibri" w:hAnsi="Calibri" w:cs="Calibri"/>
          <w:sz w:val="28"/>
          <w:szCs w:val="28"/>
        </w:rPr>
        <w:t xml:space="preserve"> of Parliament are granted protection from scrutiny by the courts. This doctrine has been firmly established within the common law which was due to the case of A v United Kingdom (2003) where the European Court of Human Rights held that this article did not violate article 6 and 8 of the European Convention of Human Rights Act 1998. Whilst Kieran does have a case for slander consequently, Juliet has a strong and valid defence to protect her from Kieran’s defamation claim. </w:t>
      </w:r>
      <w:r>
        <w:rPr>
          <w:rStyle w:val="eop"/>
          <w:rFonts w:ascii="Calibri" w:hAnsi="Calibri" w:cs="Calibri"/>
          <w:sz w:val="28"/>
          <w:szCs w:val="28"/>
        </w:rPr>
        <w:t> </w:t>
      </w:r>
    </w:p>
    <w:p w14:paraId="6D6F909B"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
    <w:p w14:paraId="779458C6"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References:</w:t>
      </w:r>
      <w:r>
        <w:rPr>
          <w:rStyle w:val="eop"/>
          <w:rFonts w:ascii="Calibri" w:hAnsi="Calibri" w:cs="Calibri"/>
          <w:sz w:val="28"/>
          <w:szCs w:val="28"/>
        </w:rPr>
        <w:t> </w:t>
      </w:r>
    </w:p>
    <w:p w14:paraId="111E9C1E"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Horsey, K and Rackley, E. (2021) ‘Casebook on Torte Law’ 16</w:t>
      </w:r>
      <w:r>
        <w:rPr>
          <w:rStyle w:val="normaltextrun"/>
          <w:rFonts w:ascii="Calibri" w:hAnsi="Calibri" w:cs="Calibri"/>
          <w:sz w:val="22"/>
          <w:szCs w:val="22"/>
          <w:vertAlign w:val="superscript"/>
        </w:rPr>
        <w:t>th</w:t>
      </w:r>
      <w:r>
        <w:rPr>
          <w:rStyle w:val="normaltextrun"/>
          <w:rFonts w:ascii="Calibri" w:hAnsi="Calibri" w:cs="Calibri"/>
          <w:sz w:val="28"/>
          <w:szCs w:val="28"/>
        </w:rPr>
        <w:t xml:space="preserve"> edition. Oxford Press. </w:t>
      </w:r>
      <w:r>
        <w:rPr>
          <w:rStyle w:val="eop"/>
          <w:rFonts w:ascii="Calibri" w:hAnsi="Calibri" w:cs="Calibri"/>
          <w:sz w:val="28"/>
          <w:szCs w:val="28"/>
        </w:rPr>
        <w:t> </w:t>
      </w:r>
    </w:p>
    <w:p w14:paraId="5E57EBDC"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8"/>
          <w:szCs w:val="28"/>
        </w:rPr>
        <w:t>Luinney</w:t>
      </w:r>
      <w:proofErr w:type="spellEnd"/>
      <w:r>
        <w:rPr>
          <w:rStyle w:val="normaltextrun"/>
          <w:rFonts w:ascii="Calibri" w:hAnsi="Calibri" w:cs="Calibri"/>
          <w:sz w:val="28"/>
          <w:szCs w:val="28"/>
        </w:rPr>
        <w:t>, M and Nolan, D and Oliphant, K. (2017) ‘Text and materials’ 6</w:t>
      </w:r>
      <w:r>
        <w:rPr>
          <w:rStyle w:val="normaltextrun"/>
          <w:rFonts w:ascii="Calibri" w:hAnsi="Calibri" w:cs="Calibri"/>
          <w:sz w:val="22"/>
          <w:szCs w:val="22"/>
          <w:vertAlign w:val="superscript"/>
        </w:rPr>
        <w:t>th</w:t>
      </w:r>
      <w:r>
        <w:rPr>
          <w:rStyle w:val="normaltextrun"/>
          <w:rFonts w:ascii="Calibri" w:hAnsi="Calibri" w:cs="Calibri"/>
          <w:sz w:val="28"/>
          <w:szCs w:val="28"/>
        </w:rPr>
        <w:t xml:space="preserve"> edition. Oxford Press. </w:t>
      </w:r>
      <w:r>
        <w:rPr>
          <w:rStyle w:val="eop"/>
          <w:rFonts w:ascii="Calibri" w:hAnsi="Calibri" w:cs="Calibri"/>
          <w:sz w:val="28"/>
          <w:szCs w:val="28"/>
        </w:rPr>
        <w:t> </w:t>
      </w:r>
    </w:p>
    <w:p w14:paraId="6E004344"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lastRenderedPageBreak/>
        <w:t> </w:t>
      </w:r>
    </w:p>
    <w:p w14:paraId="1B217A92"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Case Law:</w:t>
      </w:r>
      <w:r>
        <w:rPr>
          <w:rStyle w:val="eop"/>
          <w:rFonts w:ascii="Calibri" w:hAnsi="Calibri" w:cs="Calibri"/>
          <w:sz w:val="28"/>
          <w:szCs w:val="28"/>
        </w:rPr>
        <w:t> </w:t>
      </w:r>
    </w:p>
    <w:p w14:paraId="6E67F80C"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 v United Kingdom (2003) ECHR 85</w:t>
      </w:r>
      <w:r>
        <w:rPr>
          <w:rStyle w:val="eop"/>
          <w:rFonts w:ascii="Calibri" w:hAnsi="Calibri" w:cs="Calibri"/>
          <w:sz w:val="28"/>
          <w:szCs w:val="28"/>
        </w:rPr>
        <w:t> </w:t>
      </w:r>
    </w:p>
    <w:p w14:paraId="25A3C95D"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Flood v Times Newspaper (2012) UKSC 11</w:t>
      </w:r>
      <w:r>
        <w:rPr>
          <w:rStyle w:val="eop"/>
          <w:rFonts w:ascii="Calibri" w:hAnsi="Calibri" w:cs="Calibri"/>
          <w:sz w:val="28"/>
          <w:szCs w:val="28"/>
        </w:rPr>
        <w:t> </w:t>
      </w:r>
    </w:p>
    <w:p w14:paraId="1770C8EF"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Hewson v Times Newspaper Ltd (2019) EWCH 650 (QB)</w:t>
      </w:r>
      <w:r>
        <w:rPr>
          <w:rStyle w:val="eop"/>
          <w:rFonts w:ascii="Calibri" w:hAnsi="Calibri" w:cs="Calibri"/>
          <w:sz w:val="28"/>
          <w:szCs w:val="28"/>
        </w:rPr>
        <w:t> </w:t>
      </w:r>
    </w:p>
    <w:p w14:paraId="5CD92BA0"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8"/>
          <w:szCs w:val="28"/>
        </w:rPr>
        <w:t>Jammal</w:t>
      </w:r>
      <w:proofErr w:type="spellEnd"/>
      <w:r>
        <w:rPr>
          <w:rStyle w:val="normaltextrun"/>
          <w:rFonts w:ascii="Calibri" w:hAnsi="Calibri" w:cs="Calibri"/>
          <w:sz w:val="28"/>
          <w:szCs w:val="28"/>
        </w:rPr>
        <w:t xml:space="preserve"> v Dow Jones (2005) EWCA 75</w:t>
      </w:r>
      <w:r>
        <w:rPr>
          <w:rStyle w:val="eop"/>
          <w:rFonts w:ascii="Calibri" w:hAnsi="Calibri" w:cs="Calibri"/>
          <w:sz w:val="28"/>
          <w:szCs w:val="28"/>
        </w:rPr>
        <w:t> </w:t>
      </w:r>
    </w:p>
    <w:p w14:paraId="126B78D0"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Joseph and Others v Spiller and Another (2010) UKSC 53 </w:t>
      </w:r>
      <w:r>
        <w:rPr>
          <w:rStyle w:val="eop"/>
          <w:rFonts w:ascii="Calibri" w:hAnsi="Calibri" w:cs="Calibri"/>
          <w:sz w:val="28"/>
          <w:szCs w:val="28"/>
        </w:rPr>
        <w:t> </w:t>
      </w:r>
    </w:p>
    <w:p w14:paraId="40067551"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Morgan v </w:t>
      </w:r>
      <w:proofErr w:type="spellStart"/>
      <w:r>
        <w:rPr>
          <w:rStyle w:val="normaltextrun"/>
          <w:rFonts w:ascii="Calibri" w:hAnsi="Calibri" w:cs="Calibri"/>
          <w:sz w:val="28"/>
          <w:szCs w:val="28"/>
        </w:rPr>
        <w:t>Odham</w:t>
      </w:r>
      <w:proofErr w:type="spellEnd"/>
      <w:r>
        <w:rPr>
          <w:rStyle w:val="normaltextrun"/>
          <w:rFonts w:ascii="Calibri" w:hAnsi="Calibri" w:cs="Calibri"/>
          <w:sz w:val="28"/>
          <w:szCs w:val="28"/>
        </w:rPr>
        <w:t xml:space="preserve"> Press Ltd (1971) UKHL 156 </w:t>
      </w:r>
      <w:r>
        <w:rPr>
          <w:rStyle w:val="eop"/>
          <w:rFonts w:ascii="Calibri" w:hAnsi="Calibri" w:cs="Calibri"/>
          <w:sz w:val="28"/>
          <w:szCs w:val="28"/>
        </w:rPr>
        <w:t> </w:t>
      </w:r>
    </w:p>
    <w:p w14:paraId="52CF6F47"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Reynolds v Times Newspaper (2001) AC 127 </w:t>
      </w:r>
      <w:r>
        <w:rPr>
          <w:rStyle w:val="eop"/>
          <w:rFonts w:ascii="Calibri" w:hAnsi="Calibri" w:cs="Calibri"/>
          <w:sz w:val="28"/>
          <w:szCs w:val="28"/>
        </w:rPr>
        <w:t> </w:t>
      </w:r>
    </w:p>
    <w:p w14:paraId="7AECE23D"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Sim v Stretch (1946) 2All ER 1237 </w:t>
      </w:r>
      <w:r>
        <w:rPr>
          <w:rStyle w:val="eop"/>
          <w:rFonts w:ascii="Calibri" w:hAnsi="Calibri" w:cs="Calibri"/>
          <w:sz w:val="28"/>
          <w:szCs w:val="28"/>
        </w:rPr>
        <w:t> </w:t>
      </w:r>
    </w:p>
    <w:p w14:paraId="6CB02A21"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Thornton v Telegraph Media Group (2010) EWHC 1414 </w:t>
      </w:r>
      <w:r>
        <w:rPr>
          <w:rStyle w:val="eop"/>
          <w:rFonts w:ascii="Calibri" w:hAnsi="Calibri" w:cs="Calibri"/>
          <w:sz w:val="28"/>
          <w:szCs w:val="28"/>
        </w:rPr>
        <w:t> </w:t>
      </w:r>
    </w:p>
    <w:p w14:paraId="3D4D2A73"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4625E5C"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Acts:</w:t>
      </w:r>
      <w:r>
        <w:rPr>
          <w:rStyle w:val="eop"/>
          <w:rFonts w:ascii="Calibri" w:hAnsi="Calibri" w:cs="Calibri"/>
          <w:sz w:val="28"/>
          <w:szCs w:val="28"/>
        </w:rPr>
        <w:t> </w:t>
      </w:r>
    </w:p>
    <w:p w14:paraId="5CCACE6E"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Article 9 Bill of Rights 1689</w:t>
      </w:r>
      <w:r>
        <w:rPr>
          <w:rStyle w:val="eop"/>
          <w:rFonts w:ascii="Calibri" w:hAnsi="Calibri" w:cs="Calibri"/>
          <w:sz w:val="28"/>
          <w:szCs w:val="28"/>
        </w:rPr>
        <w:t> </w:t>
      </w:r>
    </w:p>
    <w:p w14:paraId="6B5E3816"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Article 6 European Convention on Human Rights Act 1998</w:t>
      </w:r>
      <w:r>
        <w:rPr>
          <w:rStyle w:val="eop"/>
          <w:rFonts w:ascii="Calibri" w:hAnsi="Calibri" w:cs="Calibri"/>
          <w:sz w:val="28"/>
          <w:szCs w:val="28"/>
        </w:rPr>
        <w:t> </w:t>
      </w:r>
    </w:p>
    <w:p w14:paraId="189A93F0"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Article 8 European Convention on Human Rights Act 1998</w:t>
      </w:r>
      <w:r>
        <w:rPr>
          <w:rStyle w:val="eop"/>
          <w:rFonts w:ascii="Calibri" w:hAnsi="Calibri" w:cs="Calibri"/>
          <w:sz w:val="28"/>
          <w:szCs w:val="28"/>
        </w:rPr>
        <w:t> </w:t>
      </w:r>
    </w:p>
    <w:p w14:paraId="7D2A200C"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Article 10 European Convention Human Rights Act 1998</w:t>
      </w:r>
      <w:r>
        <w:rPr>
          <w:rStyle w:val="eop"/>
          <w:rFonts w:ascii="Calibri" w:hAnsi="Calibri" w:cs="Calibri"/>
          <w:sz w:val="28"/>
          <w:szCs w:val="28"/>
        </w:rPr>
        <w:t> </w:t>
      </w:r>
    </w:p>
    <w:p w14:paraId="541C5F99"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S10 Contempt of Court Act 1981</w:t>
      </w:r>
      <w:r>
        <w:rPr>
          <w:rStyle w:val="eop"/>
          <w:rFonts w:ascii="Calibri" w:hAnsi="Calibri" w:cs="Calibri"/>
          <w:sz w:val="28"/>
          <w:szCs w:val="28"/>
        </w:rPr>
        <w:t> </w:t>
      </w:r>
    </w:p>
    <w:p w14:paraId="5F8C5882"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S1 Defamation Act 2013</w:t>
      </w:r>
      <w:r>
        <w:rPr>
          <w:rStyle w:val="eop"/>
          <w:rFonts w:ascii="Calibri" w:hAnsi="Calibri" w:cs="Calibri"/>
          <w:sz w:val="28"/>
          <w:szCs w:val="28"/>
        </w:rPr>
        <w:t> </w:t>
      </w:r>
    </w:p>
    <w:p w14:paraId="262C4A98"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S1(1) Defamation Act 2013</w:t>
      </w:r>
      <w:r>
        <w:rPr>
          <w:rStyle w:val="eop"/>
          <w:rFonts w:ascii="Calibri" w:hAnsi="Calibri" w:cs="Calibri"/>
          <w:sz w:val="28"/>
          <w:szCs w:val="28"/>
        </w:rPr>
        <w:t> </w:t>
      </w:r>
    </w:p>
    <w:p w14:paraId="0C367B1E"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S4(6) Defamation Act 2013</w:t>
      </w:r>
      <w:r>
        <w:rPr>
          <w:rStyle w:val="eop"/>
          <w:rFonts w:ascii="Calibri" w:hAnsi="Calibri" w:cs="Calibri"/>
          <w:sz w:val="28"/>
          <w:szCs w:val="28"/>
        </w:rPr>
        <w:t> </w:t>
      </w:r>
    </w:p>
    <w:p w14:paraId="211DF5D5" w14:textId="77777777" w:rsidR="005035DF" w:rsidRDefault="005035DF" w:rsidP="005035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S3 Defamation Act 2013</w:t>
      </w:r>
    </w:p>
    <w:p w14:paraId="69D80B78" w14:textId="77777777" w:rsidR="00300735" w:rsidRDefault="00300735"/>
    <w:sectPr w:rsidR="003007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88D"/>
    <w:rsid w:val="00300735"/>
    <w:rsid w:val="005035DF"/>
    <w:rsid w:val="00742B78"/>
    <w:rsid w:val="008A388D"/>
    <w:rsid w:val="00A56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8760A"/>
  <w15:chartTrackingRefBased/>
  <w15:docId w15:val="{DA24F91A-263E-4549-A917-8021BA690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035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035DF"/>
  </w:style>
  <w:style w:type="character" w:customStyle="1" w:styleId="eop">
    <w:name w:val="eop"/>
    <w:basedOn w:val="DefaultParagraphFont"/>
    <w:rsid w:val="005035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3156939">
      <w:bodyDiv w:val="1"/>
      <w:marLeft w:val="0"/>
      <w:marRight w:val="0"/>
      <w:marTop w:val="0"/>
      <w:marBottom w:val="0"/>
      <w:divBdr>
        <w:top w:val="none" w:sz="0" w:space="0" w:color="auto"/>
        <w:left w:val="none" w:sz="0" w:space="0" w:color="auto"/>
        <w:bottom w:val="none" w:sz="0" w:space="0" w:color="auto"/>
        <w:right w:val="none" w:sz="0" w:space="0" w:color="auto"/>
      </w:divBdr>
      <w:divsChild>
        <w:div w:id="1718505304">
          <w:marLeft w:val="0"/>
          <w:marRight w:val="0"/>
          <w:marTop w:val="0"/>
          <w:marBottom w:val="0"/>
          <w:divBdr>
            <w:top w:val="none" w:sz="0" w:space="0" w:color="auto"/>
            <w:left w:val="none" w:sz="0" w:space="0" w:color="auto"/>
            <w:bottom w:val="none" w:sz="0" w:space="0" w:color="auto"/>
            <w:right w:val="none" w:sz="0" w:space="0" w:color="auto"/>
          </w:divBdr>
        </w:div>
        <w:div w:id="178400391">
          <w:marLeft w:val="0"/>
          <w:marRight w:val="0"/>
          <w:marTop w:val="0"/>
          <w:marBottom w:val="0"/>
          <w:divBdr>
            <w:top w:val="none" w:sz="0" w:space="0" w:color="auto"/>
            <w:left w:val="none" w:sz="0" w:space="0" w:color="auto"/>
            <w:bottom w:val="none" w:sz="0" w:space="0" w:color="auto"/>
            <w:right w:val="none" w:sz="0" w:space="0" w:color="auto"/>
          </w:divBdr>
        </w:div>
        <w:div w:id="1567912285">
          <w:marLeft w:val="0"/>
          <w:marRight w:val="0"/>
          <w:marTop w:val="0"/>
          <w:marBottom w:val="0"/>
          <w:divBdr>
            <w:top w:val="none" w:sz="0" w:space="0" w:color="auto"/>
            <w:left w:val="none" w:sz="0" w:space="0" w:color="auto"/>
            <w:bottom w:val="none" w:sz="0" w:space="0" w:color="auto"/>
            <w:right w:val="none" w:sz="0" w:space="0" w:color="auto"/>
          </w:divBdr>
        </w:div>
        <w:div w:id="384530894">
          <w:marLeft w:val="0"/>
          <w:marRight w:val="0"/>
          <w:marTop w:val="0"/>
          <w:marBottom w:val="0"/>
          <w:divBdr>
            <w:top w:val="none" w:sz="0" w:space="0" w:color="auto"/>
            <w:left w:val="none" w:sz="0" w:space="0" w:color="auto"/>
            <w:bottom w:val="none" w:sz="0" w:space="0" w:color="auto"/>
            <w:right w:val="none" w:sz="0" w:space="0" w:color="auto"/>
          </w:divBdr>
        </w:div>
        <w:div w:id="105581242">
          <w:marLeft w:val="0"/>
          <w:marRight w:val="0"/>
          <w:marTop w:val="0"/>
          <w:marBottom w:val="0"/>
          <w:divBdr>
            <w:top w:val="none" w:sz="0" w:space="0" w:color="auto"/>
            <w:left w:val="none" w:sz="0" w:space="0" w:color="auto"/>
            <w:bottom w:val="none" w:sz="0" w:space="0" w:color="auto"/>
            <w:right w:val="none" w:sz="0" w:space="0" w:color="auto"/>
          </w:divBdr>
        </w:div>
        <w:div w:id="238636607">
          <w:marLeft w:val="0"/>
          <w:marRight w:val="0"/>
          <w:marTop w:val="0"/>
          <w:marBottom w:val="0"/>
          <w:divBdr>
            <w:top w:val="none" w:sz="0" w:space="0" w:color="auto"/>
            <w:left w:val="none" w:sz="0" w:space="0" w:color="auto"/>
            <w:bottom w:val="none" w:sz="0" w:space="0" w:color="auto"/>
            <w:right w:val="none" w:sz="0" w:space="0" w:color="auto"/>
          </w:divBdr>
        </w:div>
        <w:div w:id="1594700197">
          <w:marLeft w:val="0"/>
          <w:marRight w:val="0"/>
          <w:marTop w:val="0"/>
          <w:marBottom w:val="0"/>
          <w:divBdr>
            <w:top w:val="none" w:sz="0" w:space="0" w:color="auto"/>
            <w:left w:val="none" w:sz="0" w:space="0" w:color="auto"/>
            <w:bottom w:val="none" w:sz="0" w:space="0" w:color="auto"/>
            <w:right w:val="none" w:sz="0" w:space="0" w:color="auto"/>
          </w:divBdr>
        </w:div>
        <w:div w:id="261106101">
          <w:marLeft w:val="0"/>
          <w:marRight w:val="0"/>
          <w:marTop w:val="0"/>
          <w:marBottom w:val="0"/>
          <w:divBdr>
            <w:top w:val="none" w:sz="0" w:space="0" w:color="auto"/>
            <w:left w:val="none" w:sz="0" w:space="0" w:color="auto"/>
            <w:bottom w:val="none" w:sz="0" w:space="0" w:color="auto"/>
            <w:right w:val="none" w:sz="0" w:space="0" w:color="auto"/>
          </w:divBdr>
        </w:div>
        <w:div w:id="632255666">
          <w:marLeft w:val="0"/>
          <w:marRight w:val="0"/>
          <w:marTop w:val="0"/>
          <w:marBottom w:val="0"/>
          <w:divBdr>
            <w:top w:val="none" w:sz="0" w:space="0" w:color="auto"/>
            <w:left w:val="none" w:sz="0" w:space="0" w:color="auto"/>
            <w:bottom w:val="none" w:sz="0" w:space="0" w:color="auto"/>
            <w:right w:val="none" w:sz="0" w:space="0" w:color="auto"/>
          </w:divBdr>
        </w:div>
        <w:div w:id="1966156595">
          <w:marLeft w:val="0"/>
          <w:marRight w:val="0"/>
          <w:marTop w:val="0"/>
          <w:marBottom w:val="0"/>
          <w:divBdr>
            <w:top w:val="none" w:sz="0" w:space="0" w:color="auto"/>
            <w:left w:val="none" w:sz="0" w:space="0" w:color="auto"/>
            <w:bottom w:val="none" w:sz="0" w:space="0" w:color="auto"/>
            <w:right w:val="none" w:sz="0" w:space="0" w:color="auto"/>
          </w:divBdr>
        </w:div>
        <w:div w:id="1576236343">
          <w:marLeft w:val="0"/>
          <w:marRight w:val="0"/>
          <w:marTop w:val="0"/>
          <w:marBottom w:val="0"/>
          <w:divBdr>
            <w:top w:val="none" w:sz="0" w:space="0" w:color="auto"/>
            <w:left w:val="none" w:sz="0" w:space="0" w:color="auto"/>
            <w:bottom w:val="none" w:sz="0" w:space="0" w:color="auto"/>
            <w:right w:val="none" w:sz="0" w:space="0" w:color="auto"/>
          </w:divBdr>
        </w:div>
        <w:div w:id="1670401461">
          <w:marLeft w:val="0"/>
          <w:marRight w:val="0"/>
          <w:marTop w:val="0"/>
          <w:marBottom w:val="0"/>
          <w:divBdr>
            <w:top w:val="none" w:sz="0" w:space="0" w:color="auto"/>
            <w:left w:val="none" w:sz="0" w:space="0" w:color="auto"/>
            <w:bottom w:val="none" w:sz="0" w:space="0" w:color="auto"/>
            <w:right w:val="none" w:sz="0" w:space="0" w:color="auto"/>
          </w:divBdr>
        </w:div>
        <w:div w:id="653219170">
          <w:marLeft w:val="0"/>
          <w:marRight w:val="0"/>
          <w:marTop w:val="0"/>
          <w:marBottom w:val="0"/>
          <w:divBdr>
            <w:top w:val="none" w:sz="0" w:space="0" w:color="auto"/>
            <w:left w:val="none" w:sz="0" w:space="0" w:color="auto"/>
            <w:bottom w:val="none" w:sz="0" w:space="0" w:color="auto"/>
            <w:right w:val="none" w:sz="0" w:space="0" w:color="auto"/>
          </w:divBdr>
        </w:div>
        <w:div w:id="671105647">
          <w:marLeft w:val="0"/>
          <w:marRight w:val="0"/>
          <w:marTop w:val="0"/>
          <w:marBottom w:val="0"/>
          <w:divBdr>
            <w:top w:val="none" w:sz="0" w:space="0" w:color="auto"/>
            <w:left w:val="none" w:sz="0" w:space="0" w:color="auto"/>
            <w:bottom w:val="none" w:sz="0" w:space="0" w:color="auto"/>
            <w:right w:val="none" w:sz="0" w:space="0" w:color="auto"/>
          </w:divBdr>
        </w:div>
        <w:div w:id="1013650914">
          <w:marLeft w:val="0"/>
          <w:marRight w:val="0"/>
          <w:marTop w:val="0"/>
          <w:marBottom w:val="0"/>
          <w:divBdr>
            <w:top w:val="none" w:sz="0" w:space="0" w:color="auto"/>
            <w:left w:val="none" w:sz="0" w:space="0" w:color="auto"/>
            <w:bottom w:val="none" w:sz="0" w:space="0" w:color="auto"/>
            <w:right w:val="none" w:sz="0" w:space="0" w:color="auto"/>
          </w:divBdr>
        </w:div>
        <w:div w:id="129902455">
          <w:marLeft w:val="0"/>
          <w:marRight w:val="0"/>
          <w:marTop w:val="0"/>
          <w:marBottom w:val="0"/>
          <w:divBdr>
            <w:top w:val="none" w:sz="0" w:space="0" w:color="auto"/>
            <w:left w:val="none" w:sz="0" w:space="0" w:color="auto"/>
            <w:bottom w:val="none" w:sz="0" w:space="0" w:color="auto"/>
            <w:right w:val="none" w:sz="0" w:space="0" w:color="auto"/>
          </w:divBdr>
        </w:div>
        <w:div w:id="120659365">
          <w:marLeft w:val="0"/>
          <w:marRight w:val="0"/>
          <w:marTop w:val="0"/>
          <w:marBottom w:val="0"/>
          <w:divBdr>
            <w:top w:val="none" w:sz="0" w:space="0" w:color="auto"/>
            <w:left w:val="none" w:sz="0" w:space="0" w:color="auto"/>
            <w:bottom w:val="none" w:sz="0" w:space="0" w:color="auto"/>
            <w:right w:val="none" w:sz="0" w:space="0" w:color="auto"/>
          </w:divBdr>
        </w:div>
        <w:div w:id="1159467585">
          <w:marLeft w:val="0"/>
          <w:marRight w:val="0"/>
          <w:marTop w:val="0"/>
          <w:marBottom w:val="0"/>
          <w:divBdr>
            <w:top w:val="none" w:sz="0" w:space="0" w:color="auto"/>
            <w:left w:val="none" w:sz="0" w:space="0" w:color="auto"/>
            <w:bottom w:val="none" w:sz="0" w:space="0" w:color="auto"/>
            <w:right w:val="none" w:sz="0" w:space="0" w:color="auto"/>
          </w:divBdr>
        </w:div>
        <w:div w:id="1646935743">
          <w:marLeft w:val="0"/>
          <w:marRight w:val="0"/>
          <w:marTop w:val="0"/>
          <w:marBottom w:val="0"/>
          <w:divBdr>
            <w:top w:val="none" w:sz="0" w:space="0" w:color="auto"/>
            <w:left w:val="none" w:sz="0" w:space="0" w:color="auto"/>
            <w:bottom w:val="none" w:sz="0" w:space="0" w:color="auto"/>
            <w:right w:val="none" w:sz="0" w:space="0" w:color="auto"/>
          </w:divBdr>
        </w:div>
        <w:div w:id="827597899">
          <w:marLeft w:val="0"/>
          <w:marRight w:val="0"/>
          <w:marTop w:val="0"/>
          <w:marBottom w:val="0"/>
          <w:divBdr>
            <w:top w:val="none" w:sz="0" w:space="0" w:color="auto"/>
            <w:left w:val="none" w:sz="0" w:space="0" w:color="auto"/>
            <w:bottom w:val="none" w:sz="0" w:space="0" w:color="auto"/>
            <w:right w:val="none" w:sz="0" w:space="0" w:color="auto"/>
          </w:divBdr>
        </w:div>
        <w:div w:id="1617638215">
          <w:marLeft w:val="0"/>
          <w:marRight w:val="0"/>
          <w:marTop w:val="0"/>
          <w:marBottom w:val="0"/>
          <w:divBdr>
            <w:top w:val="none" w:sz="0" w:space="0" w:color="auto"/>
            <w:left w:val="none" w:sz="0" w:space="0" w:color="auto"/>
            <w:bottom w:val="none" w:sz="0" w:space="0" w:color="auto"/>
            <w:right w:val="none" w:sz="0" w:space="0" w:color="auto"/>
          </w:divBdr>
        </w:div>
        <w:div w:id="920212183">
          <w:marLeft w:val="0"/>
          <w:marRight w:val="0"/>
          <w:marTop w:val="0"/>
          <w:marBottom w:val="0"/>
          <w:divBdr>
            <w:top w:val="none" w:sz="0" w:space="0" w:color="auto"/>
            <w:left w:val="none" w:sz="0" w:space="0" w:color="auto"/>
            <w:bottom w:val="none" w:sz="0" w:space="0" w:color="auto"/>
            <w:right w:val="none" w:sz="0" w:space="0" w:color="auto"/>
          </w:divBdr>
        </w:div>
        <w:div w:id="418991404">
          <w:marLeft w:val="0"/>
          <w:marRight w:val="0"/>
          <w:marTop w:val="0"/>
          <w:marBottom w:val="0"/>
          <w:divBdr>
            <w:top w:val="none" w:sz="0" w:space="0" w:color="auto"/>
            <w:left w:val="none" w:sz="0" w:space="0" w:color="auto"/>
            <w:bottom w:val="none" w:sz="0" w:space="0" w:color="auto"/>
            <w:right w:val="none" w:sz="0" w:space="0" w:color="auto"/>
          </w:divBdr>
        </w:div>
        <w:div w:id="838081144">
          <w:marLeft w:val="0"/>
          <w:marRight w:val="0"/>
          <w:marTop w:val="0"/>
          <w:marBottom w:val="0"/>
          <w:divBdr>
            <w:top w:val="none" w:sz="0" w:space="0" w:color="auto"/>
            <w:left w:val="none" w:sz="0" w:space="0" w:color="auto"/>
            <w:bottom w:val="none" w:sz="0" w:space="0" w:color="auto"/>
            <w:right w:val="none" w:sz="0" w:space="0" w:color="auto"/>
          </w:divBdr>
        </w:div>
        <w:div w:id="39021119">
          <w:marLeft w:val="0"/>
          <w:marRight w:val="0"/>
          <w:marTop w:val="0"/>
          <w:marBottom w:val="0"/>
          <w:divBdr>
            <w:top w:val="none" w:sz="0" w:space="0" w:color="auto"/>
            <w:left w:val="none" w:sz="0" w:space="0" w:color="auto"/>
            <w:bottom w:val="none" w:sz="0" w:space="0" w:color="auto"/>
            <w:right w:val="none" w:sz="0" w:space="0" w:color="auto"/>
          </w:divBdr>
        </w:div>
        <w:div w:id="222062134">
          <w:marLeft w:val="0"/>
          <w:marRight w:val="0"/>
          <w:marTop w:val="0"/>
          <w:marBottom w:val="0"/>
          <w:divBdr>
            <w:top w:val="none" w:sz="0" w:space="0" w:color="auto"/>
            <w:left w:val="none" w:sz="0" w:space="0" w:color="auto"/>
            <w:bottom w:val="none" w:sz="0" w:space="0" w:color="auto"/>
            <w:right w:val="none" w:sz="0" w:space="0" w:color="auto"/>
          </w:divBdr>
        </w:div>
        <w:div w:id="1465075455">
          <w:marLeft w:val="0"/>
          <w:marRight w:val="0"/>
          <w:marTop w:val="0"/>
          <w:marBottom w:val="0"/>
          <w:divBdr>
            <w:top w:val="none" w:sz="0" w:space="0" w:color="auto"/>
            <w:left w:val="none" w:sz="0" w:space="0" w:color="auto"/>
            <w:bottom w:val="none" w:sz="0" w:space="0" w:color="auto"/>
            <w:right w:val="none" w:sz="0" w:space="0" w:color="auto"/>
          </w:divBdr>
        </w:div>
        <w:div w:id="1303149622">
          <w:marLeft w:val="0"/>
          <w:marRight w:val="0"/>
          <w:marTop w:val="0"/>
          <w:marBottom w:val="0"/>
          <w:divBdr>
            <w:top w:val="none" w:sz="0" w:space="0" w:color="auto"/>
            <w:left w:val="none" w:sz="0" w:space="0" w:color="auto"/>
            <w:bottom w:val="none" w:sz="0" w:space="0" w:color="auto"/>
            <w:right w:val="none" w:sz="0" w:space="0" w:color="auto"/>
          </w:divBdr>
        </w:div>
        <w:div w:id="1556232526">
          <w:marLeft w:val="0"/>
          <w:marRight w:val="0"/>
          <w:marTop w:val="0"/>
          <w:marBottom w:val="0"/>
          <w:divBdr>
            <w:top w:val="none" w:sz="0" w:space="0" w:color="auto"/>
            <w:left w:val="none" w:sz="0" w:space="0" w:color="auto"/>
            <w:bottom w:val="none" w:sz="0" w:space="0" w:color="auto"/>
            <w:right w:val="none" w:sz="0" w:space="0" w:color="auto"/>
          </w:divBdr>
        </w:div>
        <w:div w:id="226234737">
          <w:marLeft w:val="0"/>
          <w:marRight w:val="0"/>
          <w:marTop w:val="0"/>
          <w:marBottom w:val="0"/>
          <w:divBdr>
            <w:top w:val="none" w:sz="0" w:space="0" w:color="auto"/>
            <w:left w:val="none" w:sz="0" w:space="0" w:color="auto"/>
            <w:bottom w:val="none" w:sz="0" w:space="0" w:color="auto"/>
            <w:right w:val="none" w:sz="0" w:space="0" w:color="auto"/>
          </w:divBdr>
        </w:div>
        <w:div w:id="384183472">
          <w:marLeft w:val="0"/>
          <w:marRight w:val="0"/>
          <w:marTop w:val="0"/>
          <w:marBottom w:val="0"/>
          <w:divBdr>
            <w:top w:val="none" w:sz="0" w:space="0" w:color="auto"/>
            <w:left w:val="none" w:sz="0" w:space="0" w:color="auto"/>
            <w:bottom w:val="none" w:sz="0" w:space="0" w:color="auto"/>
            <w:right w:val="none" w:sz="0" w:space="0" w:color="auto"/>
          </w:divBdr>
        </w:div>
        <w:div w:id="1886716569">
          <w:marLeft w:val="0"/>
          <w:marRight w:val="0"/>
          <w:marTop w:val="0"/>
          <w:marBottom w:val="0"/>
          <w:divBdr>
            <w:top w:val="none" w:sz="0" w:space="0" w:color="auto"/>
            <w:left w:val="none" w:sz="0" w:space="0" w:color="auto"/>
            <w:bottom w:val="none" w:sz="0" w:space="0" w:color="auto"/>
            <w:right w:val="none" w:sz="0" w:space="0" w:color="auto"/>
          </w:divBdr>
        </w:div>
        <w:div w:id="786849591">
          <w:marLeft w:val="0"/>
          <w:marRight w:val="0"/>
          <w:marTop w:val="0"/>
          <w:marBottom w:val="0"/>
          <w:divBdr>
            <w:top w:val="none" w:sz="0" w:space="0" w:color="auto"/>
            <w:left w:val="none" w:sz="0" w:space="0" w:color="auto"/>
            <w:bottom w:val="none" w:sz="0" w:space="0" w:color="auto"/>
            <w:right w:val="none" w:sz="0" w:space="0" w:color="auto"/>
          </w:divBdr>
        </w:div>
        <w:div w:id="1591617487">
          <w:marLeft w:val="0"/>
          <w:marRight w:val="0"/>
          <w:marTop w:val="0"/>
          <w:marBottom w:val="0"/>
          <w:divBdr>
            <w:top w:val="none" w:sz="0" w:space="0" w:color="auto"/>
            <w:left w:val="none" w:sz="0" w:space="0" w:color="auto"/>
            <w:bottom w:val="none" w:sz="0" w:space="0" w:color="auto"/>
            <w:right w:val="none" w:sz="0" w:space="0" w:color="auto"/>
          </w:divBdr>
        </w:div>
        <w:div w:id="1346518743">
          <w:marLeft w:val="0"/>
          <w:marRight w:val="0"/>
          <w:marTop w:val="0"/>
          <w:marBottom w:val="0"/>
          <w:divBdr>
            <w:top w:val="none" w:sz="0" w:space="0" w:color="auto"/>
            <w:left w:val="none" w:sz="0" w:space="0" w:color="auto"/>
            <w:bottom w:val="none" w:sz="0" w:space="0" w:color="auto"/>
            <w:right w:val="none" w:sz="0" w:space="0" w:color="auto"/>
          </w:divBdr>
        </w:div>
        <w:div w:id="1245262344">
          <w:marLeft w:val="0"/>
          <w:marRight w:val="0"/>
          <w:marTop w:val="0"/>
          <w:marBottom w:val="0"/>
          <w:divBdr>
            <w:top w:val="none" w:sz="0" w:space="0" w:color="auto"/>
            <w:left w:val="none" w:sz="0" w:space="0" w:color="auto"/>
            <w:bottom w:val="none" w:sz="0" w:space="0" w:color="auto"/>
            <w:right w:val="none" w:sz="0" w:space="0" w:color="auto"/>
          </w:divBdr>
        </w:div>
        <w:div w:id="1894147941">
          <w:marLeft w:val="0"/>
          <w:marRight w:val="0"/>
          <w:marTop w:val="0"/>
          <w:marBottom w:val="0"/>
          <w:divBdr>
            <w:top w:val="none" w:sz="0" w:space="0" w:color="auto"/>
            <w:left w:val="none" w:sz="0" w:space="0" w:color="auto"/>
            <w:bottom w:val="none" w:sz="0" w:space="0" w:color="auto"/>
            <w:right w:val="none" w:sz="0" w:space="0" w:color="auto"/>
          </w:divBdr>
        </w:div>
        <w:div w:id="816193154">
          <w:marLeft w:val="0"/>
          <w:marRight w:val="0"/>
          <w:marTop w:val="0"/>
          <w:marBottom w:val="0"/>
          <w:divBdr>
            <w:top w:val="none" w:sz="0" w:space="0" w:color="auto"/>
            <w:left w:val="none" w:sz="0" w:space="0" w:color="auto"/>
            <w:bottom w:val="none" w:sz="0" w:space="0" w:color="auto"/>
            <w:right w:val="none" w:sz="0" w:space="0" w:color="auto"/>
          </w:divBdr>
        </w:div>
        <w:div w:id="2018653863">
          <w:marLeft w:val="0"/>
          <w:marRight w:val="0"/>
          <w:marTop w:val="0"/>
          <w:marBottom w:val="0"/>
          <w:divBdr>
            <w:top w:val="none" w:sz="0" w:space="0" w:color="auto"/>
            <w:left w:val="none" w:sz="0" w:space="0" w:color="auto"/>
            <w:bottom w:val="none" w:sz="0" w:space="0" w:color="auto"/>
            <w:right w:val="none" w:sz="0" w:space="0" w:color="auto"/>
          </w:divBdr>
        </w:div>
        <w:div w:id="1194536420">
          <w:marLeft w:val="0"/>
          <w:marRight w:val="0"/>
          <w:marTop w:val="0"/>
          <w:marBottom w:val="0"/>
          <w:divBdr>
            <w:top w:val="none" w:sz="0" w:space="0" w:color="auto"/>
            <w:left w:val="none" w:sz="0" w:space="0" w:color="auto"/>
            <w:bottom w:val="none" w:sz="0" w:space="0" w:color="auto"/>
            <w:right w:val="none" w:sz="0" w:space="0" w:color="auto"/>
          </w:divBdr>
        </w:div>
        <w:div w:id="6745278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8" ma:contentTypeDescription="Create a new document." ma:contentTypeScope="" ma:versionID="61b6f0b0ff82c7c924a98f28775f66f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58dbebdbe87ebc850759af510e76d3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8D5C1F5-E588-4F16-8815-F3A66887D0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DD7955-0451-4930-ADEB-E78DBE3A6F2F}">
  <ds:schemaRefs>
    <ds:schemaRef ds:uri="http://schemas.microsoft.com/sharepoint/v3/contenttype/forms"/>
  </ds:schemaRefs>
</ds:datastoreItem>
</file>

<file path=customXml/itemProps3.xml><?xml version="1.0" encoding="utf-8"?>
<ds:datastoreItem xmlns:ds="http://schemas.openxmlformats.org/officeDocument/2006/customXml" ds:itemID="{74634565-B368-4DBA-B092-BF4DE5EBFE45}">
  <ds:schemaRefs>
    <ds:schemaRef ds:uri="http://schemas.microsoft.com/office/2006/metadata/properties"/>
    <ds:schemaRef ds:uri="http://schemas.microsoft.com/office/infopath/2007/PartnerControls"/>
    <ds:schemaRef ds:uri="http://purl.org/dc/elements/1.1/"/>
    <ds:schemaRef ds:uri="http://www.w3.org/XML/1998/namespace"/>
    <ds:schemaRef ds:uri="http://purl.org/dc/terms/"/>
    <ds:schemaRef ds:uri="90b58af8-24e5-4252-ab67-b2f2985aee88"/>
    <ds:schemaRef ds:uri="http://schemas.microsoft.com/office/2006/documentManagement/types"/>
    <ds:schemaRef ds:uri="http://schemas.openxmlformats.org/package/2006/metadata/core-properties"/>
    <ds:schemaRef ds:uri="be49ff73-cec0-4379-9da8-63ff3cc411b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1717</Words>
  <Characters>9788</Characters>
  <Application>Microsoft Office Word</Application>
  <DocSecurity>0</DocSecurity>
  <Lines>81</Lines>
  <Paragraphs>22</Paragraphs>
  <ScaleCrop>false</ScaleCrop>
  <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dc:creator>
  <cp:keywords/>
  <dc:description/>
  <cp:lastModifiedBy>Charlotte</cp:lastModifiedBy>
  <cp:revision>3</cp:revision>
  <dcterms:created xsi:type="dcterms:W3CDTF">2022-04-21T21:49:00Z</dcterms:created>
  <dcterms:modified xsi:type="dcterms:W3CDTF">2022-04-21T21:53:00Z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