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FD6E3"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22"/>
          <w:szCs w:val="22"/>
          <w:lang w:val="en-GB"/>
        </w:rPr>
      </w:pPr>
    </w:p>
    <w:p w14:paraId="2B4E6B18" w14:textId="40C08230" w:rsidR="00A62A6A" w:rsidRPr="00A62A6A" w:rsidRDefault="00A62A6A" w:rsidP="00A62A6A">
      <w:pPr>
        <w:spacing w:line="360" w:lineRule="auto"/>
        <w:jc w:val="center"/>
        <w:rPr>
          <w:rFonts w:ascii="Arial" w:eastAsiaTheme="majorEastAsia" w:hAnsi="Arial" w:cs="Arial"/>
          <w:b/>
          <w:bCs/>
          <w:spacing w:val="-10"/>
          <w:kern w:val="28"/>
          <w:sz w:val="22"/>
          <w:szCs w:val="22"/>
        </w:rPr>
      </w:pPr>
      <w:r w:rsidRPr="00A62A6A">
        <w:rPr>
          <w:rFonts w:ascii="Arial" w:eastAsiaTheme="majorEastAsia" w:hAnsi="Arial" w:cs="Arial"/>
          <w:b/>
          <w:bCs/>
          <w:spacing w:val="-10"/>
          <w:kern w:val="28"/>
          <w:sz w:val="22"/>
          <w:szCs w:val="22"/>
        </w:rPr>
        <w:t xml:space="preserve">Introduction to Health and Social Care </w:t>
      </w:r>
      <w:r w:rsidRPr="00A62A6A">
        <w:rPr>
          <w:rFonts w:ascii="Arial" w:eastAsiaTheme="majorEastAsia" w:hAnsi="Arial" w:cs="Arial"/>
          <w:b/>
          <w:bCs/>
          <w:spacing w:val="-10"/>
          <w:kern w:val="28"/>
          <w:sz w:val="22"/>
          <w:szCs w:val="22"/>
        </w:rPr>
        <w:t>(</w:t>
      </w:r>
      <w:r w:rsidRPr="00A62A6A">
        <w:rPr>
          <w:rFonts w:ascii="Arial" w:eastAsiaTheme="majorEastAsia" w:hAnsi="Arial" w:cs="Arial"/>
          <w:b/>
          <w:bCs/>
          <w:spacing w:val="-10"/>
          <w:kern w:val="28"/>
          <w:sz w:val="22"/>
          <w:szCs w:val="22"/>
        </w:rPr>
        <w:t>LCHS4003</w:t>
      </w:r>
      <w:r w:rsidRPr="00A62A6A">
        <w:rPr>
          <w:rFonts w:ascii="Arial" w:eastAsiaTheme="majorEastAsia" w:hAnsi="Arial" w:cs="Arial"/>
          <w:b/>
          <w:bCs/>
          <w:spacing w:val="-10"/>
          <w:kern w:val="28"/>
          <w:sz w:val="22"/>
          <w:szCs w:val="22"/>
        </w:rPr>
        <w:t>)</w:t>
      </w:r>
    </w:p>
    <w:p w14:paraId="06643D6D" w14:textId="77777777" w:rsidR="00A62A6A" w:rsidRPr="00A62A6A" w:rsidRDefault="00A62A6A" w:rsidP="00A62A6A">
      <w:pPr>
        <w:spacing w:line="360" w:lineRule="auto"/>
        <w:jc w:val="center"/>
        <w:rPr>
          <w:rFonts w:ascii="Arial" w:hAnsi="Arial" w:cs="Arial"/>
          <w:sz w:val="22"/>
          <w:szCs w:val="22"/>
        </w:rPr>
      </w:pPr>
    </w:p>
    <w:p w14:paraId="7A6F4198" w14:textId="5D75653E" w:rsidR="00A62A6A" w:rsidRPr="00A62A6A" w:rsidRDefault="00A62A6A" w:rsidP="00A62A6A">
      <w:pPr>
        <w:spacing w:line="360" w:lineRule="auto"/>
        <w:jc w:val="center"/>
        <w:rPr>
          <w:rFonts w:ascii="Arial" w:hAnsi="Arial" w:cs="Arial"/>
          <w:sz w:val="22"/>
          <w:szCs w:val="22"/>
        </w:rPr>
      </w:pPr>
      <w:r w:rsidRPr="00A62A6A">
        <w:rPr>
          <w:rFonts w:ascii="Arial" w:hAnsi="Arial" w:cs="Arial"/>
          <w:b/>
          <w:bCs/>
          <w:sz w:val="22"/>
          <w:szCs w:val="22"/>
          <w:u w:val="single"/>
        </w:rPr>
        <w:t xml:space="preserve">ASSIGNMENT </w:t>
      </w:r>
      <w:r w:rsidRPr="00A62A6A">
        <w:rPr>
          <w:rFonts w:ascii="Arial" w:hAnsi="Arial" w:cs="Arial"/>
          <w:b/>
          <w:bCs/>
          <w:sz w:val="22"/>
          <w:szCs w:val="22"/>
          <w:u w:val="single"/>
        </w:rPr>
        <w:t>1</w:t>
      </w:r>
    </w:p>
    <w:p w14:paraId="1934682C" w14:textId="77777777" w:rsidR="00A62A6A" w:rsidRPr="00A62A6A" w:rsidRDefault="00A62A6A" w:rsidP="00A62A6A">
      <w:pPr>
        <w:spacing w:line="360" w:lineRule="auto"/>
        <w:rPr>
          <w:rFonts w:ascii="Arial" w:hAnsi="Arial" w:cs="Arial"/>
          <w:b/>
          <w:bCs/>
          <w:sz w:val="22"/>
          <w:szCs w:val="22"/>
          <w:u w:val="single"/>
        </w:rPr>
      </w:pPr>
    </w:p>
    <w:p w14:paraId="0A8D0E85" w14:textId="77777777" w:rsidR="00A62A6A" w:rsidRPr="00A62A6A" w:rsidRDefault="00A62A6A" w:rsidP="00A62A6A">
      <w:pPr>
        <w:spacing w:line="360" w:lineRule="auto"/>
        <w:rPr>
          <w:rFonts w:ascii="Arial" w:hAnsi="Arial" w:cs="Arial"/>
          <w:b/>
          <w:bCs/>
          <w:sz w:val="22"/>
          <w:szCs w:val="22"/>
          <w:u w:val="single"/>
        </w:rPr>
      </w:pPr>
    </w:p>
    <w:p w14:paraId="6072B013" w14:textId="77777777" w:rsidR="00A62A6A" w:rsidRPr="00A62A6A" w:rsidRDefault="00A62A6A" w:rsidP="00A62A6A">
      <w:pPr>
        <w:spacing w:line="360" w:lineRule="auto"/>
        <w:rPr>
          <w:rFonts w:ascii="Arial" w:hAnsi="Arial" w:cs="Arial"/>
          <w:b/>
          <w:bCs/>
          <w:sz w:val="22"/>
          <w:szCs w:val="22"/>
          <w:u w:val="single"/>
        </w:rPr>
      </w:pPr>
    </w:p>
    <w:p w14:paraId="2AD9A5BD" w14:textId="77777777" w:rsidR="00A62A6A" w:rsidRPr="00A62A6A" w:rsidRDefault="00A62A6A" w:rsidP="00A62A6A">
      <w:pPr>
        <w:spacing w:line="360" w:lineRule="auto"/>
        <w:rPr>
          <w:rFonts w:ascii="Arial" w:hAnsi="Arial" w:cs="Arial"/>
          <w:b/>
          <w:bCs/>
          <w:sz w:val="22"/>
          <w:szCs w:val="22"/>
          <w:u w:val="single"/>
        </w:rPr>
      </w:pPr>
    </w:p>
    <w:p w14:paraId="7AB81F85" w14:textId="77777777" w:rsidR="00A62A6A" w:rsidRPr="00A62A6A" w:rsidRDefault="00A62A6A" w:rsidP="00A62A6A">
      <w:pPr>
        <w:spacing w:line="360" w:lineRule="auto"/>
        <w:rPr>
          <w:rFonts w:ascii="Arial" w:hAnsi="Arial" w:cs="Arial"/>
          <w:b/>
          <w:bCs/>
          <w:sz w:val="22"/>
          <w:szCs w:val="22"/>
          <w:u w:val="single"/>
        </w:rPr>
      </w:pPr>
    </w:p>
    <w:p w14:paraId="049E25AF" w14:textId="77777777" w:rsidR="00A62A6A" w:rsidRPr="00A62A6A" w:rsidRDefault="00A62A6A" w:rsidP="00A62A6A">
      <w:pPr>
        <w:spacing w:line="360" w:lineRule="auto"/>
        <w:rPr>
          <w:rFonts w:ascii="Arial" w:hAnsi="Arial" w:cs="Arial"/>
          <w:b/>
          <w:bCs/>
          <w:sz w:val="22"/>
          <w:szCs w:val="22"/>
          <w:u w:val="single"/>
        </w:rPr>
      </w:pPr>
    </w:p>
    <w:p w14:paraId="4218617F" w14:textId="77777777" w:rsidR="00A62A6A" w:rsidRPr="00A62A6A" w:rsidRDefault="00A62A6A" w:rsidP="00A62A6A">
      <w:pPr>
        <w:spacing w:line="360" w:lineRule="auto"/>
        <w:rPr>
          <w:rFonts w:ascii="Arial" w:hAnsi="Arial" w:cs="Arial"/>
          <w:b/>
          <w:bCs/>
          <w:sz w:val="22"/>
          <w:szCs w:val="22"/>
          <w:u w:val="single"/>
        </w:rPr>
      </w:pPr>
    </w:p>
    <w:p w14:paraId="3C612472" w14:textId="77777777" w:rsidR="00A62A6A" w:rsidRPr="00A62A6A" w:rsidRDefault="00A62A6A" w:rsidP="00A62A6A">
      <w:pPr>
        <w:spacing w:line="360" w:lineRule="auto"/>
        <w:rPr>
          <w:rFonts w:ascii="Arial" w:hAnsi="Arial" w:cs="Arial"/>
          <w:b/>
          <w:bCs/>
          <w:sz w:val="22"/>
          <w:szCs w:val="22"/>
          <w:u w:val="single"/>
        </w:rPr>
      </w:pPr>
    </w:p>
    <w:p w14:paraId="75C0050C" w14:textId="77777777" w:rsidR="00A62A6A" w:rsidRPr="00A62A6A" w:rsidRDefault="00A62A6A" w:rsidP="00A62A6A">
      <w:pPr>
        <w:spacing w:line="360" w:lineRule="auto"/>
        <w:rPr>
          <w:rFonts w:ascii="Arial" w:hAnsi="Arial" w:cs="Arial"/>
          <w:b/>
          <w:bCs/>
          <w:sz w:val="22"/>
          <w:szCs w:val="22"/>
          <w:u w:val="single"/>
        </w:rPr>
      </w:pPr>
    </w:p>
    <w:p w14:paraId="628EA32E" w14:textId="77777777" w:rsidR="00A62A6A" w:rsidRPr="00A62A6A" w:rsidRDefault="00A62A6A" w:rsidP="00A62A6A">
      <w:pPr>
        <w:spacing w:line="360" w:lineRule="auto"/>
        <w:rPr>
          <w:rFonts w:ascii="Arial" w:hAnsi="Arial" w:cs="Arial"/>
          <w:b/>
          <w:bCs/>
          <w:sz w:val="22"/>
          <w:szCs w:val="22"/>
          <w:u w:val="single"/>
        </w:rPr>
      </w:pPr>
      <w:r w:rsidRPr="00A62A6A">
        <w:rPr>
          <w:rFonts w:ascii="Arial" w:hAnsi="Arial" w:cs="Arial"/>
          <w:b/>
          <w:bCs/>
          <w:sz w:val="22"/>
          <w:szCs w:val="22"/>
          <w:u w:val="single"/>
        </w:rPr>
        <w:t>Name of Student: Adama Dalila Correia Djaura</w:t>
      </w:r>
    </w:p>
    <w:p w14:paraId="1517054A" w14:textId="77777777" w:rsidR="00A62A6A" w:rsidRPr="00A62A6A" w:rsidRDefault="00A62A6A" w:rsidP="00A62A6A">
      <w:pPr>
        <w:spacing w:line="360" w:lineRule="auto"/>
        <w:rPr>
          <w:rFonts w:ascii="Arial" w:hAnsi="Arial" w:cs="Arial"/>
          <w:b/>
          <w:bCs/>
          <w:sz w:val="22"/>
          <w:szCs w:val="22"/>
          <w:u w:val="single"/>
        </w:rPr>
      </w:pPr>
    </w:p>
    <w:p w14:paraId="2F3298BD" w14:textId="77777777" w:rsidR="00A62A6A" w:rsidRPr="00A62A6A" w:rsidRDefault="00A62A6A" w:rsidP="00A62A6A">
      <w:pPr>
        <w:spacing w:line="360" w:lineRule="auto"/>
        <w:rPr>
          <w:rFonts w:ascii="Arial" w:hAnsi="Arial" w:cs="Arial"/>
          <w:b/>
          <w:bCs/>
          <w:sz w:val="22"/>
          <w:szCs w:val="22"/>
          <w:u w:val="single"/>
        </w:rPr>
      </w:pPr>
    </w:p>
    <w:p w14:paraId="431A4E9F" w14:textId="77777777" w:rsidR="00A62A6A" w:rsidRPr="00A62A6A" w:rsidRDefault="00A62A6A" w:rsidP="00A62A6A">
      <w:pPr>
        <w:spacing w:line="360" w:lineRule="auto"/>
        <w:rPr>
          <w:rFonts w:ascii="Arial" w:hAnsi="Arial" w:cs="Arial"/>
          <w:b/>
          <w:bCs/>
          <w:sz w:val="22"/>
          <w:szCs w:val="22"/>
          <w:u w:val="single"/>
        </w:rPr>
      </w:pPr>
    </w:p>
    <w:p w14:paraId="6346F9EF" w14:textId="77777777" w:rsidR="00A62A6A" w:rsidRPr="00A62A6A" w:rsidRDefault="00A62A6A" w:rsidP="00A62A6A">
      <w:pPr>
        <w:spacing w:line="360" w:lineRule="auto"/>
        <w:rPr>
          <w:rFonts w:ascii="Arial" w:hAnsi="Arial" w:cs="Arial"/>
          <w:b/>
          <w:bCs/>
          <w:sz w:val="22"/>
          <w:szCs w:val="22"/>
          <w:u w:val="single"/>
        </w:rPr>
      </w:pPr>
      <w:r w:rsidRPr="00A62A6A">
        <w:rPr>
          <w:rFonts w:ascii="Arial" w:hAnsi="Arial" w:cs="Arial"/>
          <w:b/>
          <w:bCs/>
          <w:sz w:val="22"/>
          <w:szCs w:val="22"/>
          <w:u w:val="single"/>
        </w:rPr>
        <w:t>I.D. Number: 2127638</w:t>
      </w:r>
    </w:p>
    <w:p w14:paraId="34EF2D4D" w14:textId="77777777" w:rsidR="00A62A6A" w:rsidRPr="00A62A6A" w:rsidRDefault="00A62A6A" w:rsidP="00A62A6A">
      <w:pPr>
        <w:spacing w:line="360" w:lineRule="auto"/>
        <w:rPr>
          <w:rFonts w:ascii="Arial" w:hAnsi="Arial" w:cs="Arial"/>
          <w:b/>
          <w:bCs/>
          <w:sz w:val="22"/>
          <w:szCs w:val="22"/>
          <w:u w:val="single"/>
        </w:rPr>
      </w:pPr>
    </w:p>
    <w:p w14:paraId="56A9B6E4" w14:textId="77777777" w:rsidR="00A62A6A" w:rsidRPr="00A62A6A" w:rsidRDefault="00A62A6A" w:rsidP="00A62A6A">
      <w:pPr>
        <w:spacing w:line="360" w:lineRule="auto"/>
        <w:rPr>
          <w:rFonts w:ascii="Arial" w:hAnsi="Arial" w:cs="Arial"/>
          <w:b/>
          <w:bCs/>
          <w:sz w:val="22"/>
          <w:szCs w:val="22"/>
          <w:u w:val="single"/>
        </w:rPr>
      </w:pPr>
    </w:p>
    <w:p w14:paraId="47DA3373" w14:textId="77777777" w:rsidR="00A62A6A" w:rsidRPr="00A62A6A" w:rsidRDefault="00A62A6A" w:rsidP="00A62A6A">
      <w:pPr>
        <w:spacing w:line="360" w:lineRule="auto"/>
        <w:rPr>
          <w:rFonts w:ascii="Arial" w:hAnsi="Arial" w:cs="Arial"/>
          <w:b/>
          <w:bCs/>
          <w:sz w:val="22"/>
          <w:szCs w:val="22"/>
          <w:u w:val="single"/>
        </w:rPr>
      </w:pPr>
    </w:p>
    <w:p w14:paraId="18F4AED4" w14:textId="7FDC037D" w:rsidR="00A62A6A" w:rsidRPr="00A62A6A" w:rsidRDefault="00A62A6A" w:rsidP="00A62A6A">
      <w:pPr>
        <w:spacing w:line="360" w:lineRule="auto"/>
        <w:rPr>
          <w:rFonts w:ascii="Arial" w:hAnsi="Arial" w:cs="Arial"/>
          <w:b/>
          <w:bCs/>
          <w:sz w:val="22"/>
          <w:szCs w:val="22"/>
          <w:u w:val="single"/>
        </w:rPr>
      </w:pPr>
      <w:r w:rsidRPr="00A62A6A">
        <w:rPr>
          <w:rFonts w:ascii="Arial" w:hAnsi="Arial" w:cs="Arial"/>
          <w:b/>
          <w:bCs/>
          <w:sz w:val="22"/>
          <w:szCs w:val="22"/>
          <w:u w:val="single"/>
        </w:rPr>
        <w:t>Name of Tutor: Muhammed Aliyu</w:t>
      </w:r>
    </w:p>
    <w:p w14:paraId="7DE3ABA4" w14:textId="77777777" w:rsidR="00A62A6A" w:rsidRPr="00A62A6A" w:rsidRDefault="00A62A6A" w:rsidP="00A62A6A">
      <w:pPr>
        <w:spacing w:line="360" w:lineRule="auto"/>
        <w:rPr>
          <w:rFonts w:ascii="Arial" w:hAnsi="Arial" w:cs="Arial"/>
          <w:b/>
          <w:bCs/>
          <w:sz w:val="22"/>
          <w:szCs w:val="22"/>
          <w:u w:val="single"/>
        </w:rPr>
      </w:pPr>
    </w:p>
    <w:p w14:paraId="223CAE5D" w14:textId="77777777" w:rsidR="00A62A6A" w:rsidRPr="00A62A6A" w:rsidRDefault="00A62A6A" w:rsidP="00A62A6A">
      <w:pPr>
        <w:spacing w:line="360" w:lineRule="auto"/>
        <w:rPr>
          <w:rFonts w:ascii="Arial" w:hAnsi="Arial" w:cs="Arial"/>
          <w:b/>
          <w:bCs/>
          <w:sz w:val="22"/>
          <w:szCs w:val="22"/>
          <w:u w:val="single"/>
        </w:rPr>
      </w:pPr>
    </w:p>
    <w:p w14:paraId="0CF9DBF6" w14:textId="77777777" w:rsidR="00A62A6A" w:rsidRPr="00A62A6A" w:rsidRDefault="00A62A6A" w:rsidP="00A62A6A">
      <w:pPr>
        <w:spacing w:line="360" w:lineRule="auto"/>
        <w:rPr>
          <w:rFonts w:ascii="Arial" w:hAnsi="Arial" w:cs="Arial"/>
          <w:b/>
          <w:bCs/>
          <w:sz w:val="22"/>
          <w:szCs w:val="22"/>
          <w:u w:val="single"/>
        </w:rPr>
      </w:pPr>
    </w:p>
    <w:p w14:paraId="68782C5B" w14:textId="77777777" w:rsidR="00A62A6A" w:rsidRPr="00A62A6A" w:rsidRDefault="00A62A6A" w:rsidP="00A62A6A">
      <w:pPr>
        <w:spacing w:line="360" w:lineRule="auto"/>
        <w:rPr>
          <w:rFonts w:ascii="Arial" w:hAnsi="Arial" w:cs="Arial"/>
          <w:sz w:val="22"/>
          <w:szCs w:val="22"/>
        </w:rPr>
      </w:pPr>
      <w:r w:rsidRPr="00A62A6A">
        <w:rPr>
          <w:rFonts w:ascii="Arial" w:hAnsi="Arial" w:cs="Arial"/>
          <w:b/>
          <w:bCs/>
          <w:sz w:val="22"/>
          <w:szCs w:val="22"/>
          <w:u w:val="single"/>
        </w:rPr>
        <w:t>Acknowledgement of AI use:</w:t>
      </w:r>
      <w:r w:rsidRPr="00A62A6A">
        <w:rPr>
          <w:rFonts w:ascii="Arial" w:hAnsi="Arial" w:cs="Arial"/>
          <w:sz w:val="22"/>
          <w:szCs w:val="22"/>
        </w:rPr>
        <w:t xml:space="preserve"> I confirm that I have not used AI to complete my work. </w:t>
      </w:r>
    </w:p>
    <w:p w14:paraId="409798CC" w14:textId="77777777" w:rsidR="00B95F75" w:rsidRPr="00A62A6A" w:rsidRDefault="00B95F75" w:rsidP="00A62A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p>
    <w:p w14:paraId="78399A60"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22"/>
          <w:szCs w:val="22"/>
          <w:lang w:val="en-GB"/>
        </w:rPr>
      </w:pPr>
    </w:p>
    <w:p w14:paraId="5433CDF2" w14:textId="0B31987B" w:rsidR="00A62A6A" w:rsidRDefault="00A62A6A">
      <w:pPr>
        <w:rPr>
          <w:rFonts w:ascii="Arial" w:hAnsi="Arial" w:cs="Arial"/>
          <w:kern w:val="0"/>
          <w:sz w:val="22"/>
          <w:szCs w:val="22"/>
          <w:lang w:val="en-GB"/>
        </w:rPr>
      </w:pPr>
      <w:r>
        <w:rPr>
          <w:rFonts w:ascii="Arial" w:hAnsi="Arial" w:cs="Arial"/>
          <w:kern w:val="0"/>
          <w:sz w:val="22"/>
          <w:szCs w:val="22"/>
          <w:lang w:val="en-GB"/>
        </w:rPr>
        <w:br w:type="page"/>
      </w:r>
    </w:p>
    <w:sdt>
      <w:sdtPr>
        <w:rPr>
          <w:rFonts w:ascii="Arial" w:hAnsi="Arial" w:cs="Arial"/>
          <w:b w:val="0"/>
          <w:bCs w:val="0"/>
          <w:sz w:val="22"/>
          <w:szCs w:val="22"/>
        </w:rPr>
        <w:id w:val="-938830683"/>
        <w:docPartObj>
          <w:docPartGallery w:val="Table of Contents"/>
          <w:docPartUnique/>
        </w:docPartObj>
      </w:sdtPr>
      <w:sdtEndPr>
        <w:rPr>
          <w:rFonts w:eastAsiaTheme="minorHAnsi"/>
          <w:noProof/>
          <w:color w:val="auto"/>
          <w:kern w:val="2"/>
          <w:lang w:val="en-RO"/>
          <w14:ligatures w14:val="standardContextual"/>
        </w:rPr>
      </w:sdtEndPr>
      <w:sdtContent>
        <w:p w14:paraId="1DBA4C23" w14:textId="401440C6" w:rsidR="00A62A6A" w:rsidRPr="00A62A6A" w:rsidRDefault="00A62A6A" w:rsidP="00A62A6A">
          <w:pPr>
            <w:pStyle w:val="TOCHeading"/>
            <w:jc w:val="center"/>
            <w:rPr>
              <w:rFonts w:ascii="Arial" w:hAnsi="Arial" w:cs="Arial"/>
              <w:sz w:val="22"/>
              <w:szCs w:val="22"/>
            </w:rPr>
          </w:pPr>
          <w:r w:rsidRPr="00A62A6A">
            <w:rPr>
              <w:rFonts w:ascii="Arial" w:hAnsi="Arial" w:cs="Arial"/>
              <w:sz w:val="22"/>
              <w:szCs w:val="22"/>
            </w:rPr>
            <w:t>Table of Contents</w:t>
          </w:r>
        </w:p>
        <w:p w14:paraId="2508AFD4" w14:textId="77777777" w:rsidR="00A62A6A" w:rsidRPr="00A62A6A" w:rsidRDefault="00A62A6A" w:rsidP="00A62A6A">
          <w:pPr>
            <w:rPr>
              <w:sz w:val="22"/>
              <w:szCs w:val="22"/>
              <w:lang w:val="en-US"/>
            </w:rPr>
          </w:pPr>
        </w:p>
        <w:p w14:paraId="3E827A11" w14:textId="66FD87AC" w:rsidR="00A62A6A" w:rsidRPr="00A62A6A" w:rsidRDefault="00A62A6A" w:rsidP="00A62A6A">
          <w:pPr>
            <w:pStyle w:val="TOC1"/>
            <w:tabs>
              <w:tab w:val="right" w:leader="dot" w:pos="9016"/>
            </w:tabs>
            <w:jc w:val="center"/>
            <w:rPr>
              <w:rFonts w:ascii="Arial" w:hAnsi="Arial" w:cs="Arial"/>
              <w:b w:val="0"/>
              <w:bCs w:val="0"/>
              <w:i w:val="0"/>
              <w:iCs w:val="0"/>
              <w:noProof/>
              <w:sz w:val="22"/>
              <w:szCs w:val="22"/>
            </w:rPr>
          </w:pPr>
          <w:r w:rsidRPr="00A62A6A">
            <w:rPr>
              <w:rFonts w:ascii="Arial" w:hAnsi="Arial" w:cs="Arial"/>
              <w:b w:val="0"/>
              <w:bCs w:val="0"/>
              <w:i w:val="0"/>
              <w:iCs w:val="0"/>
              <w:sz w:val="22"/>
              <w:szCs w:val="22"/>
            </w:rPr>
            <w:fldChar w:fldCharType="begin"/>
          </w:r>
          <w:r w:rsidRPr="00A62A6A">
            <w:rPr>
              <w:rFonts w:ascii="Arial" w:hAnsi="Arial" w:cs="Arial"/>
              <w:b w:val="0"/>
              <w:bCs w:val="0"/>
              <w:i w:val="0"/>
              <w:iCs w:val="0"/>
              <w:sz w:val="22"/>
              <w:szCs w:val="22"/>
            </w:rPr>
            <w:instrText xml:space="preserve"> TOC \o "1-3" \h \z \u </w:instrText>
          </w:r>
          <w:r w:rsidRPr="00A62A6A">
            <w:rPr>
              <w:rFonts w:ascii="Arial" w:hAnsi="Arial" w:cs="Arial"/>
              <w:b w:val="0"/>
              <w:bCs w:val="0"/>
              <w:i w:val="0"/>
              <w:iCs w:val="0"/>
              <w:sz w:val="22"/>
              <w:szCs w:val="22"/>
            </w:rPr>
            <w:fldChar w:fldCharType="separate"/>
          </w:r>
          <w:hyperlink w:anchor="_Toc216647965" w:history="1">
            <w:r w:rsidRPr="00A62A6A">
              <w:rPr>
                <w:rStyle w:val="Hyperlink"/>
                <w:rFonts w:ascii="Arial" w:hAnsi="Arial" w:cs="Arial"/>
                <w:b w:val="0"/>
                <w:bCs w:val="0"/>
                <w:i w:val="0"/>
                <w:iCs w:val="0"/>
                <w:noProof/>
                <w:sz w:val="22"/>
                <w:szCs w:val="22"/>
                <w:lang w:val="en-GB"/>
              </w:rPr>
              <w:t>Task 1</w:t>
            </w:r>
            <w:r w:rsidRPr="00A62A6A">
              <w:rPr>
                <w:rFonts w:ascii="Arial" w:hAnsi="Arial" w:cs="Arial"/>
                <w:b w:val="0"/>
                <w:bCs w:val="0"/>
                <w:i w:val="0"/>
                <w:iCs w:val="0"/>
                <w:noProof/>
                <w:webHidden/>
                <w:sz w:val="22"/>
                <w:szCs w:val="22"/>
              </w:rPr>
              <w:tab/>
            </w:r>
            <w:r w:rsidRPr="00A62A6A">
              <w:rPr>
                <w:rFonts w:ascii="Arial" w:hAnsi="Arial" w:cs="Arial"/>
                <w:b w:val="0"/>
                <w:bCs w:val="0"/>
                <w:i w:val="0"/>
                <w:iCs w:val="0"/>
                <w:noProof/>
                <w:webHidden/>
                <w:sz w:val="22"/>
                <w:szCs w:val="22"/>
              </w:rPr>
              <w:fldChar w:fldCharType="begin"/>
            </w:r>
            <w:r w:rsidRPr="00A62A6A">
              <w:rPr>
                <w:rFonts w:ascii="Arial" w:hAnsi="Arial" w:cs="Arial"/>
                <w:b w:val="0"/>
                <w:bCs w:val="0"/>
                <w:i w:val="0"/>
                <w:iCs w:val="0"/>
                <w:noProof/>
                <w:webHidden/>
                <w:sz w:val="22"/>
                <w:szCs w:val="22"/>
              </w:rPr>
              <w:instrText xml:space="preserve"> PAGEREF _Toc216647965 \h </w:instrText>
            </w:r>
            <w:r w:rsidRPr="00A62A6A">
              <w:rPr>
                <w:rFonts w:ascii="Arial" w:hAnsi="Arial" w:cs="Arial"/>
                <w:b w:val="0"/>
                <w:bCs w:val="0"/>
                <w:i w:val="0"/>
                <w:iCs w:val="0"/>
                <w:noProof/>
                <w:webHidden/>
                <w:sz w:val="22"/>
                <w:szCs w:val="22"/>
              </w:rPr>
            </w:r>
            <w:r w:rsidRPr="00A62A6A">
              <w:rPr>
                <w:rFonts w:ascii="Arial" w:hAnsi="Arial" w:cs="Arial"/>
                <w:b w:val="0"/>
                <w:bCs w:val="0"/>
                <w:i w:val="0"/>
                <w:iCs w:val="0"/>
                <w:noProof/>
                <w:webHidden/>
                <w:sz w:val="22"/>
                <w:szCs w:val="22"/>
              </w:rPr>
              <w:fldChar w:fldCharType="separate"/>
            </w:r>
            <w:r w:rsidRPr="00A62A6A">
              <w:rPr>
                <w:rFonts w:ascii="Arial" w:hAnsi="Arial" w:cs="Arial"/>
                <w:b w:val="0"/>
                <w:bCs w:val="0"/>
                <w:i w:val="0"/>
                <w:iCs w:val="0"/>
                <w:noProof/>
                <w:webHidden/>
                <w:sz w:val="22"/>
                <w:szCs w:val="22"/>
              </w:rPr>
              <w:t>3</w:t>
            </w:r>
            <w:r w:rsidRPr="00A62A6A">
              <w:rPr>
                <w:rFonts w:ascii="Arial" w:hAnsi="Arial" w:cs="Arial"/>
                <w:b w:val="0"/>
                <w:bCs w:val="0"/>
                <w:i w:val="0"/>
                <w:iCs w:val="0"/>
                <w:noProof/>
                <w:webHidden/>
                <w:sz w:val="22"/>
                <w:szCs w:val="22"/>
              </w:rPr>
              <w:fldChar w:fldCharType="end"/>
            </w:r>
          </w:hyperlink>
        </w:p>
        <w:p w14:paraId="2E91BB9D" w14:textId="7B89480C" w:rsidR="00A62A6A" w:rsidRPr="00A62A6A" w:rsidRDefault="00A62A6A" w:rsidP="00A62A6A">
          <w:pPr>
            <w:pStyle w:val="TOC1"/>
            <w:tabs>
              <w:tab w:val="right" w:leader="dot" w:pos="9016"/>
            </w:tabs>
            <w:jc w:val="center"/>
            <w:rPr>
              <w:rFonts w:ascii="Arial" w:hAnsi="Arial" w:cs="Arial"/>
              <w:b w:val="0"/>
              <w:bCs w:val="0"/>
              <w:i w:val="0"/>
              <w:iCs w:val="0"/>
              <w:noProof/>
              <w:sz w:val="22"/>
              <w:szCs w:val="22"/>
            </w:rPr>
          </w:pPr>
          <w:hyperlink w:anchor="_Toc216647966" w:history="1">
            <w:r w:rsidRPr="00A62A6A">
              <w:rPr>
                <w:rStyle w:val="Hyperlink"/>
                <w:rFonts w:ascii="Arial" w:hAnsi="Arial" w:cs="Arial"/>
                <w:b w:val="0"/>
                <w:bCs w:val="0"/>
                <w:i w:val="0"/>
                <w:iCs w:val="0"/>
                <w:noProof/>
                <w:sz w:val="22"/>
                <w:szCs w:val="22"/>
              </w:rPr>
              <w:t>Task 2</w:t>
            </w:r>
            <w:r w:rsidRPr="00A62A6A">
              <w:rPr>
                <w:rFonts w:ascii="Arial" w:hAnsi="Arial" w:cs="Arial"/>
                <w:b w:val="0"/>
                <w:bCs w:val="0"/>
                <w:i w:val="0"/>
                <w:iCs w:val="0"/>
                <w:noProof/>
                <w:webHidden/>
                <w:sz w:val="22"/>
                <w:szCs w:val="22"/>
              </w:rPr>
              <w:tab/>
            </w:r>
            <w:r w:rsidRPr="00A62A6A">
              <w:rPr>
                <w:rFonts w:ascii="Arial" w:hAnsi="Arial" w:cs="Arial"/>
                <w:b w:val="0"/>
                <w:bCs w:val="0"/>
                <w:i w:val="0"/>
                <w:iCs w:val="0"/>
                <w:noProof/>
                <w:webHidden/>
                <w:sz w:val="22"/>
                <w:szCs w:val="22"/>
              </w:rPr>
              <w:fldChar w:fldCharType="begin"/>
            </w:r>
            <w:r w:rsidRPr="00A62A6A">
              <w:rPr>
                <w:rFonts w:ascii="Arial" w:hAnsi="Arial" w:cs="Arial"/>
                <w:b w:val="0"/>
                <w:bCs w:val="0"/>
                <w:i w:val="0"/>
                <w:iCs w:val="0"/>
                <w:noProof/>
                <w:webHidden/>
                <w:sz w:val="22"/>
                <w:szCs w:val="22"/>
              </w:rPr>
              <w:instrText xml:space="preserve"> PAGEREF _Toc216647966 \h </w:instrText>
            </w:r>
            <w:r w:rsidRPr="00A62A6A">
              <w:rPr>
                <w:rFonts w:ascii="Arial" w:hAnsi="Arial" w:cs="Arial"/>
                <w:b w:val="0"/>
                <w:bCs w:val="0"/>
                <w:i w:val="0"/>
                <w:iCs w:val="0"/>
                <w:noProof/>
                <w:webHidden/>
                <w:sz w:val="22"/>
                <w:szCs w:val="22"/>
              </w:rPr>
            </w:r>
            <w:r w:rsidRPr="00A62A6A">
              <w:rPr>
                <w:rFonts w:ascii="Arial" w:hAnsi="Arial" w:cs="Arial"/>
                <w:b w:val="0"/>
                <w:bCs w:val="0"/>
                <w:i w:val="0"/>
                <w:iCs w:val="0"/>
                <w:noProof/>
                <w:webHidden/>
                <w:sz w:val="22"/>
                <w:szCs w:val="22"/>
              </w:rPr>
              <w:fldChar w:fldCharType="separate"/>
            </w:r>
            <w:r w:rsidRPr="00A62A6A">
              <w:rPr>
                <w:rFonts w:ascii="Arial" w:hAnsi="Arial" w:cs="Arial"/>
                <w:b w:val="0"/>
                <w:bCs w:val="0"/>
                <w:i w:val="0"/>
                <w:iCs w:val="0"/>
                <w:noProof/>
                <w:webHidden/>
                <w:sz w:val="22"/>
                <w:szCs w:val="22"/>
              </w:rPr>
              <w:t>5</w:t>
            </w:r>
            <w:r w:rsidRPr="00A62A6A">
              <w:rPr>
                <w:rFonts w:ascii="Arial" w:hAnsi="Arial" w:cs="Arial"/>
                <w:b w:val="0"/>
                <w:bCs w:val="0"/>
                <w:i w:val="0"/>
                <w:iCs w:val="0"/>
                <w:noProof/>
                <w:webHidden/>
                <w:sz w:val="22"/>
                <w:szCs w:val="22"/>
              </w:rPr>
              <w:fldChar w:fldCharType="end"/>
            </w:r>
          </w:hyperlink>
        </w:p>
        <w:p w14:paraId="27D73CEB" w14:textId="31C1F53D" w:rsidR="00A62A6A" w:rsidRPr="00A62A6A" w:rsidRDefault="00A62A6A" w:rsidP="00A62A6A">
          <w:pPr>
            <w:pStyle w:val="TOC1"/>
            <w:tabs>
              <w:tab w:val="right" w:leader="dot" w:pos="9016"/>
            </w:tabs>
            <w:jc w:val="center"/>
            <w:rPr>
              <w:rFonts w:ascii="Arial" w:hAnsi="Arial" w:cs="Arial"/>
              <w:b w:val="0"/>
              <w:bCs w:val="0"/>
              <w:i w:val="0"/>
              <w:iCs w:val="0"/>
              <w:noProof/>
              <w:sz w:val="22"/>
              <w:szCs w:val="22"/>
            </w:rPr>
          </w:pPr>
          <w:hyperlink w:anchor="_Toc216647967" w:history="1">
            <w:r w:rsidRPr="00A62A6A">
              <w:rPr>
                <w:rStyle w:val="Hyperlink"/>
                <w:rFonts w:ascii="Arial" w:hAnsi="Arial" w:cs="Arial"/>
                <w:b w:val="0"/>
                <w:bCs w:val="0"/>
                <w:i w:val="0"/>
                <w:iCs w:val="0"/>
                <w:noProof/>
                <w:sz w:val="22"/>
                <w:szCs w:val="22"/>
              </w:rPr>
              <w:t>Reference List</w:t>
            </w:r>
            <w:r w:rsidRPr="00A62A6A">
              <w:rPr>
                <w:rFonts w:ascii="Arial" w:hAnsi="Arial" w:cs="Arial"/>
                <w:b w:val="0"/>
                <w:bCs w:val="0"/>
                <w:i w:val="0"/>
                <w:iCs w:val="0"/>
                <w:noProof/>
                <w:webHidden/>
                <w:sz w:val="22"/>
                <w:szCs w:val="22"/>
              </w:rPr>
              <w:tab/>
            </w:r>
            <w:r w:rsidRPr="00A62A6A">
              <w:rPr>
                <w:rFonts w:ascii="Arial" w:hAnsi="Arial" w:cs="Arial"/>
                <w:b w:val="0"/>
                <w:bCs w:val="0"/>
                <w:i w:val="0"/>
                <w:iCs w:val="0"/>
                <w:noProof/>
                <w:webHidden/>
                <w:sz w:val="22"/>
                <w:szCs w:val="22"/>
              </w:rPr>
              <w:fldChar w:fldCharType="begin"/>
            </w:r>
            <w:r w:rsidRPr="00A62A6A">
              <w:rPr>
                <w:rFonts w:ascii="Arial" w:hAnsi="Arial" w:cs="Arial"/>
                <w:b w:val="0"/>
                <w:bCs w:val="0"/>
                <w:i w:val="0"/>
                <w:iCs w:val="0"/>
                <w:noProof/>
                <w:webHidden/>
                <w:sz w:val="22"/>
                <w:szCs w:val="22"/>
              </w:rPr>
              <w:instrText xml:space="preserve"> PAGEREF _Toc216647967 \h </w:instrText>
            </w:r>
            <w:r w:rsidRPr="00A62A6A">
              <w:rPr>
                <w:rFonts w:ascii="Arial" w:hAnsi="Arial" w:cs="Arial"/>
                <w:b w:val="0"/>
                <w:bCs w:val="0"/>
                <w:i w:val="0"/>
                <w:iCs w:val="0"/>
                <w:noProof/>
                <w:webHidden/>
                <w:sz w:val="22"/>
                <w:szCs w:val="22"/>
              </w:rPr>
            </w:r>
            <w:r w:rsidRPr="00A62A6A">
              <w:rPr>
                <w:rFonts w:ascii="Arial" w:hAnsi="Arial" w:cs="Arial"/>
                <w:b w:val="0"/>
                <w:bCs w:val="0"/>
                <w:i w:val="0"/>
                <w:iCs w:val="0"/>
                <w:noProof/>
                <w:webHidden/>
                <w:sz w:val="22"/>
                <w:szCs w:val="22"/>
              </w:rPr>
              <w:fldChar w:fldCharType="separate"/>
            </w:r>
            <w:r w:rsidRPr="00A62A6A">
              <w:rPr>
                <w:rFonts w:ascii="Arial" w:hAnsi="Arial" w:cs="Arial"/>
                <w:b w:val="0"/>
                <w:bCs w:val="0"/>
                <w:i w:val="0"/>
                <w:iCs w:val="0"/>
                <w:noProof/>
                <w:webHidden/>
                <w:sz w:val="22"/>
                <w:szCs w:val="22"/>
              </w:rPr>
              <w:t>7</w:t>
            </w:r>
            <w:r w:rsidRPr="00A62A6A">
              <w:rPr>
                <w:rFonts w:ascii="Arial" w:hAnsi="Arial" w:cs="Arial"/>
                <w:b w:val="0"/>
                <w:bCs w:val="0"/>
                <w:i w:val="0"/>
                <w:iCs w:val="0"/>
                <w:noProof/>
                <w:webHidden/>
                <w:sz w:val="22"/>
                <w:szCs w:val="22"/>
              </w:rPr>
              <w:fldChar w:fldCharType="end"/>
            </w:r>
          </w:hyperlink>
        </w:p>
        <w:p w14:paraId="0F07AB1E" w14:textId="78E9E572" w:rsidR="00A62A6A" w:rsidRPr="00A62A6A" w:rsidRDefault="00A62A6A" w:rsidP="00A62A6A">
          <w:pPr>
            <w:jc w:val="center"/>
            <w:rPr>
              <w:rFonts w:ascii="Arial" w:hAnsi="Arial" w:cs="Arial"/>
              <w:sz w:val="22"/>
              <w:szCs w:val="22"/>
            </w:rPr>
          </w:pPr>
          <w:r w:rsidRPr="00A62A6A">
            <w:rPr>
              <w:rFonts w:ascii="Arial" w:hAnsi="Arial" w:cs="Arial"/>
              <w:noProof/>
              <w:sz w:val="22"/>
              <w:szCs w:val="22"/>
            </w:rPr>
            <w:fldChar w:fldCharType="end"/>
          </w:r>
        </w:p>
      </w:sdtContent>
    </w:sdt>
    <w:p w14:paraId="08B35BBD" w14:textId="77777777" w:rsidR="00B95F75" w:rsidRPr="00A62A6A" w:rsidRDefault="00B95F75" w:rsidP="00A62A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22"/>
          <w:szCs w:val="22"/>
          <w:lang w:val="en-GB"/>
        </w:rPr>
      </w:pPr>
    </w:p>
    <w:p w14:paraId="2FF92D1B"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22"/>
          <w:szCs w:val="22"/>
          <w:lang w:val="en-GB"/>
        </w:rPr>
      </w:pPr>
    </w:p>
    <w:p w14:paraId="259FFDED" w14:textId="1EAC49CA" w:rsidR="00A62A6A" w:rsidRPr="00A62A6A" w:rsidRDefault="00A62A6A">
      <w:pPr>
        <w:rPr>
          <w:rFonts w:ascii="Arial" w:hAnsi="Arial" w:cs="Arial"/>
          <w:kern w:val="0"/>
          <w:sz w:val="22"/>
          <w:szCs w:val="22"/>
          <w:lang w:val="en-GB"/>
        </w:rPr>
      </w:pPr>
      <w:r w:rsidRPr="00A62A6A">
        <w:rPr>
          <w:rFonts w:ascii="Arial" w:hAnsi="Arial" w:cs="Arial"/>
          <w:kern w:val="0"/>
          <w:sz w:val="22"/>
          <w:szCs w:val="22"/>
          <w:lang w:val="en-GB"/>
        </w:rPr>
        <w:br w:type="page"/>
      </w:r>
    </w:p>
    <w:p w14:paraId="4F93B39D" w14:textId="6368C737" w:rsidR="00B95F75" w:rsidRPr="00A62A6A" w:rsidRDefault="00B95F75" w:rsidP="002E4536">
      <w:pPr>
        <w:pStyle w:val="Heading1"/>
        <w:spacing w:line="360" w:lineRule="auto"/>
        <w:rPr>
          <w:rFonts w:ascii="Arial" w:hAnsi="Arial" w:cs="Arial"/>
          <w:b/>
          <w:bCs/>
          <w:color w:val="auto"/>
          <w:sz w:val="22"/>
          <w:szCs w:val="22"/>
          <w:lang w:val="en-GB"/>
        </w:rPr>
      </w:pPr>
      <w:bookmarkStart w:id="0" w:name="_Toc216647965"/>
      <w:r w:rsidRPr="00A62A6A">
        <w:rPr>
          <w:rFonts w:ascii="Arial" w:hAnsi="Arial" w:cs="Arial"/>
          <w:b/>
          <w:bCs/>
          <w:color w:val="auto"/>
          <w:sz w:val="22"/>
          <w:szCs w:val="22"/>
          <w:lang w:val="en-GB"/>
        </w:rPr>
        <w:lastRenderedPageBreak/>
        <w:t>Task 1</w:t>
      </w:r>
      <w:bookmarkEnd w:id="0"/>
      <w:r w:rsidRPr="00A62A6A">
        <w:rPr>
          <w:rFonts w:ascii="Arial" w:hAnsi="Arial" w:cs="Arial"/>
          <w:b/>
          <w:bCs/>
          <w:color w:val="auto"/>
          <w:sz w:val="22"/>
          <w:szCs w:val="22"/>
          <w:lang w:val="en-GB"/>
        </w:rPr>
        <w:t xml:space="preserve"> </w:t>
      </w:r>
    </w:p>
    <w:p w14:paraId="3C5B96A0"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p>
    <w:p w14:paraId="1438C3B0" w14:textId="0D3818B2"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A62A6A">
        <w:rPr>
          <w:rFonts w:ascii="Arial" w:hAnsi="Arial" w:cs="Arial"/>
          <w:sz w:val="22"/>
          <w:szCs w:val="22"/>
        </w:rPr>
        <w:t>Adama Dalila Correia Djaura</w:t>
      </w:r>
    </w:p>
    <w:p w14:paraId="71620EBC" w14:textId="38F46E50"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r w:rsidRPr="00A62A6A">
        <w:rPr>
          <w:rFonts w:ascii="Arial" w:hAnsi="Arial" w:cs="Arial"/>
          <w:kern w:val="0"/>
          <w:sz w:val="22"/>
          <w:szCs w:val="22"/>
          <w:lang w:val="en-GB"/>
        </w:rPr>
        <w:t>23 Oakfield Drive</w:t>
      </w:r>
    </w:p>
    <w:p w14:paraId="59DC26A0"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r w:rsidRPr="00A62A6A">
        <w:rPr>
          <w:rFonts w:ascii="Arial" w:hAnsi="Arial" w:cs="Arial"/>
          <w:kern w:val="0"/>
          <w:sz w:val="22"/>
          <w:szCs w:val="22"/>
          <w:lang w:val="en-GB"/>
        </w:rPr>
        <w:t>Temple Hill</w:t>
      </w:r>
    </w:p>
    <w:p w14:paraId="76AAA2FE" w14:textId="2DB459E5"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r w:rsidRPr="00A62A6A">
        <w:rPr>
          <w:rFonts w:ascii="Arial" w:hAnsi="Arial" w:cs="Arial"/>
          <w:kern w:val="0"/>
          <w:sz w:val="22"/>
          <w:szCs w:val="22"/>
          <w:lang w:val="en-GB"/>
        </w:rPr>
        <w:t>Dartford, Kent, DA1 5RT</w:t>
      </w:r>
    </w:p>
    <w:p w14:paraId="17905396"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p>
    <w:p w14:paraId="204A8DF3" w14:textId="67346F8D"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right"/>
        <w:rPr>
          <w:rFonts w:ascii="Arial" w:hAnsi="Arial" w:cs="Arial"/>
          <w:kern w:val="0"/>
          <w:sz w:val="22"/>
          <w:szCs w:val="22"/>
          <w:lang w:val="en-GB"/>
        </w:rPr>
      </w:pPr>
      <w:r w:rsidRPr="00A62A6A">
        <w:rPr>
          <w:rFonts w:ascii="Arial" w:hAnsi="Arial" w:cs="Arial"/>
          <w:kern w:val="0"/>
          <w:sz w:val="22"/>
          <w:szCs w:val="22"/>
          <w:lang w:val="en-GB"/>
        </w:rPr>
        <w:t>To: Councillor Rachael Anne</w:t>
      </w:r>
    </w:p>
    <w:p w14:paraId="538D4067"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right"/>
        <w:rPr>
          <w:rFonts w:ascii="Arial" w:hAnsi="Arial" w:cs="Arial"/>
          <w:kern w:val="0"/>
          <w:sz w:val="22"/>
          <w:szCs w:val="22"/>
          <w:lang w:val="en-GB"/>
        </w:rPr>
      </w:pPr>
      <w:r w:rsidRPr="00A62A6A">
        <w:rPr>
          <w:rFonts w:ascii="Arial" w:hAnsi="Arial" w:cs="Arial"/>
          <w:kern w:val="0"/>
          <w:sz w:val="22"/>
          <w:szCs w:val="22"/>
          <w:lang w:val="en-GB"/>
        </w:rPr>
        <w:t>99 Kent Road</w:t>
      </w:r>
    </w:p>
    <w:p w14:paraId="68498273" w14:textId="4BA7A008"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right"/>
        <w:rPr>
          <w:rFonts w:ascii="Arial" w:hAnsi="Arial" w:cs="Arial"/>
          <w:kern w:val="0"/>
          <w:sz w:val="22"/>
          <w:szCs w:val="22"/>
          <w:lang w:val="en-GB"/>
        </w:rPr>
      </w:pPr>
      <w:r w:rsidRPr="00A62A6A">
        <w:rPr>
          <w:rFonts w:ascii="Arial" w:hAnsi="Arial" w:cs="Arial"/>
          <w:kern w:val="0"/>
          <w:sz w:val="22"/>
          <w:szCs w:val="22"/>
          <w:lang w:val="en-GB"/>
        </w:rPr>
        <w:t>Dartford, Kent, DA1 2AJ</w:t>
      </w:r>
    </w:p>
    <w:p w14:paraId="5E034D39"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p>
    <w:p w14:paraId="524C038C" w14:textId="39EF73DE"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A62A6A">
        <w:rPr>
          <w:rFonts w:ascii="Arial" w:hAnsi="Arial" w:cs="Arial"/>
          <w:sz w:val="22"/>
          <w:szCs w:val="22"/>
        </w:rPr>
        <w:t>Dear Councillor Rachael Anne,</w:t>
      </w:r>
    </w:p>
    <w:p w14:paraId="75A0DA41"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56EDAC0B" w14:textId="4CA0B0B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A62A6A">
        <w:rPr>
          <w:rFonts w:ascii="Arial" w:hAnsi="Arial" w:cs="Arial"/>
          <w:sz w:val="22"/>
          <w:szCs w:val="22"/>
        </w:rPr>
        <w:t>I am writing to express my concerns about the lack of community mental health services in the Dartford Borough Council area and to request your urgent consideration regarding the measures that must be implemented to improve the provision and availability of these services. Through my experience in the community, I have seen an increasing number of people struggle to receive mental health assistance. In accordance with the Local Authority’s responsibilities under the Care Act 2014, Part One: Care and Support, the situation has grown more pressing and is causing the community considerable distress.</w:t>
      </w:r>
    </w:p>
    <w:p w14:paraId="0148F11C" w14:textId="7C41EC95"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A62A6A">
        <w:rPr>
          <w:rFonts w:ascii="Arial" w:hAnsi="Arial" w:cs="Arial"/>
          <w:sz w:val="22"/>
          <w:szCs w:val="22"/>
        </w:rPr>
        <w:t>The Care Act of 2014 contains several explicit legal obligations for Local Authorities, namely to promote individual wellbeing (Section 1), to prevent the needs for care and support (Section 2), to promote the integration of care and support with health services (Section 3), and to enable access to information and advice (Section 4). Community mental health services play a crucial role in meeting these responsibilities by offering early intervention, personal support, and regular check-ins for individuals in need. When these services are limited, as they currently are in Dartford, residents face numerous barriers to maintaining their overall wellbeing.</w:t>
      </w:r>
    </w:p>
    <w:p w14:paraId="063CC96C" w14:textId="38E5AFD4"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A62A6A">
        <w:rPr>
          <w:rFonts w:ascii="Arial" w:hAnsi="Arial" w:cs="Arial"/>
          <w:sz w:val="22"/>
          <w:szCs w:val="22"/>
        </w:rPr>
        <w:t xml:space="preserve">The Local Authority must take into account a person’s mental health, sense of dignity, and capacity to participate in employment, education, and communal life under Section 1.  Residents of Dartford’s Central area, Temple Hill, Wilmington, and adjacent neighbourhoods have complained about prolonged waiting periods for consultatons, restricted group support options, and a general scarcity of locally available early-intervention mental health services.  Many people are left without the assistance they require to deal with issues like stress, anxiety, and depression because of these deficiencies. </w:t>
      </w:r>
    </w:p>
    <w:p w14:paraId="27335F08" w14:textId="46053A4A"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A62A6A">
        <w:rPr>
          <w:rFonts w:ascii="Arial" w:hAnsi="Arial" w:cs="Arial"/>
          <w:sz w:val="22"/>
          <w:szCs w:val="22"/>
        </w:rPr>
        <w:lastRenderedPageBreak/>
        <w:t>Section 2 of the Care Act of 2014 requires Local Authorities to adopt actions that prevent, delay, or limit the development of care and support needs. Essentially, in this context, prevention is far more important than relying on later, more intensive interventions or treatment. When individuals receive timely support, such as early mental health guidance, practical coping strategy assistance, and accessible community-based services, their needs are much less likely to escalate into crises that require costly, high-level statutory involvement. Effective prevention not only protects individual wellbeing but also reduces long-term pressure on local health and social care systems. This is an important legal requirement, and it can only be met if community mental health services are sufficiently financed, available, and accessible. Preventive support, such as wellbeing centres, peer-support groups, therapeutic activities, and targeted outreach, alleviates the burden on crisis services and secondary mental health treatment. However, local groups in Dartford have reported increased referrals to emergency and specialised services exactly because of the lack of community support. The impact of these service shortages extends beyond individual hardship. Many persons with mental health issues struggle to retain their work, education, relationships, and financial security. Without accessible early help, these issues worsen, resulting in long-term health concerns, and additional pressure on already overburdened NHS resources.</w:t>
      </w:r>
    </w:p>
    <w:p w14:paraId="7874CD20" w14:textId="107E692F"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A62A6A">
        <w:rPr>
          <w:rFonts w:ascii="Arial" w:hAnsi="Arial" w:cs="Arial"/>
          <w:sz w:val="22"/>
          <w:szCs w:val="22"/>
        </w:rPr>
        <w:t>I thus encourage Dartford Borough Council to prioritise the extension and enhancement of the borough’s Community Mental Health Services. This may include increased financing and commissioning for community-based mental health programs, improved collaboration with local volunteer groups, expansion of early intervention and rehabilitation programs throughout the borough, and most importantly, improved communication and awareness campaigns to ensure that people know how and where to get help.</w:t>
      </w:r>
    </w:p>
    <w:p w14:paraId="7B813E53"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2E8A6C92"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A62A6A">
        <w:rPr>
          <w:rFonts w:ascii="Arial" w:hAnsi="Arial" w:cs="Arial"/>
          <w:sz w:val="22"/>
          <w:szCs w:val="22"/>
        </w:rPr>
        <w:t xml:space="preserve">I look forward to the opportunity of further discussing the possibilities for addressing the above-mentioned issues. </w:t>
      </w:r>
    </w:p>
    <w:p w14:paraId="6A637A7E"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5EFE5564" w14:textId="69EBFD75"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A62A6A">
        <w:rPr>
          <w:rFonts w:ascii="Arial" w:hAnsi="Arial" w:cs="Arial"/>
          <w:sz w:val="22"/>
          <w:szCs w:val="22"/>
        </w:rPr>
        <w:t>Thank you in advance for your consideration,</w:t>
      </w:r>
    </w:p>
    <w:p w14:paraId="3A4B1B1D"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57D37265" w14:textId="08692D3E" w:rsidR="00B95F75"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A62A6A">
        <w:rPr>
          <w:rFonts w:ascii="Arial" w:hAnsi="Arial" w:cs="Arial"/>
          <w:sz w:val="22"/>
          <w:szCs w:val="22"/>
        </w:rPr>
        <w:t>Adama Dalila Correia Djaura</w:t>
      </w:r>
    </w:p>
    <w:p w14:paraId="698194C6" w14:textId="77777777" w:rsidR="00A62A6A" w:rsidRDefault="00A62A6A"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3BE21C9C" w14:textId="77777777" w:rsidR="00A62A6A" w:rsidRDefault="00A62A6A"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2FE2B836" w14:textId="77777777" w:rsidR="00A62A6A" w:rsidRPr="00A62A6A" w:rsidRDefault="00A62A6A"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1F85B7D9" w14:textId="0B07498A" w:rsidR="00B95F75" w:rsidRPr="00A62A6A" w:rsidRDefault="00B95F75" w:rsidP="002E4536">
      <w:pPr>
        <w:pStyle w:val="Heading1"/>
        <w:spacing w:line="360" w:lineRule="auto"/>
        <w:rPr>
          <w:rFonts w:ascii="Arial" w:hAnsi="Arial" w:cs="Arial"/>
          <w:b/>
          <w:bCs/>
          <w:color w:val="auto"/>
          <w:sz w:val="22"/>
          <w:szCs w:val="22"/>
        </w:rPr>
      </w:pPr>
      <w:bookmarkStart w:id="1" w:name="_Toc216647966"/>
      <w:r w:rsidRPr="00A62A6A">
        <w:rPr>
          <w:rFonts w:ascii="Arial" w:hAnsi="Arial" w:cs="Arial"/>
          <w:b/>
          <w:bCs/>
          <w:color w:val="auto"/>
          <w:sz w:val="22"/>
          <w:szCs w:val="22"/>
        </w:rPr>
        <w:lastRenderedPageBreak/>
        <w:t>Task 2</w:t>
      </w:r>
      <w:bookmarkEnd w:id="1"/>
      <w:r w:rsidRPr="00A62A6A">
        <w:rPr>
          <w:rFonts w:ascii="Arial" w:hAnsi="Arial" w:cs="Arial"/>
          <w:b/>
          <w:bCs/>
          <w:color w:val="auto"/>
          <w:sz w:val="22"/>
          <w:szCs w:val="22"/>
        </w:rPr>
        <w:t xml:space="preserve"> </w:t>
      </w:r>
    </w:p>
    <w:p w14:paraId="50A15AFE"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57347E0A" w14:textId="69FDBF43"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A62A6A">
        <w:rPr>
          <w:rFonts w:ascii="Arial" w:hAnsi="Arial" w:cs="Arial"/>
          <w:sz w:val="22"/>
          <w:szCs w:val="22"/>
        </w:rPr>
        <w:t xml:space="preserve">In the United Kingdom, ambulance services have a lenghty history, reaching back to the nineteenth century. The National Health Service (NHS) was crucial in coordinating and enhancing ambulance services, as well as integrating them into the larger healthcare system. </w:t>
      </w:r>
    </w:p>
    <w:p w14:paraId="20A4483E" w14:textId="6026A34A"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A62A6A">
        <w:rPr>
          <w:rFonts w:ascii="Arial" w:hAnsi="Arial" w:cs="Arial"/>
          <w:sz w:val="22"/>
          <w:szCs w:val="22"/>
        </w:rPr>
        <w:t xml:space="preserve">Before the introduction of a national ambulance service, firemen and policemen were the main responsible authorities to bring patients to the hospital. To compound the need for an ambulance service, firefighter and police departments only received obligatory first aid training in 1925 (Nine, 2025). The ambulance service was brought to the UK in 1948 in response to the urgent need for an extra emergency service, and it was supported by the government’s determination to offer free care to all patients in need (Nine, 2025). In the mid-1960s Belfast, Professor Frank Pantridge pioneered a coronary care ambulance, setting the standard for out-of-hospital critical care and intensive care medicine to this day (Whitley and Munro, 2025). </w:t>
      </w:r>
    </w:p>
    <w:p w14:paraId="64ECE044" w14:textId="538253FD"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A62A6A">
        <w:rPr>
          <w:rFonts w:ascii="Arial" w:hAnsi="Arial" w:cs="Arial"/>
          <w:sz w:val="22"/>
          <w:szCs w:val="22"/>
        </w:rPr>
        <w:t xml:space="preserve">NHS Ambulance Services play an important part in the government’s emergency care system, and they have regularly shown professionalism and efficacy during national catastrophes.  For instance, the swift reaction of ambulance staff to situations such as the Grenfell Tower fire and terrorist attacks in Manchester and London demonstrated their competence, devotion, and importance. Nonetheless, rising concerns have been voiced about resource constraints, budget challenges, and the long-term viability of ambulance services. </w:t>
      </w:r>
    </w:p>
    <w:p w14:paraId="11F7769E" w14:textId="7F8EF8BF"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A62A6A">
        <w:rPr>
          <w:rFonts w:ascii="Arial" w:hAnsi="Arial" w:cs="Arial"/>
          <w:sz w:val="22"/>
          <w:szCs w:val="22"/>
        </w:rPr>
        <w:t>Overcrowding in A&amp;E departments has caused delays in the transfer of patients from ambulances into hospitals, resulting in congestion that lower the community’s access to ambulances. Reports in the media have highlighted instances when patients suffered severe injuries or even passed away while waiting the arrival of an ambulance (BBC, 2022; Ayad, 2025; Gregory, 2025). These incidents have sparked political and public discourse regarding the quality of emergency care and the idea that ambulance services are now under strain all year round. This challenge is directly related to more general systemic problems, such as the NHS’s limited capacity and the growing demand for emergency treatment. Ambulance services are finding it more and more difficult to ensure prompt responses as demand keeps rising. If ambulance services are to continue to be reliable and efficient in the future, especially during times of increased stress, these challenges must be addressed.</w:t>
      </w:r>
    </w:p>
    <w:p w14:paraId="4D0CC1B1" w14:textId="3A36B690"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A62A6A">
        <w:rPr>
          <w:rFonts w:ascii="Arial" w:hAnsi="Arial" w:cs="Arial"/>
          <w:sz w:val="22"/>
          <w:szCs w:val="22"/>
        </w:rPr>
        <w:t xml:space="preserve">Thus, the first healthcare challenge explored in this essay is the ambulance service’s attempts to maintain its availability while underfunded and overstretched. Unacceptably long ambulance response times have become a national issue. According to figures from the </w:t>
      </w:r>
      <w:r w:rsidRPr="00A62A6A">
        <w:rPr>
          <w:rFonts w:ascii="Arial" w:hAnsi="Arial" w:cs="Arial"/>
          <w:sz w:val="22"/>
          <w:szCs w:val="22"/>
        </w:rPr>
        <w:lastRenderedPageBreak/>
        <w:t xml:space="preserve">Office for National Statistics, an estimated 50,000 individuals passed away in 2024 as a result of lengthy A&amp;E wait times. The NHS sets the following targets: seven minutes for category 1 calls, with 90% of ambulances arriving within 15 minutes; 18 minutes for category 2 calls, with 90% of ambulances arriving within 40 minutes; and 90% of ambulances arriving within two and three hours, respectively (Baker et al., 2025). However, these standards have yet to be fulfilled across the country. In January 2025, South Western Ambulance reported that the average time to react to a category 2 call was 51 minutes and 45 seconds, approximately three times slower than the NHS objective (Dyke, 2025).  </w:t>
      </w:r>
    </w:p>
    <w:p w14:paraId="2CF26FC1" w14:textId="2AF0B4FC"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A62A6A">
        <w:rPr>
          <w:rFonts w:ascii="Arial" w:hAnsi="Arial" w:cs="Arial"/>
          <w:sz w:val="22"/>
          <w:szCs w:val="22"/>
        </w:rPr>
        <w:t>Another important challenge to discuss is how ambulance staff’s capacity to work has been historically affected by high levels of stress. Research suggests that NHS ambulance professionals may be at risk for cardiovascular disease, post-traumatic stress disorder (PTSD), and other related conditions (Petrie et al., 2018; Hoell et al., 2023). These health issues can have a substantial impact on employees’ well-being and long-term capacity to perform their job. In addition to the physical and emotional demands of the job, the culture within emergency services has traditionally discouraged open talk about mental health. As argued by Kirby et al. (2016), emergency service professionals are more vulnerable to mental health issues than the general population, yet they are frequently less inclined to seek professional help. Stigma, anxiety about seeming weak, and concerns about the possible impact on professional advancement may hinder employees from seeking assistance at an early stage. This hesitation can exacerbate mental health difficulties over time, resulting in increasing sick leave, burnout, and personnel quitting the service entirely.</w:t>
      </w:r>
    </w:p>
    <w:p w14:paraId="097016A5" w14:textId="4D4C825A" w:rsidR="00B95F75" w:rsidRPr="00A62A6A" w:rsidRDefault="00B95F75" w:rsidP="00A62A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r w:rsidRPr="00A62A6A">
        <w:rPr>
          <w:rFonts w:ascii="Arial" w:hAnsi="Arial" w:cs="Arial"/>
          <w:sz w:val="22"/>
          <w:szCs w:val="22"/>
        </w:rPr>
        <w:t>To conclude, ambulance services in the UK have developed into a highly qualified and crucial part of the healthcare system; nonetheless, they now confront major challenges that affect their capacity to provide prompt and efficient care. The first challenge noted is the growing demand for ambulance services combined with systemic pressures and persistent underfunding. Increased and ongoing investment is needed throughout the NHS to address this, especially in hospital capacity and social care. Reducing A&amp;E department overcrowding would assist avoid ambulance handover delays, improving response times and enabling crews to return to the community sooner. Following, the health and ability of the ambulance workforce are the second issue. Emergency services must change their culture to focus the mental health of its employees in order to address this problem. To lessen burnout and boost job retention, there must be greater access to psychological support, protected downtime, and task management techniques. Reducing stigma and normalising discussions about mental health will encourage employees to get assistance sooner, saving long-term sickness and workforce loss. Thus, ambulance services will be better prepared to handle growing demand and provide safe, dependable emergency care in the future if structural budget constraints and paramedic wellness are addressed.</w:t>
      </w:r>
    </w:p>
    <w:p w14:paraId="0150F880" w14:textId="3FF8DBBF" w:rsidR="00B95F75" w:rsidRPr="00A62A6A" w:rsidRDefault="00B95F75" w:rsidP="002E4536">
      <w:pPr>
        <w:pStyle w:val="Heading1"/>
        <w:spacing w:line="360" w:lineRule="auto"/>
        <w:rPr>
          <w:rFonts w:ascii="Arial" w:hAnsi="Arial" w:cs="Arial"/>
          <w:b/>
          <w:bCs/>
          <w:color w:val="auto"/>
          <w:sz w:val="22"/>
          <w:szCs w:val="22"/>
        </w:rPr>
      </w:pPr>
      <w:bookmarkStart w:id="2" w:name="_Toc216647967"/>
      <w:r w:rsidRPr="00A62A6A">
        <w:rPr>
          <w:rFonts w:ascii="Arial" w:hAnsi="Arial" w:cs="Arial"/>
          <w:b/>
          <w:bCs/>
          <w:color w:val="auto"/>
          <w:sz w:val="22"/>
          <w:szCs w:val="22"/>
        </w:rPr>
        <w:lastRenderedPageBreak/>
        <w:t>Reference List</w:t>
      </w:r>
      <w:bookmarkEnd w:id="2"/>
    </w:p>
    <w:p w14:paraId="7BD037FD"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52C37F3B" w14:textId="59154F4D" w:rsidR="00B95F75" w:rsidRPr="00A62A6A" w:rsidRDefault="00B95F75" w:rsidP="002E4536">
      <w:pPr>
        <w:pStyle w:val="NormalWeb"/>
        <w:spacing w:before="0" w:beforeAutospacing="0" w:after="240" w:afterAutospacing="0" w:line="360" w:lineRule="auto"/>
        <w:rPr>
          <w:rFonts w:ascii="Arial" w:hAnsi="Arial" w:cs="Arial"/>
          <w:sz w:val="22"/>
          <w:szCs w:val="22"/>
        </w:rPr>
      </w:pPr>
      <w:r w:rsidRPr="00A62A6A">
        <w:rPr>
          <w:rFonts w:ascii="Arial" w:hAnsi="Arial" w:cs="Arial"/>
          <w:sz w:val="22"/>
          <w:szCs w:val="22"/>
        </w:rPr>
        <w:t xml:space="preserve">Ayad, F. (2025). </w:t>
      </w:r>
      <w:r w:rsidRPr="00A62A6A">
        <w:rPr>
          <w:rFonts w:ascii="Arial" w:hAnsi="Arial" w:cs="Arial"/>
          <w:i/>
          <w:iCs/>
          <w:sz w:val="22"/>
          <w:szCs w:val="22"/>
        </w:rPr>
        <w:t>Patients dying in ambulances stuck outside A&amp;E because of long waits | News, Press release | News | UNISON National</w:t>
      </w:r>
      <w:r w:rsidRPr="00A62A6A">
        <w:rPr>
          <w:rFonts w:ascii="Arial" w:hAnsi="Arial" w:cs="Arial"/>
          <w:sz w:val="22"/>
          <w:szCs w:val="22"/>
        </w:rPr>
        <w:t xml:space="preserve">. [Online] UNISON National. Available at: </w:t>
      </w:r>
      <w:hyperlink r:id="rId7" w:history="1">
        <w:r w:rsidRPr="00A62A6A">
          <w:rPr>
            <w:rStyle w:val="Hyperlink"/>
            <w:rFonts w:ascii="Arial" w:hAnsi="Arial" w:cs="Arial"/>
            <w:color w:val="auto"/>
            <w:sz w:val="22"/>
            <w:szCs w:val="22"/>
          </w:rPr>
          <w:t>https://www.unison.org.uk/news/press-release/2025/04/patients-dying-in-ambulances-stuck-outside-ae-because-of-long-waits/</w:t>
        </w:r>
      </w:hyperlink>
      <w:r w:rsidRPr="00A62A6A">
        <w:rPr>
          <w:rFonts w:ascii="Arial" w:hAnsi="Arial" w:cs="Arial"/>
          <w:sz w:val="22"/>
          <w:szCs w:val="22"/>
        </w:rPr>
        <w:t xml:space="preserve"> [Accessed: 12 December 2025].</w:t>
      </w:r>
    </w:p>
    <w:p w14:paraId="30F4EF19" w14:textId="5C0ECC2B" w:rsidR="00B95F75" w:rsidRPr="00A62A6A" w:rsidRDefault="00B95F75" w:rsidP="002E4536">
      <w:pPr>
        <w:pStyle w:val="NormalWeb"/>
        <w:spacing w:before="0" w:beforeAutospacing="0" w:after="240" w:afterAutospacing="0" w:line="360" w:lineRule="auto"/>
        <w:rPr>
          <w:rFonts w:ascii="Arial" w:hAnsi="Arial" w:cs="Arial"/>
          <w:sz w:val="22"/>
          <w:szCs w:val="22"/>
        </w:rPr>
      </w:pPr>
      <w:r w:rsidRPr="00A62A6A">
        <w:rPr>
          <w:rFonts w:ascii="Arial" w:hAnsi="Arial" w:cs="Arial"/>
          <w:sz w:val="22"/>
          <w:szCs w:val="22"/>
        </w:rPr>
        <w:t xml:space="preserve">Baker, C., Garratt, K. and Wilson, S. (2025). </w:t>
      </w:r>
      <w:r w:rsidRPr="00A62A6A">
        <w:rPr>
          <w:rFonts w:ascii="Arial" w:hAnsi="Arial" w:cs="Arial"/>
          <w:i/>
          <w:iCs/>
          <w:sz w:val="22"/>
          <w:szCs w:val="22"/>
        </w:rPr>
        <w:t>Ambulance service response times</w:t>
      </w:r>
      <w:r w:rsidRPr="00A62A6A">
        <w:rPr>
          <w:rFonts w:ascii="Arial" w:hAnsi="Arial" w:cs="Arial"/>
          <w:sz w:val="22"/>
          <w:szCs w:val="22"/>
        </w:rPr>
        <w:t xml:space="preserve">. [Online] House of Commons Library. Available at: </w:t>
      </w:r>
      <w:hyperlink r:id="rId8" w:history="1">
        <w:r w:rsidRPr="00A62A6A">
          <w:rPr>
            <w:rStyle w:val="Hyperlink"/>
            <w:rFonts w:ascii="Arial" w:hAnsi="Arial" w:cs="Arial"/>
            <w:color w:val="auto"/>
            <w:sz w:val="22"/>
            <w:szCs w:val="22"/>
          </w:rPr>
          <w:t>https://commonslibrary.parliament.uk/research-briefings/cdp-2025-0042/</w:t>
        </w:r>
      </w:hyperlink>
      <w:r w:rsidRPr="00A62A6A">
        <w:rPr>
          <w:rFonts w:ascii="Arial" w:hAnsi="Arial" w:cs="Arial"/>
          <w:sz w:val="22"/>
          <w:szCs w:val="22"/>
        </w:rPr>
        <w:t xml:space="preserve"> [Accessed: 12 December 2025].</w:t>
      </w:r>
    </w:p>
    <w:p w14:paraId="3F8564CE" w14:textId="119A9F2A" w:rsidR="00B95F75" w:rsidRPr="00A62A6A" w:rsidRDefault="00B95F75" w:rsidP="002E4536">
      <w:pPr>
        <w:pStyle w:val="NormalWeb"/>
        <w:spacing w:before="0" w:beforeAutospacing="0" w:after="240" w:afterAutospacing="0" w:line="360" w:lineRule="auto"/>
        <w:rPr>
          <w:rFonts w:ascii="Arial" w:hAnsi="Arial" w:cs="Arial"/>
          <w:sz w:val="22"/>
          <w:szCs w:val="22"/>
        </w:rPr>
      </w:pPr>
      <w:r w:rsidRPr="00A62A6A">
        <w:rPr>
          <w:rFonts w:ascii="Arial" w:hAnsi="Arial" w:cs="Arial"/>
          <w:sz w:val="22"/>
          <w:szCs w:val="22"/>
        </w:rPr>
        <w:t xml:space="preserve">BBC (2022). Ambulance wait times endangering patients, doctors say. </w:t>
      </w:r>
      <w:r w:rsidRPr="00A62A6A">
        <w:rPr>
          <w:rFonts w:ascii="Arial" w:hAnsi="Arial" w:cs="Arial"/>
          <w:i/>
          <w:iCs/>
          <w:sz w:val="22"/>
          <w:szCs w:val="22"/>
        </w:rPr>
        <w:t>www.bbc.com</w:t>
      </w:r>
      <w:r w:rsidRPr="00A62A6A">
        <w:rPr>
          <w:rFonts w:ascii="Arial" w:hAnsi="Arial" w:cs="Arial"/>
          <w:sz w:val="22"/>
          <w:szCs w:val="22"/>
        </w:rPr>
        <w:t xml:space="preserve">. [Online] 11 May. Available at: </w:t>
      </w:r>
      <w:hyperlink r:id="rId9" w:history="1">
        <w:r w:rsidRPr="00A62A6A">
          <w:rPr>
            <w:rStyle w:val="Hyperlink"/>
            <w:rFonts w:ascii="Arial" w:hAnsi="Arial" w:cs="Arial"/>
            <w:color w:val="auto"/>
            <w:sz w:val="22"/>
            <w:szCs w:val="22"/>
          </w:rPr>
          <w:t>https://www.bbc.com/news/health-61335711</w:t>
        </w:r>
      </w:hyperlink>
      <w:r w:rsidRPr="00A62A6A">
        <w:rPr>
          <w:rFonts w:ascii="Arial" w:hAnsi="Arial" w:cs="Arial"/>
          <w:sz w:val="22"/>
          <w:szCs w:val="22"/>
        </w:rPr>
        <w:t xml:space="preserve"> [Accessed: 12 December 2025].</w:t>
      </w:r>
    </w:p>
    <w:p w14:paraId="7B78FAB0" w14:textId="3815192D" w:rsidR="00B95F75" w:rsidRPr="00A62A6A" w:rsidRDefault="00B95F75" w:rsidP="002E4536">
      <w:pPr>
        <w:pStyle w:val="NormalWeb"/>
        <w:spacing w:before="0" w:beforeAutospacing="0" w:after="240" w:afterAutospacing="0" w:line="360" w:lineRule="auto"/>
        <w:rPr>
          <w:rFonts w:ascii="Arial" w:hAnsi="Arial" w:cs="Arial"/>
          <w:sz w:val="22"/>
          <w:szCs w:val="22"/>
        </w:rPr>
      </w:pPr>
      <w:r w:rsidRPr="00A62A6A">
        <w:rPr>
          <w:rFonts w:ascii="Arial" w:hAnsi="Arial" w:cs="Arial"/>
          <w:sz w:val="22"/>
          <w:szCs w:val="22"/>
        </w:rPr>
        <w:t xml:space="preserve">Dyke, S. (2025). </w:t>
      </w:r>
      <w:r w:rsidRPr="00A62A6A">
        <w:rPr>
          <w:rFonts w:ascii="Arial" w:hAnsi="Arial" w:cs="Arial"/>
          <w:i/>
          <w:iCs/>
          <w:sz w:val="22"/>
          <w:szCs w:val="22"/>
        </w:rPr>
        <w:t>Ambulance Response Times - Hansard - UK Parliament</w:t>
      </w:r>
      <w:r w:rsidRPr="00A62A6A">
        <w:rPr>
          <w:rFonts w:ascii="Arial" w:hAnsi="Arial" w:cs="Arial"/>
          <w:sz w:val="22"/>
          <w:szCs w:val="22"/>
        </w:rPr>
        <w:t xml:space="preserve">. [Online] Parliament.uk. Available at: </w:t>
      </w:r>
      <w:hyperlink r:id="rId10" w:history="1">
        <w:r w:rsidRPr="00A62A6A">
          <w:rPr>
            <w:rStyle w:val="Hyperlink"/>
            <w:rFonts w:ascii="Arial" w:hAnsi="Arial" w:cs="Arial"/>
            <w:color w:val="auto"/>
            <w:sz w:val="22"/>
            <w:szCs w:val="22"/>
          </w:rPr>
          <w:t>https://hansard.parliament.uk/commons/2025-03-06/debates/984BB757-AE11-408C-8BA6-56885FB4A999/AmbulanceResponseTimes</w:t>
        </w:r>
      </w:hyperlink>
      <w:r w:rsidRPr="00A62A6A">
        <w:rPr>
          <w:rFonts w:ascii="Arial" w:hAnsi="Arial" w:cs="Arial"/>
          <w:sz w:val="22"/>
          <w:szCs w:val="22"/>
        </w:rPr>
        <w:t xml:space="preserve"> [Accessed: 10 December 2025].</w:t>
      </w:r>
    </w:p>
    <w:p w14:paraId="6B36398E" w14:textId="15CE8B5D" w:rsidR="00B95F75" w:rsidRPr="00A62A6A" w:rsidRDefault="00B95F75" w:rsidP="002E4536">
      <w:pPr>
        <w:pStyle w:val="NormalWeb"/>
        <w:spacing w:before="0" w:beforeAutospacing="0" w:after="240" w:afterAutospacing="0" w:line="360" w:lineRule="auto"/>
        <w:rPr>
          <w:rFonts w:ascii="Arial" w:hAnsi="Arial" w:cs="Arial"/>
          <w:sz w:val="22"/>
          <w:szCs w:val="22"/>
        </w:rPr>
      </w:pPr>
      <w:r w:rsidRPr="00A62A6A">
        <w:rPr>
          <w:rFonts w:ascii="Arial" w:hAnsi="Arial" w:cs="Arial"/>
          <w:sz w:val="22"/>
          <w:szCs w:val="22"/>
        </w:rPr>
        <w:t xml:space="preserve">Gregory, A. (2025). </w:t>
      </w:r>
      <w:r w:rsidRPr="00A62A6A">
        <w:rPr>
          <w:rFonts w:ascii="Arial" w:hAnsi="Arial" w:cs="Arial"/>
          <w:i/>
          <w:iCs/>
          <w:sz w:val="22"/>
          <w:szCs w:val="22"/>
        </w:rPr>
        <w:t>Ambulance handover delays in England may harm 1,000 patients a day</w:t>
      </w:r>
      <w:r w:rsidRPr="00A62A6A">
        <w:rPr>
          <w:rFonts w:ascii="Arial" w:hAnsi="Arial" w:cs="Arial"/>
          <w:sz w:val="22"/>
          <w:szCs w:val="22"/>
        </w:rPr>
        <w:t xml:space="preserve">. [Online] the Guardian. Available at: </w:t>
      </w:r>
      <w:hyperlink r:id="rId11" w:history="1">
        <w:r w:rsidRPr="00A62A6A">
          <w:rPr>
            <w:rStyle w:val="Hyperlink"/>
            <w:rFonts w:ascii="Arial" w:hAnsi="Arial" w:cs="Arial"/>
            <w:color w:val="auto"/>
            <w:sz w:val="22"/>
            <w:szCs w:val="22"/>
          </w:rPr>
          <w:t>https://www.theguardian.com/society/2025/jan/05/ambulance-handover-delays-may-harm-1000-patients-day-england</w:t>
        </w:r>
      </w:hyperlink>
      <w:r w:rsidRPr="00A62A6A">
        <w:rPr>
          <w:rFonts w:ascii="Arial" w:hAnsi="Arial" w:cs="Arial"/>
          <w:sz w:val="22"/>
          <w:szCs w:val="22"/>
        </w:rPr>
        <w:t xml:space="preserve"> [Accessed: 12 December 2025].</w:t>
      </w:r>
    </w:p>
    <w:p w14:paraId="1A4AF3F3" w14:textId="2CF0C705" w:rsidR="00B95F75" w:rsidRPr="00A62A6A" w:rsidRDefault="00B95F75" w:rsidP="002E4536">
      <w:pPr>
        <w:pStyle w:val="NormalWeb"/>
        <w:spacing w:before="0" w:beforeAutospacing="0" w:after="240" w:afterAutospacing="0" w:line="360" w:lineRule="auto"/>
        <w:rPr>
          <w:rFonts w:ascii="Arial" w:hAnsi="Arial" w:cs="Arial"/>
          <w:sz w:val="22"/>
          <w:szCs w:val="22"/>
        </w:rPr>
      </w:pPr>
      <w:r w:rsidRPr="00A62A6A">
        <w:rPr>
          <w:rFonts w:ascii="Arial" w:hAnsi="Arial" w:cs="Arial"/>
          <w:sz w:val="22"/>
          <w:szCs w:val="22"/>
        </w:rPr>
        <w:t xml:space="preserve">Hoell, A., Kourmpeli, E. and Dressing, H. (2023). Work-related posttraumatic stress disorder in paramedics in comparison to data from the general population of working age. A systematic review and meta-analysis. </w:t>
      </w:r>
      <w:r w:rsidRPr="00A62A6A">
        <w:rPr>
          <w:rFonts w:ascii="Arial" w:hAnsi="Arial" w:cs="Arial"/>
          <w:i/>
          <w:iCs/>
          <w:sz w:val="22"/>
          <w:szCs w:val="22"/>
        </w:rPr>
        <w:t>Frontiers in Public Health</w:t>
      </w:r>
      <w:r w:rsidRPr="00A62A6A">
        <w:rPr>
          <w:rFonts w:ascii="Arial" w:hAnsi="Arial" w:cs="Arial"/>
          <w:sz w:val="22"/>
          <w:szCs w:val="22"/>
        </w:rPr>
        <w:t>, 11(11). doi:https://doi.org/10.3389/fpubh.2023.1151248.</w:t>
      </w:r>
    </w:p>
    <w:p w14:paraId="487D7264" w14:textId="2C0FE329" w:rsidR="00B95F75" w:rsidRPr="00A62A6A" w:rsidRDefault="00B95F75" w:rsidP="002E4536">
      <w:pPr>
        <w:pStyle w:val="NormalWeb"/>
        <w:spacing w:before="0" w:beforeAutospacing="0" w:after="240" w:afterAutospacing="0" w:line="360" w:lineRule="auto"/>
        <w:rPr>
          <w:rFonts w:ascii="Arial" w:hAnsi="Arial" w:cs="Arial"/>
          <w:sz w:val="22"/>
          <w:szCs w:val="22"/>
        </w:rPr>
      </w:pPr>
      <w:r w:rsidRPr="00A62A6A">
        <w:rPr>
          <w:rFonts w:ascii="Arial" w:hAnsi="Arial" w:cs="Arial"/>
          <w:sz w:val="22"/>
          <w:szCs w:val="22"/>
        </w:rPr>
        <w:t xml:space="preserve">Kirby, K., Moreland, S. and Pollard, J. (2016). The impact of working shifts: exploring the views of UK paramedics. </w:t>
      </w:r>
      <w:r w:rsidRPr="00A62A6A">
        <w:rPr>
          <w:rFonts w:ascii="Arial" w:hAnsi="Arial" w:cs="Arial"/>
          <w:i/>
          <w:iCs/>
          <w:sz w:val="22"/>
          <w:szCs w:val="22"/>
        </w:rPr>
        <w:t>Journal of Paramedic Practice</w:t>
      </w:r>
      <w:r w:rsidRPr="00A62A6A">
        <w:rPr>
          <w:rFonts w:ascii="Arial" w:hAnsi="Arial" w:cs="Arial"/>
          <w:sz w:val="22"/>
          <w:szCs w:val="22"/>
        </w:rPr>
        <w:t>, 8(5), pp.252–257. doi:https://doi.org/10.12968/jpar.2016.8.5.252.</w:t>
      </w:r>
    </w:p>
    <w:p w14:paraId="0F9A3A40" w14:textId="7D8852FB" w:rsidR="00B95F75" w:rsidRPr="00A62A6A" w:rsidRDefault="00B95F75" w:rsidP="002E4536">
      <w:pPr>
        <w:pStyle w:val="NormalWeb"/>
        <w:spacing w:before="0" w:beforeAutospacing="0" w:after="240" w:afterAutospacing="0" w:line="360" w:lineRule="auto"/>
        <w:rPr>
          <w:rFonts w:ascii="Arial" w:hAnsi="Arial" w:cs="Arial"/>
          <w:sz w:val="22"/>
          <w:szCs w:val="22"/>
        </w:rPr>
      </w:pPr>
      <w:r w:rsidRPr="00A62A6A">
        <w:rPr>
          <w:rFonts w:ascii="Arial" w:hAnsi="Arial" w:cs="Arial"/>
          <w:sz w:val="22"/>
          <w:szCs w:val="22"/>
        </w:rPr>
        <w:t xml:space="preserve">Nine (2025). </w:t>
      </w:r>
      <w:r w:rsidRPr="00A62A6A">
        <w:rPr>
          <w:rFonts w:ascii="Arial" w:hAnsi="Arial" w:cs="Arial"/>
          <w:i/>
          <w:iCs/>
          <w:sz w:val="22"/>
          <w:szCs w:val="22"/>
        </w:rPr>
        <w:t>The History of Emergency Services in the UK</w:t>
      </w:r>
      <w:r w:rsidRPr="00A62A6A">
        <w:rPr>
          <w:rFonts w:ascii="Arial" w:hAnsi="Arial" w:cs="Arial"/>
          <w:sz w:val="22"/>
          <w:szCs w:val="22"/>
        </w:rPr>
        <w:t xml:space="preserve">. [Online] Nine Group International. Available at: </w:t>
      </w:r>
      <w:hyperlink r:id="rId12" w:history="1">
        <w:r w:rsidRPr="00A62A6A">
          <w:rPr>
            <w:rStyle w:val="Hyperlink"/>
            <w:rFonts w:ascii="Arial" w:hAnsi="Arial" w:cs="Arial"/>
            <w:color w:val="auto"/>
            <w:sz w:val="22"/>
            <w:szCs w:val="22"/>
          </w:rPr>
          <w:t>https://ninegrp.com/pages/the-history-of-emergency-services-in-the-uk</w:t>
        </w:r>
      </w:hyperlink>
      <w:r w:rsidRPr="00A62A6A">
        <w:rPr>
          <w:rFonts w:ascii="Arial" w:hAnsi="Arial" w:cs="Arial"/>
          <w:sz w:val="22"/>
          <w:szCs w:val="22"/>
        </w:rPr>
        <w:t xml:space="preserve"> [Accessed: 12 December 2025].</w:t>
      </w:r>
    </w:p>
    <w:p w14:paraId="6C969227" w14:textId="77777777" w:rsidR="002E4536" w:rsidRPr="00A62A6A" w:rsidRDefault="00B95F75" w:rsidP="002E4536">
      <w:pPr>
        <w:pStyle w:val="NormalWeb"/>
        <w:spacing w:before="0" w:beforeAutospacing="0" w:after="240" w:afterAutospacing="0" w:line="360" w:lineRule="auto"/>
        <w:rPr>
          <w:rFonts w:ascii="Arial" w:hAnsi="Arial" w:cs="Arial"/>
          <w:sz w:val="22"/>
          <w:szCs w:val="22"/>
        </w:rPr>
      </w:pPr>
      <w:r w:rsidRPr="00A62A6A">
        <w:rPr>
          <w:rFonts w:ascii="Arial" w:hAnsi="Arial" w:cs="Arial"/>
          <w:sz w:val="22"/>
          <w:szCs w:val="22"/>
        </w:rPr>
        <w:lastRenderedPageBreak/>
        <w:t xml:space="preserve">Petrie, K., Milligan-Saville, J., Gayed, A., Deady, M., Phelps, A., Dell, L., Forbes, D., Bryant, R.A., Calvo, R.A., Glozier, N. and Harvey, S.B. (2018). Prevalence of PTSD and common mental disorders amongst ambulance personnel: a systematic review and meta-analysis. </w:t>
      </w:r>
      <w:r w:rsidRPr="00A62A6A">
        <w:rPr>
          <w:rFonts w:ascii="Arial" w:hAnsi="Arial" w:cs="Arial"/>
          <w:i/>
          <w:iCs/>
          <w:sz w:val="22"/>
          <w:szCs w:val="22"/>
        </w:rPr>
        <w:t>Social Psychiatry and Psychiatric Epidemiology</w:t>
      </w:r>
      <w:r w:rsidRPr="00A62A6A">
        <w:rPr>
          <w:rFonts w:ascii="Arial" w:hAnsi="Arial" w:cs="Arial"/>
          <w:sz w:val="22"/>
          <w:szCs w:val="22"/>
        </w:rPr>
        <w:t>, 53(9), pp.897–909. doi:https://doi.org/10.1007/s00127-018-1539-5.</w:t>
      </w:r>
    </w:p>
    <w:p w14:paraId="26AB0046" w14:textId="4E4C9FAD" w:rsidR="00B95F75" w:rsidRPr="00A62A6A" w:rsidRDefault="00B95F75" w:rsidP="002E4536">
      <w:pPr>
        <w:pStyle w:val="NormalWeb"/>
        <w:spacing w:before="0" w:beforeAutospacing="0" w:after="240" w:afterAutospacing="0" w:line="360" w:lineRule="auto"/>
        <w:rPr>
          <w:rFonts w:ascii="Arial" w:hAnsi="Arial" w:cs="Arial"/>
          <w:sz w:val="22"/>
          <w:szCs w:val="22"/>
        </w:rPr>
      </w:pPr>
      <w:r w:rsidRPr="00A62A6A">
        <w:rPr>
          <w:rFonts w:ascii="Arial" w:hAnsi="Arial" w:cs="Arial"/>
          <w:sz w:val="22"/>
          <w:szCs w:val="22"/>
        </w:rPr>
        <w:t xml:space="preserve">Whitley, G.A. and Munro, S. (2025). </w:t>
      </w:r>
      <w:r w:rsidRPr="00A62A6A">
        <w:rPr>
          <w:rFonts w:ascii="Arial" w:hAnsi="Arial" w:cs="Arial"/>
          <w:i/>
          <w:iCs/>
          <w:sz w:val="22"/>
          <w:szCs w:val="22"/>
        </w:rPr>
        <w:t>Research-focused Careers for Paramedics</w:t>
      </w:r>
      <w:r w:rsidRPr="00A62A6A">
        <w:rPr>
          <w:rFonts w:ascii="Arial" w:hAnsi="Arial" w:cs="Arial"/>
          <w:sz w:val="22"/>
          <w:szCs w:val="22"/>
        </w:rPr>
        <w:t>. John Wiley &amp; Sons.</w:t>
      </w:r>
    </w:p>
    <w:p w14:paraId="00012223"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7481ED73"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34D3E57D"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60803CA5"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5B3C7D2E"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37A6EB2C"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35DBC21C"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rPr>
      </w:pPr>
    </w:p>
    <w:p w14:paraId="67DEC939" w14:textId="77777777" w:rsidR="00B95F75" w:rsidRPr="00A62A6A"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p>
    <w:sectPr w:rsidR="00B95F75" w:rsidRPr="00A62A6A">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EF013F" w14:textId="77777777" w:rsidR="00980507" w:rsidRDefault="00980507" w:rsidP="00B95F75">
      <w:r>
        <w:separator/>
      </w:r>
    </w:p>
  </w:endnote>
  <w:endnote w:type="continuationSeparator" w:id="0">
    <w:p w14:paraId="3709299F" w14:textId="77777777" w:rsidR="00980507" w:rsidRDefault="00980507" w:rsidP="00B95F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93916687"/>
      <w:docPartObj>
        <w:docPartGallery w:val="Page Numbers (Bottom of Page)"/>
        <w:docPartUnique/>
      </w:docPartObj>
    </w:sdtPr>
    <w:sdtContent>
      <w:p w14:paraId="61987FA0" w14:textId="679105D2" w:rsidR="00B95F75" w:rsidRDefault="00B95F75" w:rsidP="000B2D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77C9622" w14:textId="77777777" w:rsidR="00B95F75" w:rsidRDefault="00B95F75" w:rsidP="00B95F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Fonts w:ascii="Arial" w:hAnsi="Arial" w:cs="Arial"/>
        <w:sz w:val="22"/>
        <w:szCs w:val="22"/>
      </w:rPr>
      <w:id w:val="-1943909280"/>
      <w:docPartObj>
        <w:docPartGallery w:val="Page Numbers (Bottom of Page)"/>
        <w:docPartUnique/>
      </w:docPartObj>
    </w:sdtPr>
    <w:sdtContent>
      <w:p w14:paraId="3E2DA696" w14:textId="2F96045D" w:rsidR="00B95F75" w:rsidRPr="00020BFC" w:rsidRDefault="00B95F75" w:rsidP="000B2D12">
        <w:pPr>
          <w:pStyle w:val="Footer"/>
          <w:framePr w:wrap="none" w:vAnchor="text" w:hAnchor="margin" w:xAlign="right" w:y="1"/>
          <w:rPr>
            <w:rStyle w:val="PageNumber"/>
            <w:rFonts w:ascii="Arial" w:hAnsi="Arial" w:cs="Arial"/>
            <w:sz w:val="22"/>
            <w:szCs w:val="22"/>
          </w:rPr>
        </w:pPr>
        <w:r w:rsidRPr="00020BFC">
          <w:rPr>
            <w:rStyle w:val="PageNumber"/>
            <w:rFonts w:ascii="Arial" w:hAnsi="Arial" w:cs="Arial"/>
            <w:sz w:val="22"/>
            <w:szCs w:val="22"/>
          </w:rPr>
          <w:fldChar w:fldCharType="begin"/>
        </w:r>
        <w:r w:rsidRPr="00020BFC">
          <w:rPr>
            <w:rStyle w:val="PageNumber"/>
            <w:rFonts w:ascii="Arial" w:hAnsi="Arial" w:cs="Arial"/>
            <w:sz w:val="22"/>
            <w:szCs w:val="22"/>
          </w:rPr>
          <w:instrText xml:space="preserve"> PAGE </w:instrText>
        </w:r>
        <w:r w:rsidRPr="00020BFC">
          <w:rPr>
            <w:rStyle w:val="PageNumber"/>
            <w:rFonts w:ascii="Arial" w:hAnsi="Arial" w:cs="Arial"/>
            <w:sz w:val="22"/>
            <w:szCs w:val="22"/>
          </w:rPr>
          <w:fldChar w:fldCharType="separate"/>
        </w:r>
        <w:r w:rsidRPr="00020BFC">
          <w:rPr>
            <w:rStyle w:val="PageNumber"/>
            <w:rFonts w:ascii="Arial" w:hAnsi="Arial" w:cs="Arial"/>
            <w:noProof/>
            <w:sz w:val="22"/>
            <w:szCs w:val="22"/>
          </w:rPr>
          <w:t>1</w:t>
        </w:r>
        <w:r w:rsidRPr="00020BFC">
          <w:rPr>
            <w:rStyle w:val="PageNumber"/>
            <w:rFonts w:ascii="Arial" w:hAnsi="Arial" w:cs="Arial"/>
            <w:sz w:val="22"/>
            <w:szCs w:val="22"/>
          </w:rPr>
          <w:fldChar w:fldCharType="end"/>
        </w:r>
      </w:p>
    </w:sdtContent>
  </w:sdt>
  <w:p w14:paraId="6F056CD9" w14:textId="77777777" w:rsidR="00B95F75" w:rsidRPr="00020BFC" w:rsidRDefault="00B95F75" w:rsidP="00B95F75">
    <w:pPr>
      <w:pStyle w:val="Footer"/>
      <w:ind w:right="360"/>
      <w:rPr>
        <w:rFonts w:ascii="Arial" w:hAnsi="Arial" w:cs="Arial"/>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FF2856" w14:textId="77777777" w:rsidR="00980507" w:rsidRDefault="00980507" w:rsidP="00B95F75">
      <w:r>
        <w:separator/>
      </w:r>
    </w:p>
  </w:footnote>
  <w:footnote w:type="continuationSeparator" w:id="0">
    <w:p w14:paraId="1D25D88B" w14:textId="77777777" w:rsidR="00980507" w:rsidRDefault="00980507" w:rsidP="00B95F7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F75"/>
    <w:rsid w:val="00006724"/>
    <w:rsid w:val="00020BFC"/>
    <w:rsid w:val="00044248"/>
    <w:rsid w:val="002E4536"/>
    <w:rsid w:val="007D1B34"/>
    <w:rsid w:val="00980507"/>
    <w:rsid w:val="00A62A6A"/>
    <w:rsid w:val="00AA278D"/>
    <w:rsid w:val="00B95F75"/>
    <w:rsid w:val="00DA47A4"/>
    <w:rsid w:val="00FD6BDA"/>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05283F3B"/>
  <w15:chartTrackingRefBased/>
  <w15:docId w15:val="{1279AEEB-11F2-1740-B226-4DA8EBD0B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5F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5F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5F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5F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5F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5F7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5F7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5F7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5F7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5F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5F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5F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5F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5F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5F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5F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5F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5F75"/>
    <w:rPr>
      <w:rFonts w:eastAsiaTheme="majorEastAsia" w:cstheme="majorBidi"/>
      <w:color w:val="272727" w:themeColor="text1" w:themeTint="D8"/>
    </w:rPr>
  </w:style>
  <w:style w:type="paragraph" w:styleId="Title">
    <w:name w:val="Title"/>
    <w:basedOn w:val="Normal"/>
    <w:next w:val="Normal"/>
    <w:link w:val="TitleChar"/>
    <w:uiPriority w:val="10"/>
    <w:qFormat/>
    <w:rsid w:val="00B95F7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5F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5F7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5F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5F7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95F75"/>
    <w:rPr>
      <w:i/>
      <w:iCs/>
      <w:color w:val="404040" w:themeColor="text1" w:themeTint="BF"/>
    </w:rPr>
  </w:style>
  <w:style w:type="paragraph" w:styleId="ListParagraph">
    <w:name w:val="List Paragraph"/>
    <w:basedOn w:val="Normal"/>
    <w:uiPriority w:val="34"/>
    <w:qFormat/>
    <w:rsid w:val="00B95F75"/>
    <w:pPr>
      <w:ind w:left="720"/>
      <w:contextualSpacing/>
    </w:pPr>
  </w:style>
  <w:style w:type="character" w:styleId="IntenseEmphasis">
    <w:name w:val="Intense Emphasis"/>
    <w:basedOn w:val="DefaultParagraphFont"/>
    <w:uiPriority w:val="21"/>
    <w:qFormat/>
    <w:rsid w:val="00B95F75"/>
    <w:rPr>
      <w:i/>
      <w:iCs/>
      <w:color w:val="0F4761" w:themeColor="accent1" w:themeShade="BF"/>
    </w:rPr>
  </w:style>
  <w:style w:type="paragraph" w:styleId="IntenseQuote">
    <w:name w:val="Intense Quote"/>
    <w:basedOn w:val="Normal"/>
    <w:next w:val="Normal"/>
    <w:link w:val="IntenseQuoteChar"/>
    <w:uiPriority w:val="30"/>
    <w:qFormat/>
    <w:rsid w:val="00B95F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5F75"/>
    <w:rPr>
      <w:i/>
      <w:iCs/>
      <w:color w:val="0F4761" w:themeColor="accent1" w:themeShade="BF"/>
    </w:rPr>
  </w:style>
  <w:style w:type="character" w:styleId="IntenseReference">
    <w:name w:val="Intense Reference"/>
    <w:basedOn w:val="DefaultParagraphFont"/>
    <w:uiPriority w:val="32"/>
    <w:qFormat/>
    <w:rsid w:val="00B95F75"/>
    <w:rPr>
      <w:b/>
      <w:bCs/>
      <w:smallCaps/>
      <w:color w:val="0F4761" w:themeColor="accent1" w:themeShade="BF"/>
      <w:spacing w:val="5"/>
    </w:rPr>
  </w:style>
  <w:style w:type="paragraph" w:styleId="Footer">
    <w:name w:val="footer"/>
    <w:basedOn w:val="Normal"/>
    <w:link w:val="FooterChar"/>
    <w:uiPriority w:val="99"/>
    <w:unhideWhenUsed/>
    <w:rsid w:val="00B95F75"/>
    <w:pPr>
      <w:tabs>
        <w:tab w:val="center" w:pos="4513"/>
        <w:tab w:val="right" w:pos="9026"/>
      </w:tabs>
    </w:pPr>
  </w:style>
  <w:style w:type="character" w:customStyle="1" w:styleId="FooterChar">
    <w:name w:val="Footer Char"/>
    <w:basedOn w:val="DefaultParagraphFont"/>
    <w:link w:val="Footer"/>
    <w:uiPriority w:val="99"/>
    <w:rsid w:val="00B95F75"/>
  </w:style>
  <w:style w:type="character" w:styleId="PageNumber">
    <w:name w:val="page number"/>
    <w:basedOn w:val="DefaultParagraphFont"/>
    <w:uiPriority w:val="99"/>
    <w:semiHidden/>
    <w:unhideWhenUsed/>
    <w:rsid w:val="00B95F75"/>
  </w:style>
  <w:style w:type="paragraph" w:styleId="Header">
    <w:name w:val="header"/>
    <w:basedOn w:val="Normal"/>
    <w:link w:val="HeaderChar"/>
    <w:uiPriority w:val="99"/>
    <w:unhideWhenUsed/>
    <w:rsid w:val="00B95F75"/>
    <w:pPr>
      <w:tabs>
        <w:tab w:val="center" w:pos="4513"/>
        <w:tab w:val="right" w:pos="9026"/>
      </w:tabs>
    </w:pPr>
  </w:style>
  <w:style w:type="character" w:customStyle="1" w:styleId="HeaderChar">
    <w:name w:val="Header Char"/>
    <w:basedOn w:val="DefaultParagraphFont"/>
    <w:link w:val="Header"/>
    <w:uiPriority w:val="99"/>
    <w:rsid w:val="00B95F75"/>
  </w:style>
  <w:style w:type="paragraph" w:styleId="NormalWeb">
    <w:name w:val="Normal (Web)"/>
    <w:basedOn w:val="Normal"/>
    <w:uiPriority w:val="99"/>
    <w:semiHidden/>
    <w:unhideWhenUsed/>
    <w:rsid w:val="00B95F7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95F75"/>
    <w:rPr>
      <w:color w:val="467886" w:themeColor="hyperlink"/>
      <w:u w:val="single"/>
    </w:rPr>
  </w:style>
  <w:style w:type="character" w:styleId="UnresolvedMention">
    <w:name w:val="Unresolved Mention"/>
    <w:basedOn w:val="DefaultParagraphFont"/>
    <w:uiPriority w:val="99"/>
    <w:semiHidden/>
    <w:unhideWhenUsed/>
    <w:rsid w:val="00B95F75"/>
    <w:rPr>
      <w:color w:val="605E5C"/>
      <w:shd w:val="clear" w:color="auto" w:fill="E1DFDD"/>
    </w:rPr>
  </w:style>
  <w:style w:type="paragraph" w:styleId="TOCHeading">
    <w:name w:val="TOC Heading"/>
    <w:basedOn w:val="Heading1"/>
    <w:next w:val="Normal"/>
    <w:uiPriority w:val="39"/>
    <w:unhideWhenUsed/>
    <w:qFormat/>
    <w:rsid w:val="00A62A6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62A6A"/>
    <w:pPr>
      <w:spacing w:before="120"/>
    </w:pPr>
    <w:rPr>
      <w:b/>
      <w:bCs/>
      <w:i/>
      <w:iCs/>
    </w:rPr>
  </w:style>
  <w:style w:type="paragraph" w:styleId="TOC2">
    <w:name w:val="toc 2"/>
    <w:basedOn w:val="Normal"/>
    <w:next w:val="Normal"/>
    <w:autoRedefine/>
    <w:uiPriority w:val="39"/>
    <w:semiHidden/>
    <w:unhideWhenUsed/>
    <w:rsid w:val="00A62A6A"/>
    <w:pPr>
      <w:spacing w:before="120"/>
      <w:ind w:left="240"/>
    </w:pPr>
    <w:rPr>
      <w:b/>
      <w:bCs/>
      <w:sz w:val="22"/>
      <w:szCs w:val="22"/>
    </w:rPr>
  </w:style>
  <w:style w:type="paragraph" w:styleId="TOC3">
    <w:name w:val="toc 3"/>
    <w:basedOn w:val="Normal"/>
    <w:next w:val="Normal"/>
    <w:autoRedefine/>
    <w:uiPriority w:val="39"/>
    <w:semiHidden/>
    <w:unhideWhenUsed/>
    <w:rsid w:val="00A62A6A"/>
    <w:pPr>
      <w:ind w:left="480"/>
    </w:pPr>
    <w:rPr>
      <w:sz w:val="20"/>
      <w:szCs w:val="20"/>
    </w:rPr>
  </w:style>
  <w:style w:type="paragraph" w:styleId="TOC4">
    <w:name w:val="toc 4"/>
    <w:basedOn w:val="Normal"/>
    <w:next w:val="Normal"/>
    <w:autoRedefine/>
    <w:uiPriority w:val="39"/>
    <w:semiHidden/>
    <w:unhideWhenUsed/>
    <w:rsid w:val="00A62A6A"/>
    <w:pPr>
      <w:ind w:left="720"/>
    </w:pPr>
    <w:rPr>
      <w:sz w:val="20"/>
      <w:szCs w:val="20"/>
    </w:rPr>
  </w:style>
  <w:style w:type="paragraph" w:styleId="TOC5">
    <w:name w:val="toc 5"/>
    <w:basedOn w:val="Normal"/>
    <w:next w:val="Normal"/>
    <w:autoRedefine/>
    <w:uiPriority w:val="39"/>
    <w:semiHidden/>
    <w:unhideWhenUsed/>
    <w:rsid w:val="00A62A6A"/>
    <w:pPr>
      <w:ind w:left="960"/>
    </w:pPr>
    <w:rPr>
      <w:sz w:val="20"/>
      <w:szCs w:val="20"/>
    </w:rPr>
  </w:style>
  <w:style w:type="paragraph" w:styleId="TOC6">
    <w:name w:val="toc 6"/>
    <w:basedOn w:val="Normal"/>
    <w:next w:val="Normal"/>
    <w:autoRedefine/>
    <w:uiPriority w:val="39"/>
    <w:semiHidden/>
    <w:unhideWhenUsed/>
    <w:rsid w:val="00A62A6A"/>
    <w:pPr>
      <w:ind w:left="1200"/>
    </w:pPr>
    <w:rPr>
      <w:sz w:val="20"/>
      <w:szCs w:val="20"/>
    </w:rPr>
  </w:style>
  <w:style w:type="paragraph" w:styleId="TOC7">
    <w:name w:val="toc 7"/>
    <w:basedOn w:val="Normal"/>
    <w:next w:val="Normal"/>
    <w:autoRedefine/>
    <w:uiPriority w:val="39"/>
    <w:semiHidden/>
    <w:unhideWhenUsed/>
    <w:rsid w:val="00A62A6A"/>
    <w:pPr>
      <w:ind w:left="1440"/>
    </w:pPr>
    <w:rPr>
      <w:sz w:val="20"/>
      <w:szCs w:val="20"/>
    </w:rPr>
  </w:style>
  <w:style w:type="paragraph" w:styleId="TOC8">
    <w:name w:val="toc 8"/>
    <w:basedOn w:val="Normal"/>
    <w:next w:val="Normal"/>
    <w:autoRedefine/>
    <w:uiPriority w:val="39"/>
    <w:semiHidden/>
    <w:unhideWhenUsed/>
    <w:rsid w:val="00A62A6A"/>
    <w:pPr>
      <w:ind w:left="1680"/>
    </w:pPr>
    <w:rPr>
      <w:sz w:val="20"/>
      <w:szCs w:val="20"/>
    </w:rPr>
  </w:style>
  <w:style w:type="paragraph" w:styleId="TOC9">
    <w:name w:val="toc 9"/>
    <w:basedOn w:val="Normal"/>
    <w:next w:val="Normal"/>
    <w:autoRedefine/>
    <w:uiPriority w:val="39"/>
    <w:semiHidden/>
    <w:unhideWhenUsed/>
    <w:rsid w:val="00A62A6A"/>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cdp-2025-0042/"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unison.org.uk/news/press-release/2025/04/patients-dying-in-ambulances-stuck-outside-ae-because-of-long-waits/" TargetMode="External"/><Relationship Id="rId12" Type="http://schemas.openxmlformats.org/officeDocument/2006/relationships/hyperlink" Target="https://ninegrp.com/pages/the-history-of-emergency-services-in-the-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uardian.com/society/2025/jan/05/ambulance-handover-delays-may-harm-1000-patients-day-england"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hansard.parliament.uk/commons/2025-03-06/debates/984BB757-AE11-408C-8BA6-56885FB4A999/AmbulanceResponseTimes" TargetMode="External"/><Relationship Id="rId4" Type="http://schemas.openxmlformats.org/officeDocument/2006/relationships/webSettings" Target="webSettings.xml"/><Relationship Id="rId9" Type="http://schemas.openxmlformats.org/officeDocument/2006/relationships/hyperlink" Target="https://www.bbc.com/news/health-61335711"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BA0DDA-7128-7343-8249-5A9F26D30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1822</Words>
  <Characters>11216</Characters>
  <Application>Microsoft Office Word</Application>
  <DocSecurity>0</DocSecurity>
  <Lines>224</Lines>
  <Paragraphs>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13003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Pirvan</dc:creator>
  <cp:keywords/>
  <dc:description/>
  <cp:lastModifiedBy>Francesca Pirvan</cp:lastModifiedBy>
  <cp:revision>2</cp:revision>
  <dcterms:created xsi:type="dcterms:W3CDTF">2025-12-14T21:39:00Z</dcterms:created>
  <dcterms:modified xsi:type="dcterms:W3CDTF">2025-12-14T21:39:00Z</dcterms:modified>
  <cp:category/>
</cp:coreProperties>
</file>