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90EA8" w14:textId="628D0FC7" w:rsidR="00753216" w:rsidRDefault="0098512B">
      <w:pPr>
        <w:rPr>
          <w:rFonts w:ascii="Arial" w:hAnsi="Arial" w:cs="Arial"/>
          <w:sz w:val="22"/>
          <w:szCs w:val="22"/>
        </w:rPr>
      </w:pPr>
      <w:r>
        <w:rPr>
          <w:rFonts w:ascii="Arial" w:hAnsi="Arial" w:cs="Arial"/>
          <w:sz w:val="22"/>
          <w:szCs w:val="22"/>
        </w:rPr>
        <w:t xml:space="preserve">Name. Nageen Khan </w:t>
      </w:r>
    </w:p>
    <w:p w14:paraId="0589660B" w14:textId="32510C0C" w:rsidR="0098512B" w:rsidRDefault="0098512B">
      <w:pPr>
        <w:rPr>
          <w:rFonts w:ascii="Arial" w:hAnsi="Arial" w:cs="Arial"/>
          <w:sz w:val="22"/>
          <w:szCs w:val="22"/>
        </w:rPr>
      </w:pPr>
      <w:r>
        <w:rPr>
          <w:rFonts w:ascii="Arial" w:hAnsi="Arial" w:cs="Arial"/>
          <w:sz w:val="22"/>
          <w:szCs w:val="22"/>
        </w:rPr>
        <w:t>Student Number. 2424667</w:t>
      </w:r>
    </w:p>
    <w:p w14:paraId="6458D4ED" w14:textId="621CB18D" w:rsidR="0098512B" w:rsidRDefault="0098512B">
      <w:pPr>
        <w:rPr>
          <w:rFonts w:ascii="Arial" w:hAnsi="Arial" w:cs="Arial"/>
          <w:sz w:val="22"/>
          <w:szCs w:val="22"/>
        </w:rPr>
      </w:pPr>
      <w:r>
        <w:rPr>
          <w:rFonts w:ascii="Arial" w:hAnsi="Arial" w:cs="Arial"/>
          <w:sz w:val="22"/>
          <w:szCs w:val="22"/>
        </w:rPr>
        <w:t>Programme. BSc Health and Social Care</w:t>
      </w:r>
    </w:p>
    <w:p w14:paraId="4A8F4072" w14:textId="2E0C4144" w:rsidR="0098512B" w:rsidRDefault="0098512B">
      <w:pPr>
        <w:rPr>
          <w:rFonts w:ascii="Arial" w:hAnsi="Arial" w:cs="Arial"/>
          <w:sz w:val="22"/>
          <w:szCs w:val="22"/>
        </w:rPr>
      </w:pPr>
      <w:r>
        <w:rPr>
          <w:rFonts w:ascii="Arial" w:hAnsi="Arial" w:cs="Arial"/>
          <w:sz w:val="22"/>
          <w:szCs w:val="22"/>
        </w:rPr>
        <w:t>Module. Principles of Health and Social Care Practice</w:t>
      </w:r>
    </w:p>
    <w:p w14:paraId="10397570" w14:textId="4832F9C9" w:rsidR="0098512B" w:rsidRDefault="0098512B">
      <w:pPr>
        <w:rPr>
          <w:rFonts w:ascii="Arial" w:hAnsi="Arial" w:cs="Arial"/>
          <w:sz w:val="22"/>
          <w:szCs w:val="22"/>
        </w:rPr>
      </w:pPr>
      <w:r>
        <w:rPr>
          <w:rFonts w:ascii="Arial" w:hAnsi="Arial" w:cs="Arial"/>
          <w:sz w:val="22"/>
          <w:szCs w:val="22"/>
        </w:rPr>
        <w:t>Module code. BMHP 5016</w:t>
      </w:r>
    </w:p>
    <w:p w14:paraId="75DE66C9" w14:textId="2766CF8E" w:rsidR="0098512B" w:rsidRDefault="0098512B">
      <w:pPr>
        <w:rPr>
          <w:rFonts w:ascii="Arial" w:hAnsi="Arial" w:cs="Arial"/>
          <w:sz w:val="22"/>
          <w:szCs w:val="22"/>
        </w:rPr>
      </w:pPr>
      <w:r>
        <w:rPr>
          <w:rFonts w:ascii="Arial" w:hAnsi="Arial" w:cs="Arial"/>
          <w:sz w:val="22"/>
          <w:szCs w:val="22"/>
        </w:rPr>
        <w:t xml:space="preserve">Lecturer. </w:t>
      </w:r>
      <w:r w:rsidR="00045FDB">
        <w:rPr>
          <w:rFonts w:ascii="Arial" w:hAnsi="Arial" w:cs="Arial"/>
          <w:sz w:val="22"/>
          <w:szCs w:val="22"/>
        </w:rPr>
        <w:t xml:space="preserve">Precious Igbinigie </w:t>
      </w:r>
    </w:p>
    <w:p w14:paraId="5BBAB839" w14:textId="510D4E7C" w:rsidR="0098512B" w:rsidRDefault="0098512B">
      <w:pPr>
        <w:rPr>
          <w:rFonts w:ascii="Arial" w:hAnsi="Arial" w:cs="Arial"/>
          <w:sz w:val="22"/>
          <w:szCs w:val="22"/>
        </w:rPr>
      </w:pPr>
      <w:r>
        <w:rPr>
          <w:rFonts w:ascii="Arial" w:hAnsi="Arial" w:cs="Arial"/>
          <w:sz w:val="22"/>
          <w:szCs w:val="22"/>
        </w:rPr>
        <w:t xml:space="preserve">Internal Verifier. </w:t>
      </w:r>
      <w:r w:rsidR="006A641F">
        <w:rPr>
          <w:rFonts w:ascii="Arial" w:hAnsi="Arial" w:cs="Arial"/>
          <w:sz w:val="22"/>
          <w:szCs w:val="22"/>
        </w:rPr>
        <w:t xml:space="preserve">Dr Mark Gallagher-Read </w:t>
      </w:r>
    </w:p>
    <w:p w14:paraId="2759EC2B" w14:textId="733673DB" w:rsidR="0098512B" w:rsidRDefault="0098512B">
      <w:pPr>
        <w:rPr>
          <w:rFonts w:ascii="Arial" w:hAnsi="Arial" w:cs="Arial"/>
          <w:sz w:val="22"/>
          <w:szCs w:val="22"/>
        </w:rPr>
      </w:pPr>
      <w:r>
        <w:rPr>
          <w:rFonts w:ascii="Arial" w:hAnsi="Arial" w:cs="Arial"/>
          <w:sz w:val="22"/>
          <w:szCs w:val="22"/>
        </w:rPr>
        <w:t xml:space="preserve">Assignment Title. Component 2. Written Assignment (Report). </w:t>
      </w:r>
    </w:p>
    <w:p w14:paraId="3E793735" w14:textId="77777777" w:rsidR="0098512B" w:rsidRDefault="0098512B">
      <w:pPr>
        <w:rPr>
          <w:rFonts w:ascii="Arial" w:hAnsi="Arial" w:cs="Arial"/>
          <w:sz w:val="22"/>
          <w:szCs w:val="22"/>
        </w:rPr>
      </w:pPr>
    </w:p>
    <w:p w14:paraId="19E68B25" w14:textId="77777777" w:rsidR="0098512B" w:rsidRDefault="0098512B">
      <w:pPr>
        <w:rPr>
          <w:rFonts w:ascii="Arial" w:hAnsi="Arial" w:cs="Arial"/>
          <w:sz w:val="22"/>
          <w:szCs w:val="22"/>
        </w:rPr>
      </w:pPr>
    </w:p>
    <w:p w14:paraId="68E56CAA" w14:textId="77777777" w:rsidR="0098512B" w:rsidRDefault="0098512B">
      <w:pPr>
        <w:rPr>
          <w:rFonts w:ascii="Arial" w:hAnsi="Arial" w:cs="Arial"/>
          <w:sz w:val="22"/>
          <w:szCs w:val="22"/>
        </w:rPr>
      </w:pPr>
    </w:p>
    <w:p w14:paraId="7EAC13C9" w14:textId="77777777" w:rsidR="0098512B" w:rsidRDefault="0098512B">
      <w:pPr>
        <w:rPr>
          <w:rFonts w:ascii="Arial" w:hAnsi="Arial" w:cs="Arial"/>
          <w:sz w:val="22"/>
          <w:szCs w:val="22"/>
        </w:rPr>
      </w:pPr>
    </w:p>
    <w:p w14:paraId="0D13E387" w14:textId="77777777" w:rsidR="0098512B" w:rsidRDefault="0098512B">
      <w:pPr>
        <w:rPr>
          <w:rFonts w:ascii="Arial" w:hAnsi="Arial" w:cs="Arial"/>
          <w:sz w:val="22"/>
          <w:szCs w:val="22"/>
        </w:rPr>
      </w:pPr>
    </w:p>
    <w:p w14:paraId="2B517D76" w14:textId="77777777" w:rsidR="0098512B" w:rsidRDefault="0098512B">
      <w:pPr>
        <w:rPr>
          <w:rFonts w:ascii="Arial" w:hAnsi="Arial" w:cs="Arial"/>
          <w:sz w:val="22"/>
          <w:szCs w:val="22"/>
        </w:rPr>
      </w:pPr>
    </w:p>
    <w:p w14:paraId="6B5D6DD0" w14:textId="77777777" w:rsidR="0098512B" w:rsidRDefault="0098512B">
      <w:pPr>
        <w:rPr>
          <w:rFonts w:ascii="Arial" w:hAnsi="Arial" w:cs="Arial"/>
          <w:sz w:val="22"/>
          <w:szCs w:val="22"/>
        </w:rPr>
      </w:pPr>
    </w:p>
    <w:p w14:paraId="201DF3F4" w14:textId="77777777" w:rsidR="0098512B" w:rsidRDefault="0098512B">
      <w:pPr>
        <w:rPr>
          <w:rFonts w:ascii="Arial" w:hAnsi="Arial" w:cs="Arial"/>
          <w:sz w:val="22"/>
          <w:szCs w:val="22"/>
        </w:rPr>
      </w:pPr>
    </w:p>
    <w:p w14:paraId="709D25AB" w14:textId="77777777" w:rsidR="0098512B" w:rsidRDefault="0098512B">
      <w:pPr>
        <w:rPr>
          <w:rFonts w:ascii="Arial" w:hAnsi="Arial" w:cs="Arial"/>
          <w:sz w:val="22"/>
          <w:szCs w:val="22"/>
        </w:rPr>
      </w:pPr>
    </w:p>
    <w:p w14:paraId="13905BBF" w14:textId="77777777" w:rsidR="00A652C1" w:rsidRDefault="00A652C1">
      <w:pPr>
        <w:rPr>
          <w:rFonts w:ascii="Arial" w:hAnsi="Arial" w:cs="Arial"/>
          <w:sz w:val="22"/>
          <w:szCs w:val="22"/>
        </w:rPr>
      </w:pPr>
    </w:p>
    <w:p w14:paraId="6F4AD3CF" w14:textId="77777777" w:rsidR="00A652C1" w:rsidRDefault="00A652C1">
      <w:pPr>
        <w:rPr>
          <w:rFonts w:ascii="Arial" w:hAnsi="Arial" w:cs="Arial"/>
          <w:sz w:val="22"/>
          <w:szCs w:val="22"/>
        </w:rPr>
      </w:pPr>
    </w:p>
    <w:p w14:paraId="0D8A322C" w14:textId="77777777" w:rsidR="00A652C1" w:rsidRDefault="00A652C1">
      <w:pPr>
        <w:rPr>
          <w:rFonts w:ascii="Arial" w:hAnsi="Arial" w:cs="Arial"/>
          <w:sz w:val="22"/>
          <w:szCs w:val="22"/>
        </w:rPr>
      </w:pPr>
    </w:p>
    <w:p w14:paraId="478B0090" w14:textId="77777777" w:rsidR="00A652C1" w:rsidRDefault="00A652C1">
      <w:pPr>
        <w:rPr>
          <w:rFonts w:ascii="Arial" w:hAnsi="Arial" w:cs="Arial"/>
          <w:sz w:val="22"/>
          <w:szCs w:val="22"/>
        </w:rPr>
      </w:pPr>
    </w:p>
    <w:p w14:paraId="5BB89A9C" w14:textId="77777777" w:rsidR="00A652C1" w:rsidRDefault="00A652C1">
      <w:pPr>
        <w:rPr>
          <w:rFonts w:ascii="Arial" w:hAnsi="Arial" w:cs="Arial"/>
          <w:sz w:val="22"/>
          <w:szCs w:val="22"/>
        </w:rPr>
      </w:pPr>
    </w:p>
    <w:p w14:paraId="0CD30065" w14:textId="77777777" w:rsidR="00A652C1" w:rsidRDefault="00A652C1">
      <w:pPr>
        <w:rPr>
          <w:rFonts w:ascii="Arial" w:hAnsi="Arial" w:cs="Arial"/>
          <w:sz w:val="22"/>
          <w:szCs w:val="22"/>
        </w:rPr>
      </w:pPr>
    </w:p>
    <w:p w14:paraId="6C857979" w14:textId="77777777" w:rsidR="00A652C1" w:rsidRDefault="00A652C1">
      <w:pPr>
        <w:rPr>
          <w:rFonts w:ascii="Arial" w:hAnsi="Arial" w:cs="Arial"/>
          <w:sz w:val="22"/>
          <w:szCs w:val="22"/>
        </w:rPr>
      </w:pPr>
    </w:p>
    <w:p w14:paraId="1AFF6CAD" w14:textId="77777777" w:rsidR="00A652C1" w:rsidRDefault="00A652C1">
      <w:pPr>
        <w:rPr>
          <w:rFonts w:ascii="Arial" w:hAnsi="Arial" w:cs="Arial"/>
          <w:sz w:val="22"/>
          <w:szCs w:val="22"/>
        </w:rPr>
      </w:pPr>
    </w:p>
    <w:p w14:paraId="0E17C318" w14:textId="77777777" w:rsidR="00A652C1" w:rsidRDefault="00A652C1">
      <w:pPr>
        <w:rPr>
          <w:rFonts w:ascii="Arial" w:hAnsi="Arial" w:cs="Arial"/>
          <w:sz w:val="22"/>
          <w:szCs w:val="22"/>
        </w:rPr>
      </w:pPr>
    </w:p>
    <w:p w14:paraId="7451620C" w14:textId="77777777" w:rsidR="00A652C1" w:rsidRDefault="00A652C1">
      <w:pPr>
        <w:rPr>
          <w:rFonts w:ascii="Arial" w:hAnsi="Arial" w:cs="Arial"/>
          <w:sz w:val="22"/>
          <w:szCs w:val="22"/>
        </w:rPr>
      </w:pPr>
    </w:p>
    <w:p w14:paraId="291E933B" w14:textId="77777777" w:rsidR="00A652C1" w:rsidRDefault="00A652C1">
      <w:pPr>
        <w:rPr>
          <w:rFonts w:ascii="Arial" w:hAnsi="Arial" w:cs="Arial"/>
          <w:sz w:val="22"/>
          <w:szCs w:val="22"/>
        </w:rPr>
      </w:pPr>
    </w:p>
    <w:p w14:paraId="307CA17C" w14:textId="77777777" w:rsidR="00A652C1" w:rsidRDefault="00A652C1">
      <w:pPr>
        <w:rPr>
          <w:rFonts w:ascii="Arial" w:hAnsi="Arial" w:cs="Arial"/>
          <w:sz w:val="22"/>
          <w:szCs w:val="22"/>
        </w:rPr>
      </w:pPr>
    </w:p>
    <w:p w14:paraId="53157B9A" w14:textId="77777777" w:rsidR="00A652C1" w:rsidRDefault="00A652C1">
      <w:pPr>
        <w:rPr>
          <w:rFonts w:ascii="Arial" w:hAnsi="Arial" w:cs="Arial"/>
          <w:sz w:val="22"/>
          <w:szCs w:val="22"/>
        </w:rPr>
      </w:pPr>
    </w:p>
    <w:p w14:paraId="39E2E4F5" w14:textId="77777777" w:rsidR="0098512B" w:rsidRDefault="0098512B">
      <w:pPr>
        <w:rPr>
          <w:rFonts w:ascii="Arial" w:hAnsi="Arial" w:cs="Arial"/>
          <w:sz w:val="22"/>
          <w:szCs w:val="22"/>
        </w:rPr>
      </w:pPr>
    </w:p>
    <w:p w14:paraId="59C9FDA6" w14:textId="7985DB1A" w:rsidR="00A652C1" w:rsidRDefault="00A652C1">
      <w:pPr>
        <w:rPr>
          <w:rFonts w:ascii="Arial" w:hAnsi="Arial" w:cs="Arial"/>
          <w:sz w:val="22"/>
          <w:szCs w:val="22"/>
        </w:rPr>
      </w:pPr>
      <w:r>
        <w:rPr>
          <w:rFonts w:ascii="Arial" w:hAnsi="Arial" w:cs="Arial"/>
          <w:sz w:val="22"/>
          <w:szCs w:val="22"/>
        </w:rPr>
        <w:lastRenderedPageBreak/>
        <w:t xml:space="preserve">Table of Contents </w:t>
      </w:r>
    </w:p>
    <w:p w14:paraId="69B84335" w14:textId="77777777" w:rsidR="009254AA" w:rsidRDefault="009254AA">
      <w:pPr>
        <w:rPr>
          <w:rFonts w:ascii="Arial" w:hAnsi="Arial" w:cs="Arial"/>
          <w:sz w:val="22"/>
          <w:szCs w:val="22"/>
        </w:rPr>
      </w:pPr>
    </w:p>
    <w:p w14:paraId="5A091947" w14:textId="51EA81B9" w:rsidR="0098512B" w:rsidRDefault="009254AA">
      <w:pPr>
        <w:rPr>
          <w:rFonts w:ascii="Arial" w:hAnsi="Arial" w:cs="Arial"/>
          <w:sz w:val="22"/>
          <w:szCs w:val="22"/>
        </w:rPr>
      </w:pPr>
      <w:r>
        <w:rPr>
          <w:rFonts w:ascii="Arial" w:hAnsi="Arial" w:cs="Arial"/>
          <w:sz w:val="22"/>
          <w:szCs w:val="22"/>
        </w:rPr>
        <w:t xml:space="preserve">Abstract </w:t>
      </w:r>
    </w:p>
    <w:p w14:paraId="01DA5FBD" w14:textId="608EC23C" w:rsidR="0098512B" w:rsidRDefault="0098512B">
      <w:pPr>
        <w:rPr>
          <w:rFonts w:ascii="Arial" w:hAnsi="Arial" w:cs="Arial"/>
          <w:sz w:val="22"/>
          <w:szCs w:val="22"/>
        </w:rPr>
      </w:pPr>
      <w:r>
        <w:rPr>
          <w:rFonts w:ascii="Arial" w:hAnsi="Arial" w:cs="Arial"/>
          <w:sz w:val="22"/>
          <w:szCs w:val="22"/>
        </w:rPr>
        <w:t xml:space="preserve">Person Centred Care and Partnership Working in Health and Social Care. A Critical Review </w:t>
      </w:r>
    </w:p>
    <w:p w14:paraId="23F56463" w14:textId="581FFA1F" w:rsidR="0098512B" w:rsidRDefault="0098512B">
      <w:pPr>
        <w:rPr>
          <w:rFonts w:ascii="Arial" w:hAnsi="Arial" w:cs="Arial"/>
          <w:sz w:val="22"/>
          <w:szCs w:val="22"/>
        </w:rPr>
      </w:pPr>
      <w:r>
        <w:rPr>
          <w:rFonts w:ascii="Arial" w:hAnsi="Arial" w:cs="Arial"/>
          <w:sz w:val="22"/>
          <w:szCs w:val="22"/>
        </w:rPr>
        <w:t>Introduction</w:t>
      </w:r>
    </w:p>
    <w:p w14:paraId="5D54B435" w14:textId="7E6D3C43" w:rsidR="0098512B" w:rsidRDefault="0098512B">
      <w:pPr>
        <w:rPr>
          <w:rFonts w:ascii="Arial" w:hAnsi="Arial" w:cs="Arial"/>
          <w:sz w:val="22"/>
          <w:szCs w:val="22"/>
        </w:rPr>
      </w:pPr>
      <w:r>
        <w:rPr>
          <w:rFonts w:ascii="Arial" w:hAnsi="Arial" w:cs="Arial"/>
          <w:sz w:val="22"/>
          <w:szCs w:val="22"/>
        </w:rPr>
        <w:t xml:space="preserve">Person-Centred Care. Relevance and Limitations. </w:t>
      </w:r>
    </w:p>
    <w:p w14:paraId="0C3D168A" w14:textId="4046A3B8" w:rsidR="0098512B" w:rsidRDefault="0098512B">
      <w:pPr>
        <w:rPr>
          <w:rFonts w:ascii="Arial" w:hAnsi="Arial" w:cs="Arial"/>
          <w:sz w:val="22"/>
          <w:szCs w:val="22"/>
        </w:rPr>
      </w:pPr>
      <w:r>
        <w:rPr>
          <w:rFonts w:ascii="Arial" w:hAnsi="Arial" w:cs="Arial"/>
          <w:sz w:val="22"/>
          <w:szCs w:val="22"/>
        </w:rPr>
        <w:t xml:space="preserve">Critical analysis to the person-centred nursing framework by McCormack and McCance </w:t>
      </w:r>
    </w:p>
    <w:p w14:paraId="32DC4B8F" w14:textId="2E6681EA" w:rsidR="0098512B" w:rsidRDefault="0098512B">
      <w:pPr>
        <w:rPr>
          <w:rFonts w:ascii="Arial" w:hAnsi="Arial" w:cs="Arial"/>
          <w:sz w:val="22"/>
          <w:szCs w:val="22"/>
        </w:rPr>
      </w:pPr>
      <w:r>
        <w:rPr>
          <w:rFonts w:ascii="Arial" w:hAnsi="Arial" w:cs="Arial"/>
          <w:sz w:val="22"/>
          <w:szCs w:val="22"/>
        </w:rPr>
        <w:t xml:space="preserve">Ethics for Health and </w:t>
      </w:r>
      <w:r w:rsidR="00FD0A4F">
        <w:rPr>
          <w:rFonts w:ascii="Arial" w:hAnsi="Arial" w:cs="Arial"/>
          <w:sz w:val="22"/>
          <w:szCs w:val="22"/>
        </w:rPr>
        <w:t>Social Care Base</w:t>
      </w:r>
    </w:p>
    <w:p w14:paraId="6EA893F0" w14:textId="6276C7DE" w:rsidR="00FD0A4F" w:rsidRDefault="00FD0A4F">
      <w:pPr>
        <w:rPr>
          <w:rFonts w:ascii="Arial" w:hAnsi="Arial" w:cs="Arial"/>
          <w:sz w:val="22"/>
          <w:szCs w:val="22"/>
        </w:rPr>
      </w:pPr>
      <w:r>
        <w:rPr>
          <w:rFonts w:ascii="Arial" w:hAnsi="Arial" w:cs="Arial"/>
          <w:sz w:val="22"/>
          <w:szCs w:val="22"/>
        </w:rPr>
        <w:t>Measuring Partnership Working in Health and Social Care</w:t>
      </w:r>
    </w:p>
    <w:p w14:paraId="4FBAACF7" w14:textId="3737B2B5" w:rsidR="00FD0A4F" w:rsidRDefault="00FD0A4F">
      <w:pPr>
        <w:rPr>
          <w:rFonts w:ascii="Arial" w:hAnsi="Arial" w:cs="Arial"/>
          <w:sz w:val="22"/>
          <w:szCs w:val="22"/>
        </w:rPr>
      </w:pPr>
      <w:r>
        <w:rPr>
          <w:rFonts w:ascii="Arial" w:hAnsi="Arial" w:cs="Arial"/>
          <w:sz w:val="22"/>
          <w:szCs w:val="22"/>
        </w:rPr>
        <w:t>The Working in Partnership Condottiere (Integrated Community Mental Health Services)</w:t>
      </w:r>
    </w:p>
    <w:p w14:paraId="2C8209E3" w14:textId="11F43597" w:rsidR="00FD0A4F" w:rsidRDefault="00FD0A4F">
      <w:pPr>
        <w:rPr>
          <w:rFonts w:ascii="Arial" w:hAnsi="Arial" w:cs="Arial"/>
          <w:sz w:val="22"/>
          <w:szCs w:val="22"/>
        </w:rPr>
      </w:pPr>
      <w:r>
        <w:rPr>
          <w:rFonts w:ascii="Arial" w:hAnsi="Arial" w:cs="Arial"/>
          <w:sz w:val="22"/>
          <w:szCs w:val="22"/>
        </w:rPr>
        <w:t xml:space="preserve">Policy and Legislation for PCC and Partnership Working </w:t>
      </w:r>
    </w:p>
    <w:p w14:paraId="236E1941" w14:textId="74AC4390" w:rsidR="00FD0A4F" w:rsidRDefault="00FD0A4F">
      <w:pPr>
        <w:rPr>
          <w:rFonts w:ascii="Arial" w:hAnsi="Arial" w:cs="Arial"/>
          <w:sz w:val="22"/>
          <w:szCs w:val="22"/>
        </w:rPr>
      </w:pPr>
      <w:r>
        <w:rPr>
          <w:rFonts w:ascii="Arial" w:hAnsi="Arial" w:cs="Arial"/>
          <w:sz w:val="22"/>
          <w:szCs w:val="22"/>
        </w:rPr>
        <w:t>Recommendations for Future Development</w:t>
      </w:r>
    </w:p>
    <w:p w14:paraId="5B497C30" w14:textId="556F2F0D" w:rsidR="00FD0A4F" w:rsidRDefault="00FD0A4F">
      <w:pPr>
        <w:rPr>
          <w:rFonts w:ascii="Arial" w:hAnsi="Arial" w:cs="Arial"/>
          <w:sz w:val="22"/>
          <w:szCs w:val="22"/>
        </w:rPr>
      </w:pPr>
      <w:r>
        <w:rPr>
          <w:rFonts w:ascii="Arial" w:hAnsi="Arial" w:cs="Arial"/>
          <w:sz w:val="22"/>
          <w:szCs w:val="22"/>
        </w:rPr>
        <w:t>Conclusion</w:t>
      </w:r>
    </w:p>
    <w:p w14:paraId="5CA12ACB" w14:textId="29EA0EC2" w:rsidR="00FD0A4F" w:rsidRPr="0098512B" w:rsidRDefault="00FD0A4F">
      <w:pPr>
        <w:rPr>
          <w:rFonts w:ascii="Arial" w:hAnsi="Arial" w:cs="Arial"/>
          <w:sz w:val="22"/>
          <w:szCs w:val="22"/>
        </w:rPr>
      </w:pPr>
      <w:r>
        <w:rPr>
          <w:rFonts w:ascii="Arial" w:hAnsi="Arial" w:cs="Arial"/>
          <w:sz w:val="22"/>
          <w:szCs w:val="22"/>
        </w:rPr>
        <w:t xml:space="preserve">Reference list. </w:t>
      </w:r>
    </w:p>
    <w:p w14:paraId="37BCFC1E" w14:textId="77777777" w:rsidR="00BD14BD" w:rsidRDefault="00BD14BD"/>
    <w:p w14:paraId="5155B3EF" w14:textId="77777777" w:rsidR="00BD14BD" w:rsidRDefault="00BD14BD"/>
    <w:p w14:paraId="656F022F" w14:textId="77777777" w:rsidR="00BD14BD" w:rsidRDefault="00BD14BD"/>
    <w:p w14:paraId="7ED566CB" w14:textId="77777777" w:rsidR="00BD14BD" w:rsidRDefault="00BD14BD"/>
    <w:p w14:paraId="26CE3B5F" w14:textId="77777777" w:rsidR="00BD14BD" w:rsidRDefault="00BD14BD"/>
    <w:p w14:paraId="3654CF04" w14:textId="77777777" w:rsidR="00BD14BD" w:rsidRDefault="00BD14BD"/>
    <w:p w14:paraId="24623DD3" w14:textId="77777777" w:rsidR="00BD14BD" w:rsidRDefault="00BD14BD"/>
    <w:p w14:paraId="2DC6C185" w14:textId="77777777" w:rsidR="00BD14BD" w:rsidRDefault="00BD14BD"/>
    <w:p w14:paraId="7B6D784B" w14:textId="77777777" w:rsidR="00BD14BD" w:rsidRDefault="00BD14BD"/>
    <w:p w14:paraId="4D157F14" w14:textId="77777777" w:rsidR="00BD14BD" w:rsidRDefault="00BD14BD"/>
    <w:p w14:paraId="6F368EC8" w14:textId="77777777" w:rsidR="00BD14BD" w:rsidRDefault="00BD14BD"/>
    <w:p w14:paraId="61C767D0" w14:textId="77777777" w:rsidR="00BD14BD" w:rsidRDefault="00BD14BD"/>
    <w:p w14:paraId="5ABA76D6" w14:textId="77777777" w:rsidR="00BD14BD" w:rsidRDefault="00BD14BD"/>
    <w:p w14:paraId="15E67EC7" w14:textId="77777777" w:rsidR="00BD14BD" w:rsidRDefault="00BD14BD"/>
    <w:p w14:paraId="314212C3" w14:textId="77777777" w:rsidR="00BD14BD" w:rsidRDefault="00BD14BD"/>
    <w:p w14:paraId="438D3FB9" w14:textId="7FE4F963" w:rsidR="00183B1B" w:rsidRPr="00296258" w:rsidRDefault="004E2D25" w:rsidP="00183B1B">
      <w:pPr>
        <w:rPr>
          <w:rFonts w:ascii="Arial" w:hAnsi="Arial" w:cs="Arial"/>
          <w:b/>
          <w:bCs/>
          <w:sz w:val="22"/>
          <w:szCs w:val="22"/>
        </w:rPr>
      </w:pPr>
      <w:r w:rsidRPr="00296258">
        <w:rPr>
          <w:rFonts w:ascii="Arial" w:hAnsi="Arial" w:cs="Arial"/>
          <w:b/>
          <w:bCs/>
          <w:sz w:val="22"/>
          <w:szCs w:val="22"/>
        </w:rPr>
        <w:lastRenderedPageBreak/>
        <w:t xml:space="preserve">Abstract. </w:t>
      </w:r>
    </w:p>
    <w:p w14:paraId="1CD27753" w14:textId="4423B9F8" w:rsidR="00183B1B" w:rsidRDefault="00183B1B" w:rsidP="00183B1B">
      <w:r>
        <w:t>This review critically appraises person-centred care and alliance working in United Kingdom (UK) health and social care. A thematic analysis is applied to McCormack and McCance's theoretical framework. The ethical principles of autonomy, dignity, and justice are discussed in the context of partnership working and its effect on integrated service delivery as illustrated through community mental health services. Recommendations relate to workforce development, funding integration, co-production and the technological innovation in pursuit of collaborative, person-centred practice.</w:t>
      </w:r>
      <w:r w:rsidR="004E2D25">
        <w:t xml:space="preserve"> </w:t>
      </w:r>
    </w:p>
    <w:p w14:paraId="4E0A8A88" w14:textId="77777777" w:rsidR="004E2D25" w:rsidRDefault="004E2D25" w:rsidP="00183B1B"/>
    <w:p w14:paraId="513859D5" w14:textId="77777777" w:rsidR="00183B1B" w:rsidRPr="00296258" w:rsidRDefault="00183B1B" w:rsidP="00183B1B">
      <w:pPr>
        <w:rPr>
          <w:b/>
          <w:bCs/>
        </w:rPr>
      </w:pPr>
      <w:r w:rsidRPr="00296258">
        <w:rPr>
          <w:b/>
          <w:bCs/>
        </w:rPr>
        <w:t>Person Centred Care and Partnership Working in Health and Social Care</w:t>
      </w:r>
    </w:p>
    <w:p w14:paraId="79DB206F" w14:textId="208961E0" w:rsidR="00183B1B" w:rsidRPr="00296258" w:rsidRDefault="004E2D25" w:rsidP="00183B1B">
      <w:pPr>
        <w:rPr>
          <w:rFonts w:ascii="Arial" w:hAnsi="Arial" w:cs="Arial"/>
          <w:b/>
          <w:bCs/>
          <w:sz w:val="22"/>
          <w:szCs w:val="22"/>
        </w:rPr>
      </w:pPr>
      <w:r w:rsidRPr="00296258">
        <w:rPr>
          <w:rFonts w:ascii="Arial" w:hAnsi="Arial" w:cs="Arial"/>
          <w:b/>
          <w:bCs/>
          <w:sz w:val="22"/>
          <w:szCs w:val="22"/>
        </w:rPr>
        <w:t xml:space="preserve">Introduction. </w:t>
      </w:r>
    </w:p>
    <w:p w14:paraId="66783D48" w14:textId="6332DDEA" w:rsidR="00183B1B" w:rsidRDefault="00183B1B" w:rsidP="00183B1B">
      <w:r>
        <w:t xml:space="preserve">Modern health and social care is characterised by a move away from paternalist provision-led models towards one that promotes patient </w:t>
      </w:r>
      <w:r w:rsidRPr="001B0B4F">
        <w:rPr>
          <w:rFonts w:ascii="Arial" w:hAnsi="Arial" w:cs="Arial"/>
          <w:sz w:val="22"/>
          <w:szCs w:val="22"/>
        </w:rPr>
        <w:t>choice</w:t>
      </w:r>
      <w:r w:rsidR="001B0B4F">
        <w:rPr>
          <w:rFonts w:ascii="Arial" w:hAnsi="Arial" w:cs="Arial"/>
          <w:sz w:val="22"/>
          <w:szCs w:val="22"/>
        </w:rPr>
        <w:t xml:space="preserve"> and</w:t>
      </w:r>
      <w:r w:rsidR="001B0B4F">
        <w:t xml:space="preserve"> </w:t>
      </w:r>
      <w:r>
        <w:t xml:space="preserve"> decision-making together with coordinated service delivery. This article is a critical review of two complementary frameworks (person-centred care and partnership working) that have reconfigured professional practice in theoretical, ethical and practical terms across the United Kingdom.</w:t>
      </w:r>
      <w:r w:rsidR="004E2D25">
        <w:t xml:space="preserve"> </w:t>
      </w:r>
    </w:p>
    <w:p w14:paraId="2A24A111" w14:textId="77777777" w:rsidR="004E2D25" w:rsidRDefault="004E2D25" w:rsidP="00183B1B"/>
    <w:p w14:paraId="2DD3CFD8" w14:textId="32ECDE95" w:rsidR="00183B1B" w:rsidRPr="00296258" w:rsidRDefault="00183B1B" w:rsidP="00183B1B">
      <w:pPr>
        <w:rPr>
          <w:b/>
          <w:bCs/>
        </w:rPr>
      </w:pPr>
      <w:r w:rsidRPr="00296258">
        <w:rPr>
          <w:b/>
          <w:bCs/>
        </w:rPr>
        <w:t>Person-Centred Care: Relevance and Limitations</w:t>
      </w:r>
      <w:r w:rsidR="004E2D25" w:rsidRPr="00296258">
        <w:rPr>
          <w:b/>
          <w:bCs/>
        </w:rPr>
        <w:t xml:space="preserve">. </w:t>
      </w:r>
    </w:p>
    <w:p w14:paraId="31D95F65" w14:textId="77777777" w:rsidR="00183B1B" w:rsidRDefault="00183B1B" w:rsidP="00183B1B">
      <w:r>
        <w:t>Person-centred care is a philosophy and practice that puts the patient at the centre of their care, considering its planning and delivery from their unique perspective on values, preferences and lived experiences (Health Foundation, 2016). The model covers a number of key aspects: seeing and treating people in a dignified manner and with respect, organising care and support, providing personalised care based on what the person needs and wants, supporting individuals to be active partners in care (National Institute for Health and Care Excellence, 2021).</w:t>
      </w:r>
    </w:p>
    <w:p w14:paraId="7B2D7BEE" w14:textId="77777777" w:rsidR="00183B1B" w:rsidRDefault="00183B1B" w:rsidP="00183B1B">
      <w:r>
        <w:t>Person-centred approaches are well described and outlined throughout the literature regarding health care. It has been shown that accessing is associated to better health related outcomes, such as increased control of chronic diseases and profiles of individuals with higher post-rehab discharge rates (Santana et al., 2018). A move that service users say has led to increased satisfaction, confidence to self-manage health and better quality relationships with practitioners (McCormack &amp; McCance, 2017). For health systems, PCC has been linked to fewer hospital admissions, more efficient resource use and cost savings by intervening preventatively (Coulter and Oldham, 2016).</w:t>
      </w:r>
    </w:p>
    <w:p w14:paraId="1AF85C4A" w14:textId="5A43C5F1" w:rsidR="00183B1B" w:rsidRDefault="00183B1B" w:rsidP="00183B1B">
      <w:r>
        <w:lastRenderedPageBreak/>
        <w:t>But there are also major barriers to truly person-centred working. Implementation involves significant cultural transformation in organisations that have been traditionally based on professional hierarchies and predetermined guidelines (Eaton et al., 2015). The constraints of time in modern health care settings may not meet the demands for relationship required to person-centred engage with people (Kebbe et al., 2020). Unfortunately, such power differentials between experts and those who use their services can continue in spite of rhetorical support for partnership, especially in work with marginalised people (Collins, 2017). Resources, above all in social care sectors long subject to funding pressures, can present a material barrier to the provision of person-centred care (Glasby and Tew, 2015).</w:t>
      </w:r>
      <w:r w:rsidR="004E2D25">
        <w:t xml:space="preserve"> </w:t>
      </w:r>
    </w:p>
    <w:p w14:paraId="24FF4170" w14:textId="77777777" w:rsidR="004E2D25" w:rsidRDefault="004E2D25" w:rsidP="00183B1B"/>
    <w:p w14:paraId="44F93C0E" w14:textId="77777777" w:rsidR="00183B1B" w:rsidRPr="00296258" w:rsidRDefault="00183B1B" w:rsidP="00183B1B">
      <w:pPr>
        <w:rPr>
          <w:b/>
          <w:bCs/>
        </w:rPr>
      </w:pPr>
      <w:r w:rsidRPr="00296258">
        <w:rPr>
          <w:b/>
          <w:bCs/>
        </w:rPr>
        <w:t>Critical analysis to the person-centred nursing framework by McCormack and McCance</w:t>
      </w:r>
    </w:p>
    <w:p w14:paraId="2881AF44" w14:textId="77777777" w:rsidR="00183B1B" w:rsidRDefault="00183B1B" w:rsidP="00183B1B">
      <w:r>
        <w:t>There is a well developed theoretical model in the Person Centred Nursing Framework (McCormack and McCance 2017) to underpin PCC delivery. It includes four components: prerequisites (provider attributes), the care environment (care setting), person-centred processes (activities in care) and an effect on expected outcomes (impact of person-centred care).</w:t>
      </w:r>
    </w:p>
    <w:p w14:paraId="122D96CD" w14:textId="77777777" w:rsidR="00183B1B" w:rsidRDefault="00183B1B" w:rsidP="00183B1B">
      <w:r>
        <w:t>The power of the framework is that it acknowledges that person-centredness is not just at the individual level (e.g. specific practitioner to patient interactions), but extends to organisational culture, leadership and systemic factors such as policy (McCormack et al., 2015). By stating that professional knowledge and skills, moral clarity and a capacity for empathic interaction are prerequisites in the provision of PCC, the model recognizes that higher level of qualified PCC requires life-long orientation regarding reflection on one's self and engagement in continued development professionally. The care environment concept acknowledges the need for supporting organisational systems, right skill mix and power shared structures as fundamental enablers of person-centred practice.</w:t>
      </w:r>
    </w:p>
    <w:p w14:paraId="79FEFACE" w14:textId="6F7E3C14" w:rsidR="00183B1B" w:rsidRDefault="00183B1B" w:rsidP="00183B1B">
      <w:r>
        <w:t>But the model had faced critique for its complexity and where it may not be practically implementable in the real world, such as low-resource settings (Kebbe et al., 2020). While the model is theoretically sound, it requires significant organisational investment to implement that may not be feasible for services under-staffed and with acute financial constraints. Equally, the framework has been accused of not fully considering structural inequalities and of failing to consider how particular social determinants affect people's ability to be active partners in their care (Collins, 2017). Nevertheless, the framework continues to influence both the development of practice and educational curricula as well as quality improvement work in health and social care.</w:t>
      </w:r>
      <w:r w:rsidR="004E2D25">
        <w:t xml:space="preserve"> </w:t>
      </w:r>
    </w:p>
    <w:p w14:paraId="4CED11E6" w14:textId="77777777" w:rsidR="004E2D25" w:rsidRDefault="004E2D25" w:rsidP="00183B1B"/>
    <w:p w14:paraId="45E8A3DA" w14:textId="77777777" w:rsidR="00183B1B" w:rsidRPr="00296258" w:rsidRDefault="00183B1B" w:rsidP="00183B1B">
      <w:pPr>
        <w:rPr>
          <w:b/>
          <w:bCs/>
        </w:rPr>
      </w:pPr>
      <w:r w:rsidRPr="00296258">
        <w:rPr>
          <w:b/>
          <w:bCs/>
        </w:rPr>
        <w:lastRenderedPageBreak/>
        <w:t>Ethics for Health and Social Care Base</w:t>
      </w:r>
    </w:p>
    <w:p w14:paraId="08E2B525" w14:textId="77777777" w:rsidR="00183B1B" w:rsidRDefault="00183B1B" w:rsidP="00183B1B">
      <w:r>
        <w:t>Person-centred care and partnership working are underpinned by biomedical ethics, specifically the concepts of autonomy, beneficence, non-maleficence and justice (Beauchamp and Childress 2019). The concept of autonomy, or having the right to make decisions about one's life, is core to the need for service users to be involved in decision-making and for their choices to be respected even when there is professional disapproval. This concept is in conflict with a more traditional paternalistic position where professionals would decide on 'best interests' without meaningful discussion.</w:t>
      </w:r>
    </w:p>
    <w:p w14:paraId="7C4C02D6" w14:textId="77777777" w:rsidR="00183B1B" w:rsidRDefault="00183B1B" w:rsidP="00183B1B">
      <w:r>
        <w:t>The Mental Capacity Act 2005 enacts the moral concepts of autonomy and dignity through creating a presumption of capacity and in demanding that people are offered adequate help so as to enable them to make their own decisions wherever possible (Department of Health, 2005). This is the law in action – it shows how moral values can be given practical form to safeguard sensitive people, without compromising their power of choice.</w:t>
      </w:r>
    </w:p>
    <w:p w14:paraId="0B15C701" w14:textId="77777777" w:rsidR="00183B1B" w:rsidRDefault="00183B1B" w:rsidP="00183B1B">
      <w:r>
        <w:t>A further underlying ethical ideal is that of dignity, which entails a "recognition" based approach where professionals must identify and acknowledge the intrinsic worth of all people-as-ends-and-not-means-be it in their own subjective life worlds (i.e. irrespective of one's actual mental state or social standing) (Nordenfelt and Edgar 2005). Whilst respecting humanity is a basic respect, dignity in person-centred practice includes being involved meaningfully, privacy and also acknowledging the unique identity and personhood of an individual.</w:t>
      </w:r>
    </w:p>
    <w:p w14:paraId="5D801D32" w14:textId="3DD487E9" w:rsidR="00183B1B" w:rsidRDefault="00183B1B" w:rsidP="00183B1B">
      <w:r>
        <w:t>Ethical dilemmas commonly emerge in the course of everyday practice concerning a balance between autonomy and the promotion and protection of the best interests. Duty of care may entail interventions that do not align with an individual's or family's desire, leading to dilemmas that will need to be managed (Banks, 2016). When working in partnership, the ethical temperature is further complicated by each agency having particular views about what constitutes risk, capacity and appropriate interventions; more rigorous frameworks for the ethics of decision-making are therefore required that do not deprioritise the individual while also maintaining their safety.</w:t>
      </w:r>
      <w:r w:rsidR="004E2D25">
        <w:t xml:space="preserve"> </w:t>
      </w:r>
    </w:p>
    <w:p w14:paraId="3E45E34A" w14:textId="77777777" w:rsidR="004E2D25" w:rsidRDefault="004E2D25" w:rsidP="00183B1B"/>
    <w:p w14:paraId="16ECEAF9" w14:textId="77777777" w:rsidR="00183B1B" w:rsidRPr="00296258" w:rsidRDefault="00183B1B" w:rsidP="00183B1B">
      <w:pPr>
        <w:rPr>
          <w:b/>
          <w:bCs/>
        </w:rPr>
      </w:pPr>
      <w:r w:rsidRPr="00296258">
        <w:rPr>
          <w:b/>
          <w:bCs/>
        </w:rPr>
        <w:t>Measuring Partnership Working in Health and Social Care</w:t>
      </w:r>
    </w:p>
    <w:p w14:paraId="19FF03D6" w14:textId="77777777" w:rsidR="00183B1B" w:rsidRDefault="00183B1B" w:rsidP="00183B1B">
      <w:r>
        <w:t xml:space="preserve">It is now widely accepted that partnership working has to be the cornerstone of modern health and social care delivery (Glasby and Dickinson, 2014) defined as 'the collaborative working relationships between professionals and agencies with service users – or with carers of service users — who together can achieve agreed aims' (Audit Scotland, 2007). Successful collaborative relationships operate at a range of levels: </w:t>
      </w:r>
      <w:r>
        <w:lastRenderedPageBreak/>
        <w:t>among service users and practitioners (micro level), between professional groups (meso level) and between institutions, organizations and sectors (macro level).</w:t>
      </w:r>
    </w:p>
    <w:p w14:paraId="6742F71D" w14:textId="77777777" w:rsidR="00183B1B" w:rsidRDefault="00183B1B" w:rsidP="00183B1B">
      <w:r>
        <w:t>The case for partnership working is based on an understanding that complex health and social needs often do not sit neatly within single professional or organisational territories. There are high expectations of integrated working that it will enhance service co-ordination, reduce duplication, improve information sharing and provide "joined-up" support that meets the diversity of individual needs (Cameron et al., 2014). There is evidence to indicate that positive partnership working results in better outcomes, especially for people with more than one LTC or complex social care needs (Glasby and Tew, 2015).</w:t>
      </w:r>
    </w:p>
    <w:p w14:paraId="0F0F1397" w14:textId="77777777" w:rsidR="00183B1B" w:rsidRDefault="00183B1B" w:rsidP="00183B1B">
      <w:r>
        <w:t>But partnership working is massively challenging. Friction points of professional tribalism, conflicting organisational agendas, incompatible IT systems and divergent regulatory regimes impede true integration (Dickinson 2014). Tension around authority and resource distribution may be caused by varying professional cultures, training orientations, and structures of accountability. In particular, the division between NHS-financed health services and means-tested social care presents challenges for collaborative service provision (Humphries et al., 2016).</w:t>
      </w:r>
    </w:p>
    <w:p w14:paraId="506F4B97" w14:textId="1A2D6554" w:rsidR="00183B1B" w:rsidRDefault="00183B1B" w:rsidP="00183B1B">
      <w:r>
        <w:t>Power relations in partnerships need to be analysed critically. The rhetoric of partnership working can cover over enduring hierarchies between medicine and other professions, statutory and voluntary sectors or between professionals and service users (Collins, 2017). True partnership involves explicit consideration to share of power, allocation of resources and whose knowledge is respected in decision making.</w:t>
      </w:r>
      <w:r w:rsidR="004E2D25">
        <w:t xml:space="preserve"> </w:t>
      </w:r>
    </w:p>
    <w:p w14:paraId="204855A1" w14:textId="77777777" w:rsidR="004E2D25" w:rsidRDefault="004E2D25" w:rsidP="00183B1B"/>
    <w:p w14:paraId="58B3C17C" w14:textId="0DF333E3" w:rsidR="00183B1B" w:rsidRPr="00296258" w:rsidRDefault="00183B1B" w:rsidP="00183B1B">
      <w:pPr>
        <w:rPr>
          <w:b/>
          <w:bCs/>
        </w:rPr>
      </w:pPr>
      <w:r w:rsidRPr="00296258">
        <w:rPr>
          <w:b/>
          <w:bCs/>
        </w:rPr>
        <w:t>The Working in Partnership. (Integrated Community Mental Health Services)</w:t>
      </w:r>
    </w:p>
    <w:p w14:paraId="0312A5E4" w14:textId="77777777" w:rsidR="00183B1B" w:rsidRDefault="00183B1B" w:rsidP="00183B1B">
      <w:r>
        <w:t>An example of how partnership working is applied in practice is through integrated community mental health services, which bring together NHS mental health trusts, local authority social care, primary care, including housing and employment support with the voluntary sector (NHS England 2019). Such services acknowledge that recovery from mental health issues is not the sole responsibility of clinical services but also relies on a multi-agency approach for assistance with housing, socialising and occupation all leading to community integration.</w:t>
      </w:r>
    </w:p>
    <w:p w14:paraId="7D72C842" w14:textId="77777777" w:rsidR="00183B1B" w:rsidRDefault="00183B1B" w:rsidP="00183B1B">
      <w:r>
        <w:t>In these environments, interdisciplinary team members comprise psychiatrists, community psychiatric nurses, social workers, occupational therapists and peer support workers with lived experience who have connections to housing and employment specialists. The service user is a co-equal partner in the process of care planning, and recovery-oriented strategies focus on an individual's goals, strengths and aspirations rather than deficit-based clinical goals (Slade 2009).</w:t>
      </w:r>
    </w:p>
    <w:p w14:paraId="3779812B" w14:textId="1209C3BA" w:rsidR="00183B1B" w:rsidRDefault="00183B1B" w:rsidP="00183B1B">
      <w:r>
        <w:lastRenderedPageBreak/>
        <w:t>Resource shortages may restrict the extent to which integrated packages are comprehensive, such that there may be waiting lists for psychological treatments or social care assessments resulting in 'leaky' coherent provision. Despite this, findings indicate that such an integrated approach results in greater engagement, there are fewer crisis presentations and inpatient admissions and the recovery of service users is better than that achieved by disjointed services (Gilburt 2015). Critical success factors include leadership buy-in, co-location where possible, shared training opportunities and meaningful involvement of people with lived experience in the design and delivery of service.</w:t>
      </w:r>
      <w:r w:rsidR="004E2D25">
        <w:t xml:space="preserve"> </w:t>
      </w:r>
    </w:p>
    <w:p w14:paraId="5D867A44" w14:textId="77777777" w:rsidR="004E2D25" w:rsidRDefault="004E2D25" w:rsidP="00183B1B"/>
    <w:p w14:paraId="4B5D1C79" w14:textId="77777777" w:rsidR="00183B1B" w:rsidRPr="00296258" w:rsidRDefault="00183B1B" w:rsidP="00183B1B">
      <w:pPr>
        <w:rPr>
          <w:b/>
          <w:bCs/>
        </w:rPr>
      </w:pPr>
      <w:r w:rsidRPr="00296258">
        <w:rPr>
          <w:b/>
          <w:bCs/>
        </w:rPr>
        <w:t>Policy and Legislation for PCC and Partnership Working</w:t>
      </w:r>
    </w:p>
    <w:p w14:paraId="4E1A1D3B" w14:textId="51BB2E8A" w:rsidR="00183B1B" w:rsidRDefault="00183B1B" w:rsidP="00183B1B">
      <w:r>
        <w:t>The Care Act 2014 is historic legislation which instils person-centred values in social care</w:t>
      </w:r>
      <w:r w:rsidR="001B0B4F">
        <w:t xml:space="preserve"> </w:t>
      </w:r>
      <w:r>
        <w:t>defines well being as the organising principle and provides for personalisation through individual budgets and direct payments ( Department of Health, 2014 ). The Act's focus on prevention, information sharing and strengths based emphasis is highly compatible with person centred principles.</w:t>
      </w:r>
    </w:p>
    <w:p w14:paraId="5AE04104" w14:textId="77777777" w:rsidR="00183B1B" w:rsidRDefault="00183B1B" w:rsidP="00183B1B">
      <w:r>
        <w:t>The Health and Social Care Act 2012 encouraged 'integrated care' through local 'Health and Well-being Boards', which are based on combined strategic need assessment, shared with local authorities and clinical commissioning groups (Department of Health, 2012). The more recent Health and Care Act 2022 has enshrined Integrated Care Systems as statutory organisations tasked with the planning and provision of joined-up health and care services, representing the most significant structural reform aimed at supporting partnership working (Department of Health and Social Care, 2022).</w:t>
      </w:r>
    </w:p>
    <w:p w14:paraId="682B1576" w14:textId="77777777" w:rsidR="00183B1B" w:rsidRDefault="00183B1B" w:rsidP="00183B1B">
      <w:r>
        <w:t>The NHS Long Term Plan (2019) sets out personalised care as an approach that should be universal operating model, involving shared decision-making, personal health and care planning and social prescribing connecting people to community based support services (NHS England, 2019). These policy commitments signal the increasing recognition that good health care is part of more than clinical interventions and involves addressing social determinants of health though partnership working.</w:t>
      </w:r>
    </w:p>
    <w:p w14:paraId="57E335FE" w14:textId="0B0D745F" w:rsidR="00183B1B" w:rsidRDefault="00183B1B" w:rsidP="00183B1B">
      <w:r>
        <w:t>Yet, policy delivery is fraught with difficulties. Austerity since 2010 has seen dramatic cuts to local authority budgets that prevent powers provided in legislation being backed by resources needed to deliver personalised social care (Glasby and Tew, 2015). The rhetoric of co-operation and personalisation may well be ahead of the resource commitment required for meaningful effect.</w:t>
      </w:r>
      <w:r w:rsidR="004E2D25">
        <w:t xml:space="preserve"> </w:t>
      </w:r>
    </w:p>
    <w:p w14:paraId="1ED15E3E" w14:textId="77777777" w:rsidR="004E2D25" w:rsidRDefault="004E2D25" w:rsidP="00183B1B"/>
    <w:p w14:paraId="429B4137" w14:textId="317853C4" w:rsidR="00183B1B" w:rsidRDefault="00183B1B" w:rsidP="00183B1B">
      <w:pPr>
        <w:rPr>
          <w:b/>
          <w:bCs/>
        </w:rPr>
      </w:pPr>
      <w:r w:rsidRPr="00296258">
        <w:rPr>
          <w:b/>
          <w:bCs/>
        </w:rPr>
        <w:t>Recommendations for Future Development</w:t>
      </w:r>
      <w:r w:rsidR="001B0B4F">
        <w:rPr>
          <w:b/>
          <w:bCs/>
        </w:rPr>
        <w:t xml:space="preserve"> </w:t>
      </w:r>
    </w:p>
    <w:p w14:paraId="5921C30E" w14:textId="10A4DD73" w:rsidR="00183B1B" w:rsidRPr="001B0B4F" w:rsidRDefault="001B0B4F" w:rsidP="00183B1B">
      <w:pPr>
        <w:rPr>
          <w:rFonts w:ascii="Arial" w:hAnsi="Arial" w:cs="Arial"/>
          <w:sz w:val="22"/>
          <w:szCs w:val="22"/>
        </w:rPr>
      </w:pPr>
      <w:r>
        <w:rPr>
          <w:rFonts w:ascii="Arial" w:hAnsi="Arial" w:cs="Arial"/>
          <w:sz w:val="22"/>
          <w:szCs w:val="22"/>
        </w:rPr>
        <w:lastRenderedPageBreak/>
        <w:t xml:space="preserve">Several recommendations can be made to further develop person-centred care and partnership working. </w:t>
      </w:r>
      <w:r w:rsidR="00183B1B">
        <w:t>Workforce development should include relational skills in line with technical skill and permeate professional education with person-centred values, allocating protected time for relationship building within a practitioner's working week (Health Care England 2017). Person-centred cultures should be led and role-modelled at all levels of organisational leadership with performance frameworks measured against issues that are important to service users rather than process targets.</w:t>
      </w:r>
    </w:p>
    <w:p w14:paraId="7F44D563" w14:textId="77777777" w:rsidR="00183B1B" w:rsidRDefault="00183B1B" w:rsidP="00183B1B">
      <w:r>
        <w:t>The integration of health and social care is more than just structural reorganisation, it requires the kind of radical reform to which few believe politicians have the courage to commit themselves. Funding streams should be seriously considered to prevent perverse incentives, where shortcuts in preventative investment and holistic support are encouraged (Humphries et al., 2016). Common information systems, governance structures and regulatory approaches might allow for true partnership working across organisational boundaries.</w:t>
      </w:r>
    </w:p>
    <w:p w14:paraId="0EBB26FC" w14:textId="77777777" w:rsidR="00183B1B" w:rsidRDefault="00183B1B" w:rsidP="00183B1B">
      <w:r>
        <w:t>Involvement of service-users needs to go beyond consultation to mutually value driven co-production of services, professional education and policy (Batalden et al., 2016). This entails commitment to resource involvement properly, make participation more intrusive and offer mechanisms for engagement, as well as making sure different voices contribute to the development of services where possible- especially those from marginalised communities whose perspectives are frequently excluded.</w:t>
      </w:r>
    </w:p>
    <w:p w14:paraId="3CD35A4E" w14:textId="611942CB" w:rsidR="00183B1B" w:rsidRDefault="00183B1B" w:rsidP="00183B1B">
      <w:r>
        <w:t>Digital technologies present opportunities for personalisation through remote monitoring, service user access to digital health records and online peer support communities but need to be considered carefully in the deployment so as not to create new inequalities for those who have limited digital access and literacy (Greenhalgh et al., 2017).</w:t>
      </w:r>
      <w:r w:rsidR="004E2D25">
        <w:t xml:space="preserve"> </w:t>
      </w:r>
    </w:p>
    <w:p w14:paraId="0931D1F1" w14:textId="77777777" w:rsidR="004E2D25" w:rsidRDefault="004E2D25" w:rsidP="00183B1B"/>
    <w:p w14:paraId="133C2420" w14:textId="77777777" w:rsidR="00183B1B" w:rsidRPr="00296258" w:rsidRDefault="00183B1B" w:rsidP="00183B1B">
      <w:pPr>
        <w:rPr>
          <w:b/>
          <w:bCs/>
        </w:rPr>
      </w:pPr>
      <w:r w:rsidRPr="00296258">
        <w:rPr>
          <w:b/>
          <w:bCs/>
        </w:rPr>
        <w:t>Conclusion</w:t>
      </w:r>
    </w:p>
    <w:p w14:paraId="571043A6" w14:textId="3EB7129B" w:rsidR="00BD14BD" w:rsidRPr="00183B1B" w:rsidRDefault="00183B1B" w:rsidP="00BD14BD">
      <w:pPr>
        <w:rPr>
          <w:rFonts w:ascii="Arial" w:hAnsi="Arial" w:cs="Arial"/>
          <w:sz w:val="22"/>
          <w:szCs w:val="22"/>
        </w:rPr>
      </w:pPr>
      <w:r>
        <w:t xml:space="preserve">They are closely associated approaches which have driven a philosophy and practice shift in health and social care. Despite good evidence for service users, professionals and health systems many barriers remain to implementation. Policy agendas are increasingly envisaging person-centred and integrated methods however, there is an inability to deliver on these aspirations due to financial pressures and fragmented systems. To do so, we need a sustained focus on investment, culture change, real power sharing with people who use services and ongoing commitment to values of respect, collaboration and person-centred / personalised support that lie at the heart of both person-centred care and co-produced practice.  </w:t>
      </w:r>
      <w:r>
        <w:rPr>
          <w:rFonts w:ascii="Arial" w:hAnsi="Arial" w:cs="Arial"/>
          <w:sz w:val="22"/>
          <w:szCs w:val="22"/>
        </w:rPr>
        <w:t xml:space="preserve"> </w:t>
      </w:r>
    </w:p>
    <w:p w14:paraId="09BD4C9E" w14:textId="77777777" w:rsidR="00FD0A4F" w:rsidRDefault="00FD0A4F" w:rsidP="00BD14BD">
      <w:pPr>
        <w:rPr>
          <w:rFonts w:ascii="Arial" w:hAnsi="Arial" w:cs="Arial"/>
          <w:sz w:val="22"/>
          <w:szCs w:val="22"/>
        </w:rPr>
      </w:pPr>
    </w:p>
    <w:p w14:paraId="1B7AE040" w14:textId="77777777" w:rsidR="00FD0A4F" w:rsidRPr="00296258" w:rsidRDefault="00FD0A4F" w:rsidP="00BD14BD">
      <w:pPr>
        <w:rPr>
          <w:rFonts w:ascii="Arial" w:hAnsi="Arial" w:cs="Arial"/>
          <w:b/>
          <w:bCs/>
          <w:sz w:val="22"/>
          <w:szCs w:val="22"/>
        </w:rPr>
      </w:pPr>
      <w:r w:rsidRPr="00296258">
        <w:rPr>
          <w:rFonts w:ascii="Arial" w:hAnsi="Arial" w:cs="Arial"/>
          <w:b/>
          <w:bCs/>
          <w:sz w:val="22"/>
          <w:szCs w:val="22"/>
        </w:rPr>
        <w:lastRenderedPageBreak/>
        <w:t xml:space="preserve">References. </w:t>
      </w:r>
    </w:p>
    <w:p w14:paraId="4F08B185"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Banks, S. (2016) </w:t>
      </w:r>
      <w:r w:rsidRPr="00C937C9">
        <w:rPr>
          <w:rFonts w:ascii="Arial" w:hAnsi="Arial" w:cs="Arial"/>
          <w:i/>
          <w:iCs/>
          <w:sz w:val="22"/>
          <w:szCs w:val="22"/>
        </w:rPr>
        <w:t>Ethics and Values in Social Work</w:t>
      </w:r>
      <w:r w:rsidRPr="003C461F">
        <w:rPr>
          <w:rFonts w:ascii="Arial" w:hAnsi="Arial" w:cs="Arial"/>
          <w:sz w:val="22"/>
          <w:szCs w:val="22"/>
        </w:rPr>
        <w:t>. 4th edn. London: Palgrave Macmillan.</w:t>
      </w:r>
    </w:p>
    <w:p w14:paraId="1B8F1AB4"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Batalden, M., Batalden, P., Margolis, P., Seid, M., Armstrong, G., Opipari-Arrigan, L. and Hartung, H. (2016) 'Coproduction of healthcare service', </w:t>
      </w:r>
      <w:r w:rsidRPr="00C937C9">
        <w:rPr>
          <w:rFonts w:ascii="Arial" w:hAnsi="Arial" w:cs="Arial"/>
          <w:i/>
          <w:iCs/>
          <w:sz w:val="22"/>
          <w:szCs w:val="22"/>
        </w:rPr>
        <w:t>BMJ Quality &amp; Safety,</w:t>
      </w:r>
      <w:r w:rsidRPr="003C461F">
        <w:rPr>
          <w:rFonts w:ascii="Arial" w:hAnsi="Arial" w:cs="Arial"/>
          <w:sz w:val="22"/>
          <w:szCs w:val="22"/>
        </w:rPr>
        <w:t xml:space="preserve"> 25(7), pp. 509-517.</w:t>
      </w:r>
    </w:p>
    <w:p w14:paraId="5C0027A2"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Beauchamp, T.L. and Childress, J.F. (2019) </w:t>
      </w:r>
      <w:r w:rsidRPr="00C937C9">
        <w:rPr>
          <w:rFonts w:ascii="Arial" w:hAnsi="Arial" w:cs="Arial"/>
          <w:i/>
          <w:iCs/>
          <w:sz w:val="22"/>
          <w:szCs w:val="22"/>
        </w:rPr>
        <w:t>Principles of Biomedical Ethics</w:t>
      </w:r>
      <w:r w:rsidRPr="003C461F">
        <w:rPr>
          <w:rFonts w:ascii="Arial" w:hAnsi="Arial" w:cs="Arial"/>
          <w:sz w:val="22"/>
          <w:szCs w:val="22"/>
        </w:rPr>
        <w:t>. 8th edn. New York: Oxford University Press.</w:t>
      </w:r>
    </w:p>
    <w:p w14:paraId="0CFD4D31" w14:textId="77777777" w:rsidR="003C461F" w:rsidRPr="003C461F" w:rsidRDefault="003C461F" w:rsidP="003C461F">
      <w:pPr>
        <w:rPr>
          <w:rFonts w:ascii="Arial" w:hAnsi="Arial" w:cs="Arial"/>
          <w:sz w:val="22"/>
          <w:szCs w:val="22"/>
        </w:rPr>
      </w:pPr>
      <w:r w:rsidRPr="003C461F">
        <w:rPr>
          <w:rFonts w:ascii="Arial" w:hAnsi="Arial" w:cs="Arial"/>
          <w:sz w:val="22"/>
          <w:szCs w:val="22"/>
        </w:rPr>
        <w:t>Cameron, A., Lart, R., Bostock, L. and Coomber, C. (2014) 'Factors that promote and hinder joint and integrated working between health and social care services: a review of research literature'</w:t>
      </w:r>
      <w:r w:rsidRPr="00C937C9">
        <w:rPr>
          <w:rFonts w:ascii="Arial" w:hAnsi="Arial" w:cs="Arial"/>
          <w:i/>
          <w:iCs/>
          <w:sz w:val="22"/>
          <w:szCs w:val="22"/>
        </w:rPr>
        <w:t>, Health &amp; Social Care in the Community</w:t>
      </w:r>
      <w:r w:rsidRPr="003C461F">
        <w:rPr>
          <w:rFonts w:ascii="Arial" w:hAnsi="Arial" w:cs="Arial"/>
          <w:sz w:val="22"/>
          <w:szCs w:val="22"/>
        </w:rPr>
        <w:t>, 22(3), pp. 225-233.</w:t>
      </w:r>
    </w:p>
    <w:p w14:paraId="6C871462"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Collins, B. (2017) </w:t>
      </w:r>
      <w:r w:rsidRPr="00C937C9">
        <w:rPr>
          <w:rFonts w:ascii="Arial" w:hAnsi="Arial" w:cs="Arial"/>
          <w:i/>
          <w:iCs/>
          <w:sz w:val="22"/>
          <w:szCs w:val="22"/>
        </w:rPr>
        <w:t>Adoption and Spread of Innovation in the NHS</w:t>
      </w:r>
      <w:r w:rsidRPr="003C461F">
        <w:rPr>
          <w:rFonts w:ascii="Arial" w:hAnsi="Arial" w:cs="Arial"/>
          <w:sz w:val="22"/>
          <w:szCs w:val="22"/>
        </w:rPr>
        <w:t>. London: The King's Fund.</w:t>
      </w:r>
    </w:p>
    <w:p w14:paraId="1525EDAA"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Coulter, A. and Oldham, J. (2016) 'Person-centred care: what is it and how do we get there?', </w:t>
      </w:r>
      <w:r w:rsidRPr="00C937C9">
        <w:rPr>
          <w:rFonts w:ascii="Arial" w:hAnsi="Arial" w:cs="Arial"/>
          <w:i/>
          <w:iCs/>
          <w:sz w:val="22"/>
          <w:szCs w:val="22"/>
        </w:rPr>
        <w:t>Future Hospital Journal</w:t>
      </w:r>
      <w:r w:rsidRPr="003C461F">
        <w:rPr>
          <w:rFonts w:ascii="Arial" w:hAnsi="Arial" w:cs="Arial"/>
          <w:sz w:val="22"/>
          <w:szCs w:val="22"/>
        </w:rPr>
        <w:t>, 3(2), pp. 114-116.</w:t>
      </w:r>
    </w:p>
    <w:p w14:paraId="6B1B422F"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Department of Health (2005) </w:t>
      </w:r>
      <w:r w:rsidRPr="00C937C9">
        <w:rPr>
          <w:rFonts w:ascii="Arial" w:hAnsi="Arial" w:cs="Arial"/>
          <w:i/>
          <w:iCs/>
          <w:sz w:val="22"/>
          <w:szCs w:val="22"/>
        </w:rPr>
        <w:t>Mental Capacity Act 2005</w:t>
      </w:r>
      <w:r w:rsidRPr="003C461F">
        <w:rPr>
          <w:rFonts w:ascii="Arial" w:hAnsi="Arial" w:cs="Arial"/>
          <w:sz w:val="22"/>
          <w:szCs w:val="22"/>
        </w:rPr>
        <w:t>. London: The Stationery Office.</w:t>
      </w:r>
    </w:p>
    <w:p w14:paraId="0FC70475"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Department of Health (2014) </w:t>
      </w:r>
      <w:r w:rsidRPr="00C937C9">
        <w:rPr>
          <w:rFonts w:ascii="Arial" w:hAnsi="Arial" w:cs="Arial"/>
          <w:i/>
          <w:iCs/>
          <w:sz w:val="22"/>
          <w:szCs w:val="22"/>
        </w:rPr>
        <w:t>Care Act 2014</w:t>
      </w:r>
      <w:r w:rsidRPr="003C461F">
        <w:rPr>
          <w:rFonts w:ascii="Arial" w:hAnsi="Arial" w:cs="Arial"/>
          <w:sz w:val="22"/>
          <w:szCs w:val="22"/>
        </w:rPr>
        <w:t>. London: The Stationery Office.</w:t>
      </w:r>
    </w:p>
    <w:p w14:paraId="6102A7E3" w14:textId="77777777" w:rsidR="003C461F" w:rsidRPr="003C461F" w:rsidRDefault="003C461F" w:rsidP="003C461F">
      <w:pPr>
        <w:rPr>
          <w:rFonts w:ascii="Arial" w:hAnsi="Arial" w:cs="Arial"/>
          <w:sz w:val="22"/>
          <w:szCs w:val="22"/>
        </w:rPr>
      </w:pPr>
      <w:r w:rsidRPr="003C461F">
        <w:rPr>
          <w:rFonts w:ascii="Arial" w:hAnsi="Arial" w:cs="Arial"/>
          <w:sz w:val="22"/>
          <w:szCs w:val="22"/>
        </w:rPr>
        <w:t>Department of Health and Social Care (2022</w:t>
      </w:r>
      <w:r w:rsidRPr="00C937C9">
        <w:rPr>
          <w:rFonts w:ascii="Arial" w:hAnsi="Arial" w:cs="Arial"/>
          <w:i/>
          <w:iCs/>
          <w:sz w:val="22"/>
          <w:szCs w:val="22"/>
        </w:rPr>
        <w:t>) Health and Care Act 2022</w:t>
      </w:r>
      <w:r w:rsidRPr="003C461F">
        <w:rPr>
          <w:rFonts w:ascii="Arial" w:hAnsi="Arial" w:cs="Arial"/>
          <w:sz w:val="22"/>
          <w:szCs w:val="22"/>
        </w:rPr>
        <w:t>. London: The Stationery Office.</w:t>
      </w:r>
    </w:p>
    <w:p w14:paraId="3DEF8FD3"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Glasby, J. and Dickinson, H. (2014) </w:t>
      </w:r>
      <w:r w:rsidRPr="00C937C9">
        <w:rPr>
          <w:rFonts w:ascii="Arial" w:hAnsi="Arial" w:cs="Arial"/>
          <w:i/>
          <w:iCs/>
          <w:sz w:val="22"/>
          <w:szCs w:val="22"/>
        </w:rPr>
        <w:t>Partnership Working in Health and Social Care</w:t>
      </w:r>
      <w:r w:rsidRPr="003C461F">
        <w:rPr>
          <w:rFonts w:ascii="Arial" w:hAnsi="Arial" w:cs="Arial"/>
          <w:sz w:val="22"/>
          <w:szCs w:val="22"/>
        </w:rPr>
        <w:t>. 2nd edn. Bristol: Policy Press.</w:t>
      </w:r>
    </w:p>
    <w:p w14:paraId="2A6D5BC2" w14:textId="77777777" w:rsidR="003C461F" w:rsidRPr="003C461F" w:rsidRDefault="003C461F" w:rsidP="003C461F">
      <w:pPr>
        <w:rPr>
          <w:rFonts w:ascii="Arial" w:hAnsi="Arial" w:cs="Arial"/>
          <w:sz w:val="22"/>
          <w:szCs w:val="22"/>
        </w:rPr>
      </w:pPr>
      <w:r w:rsidRPr="003C461F">
        <w:rPr>
          <w:rFonts w:ascii="Arial" w:hAnsi="Arial" w:cs="Arial"/>
          <w:sz w:val="22"/>
          <w:szCs w:val="22"/>
        </w:rPr>
        <w:t>Glasby, J. and Tew, J. (2015</w:t>
      </w:r>
      <w:r w:rsidRPr="00C937C9">
        <w:rPr>
          <w:rFonts w:ascii="Arial" w:hAnsi="Arial" w:cs="Arial"/>
          <w:i/>
          <w:iCs/>
          <w:sz w:val="22"/>
          <w:szCs w:val="22"/>
        </w:rPr>
        <w:t>) Mental Health Policy and Practice</w:t>
      </w:r>
      <w:r w:rsidRPr="003C461F">
        <w:rPr>
          <w:rFonts w:ascii="Arial" w:hAnsi="Arial" w:cs="Arial"/>
          <w:sz w:val="22"/>
          <w:szCs w:val="22"/>
        </w:rPr>
        <w:t>. 3rd edn. London: Palgrave Macmillan.</w:t>
      </w:r>
    </w:p>
    <w:p w14:paraId="4065ED9B"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Greenhalgh, T., Wherton, J., Papoutsi, C., Lynch, J., Hughes, G., A'Court, C., Hinder, S., Fahy, N., Procter, R. and Shaw, S. (2017) 'Beyond adoption: a new framework for theorizing and evaluating nonadoption, abandonment, and challenges to the scale-up, spread, and sustainability of health and care technologies', </w:t>
      </w:r>
      <w:r w:rsidRPr="00C937C9">
        <w:rPr>
          <w:rFonts w:ascii="Arial" w:hAnsi="Arial" w:cs="Arial"/>
          <w:i/>
          <w:iCs/>
          <w:sz w:val="22"/>
          <w:szCs w:val="22"/>
        </w:rPr>
        <w:t>Journal of Medical Internet Research</w:t>
      </w:r>
      <w:r w:rsidRPr="003C461F">
        <w:rPr>
          <w:rFonts w:ascii="Arial" w:hAnsi="Arial" w:cs="Arial"/>
          <w:sz w:val="22"/>
          <w:szCs w:val="22"/>
        </w:rPr>
        <w:t>, 19(11), e367.</w:t>
      </w:r>
    </w:p>
    <w:p w14:paraId="21591BC4" w14:textId="77777777" w:rsidR="003C461F" w:rsidRPr="003C461F" w:rsidRDefault="003C461F" w:rsidP="003C461F">
      <w:pPr>
        <w:rPr>
          <w:rFonts w:ascii="Arial" w:hAnsi="Arial" w:cs="Arial"/>
          <w:sz w:val="22"/>
          <w:szCs w:val="22"/>
        </w:rPr>
      </w:pPr>
      <w:r w:rsidRPr="003C461F">
        <w:rPr>
          <w:rFonts w:ascii="Arial" w:hAnsi="Arial" w:cs="Arial"/>
          <w:sz w:val="22"/>
          <w:szCs w:val="22"/>
        </w:rPr>
        <w:t>Health Foundation (2016</w:t>
      </w:r>
      <w:r w:rsidRPr="00C937C9">
        <w:rPr>
          <w:rFonts w:ascii="Arial" w:hAnsi="Arial" w:cs="Arial"/>
          <w:i/>
          <w:iCs/>
          <w:sz w:val="22"/>
          <w:szCs w:val="22"/>
        </w:rPr>
        <w:t>) Person-centred Care Made Simple</w:t>
      </w:r>
      <w:r w:rsidRPr="003C461F">
        <w:rPr>
          <w:rFonts w:ascii="Arial" w:hAnsi="Arial" w:cs="Arial"/>
          <w:sz w:val="22"/>
          <w:szCs w:val="22"/>
        </w:rPr>
        <w:t>. London: Health Foundation.</w:t>
      </w:r>
    </w:p>
    <w:p w14:paraId="728AFA7A"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Humphries, R., Thorlby, R., Holder, H., Hall, P. and Charles, A. (2016) </w:t>
      </w:r>
      <w:r w:rsidRPr="00C937C9">
        <w:rPr>
          <w:rFonts w:ascii="Arial" w:hAnsi="Arial" w:cs="Arial"/>
          <w:i/>
          <w:iCs/>
          <w:sz w:val="22"/>
          <w:szCs w:val="22"/>
        </w:rPr>
        <w:t xml:space="preserve">Social Care for Older People: Home Truths. </w:t>
      </w:r>
      <w:r w:rsidRPr="003C461F">
        <w:rPr>
          <w:rFonts w:ascii="Arial" w:hAnsi="Arial" w:cs="Arial"/>
          <w:sz w:val="22"/>
          <w:szCs w:val="22"/>
        </w:rPr>
        <w:t>London: The King's Fund.</w:t>
      </w:r>
    </w:p>
    <w:p w14:paraId="58B81713"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Kebbe, M., Abdi, S., Klinger, C., Howe, J., Gladstone, B., Kunkel, D., Chera, K., Peckford, J., Tuckey, J. and Kozlowski, A. (2020) 'Perspectives of healthcare providers on person-centred care: a systematic review of qualitative studies', </w:t>
      </w:r>
      <w:r w:rsidRPr="00C937C9">
        <w:rPr>
          <w:rFonts w:ascii="Arial" w:hAnsi="Arial" w:cs="Arial"/>
          <w:i/>
          <w:iCs/>
          <w:sz w:val="22"/>
          <w:szCs w:val="22"/>
        </w:rPr>
        <w:t>BMC Health Services Research</w:t>
      </w:r>
      <w:r w:rsidRPr="003C461F">
        <w:rPr>
          <w:rFonts w:ascii="Arial" w:hAnsi="Arial" w:cs="Arial"/>
          <w:sz w:val="22"/>
          <w:szCs w:val="22"/>
        </w:rPr>
        <w:t>, 20, 971.</w:t>
      </w:r>
    </w:p>
    <w:p w14:paraId="295A1E61" w14:textId="77777777" w:rsidR="003C461F" w:rsidRPr="003C461F" w:rsidRDefault="003C461F" w:rsidP="003C461F">
      <w:pPr>
        <w:rPr>
          <w:rFonts w:ascii="Arial" w:hAnsi="Arial" w:cs="Arial"/>
          <w:sz w:val="22"/>
          <w:szCs w:val="22"/>
        </w:rPr>
      </w:pPr>
      <w:r w:rsidRPr="003C461F">
        <w:rPr>
          <w:rFonts w:ascii="Arial" w:hAnsi="Arial" w:cs="Arial"/>
          <w:sz w:val="22"/>
          <w:szCs w:val="22"/>
        </w:rPr>
        <w:t xml:space="preserve">McCormack, B. and McCance, T. (2017) </w:t>
      </w:r>
      <w:r w:rsidRPr="00C937C9">
        <w:rPr>
          <w:rFonts w:ascii="Arial" w:hAnsi="Arial" w:cs="Arial"/>
          <w:i/>
          <w:iCs/>
          <w:sz w:val="22"/>
          <w:szCs w:val="22"/>
        </w:rPr>
        <w:t>Person-Centred Practice in Nursing and Health Care: Theory and Practice.</w:t>
      </w:r>
      <w:r w:rsidRPr="003C461F">
        <w:rPr>
          <w:rFonts w:ascii="Arial" w:hAnsi="Arial" w:cs="Arial"/>
          <w:sz w:val="22"/>
          <w:szCs w:val="22"/>
        </w:rPr>
        <w:t xml:space="preserve"> 2nd edn. Chichester: Wiley-Blackwell.</w:t>
      </w:r>
    </w:p>
    <w:p w14:paraId="78C68A84" w14:textId="5CAE31C0" w:rsidR="00FD0A4F" w:rsidRDefault="003C461F" w:rsidP="003C461F">
      <w:pPr>
        <w:rPr>
          <w:rFonts w:ascii="Arial" w:hAnsi="Arial" w:cs="Arial"/>
          <w:sz w:val="22"/>
          <w:szCs w:val="22"/>
        </w:rPr>
      </w:pPr>
      <w:r w:rsidRPr="003C461F">
        <w:rPr>
          <w:rFonts w:ascii="Arial" w:hAnsi="Arial" w:cs="Arial"/>
          <w:sz w:val="22"/>
          <w:szCs w:val="22"/>
        </w:rPr>
        <w:t xml:space="preserve">NHS England (2019) </w:t>
      </w:r>
      <w:r w:rsidRPr="00C937C9">
        <w:rPr>
          <w:rFonts w:ascii="Arial" w:hAnsi="Arial" w:cs="Arial"/>
          <w:i/>
          <w:iCs/>
          <w:sz w:val="22"/>
          <w:szCs w:val="22"/>
        </w:rPr>
        <w:t>The NHS Long Term Plan</w:t>
      </w:r>
      <w:r w:rsidRPr="003C461F">
        <w:rPr>
          <w:rFonts w:ascii="Arial" w:hAnsi="Arial" w:cs="Arial"/>
          <w:sz w:val="22"/>
          <w:szCs w:val="22"/>
        </w:rPr>
        <w:t>. London: NHS England.</w:t>
      </w:r>
      <w:r>
        <w:rPr>
          <w:rFonts w:ascii="Arial" w:hAnsi="Arial" w:cs="Arial"/>
          <w:sz w:val="22"/>
          <w:szCs w:val="22"/>
        </w:rPr>
        <w:t xml:space="preserve"> </w:t>
      </w:r>
      <w:r w:rsidR="00FD0A4F">
        <w:rPr>
          <w:rFonts w:ascii="Arial" w:hAnsi="Arial" w:cs="Arial"/>
          <w:sz w:val="22"/>
          <w:szCs w:val="22"/>
        </w:rPr>
        <w:t xml:space="preserve"> </w:t>
      </w:r>
      <w:r w:rsidR="00DC303D">
        <w:rPr>
          <w:rFonts w:ascii="Arial" w:hAnsi="Arial" w:cs="Arial"/>
          <w:sz w:val="22"/>
          <w:szCs w:val="22"/>
        </w:rPr>
        <w:t xml:space="preserve"> </w:t>
      </w:r>
    </w:p>
    <w:p w14:paraId="2AD86633" w14:textId="77777777" w:rsidR="00A652C1" w:rsidRDefault="00A652C1" w:rsidP="003C461F">
      <w:pPr>
        <w:rPr>
          <w:rFonts w:ascii="Arial" w:hAnsi="Arial" w:cs="Arial"/>
          <w:sz w:val="22"/>
          <w:szCs w:val="22"/>
        </w:rPr>
      </w:pPr>
    </w:p>
    <w:p w14:paraId="1488B1A2" w14:textId="77777777" w:rsidR="00DC303D" w:rsidRDefault="00DC303D" w:rsidP="003C461F">
      <w:pPr>
        <w:rPr>
          <w:rFonts w:ascii="Arial" w:hAnsi="Arial" w:cs="Arial"/>
          <w:sz w:val="22"/>
          <w:szCs w:val="22"/>
        </w:rPr>
      </w:pPr>
    </w:p>
    <w:p w14:paraId="449BC832" w14:textId="77777777" w:rsidR="003C461F" w:rsidRPr="00BD14BD" w:rsidRDefault="003C461F" w:rsidP="003C461F">
      <w:pPr>
        <w:rPr>
          <w:rFonts w:ascii="Arial" w:hAnsi="Arial" w:cs="Arial"/>
          <w:sz w:val="22"/>
          <w:szCs w:val="22"/>
        </w:rPr>
      </w:pPr>
    </w:p>
    <w:sectPr w:rsidR="003C461F" w:rsidRPr="00BD14B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EF5AEE" w14:textId="77777777" w:rsidR="006E0146" w:rsidRDefault="006E0146" w:rsidP="00BD14BD">
      <w:pPr>
        <w:spacing w:after="0" w:line="240" w:lineRule="auto"/>
      </w:pPr>
      <w:r>
        <w:separator/>
      </w:r>
    </w:p>
  </w:endnote>
  <w:endnote w:type="continuationSeparator" w:id="0">
    <w:p w14:paraId="2C87E6F7" w14:textId="77777777" w:rsidR="006E0146" w:rsidRDefault="006E0146" w:rsidP="00BD1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C98290" w14:textId="77777777" w:rsidR="006E0146" w:rsidRDefault="006E0146" w:rsidP="00BD14BD">
      <w:pPr>
        <w:spacing w:after="0" w:line="240" w:lineRule="auto"/>
      </w:pPr>
      <w:r>
        <w:separator/>
      </w:r>
    </w:p>
  </w:footnote>
  <w:footnote w:type="continuationSeparator" w:id="0">
    <w:p w14:paraId="7EB0102A" w14:textId="77777777" w:rsidR="006E0146" w:rsidRDefault="006E0146" w:rsidP="00BD14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2"/>
        <w:szCs w:val="22"/>
      </w:rPr>
      <w:id w:val="1489129297"/>
      <w:docPartObj>
        <w:docPartGallery w:val="Page Numbers (Top of Page)"/>
        <w:docPartUnique/>
      </w:docPartObj>
    </w:sdtPr>
    <w:sdtEndPr>
      <w:rPr>
        <w:noProof/>
      </w:rPr>
    </w:sdtEndPr>
    <w:sdtContent>
      <w:p w14:paraId="0E2E62F9" w14:textId="69531752" w:rsidR="00BD14BD" w:rsidRPr="00BD14BD" w:rsidRDefault="00BD14BD">
        <w:pPr>
          <w:pStyle w:val="Header"/>
          <w:jc w:val="right"/>
          <w:rPr>
            <w:rFonts w:ascii="Arial" w:hAnsi="Arial" w:cs="Arial"/>
            <w:sz w:val="22"/>
            <w:szCs w:val="22"/>
          </w:rPr>
        </w:pPr>
        <w:r w:rsidRPr="00BD14BD">
          <w:rPr>
            <w:rFonts w:ascii="Arial" w:hAnsi="Arial" w:cs="Arial"/>
            <w:sz w:val="22"/>
            <w:szCs w:val="22"/>
          </w:rPr>
          <w:fldChar w:fldCharType="begin"/>
        </w:r>
        <w:r w:rsidRPr="00BD14BD">
          <w:rPr>
            <w:rFonts w:ascii="Arial" w:hAnsi="Arial" w:cs="Arial"/>
            <w:sz w:val="22"/>
            <w:szCs w:val="22"/>
          </w:rPr>
          <w:instrText xml:space="preserve"> PAGE   \* MERGEFORMAT </w:instrText>
        </w:r>
        <w:r w:rsidRPr="00BD14BD">
          <w:rPr>
            <w:rFonts w:ascii="Arial" w:hAnsi="Arial" w:cs="Arial"/>
            <w:sz w:val="22"/>
            <w:szCs w:val="22"/>
          </w:rPr>
          <w:fldChar w:fldCharType="separate"/>
        </w:r>
        <w:r w:rsidRPr="00BD14BD">
          <w:rPr>
            <w:rFonts w:ascii="Arial" w:hAnsi="Arial" w:cs="Arial"/>
            <w:noProof/>
            <w:sz w:val="22"/>
            <w:szCs w:val="22"/>
          </w:rPr>
          <w:t>2</w:t>
        </w:r>
        <w:r w:rsidRPr="00BD14BD">
          <w:rPr>
            <w:rFonts w:ascii="Arial" w:hAnsi="Arial" w:cs="Arial"/>
            <w:noProof/>
            <w:sz w:val="22"/>
            <w:szCs w:val="22"/>
          </w:rPr>
          <w:fldChar w:fldCharType="end"/>
        </w:r>
      </w:p>
    </w:sdtContent>
  </w:sdt>
  <w:p w14:paraId="1506D9FB" w14:textId="77777777" w:rsidR="00BD14BD" w:rsidRPr="00BD14BD" w:rsidRDefault="00BD14BD">
    <w:pPr>
      <w:pStyle w:val="Header"/>
      <w:rPr>
        <w:rFonts w:ascii="Arial" w:hAnsi="Arial" w:cs="Arial"/>
        <w:sz w:val="22"/>
        <w:szCs w:val="2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4BD"/>
    <w:rsid w:val="00045FDB"/>
    <w:rsid w:val="000C0A64"/>
    <w:rsid w:val="00164B40"/>
    <w:rsid w:val="00183B1B"/>
    <w:rsid w:val="001B0B4F"/>
    <w:rsid w:val="001D4019"/>
    <w:rsid w:val="001E60D4"/>
    <w:rsid w:val="001F1A9A"/>
    <w:rsid w:val="001F63F8"/>
    <w:rsid w:val="00205809"/>
    <w:rsid w:val="00247AEF"/>
    <w:rsid w:val="002828DE"/>
    <w:rsid w:val="00296258"/>
    <w:rsid w:val="002B37C1"/>
    <w:rsid w:val="002C3D3B"/>
    <w:rsid w:val="002E62DC"/>
    <w:rsid w:val="002F21C8"/>
    <w:rsid w:val="00320508"/>
    <w:rsid w:val="0032099E"/>
    <w:rsid w:val="003A4329"/>
    <w:rsid w:val="003C461F"/>
    <w:rsid w:val="00404630"/>
    <w:rsid w:val="004432F6"/>
    <w:rsid w:val="004436BA"/>
    <w:rsid w:val="00486059"/>
    <w:rsid w:val="004E2D25"/>
    <w:rsid w:val="004E69AA"/>
    <w:rsid w:val="00553E30"/>
    <w:rsid w:val="005F2F23"/>
    <w:rsid w:val="006A641F"/>
    <w:rsid w:val="006E0146"/>
    <w:rsid w:val="006E3DC5"/>
    <w:rsid w:val="0070499F"/>
    <w:rsid w:val="0071796B"/>
    <w:rsid w:val="00753216"/>
    <w:rsid w:val="007D71AF"/>
    <w:rsid w:val="00836602"/>
    <w:rsid w:val="00874F18"/>
    <w:rsid w:val="009128FF"/>
    <w:rsid w:val="009254AA"/>
    <w:rsid w:val="0098512B"/>
    <w:rsid w:val="009B784B"/>
    <w:rsid w:val="00A55C8E"/>
    <w:rsid w:val="00A652C1"/>
    <w:rsid w:val="00AB266E"/>
    <w:rsid w:val="00B326B3"/>
    <w:rsid w:val="00B36C0D"/>
    <w:rsid w:val="00BD14BD"/>
    <w:rsid w:val="00C937C9"/>
    <w:rsid w:val="00CF6290"/>
    <w:rsid w:val="00D67829"/>
    <w:rsid w:val="00DC303D"/>
    <w:rsid w:val="00F37713"/>
    <w:rsid w:val="00F841F5"/>
    <w:rsid w:val="00FD0A4F"/>
    <w:rsid w:val="00FD3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902BD"/>
  <w15:chartTrackingRefBased/>
  <w15:docId w15:val="{A8DD887C-FC0D-45CA-9156-F8DAF1A33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14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14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14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14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14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14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14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14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14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14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14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14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14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14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14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14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14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14BD"/>
    <w:rPr>
      <w:rFonts w:eastAsiaTheme="majorEastAsia" w:cstheme="majorBidi"/>
      <w:color w:val="272727" w:themeColor="text1" w:themeTint="D8"/>
    </w:rPr>
  </w:style>
  <w:style w:type="paragraph" w:styleId="Title">
    <w:name w:val="Title"/>
    <w:basedOn w:val="Normal"/>
    <w:next w:val="Normal"/>
    <w:link w:val="TitleChar"/>
    <w:uiPriority w:val="10"/>
    <w:qFormat/>
    <w:rsid w:val="00BD14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14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14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14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14BD"/>
    <w:pPr>
      <w:spacing w:before="160"/>
      <w:jc w:val="center"/>
    </w:pPr>
    <w:rPr>
      <w:i/>
      <w:iCs/>
      <w:color w:val="404040" w:themeColor="text1" w:themeTint="BF"/>
    </w:rPr>
  </w:style>
  <w:style w:type="character" w:customStyle="1" w:styleId="QuoteChar">
    <w:name w:val="Quote Char"/>
    <w:basedOn w:val="DefaultParagraphFont"/>
    <w:link w:val="Quote"/>
    <w:uiPriority w:val="29"/>
    <w:rsid w:val="00BD14BD"/>
    <w:rPr>
      <w:i/>
      <w:iCs/>
      <w:color w:val="404040" w:themeColor="text1" w:themeTint="BF"/>
    </w:rPr>
  </w:style>
  <w:style w:type="paragraph" w:styleId="ListParagraph">
    <w:name w:val="List Paragraph"/>
    <w:basedOn w:val="Normal"/>
    <w:uiPriority w:val="34"/>
    <w:qFormat/>
    <w:rsid w:val="00BD14BD"/>
    <w:pPr>
      <w:ind w:left="720"/>
      <w:contextualSpacing/>
    </w:pPr>
  </w:style>
  <w:style w:type="character" w:styleId="IntenseEmphasis">
    <w:name w:val="Intense Emphasis"/>
    <w:basedOn w:val="DefaultParagraphFont"/>
    <w:uiPriority w:val="21"/>
    <w:qFormat/>
    <w:rsid w:val="00BD14BD"/>
    <w:rPr>
      <w:i/>
      <w:iCs/>
      <w:color w:val="0F4761" w:themeColor="accent1" w:themeShade="BF"/>
    </w:rPr>
  </w:style>
  <w:style w:type="paragraph" w:styleId="IntenseQuote">
    <w:name w:val="Intense Quote"/>
    <w:basedOn w:val="Normal"/>
    <w:next w:val="Normal"/>
    <w:link w:val="IntenseQuoteChar"/>
    <w:uiPriority w:val="30"/>
    <w:qFormat/>
    <w:rsid w:val="00BD14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14BD"/>
    <w:rPr>
      <w:i/>
      <w:iCs/>
      <w:color w:val="0F4761" w:themeColor="accent1" w:themeShade="BF"/>
    </w:rPr>
  </w:style>
  <w:style w:type="character" w:styleId="IntenseReference">
    <w:name w:val="Intense Reference"/>
    <w:basedOn w:val="DefaultParagraphFont"/>
    <w:uiPriority w:val="32"/>
    <w:qFormat/>
    <w:rsid w:val="00BD14BD"/>
    <w:rPr>
      <w:b/>
      <w:bCs/>
      <w:smallCaps/>
      <w:color w:val="0F4761" w:themeColor="accent1" w:themeShade="BF"/>
      <w:spacing w:val="5"/>
    </w:rPr>
  </w:style>
  <w:style w:type="paragraph" w:styleId="Header">
    <w:name w:val="header"/>
    <w:basedOn w:val="Normal"/>
    <w:link w:val="HeaderChar"/>
    <w:uiPriority w:val="99"/>
    <w:unhideWhenUsed/>
    <w:rsid w:val="00BD1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4BD"/>
  </w:style>
  <w:style w:type="paragraph" w:styleId="Footer">
    <w:name w:val="footer"/>
    <w:basedOn w:val="Normal"/>
    <w:link w:val="FooterChar"/>
    <w:uiPriority w:val="99"/>
    <w:unhideWhenUsed/>
    <w:rsid w:val="00BD1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4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261d2892f15b40d7eeb84b2ad146cbcd">
  <xsd:schema xmlns:xsd="http://www.w3.org/2001/XMLSchema" xmlns:xs="http://www.w3.org/2001/XMLSchema" xmlns:p="http://schemas.microsoft.com/office/2006/metadata/properties" xmlns:ns3="ccfc14db-0f45-423b-b2f5-752f8f8a0ada" targetNamespace="http://schemas.microsoft.com/office/2006/metadata/properties" ma:root="true" ma:fieldsID="2ad51a59005074aa92aa2d9734734212"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33FE88-5D94-46DF-8BF4-12B9812802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0D250C-AAC8-4625-9A5B-9C521AC26F9C}">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21AB3220-92AD-410B-95F1-CF6760E5E6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10</Pages>
  <Words>2740</Words>
  <Characters>16744</Characters>
  <Application>Microsoft Office Word</Application>
  <DocSecurity>0</DocSecurity>
  <Lines>322</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Nageen Khan (2424667)</dc:creator>
  <cp:keywords/>
  <dc:description/>
  <cp:lastModifiedBy>Nageen Khan (2424667)</cp:lastModifiedBy>
  <cp:revision>17</cp:revision>
  <dcterms:created xsi:type="dcterms:W3CDTF">2026-01-27T14:42:00Z</dcterms:created>
  <dcterms:modified xsi:type="dcterms:W3CDTF">2026-03-14T17:26:00Z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