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AF4C" w14:textId="505BCDFB" w:rsidR="00A64C50" w:rsidRDefault="00A64C50" w:rsidP="00B2709C">
      <w:pPr>
        <w:spacing w:line="360" w:lineRule="auto"/>
        <w:jc w:val="both"/>
        <w:rPr>
          <w:rFonts w:ascii="Times New Roman" w:hAnsi="Times New Roman" w:cs="Times New Roman"/>
          <w:b/>
          <w:bCs/>
          <w:sz w:val="24"/>
          <w:szCs w:val="24"/>
          <w:u w:val="single"/>
        </w:rPr>
      </w:pPr>
      <w:r w:rsidRPr="00A64C50">
        <w:rPr>
          <w:rFonts w:ascii="Times New Roman" w:hAnsi="Times New Roman" w:cs="Times New Roman"/>
          <w:b/>
          <w:bCs/>
          <w:sz w:val="24"/>
          <w:szCs w:val="24"/>
          <w:u w:val="single"/>
        </w:rPr>
        <w:t xml:space="preserve">Assignment 1 submission </w:t>
      </w:r>
    </w:p>
    <w:p w14:paraId="6CFA0407" w14:textId="09ECE988" w:rsidR="000A7702" w:rsidRPr="000A7702" w:rsidRDefault="000A7702" w:rsidP="00B2709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Date of submission:</w:t>
      </w:r>
      <w:r>
        <w:rPr>
          <w:rFonts w:ascii="Times New Roman" w:hAnsi="Times New Roman" w:cs="Times New Roman"/>
          <w:sz w:val="24"/>
          <w:szCs w:val="24"/>
        </w:rPr>
        <w:t xml:space="preserve"> 08/05/2023</w:t>
      </w:r>
    </w:p>
    <w:p w14:paraId="4197942A" w14:textId="59CF083D" w:rsidR="00A64C50" w:rsidRPr="00A64C50" w:rsidRDefault="00A64C50" w:rsidP="00B2709C">
      <w:pPr>
        <w:spacing w:line="360" w:lineRule="auto"/>
        <w:jc w:val="both"/>
        <w:rPr>
          <w:rFonts w:ascii="Times New Roman" w:hAnsi="Times New Roman" w:cs="Times New Roman"/>
          <w:b/>
          <w:bCs/>
          <w:sz w:val="24"/>
          <w:szCs w:val="24"/>
        </w:rPr>
      </w:pPr>
      <w:r w:rsidRPr="00A64C50">
        <w:rPr>
          <w:rFonts w:ascii="Times New Roman" w:hAnsi="Times New Roman" w:cs="Times New Roman"/>
          <w:b/>
          <w:bCs/>
          <w:sz w:val="24"/>
          <w:szCs w:val="24"/>
        </w:rPr>
        <w:t xml:space="preserve">Student name: </w:t>
      </w:r>
      <w:r w:rsidRPr="00A64C50">
        <w:rPr>
          <w:rFonts w:ascii="Times New Roman" w:hAnsi="Times New Roman" w:cs="Times New Roman"/>
          <w:sz w:val="24"/>
          <w:szCs w:val="24"/>
        </w:rPr>
        <w:t xml:space="preserve">KIERAN REES </w:t>
      </w:r>
    </w:p>
    <w:p w14:paraId="767BF595" w14:textId="53EB8CEE" w:rsidR="00A64C50" w:rsidRPr="00A64C50" w:rsidRDefault="00A64C50" w:rsidP="00B2709C">
      <w:pPr>
        <w:spacing w:line="360" w:lineRule="auto"/>
        <w:jc w:val="both"/>
        <w:rPr>
          <w:rFonts w:ascii="Times New Roman" w:hAnsi="Times New Roman" w:cs="Times New Roman"/>
          <w:b/>
          <w:bCs/>
          <w:sz w:val="24"/>
          <w:szCs w:val="24"/>
        </w:rPr>
      </w:pPr>
      <w:r w:rsidRPr="00A64C50">
        <w:rPr>
          <w:rFonts w:ascii="Times New Roman" w:hAnsi="Times New Roman" w:cs="Times New Roman"/>
          <w:b/>
          <w:bCs/>
          <w:sz w:val="24"/>
          <w:szCs w:val="24"/>
        </w:rPr>
        <w:t xml:space="preserve">Student number: </w:t>
      </w:r>
      <w:r w:rsidRPr="00A64C50">
        <w:rPr>
          <w:rFonts w:ascii="Times New Roman" w:hAnsi="Times New Roman" w:cs="Times New Roman"/>
          <w:sz w:val="24"/>
          <w:szCs w:val="24"/>
        </w:rPr>
        <w:t>2124738</w:t>
      </w:r>
    </w:p>
    <w:p w14:paraId="4F5E5EB0" w14:textId="79E6D7CA" w:rsidR="002A7285" w:rsidRPr="000A7702" w:rsidRDefault="002A7285" w:rsidP="000534BE">
      <w:pPr>
        <w:spacing w:line="360" w:lineRule="auto"/>
        <w:jc w:val="both"/>
        <w:rPr>
          <w:rFonts w:ascii="Times New Roman" w:hAnsi="Times New Roman" w:cs="Times New Roman"/>
          <w:sz w:val="24"/>
          <w:szCs w:val="24"/>
          <w:u w:val="single"/>
        </w:rPr>
      </w:pPr>
      <w:r w:rsidRPr="000A7702">
        <w:rPr>
          <w:rFonts w:ascii="Times New Roman" w:hAnsi="Times New Roman" w:cs="Times New Roman"/>
          <w:sz w:val="24"/>
          <w:szCs w:val="24"/>
          <w:u w:val="single"/>
        </w:rPr>
        <w:t>Essay one: How have past instances of police malpractice and misconduct influenced modern professional policing?</w:t>
      </w:r>
    </w:p>
    <w:p w14:paraId="4E96D8F2" w14:textId="5DE25832"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This essay demonstrates how past instances of police malpractice and misconduct have influenced modern professional policing. The Brixton Riots of 1981 will be the subject matter. Misconduct is defined as “A breach of the standards of professional behaviour that is so serious as to justify disciplinary action” (College of Policing, 2022b).</w:t>
      </w:r>
    </w:p>
    <w:p w14:paraId="6D943BE4" w14:textId="7043B7EE" w:rsidR="00715520"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Her Majesty's inspectorate of constabulary says that </w:t>
      </w:r>
      <w:r w:rsidR="00AF6F27" w:rsidRPr="000A7702">
        <w:rPr>
          <w:rFonts w:ascii="Times New Roman" w:eastAsia="Times New Roman" w:hAnsi="Times New Roman" w:cs="Times New Roman"/>
          <w:sz w:val="24"/>
          <w:szCs w:val="24"/>
        </w:rPr>
        <w:t>“</w:t>
      </w:r>
      <w:r w:rsidRPr="000A7702">
        <w:rPr>
          <w:rFonts w:ascii="Times New Roman" w:eastAsia="Times New Roman" w:hAnsi="Times New Roman" w:cs="Times New Roman"/>
          <w:sz w:val="24"/>
          <w:szCs w:val="24"/>
        </w:rPr>
        <w:t>High-profile cases of alleged police corruption, other criminal behaviour and misconduct have had a detrimental effect on the reputation of the service. This has implications not only for the effectiveness of police activity in fighting crime (which requires public engagement and involvement based on trust), but also ultimately for the very legitimacy of a public service many wish to hold in high regard” (Dodd, 2012).</w:t>
      </w:r>
    </w:p>
    <w:p w14:paraId="3928A3C3" w14:textId="480D69B1" w:rsidR="00715520" w:rsidRPr="000A7702" w:rsidRDefault="00715520"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The riots began on 10th April 1981 in the Brixton area of London, which was densely populated by West and East Indian immigrants. ‘Operation Swamp '81' was the catalyst for the Brixton riots. 120 uniformed and plain-clothes police officers scoured Brixton for a week with the directive to stop and interview anyone who appeared "suspicious." Over the course of four days, 943 individuals were detained. </w:t>
      </w:r>
      <w:r w:rsidR="002A6B38" w:rsidRPr="000A7702">
        <w:rPr>
          <w:rFonts w:ascii="Times New Roman" w:eastAsia="Times New Roman" w:hAnsi="Times New Roman" w:cs="Times New Roman"/>
          <w:sz w:val="24"/>
          <w:szCs w:val="24"/>
        </w:rPr>
        <w:t>H</w:t>
      </w:r>
      <w:r w:rsidRPr="000A7702">
        <w:rPr>
          <w:rFonts w:ascii="Times New Roman" w:eastAsia="Times New Roman" w:hAnsi="Times New Roman" w:cs="Times New Roman"/>
          <w:sz w:val="24"/>
          <w:szCs w:val="24"/>
        </w:rPr>
        <w:t>alf of those arreste</w:t>
      </w:r>
      <w:r w:rsidR="00AF6F27" w:rsidRPr="000A7702">
        <w:rPr>
          <w:rFonts w:ascii="Times New Roman" w:eastAsia="Times New Roman" w:hAnsi="Times New Roman" w:cs="Times New Roman"/>
          <w:sz w:val="24"/>
          <w:szCs w:val="24"/>
        </w:rPr>
        <w:t>d</w:t>
      </w:r>
      <w:r w:rsidR="002A6B38" w:rsidRPr="000A7702">
        <w:rPr>
          <w:rFonts w:ascii="Times New Roman" w:eastAsia="Times New Roman" w:hAnsi="Times New Roman" w:cs="Times New Roman"/>
          <w:sz w:val="24"/>
          <w:szCs w:val="24"/>
        </w:rPr>
        <w:t>,</w:t>
      </w:r>
      <w:r w:rsidR="00AF6F27" w:rsidRPr="000A7702">
        <w:rPr>
          <w:rFonts w:ascii="Times New Roman" w:eastAsia="Times New Roman" w:hAnsi="Times New Roman" w:cs="Times New Roman"/>
          <w:sz w:val="24"/>
          <w:szCs w:val="24"/>
        </w:rPr>
        <w:t xml:space="preserve"> </w:t>
      </w:r>
      <w:r w:rsidRPr="000A7702">
        <w:rPr>
          <w:rFonts w:ascii="Times New Roman" w:eastAsia="Times New Roman" w:hAnsi="Times New Roman" w:cs="Times New Roman"/>
          <w:sz w:val="24"/>
          <w:szCs w:val="24"/>
        </w:rPr>
        <w:t>118</w:t>
      </w:r>
      <w:r w:rsidR="002A6B38" w:rsidRPr="000A7702">
        <w:rPr>
          <w:rFonts w:ascii="Times New Roman" w:eastAsia="Times New Roman" w:hAnsi="Times New Roman" w:cs="Times New Roman"/>
          <w:sz w:val="24"/>
          <w:szCs w:val="24"/>
        </w:rPr>
        <w:t xml:space="preserve"> being </w:t>
      </w:r>
      <w:r w:rsidRPr="000A7702">
        <w:rPr>
          <w:rFonts w:ascii="Times New Roman" w:eastAsia="Times New Roman" w:hAnsi="Times New Roman" w:cs="Times New Roman"/>
          <w:sz w:val="24"/>
          <w:szCs w:val="24"/>
        </w:rPr>
        <w:t xml:space="preserve">black. </w:t>
      </w:r>
      <w:r w:rsidR="002A6B38" w:rsidRPr="000A7702">
        <w:rPr>
          <w:rFonts w:ascii="Times New Roman" w:eastAsia="Times New Roman" w:hAnsi="Times New Roman" w:cs="Times New Roman"/>
          <w:sz w:val="24"/>
          <w:szCs w:val="24"/>
        </w:rPr>
        <w:t>O</w:t>
      </w:r>
      <w:r w:rsidRPr="000A7702">
        <w:rPr>
          <w:rFonts w:ascii="Times New Roman" w:eastAsia="Times New Roman" w:hAnsi="Times New Roman" w:cs="Times New Roman"/>
          <w:sz w:val="24"/>
          <w:szCs w:val="24"/>
        </w:rPr>
        <w:t>ne robbery, one attempted burglary, and 18 thefts or attempted thefts were charged out of the 75 people. For some years, those who were familiar with black Britain's experiences had forecast unrest</w:t>
      </w:r>
      <w:r w:rsidRPr="000A7702">
        <w:rPr>
          <w:rFonts w:ascii="Times New Roman" w:hAnsi="Times New Roman" w:cs="Times New Roman"/>
          <w:sz w:val="24"/>
          <w:szCs w:val="24"/>
        </w:rPr>
        <w:t xml:space="preserve"> </w:t>
      </w:r>
      <w:r w:rsidRPr="000A7702">
        <w:rPr>
          <w:rFonts w:ascii="Times New Roman" w:eastAsia="Times New Roman" w:hAnsi="Times New Roman" w:cs="Times New Roman"/>
          <w:sz w:val="24"/>
          <w:szCs w:val="24"/>
        </w:rPr>
        <w:t>(Pryce, 1979).</w:t>
      </w:r>
    </w:p>
    <w:p w14:paraId="7F2E6AAE" w14:textId="671F4C00"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The Police applied powers provided under Section 4 of the Vagrancy Act 1824 (commonly referred to as the suss law) to stop and search citizens. This Act gave officers powers to arrest any person found loitering with intent to commit an offence (Brenton, 2010) and it was used “disproportionately to target young black males” (Jefferson, 2011).</w:t>
      </w:r>
    </w:p>
    <w:p w14:paraId="32BF9078" w14:textId="0E0D324E"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On 10th April 1981 police officers were offering medical assistance to </w:t>
      </w:r>
      <w:r w:rsidR="002C098B" w:rsidRPr="000A7702">
        <w:rPr>
          <w:rFonts w:ascii="Times New Roman" w:eastAsia="Times New Roman" w:hAnsi="Times New Roman" w:cs="Times New Roman"/>
          <w:sz w:val="24"/>
          <w:szCs w:val="24"/>
        </w:rPr>
        <w:t xml:space="preserve">a </w:t>
      </w:r>
      <w:r w:rsidRPr="000A7702">
        <w:rPr>
          <w:rFonts w:ascii="Times New Roman" w:eastAsia="Times New Roman" w:hAnsi="Times New Roman" w:cs="Times New Roman"/>
          <w:sz w:val="24"/>
          <w:szCs w:val="24"/>
        </w:rPr>
        <w:t xml:space="preserve">black male, a group of young black males believing the officers to be harassing the casualty, attacked the police </w:t>
      </w:r>
      <w:r w:rsidRPr="000A7702">
        <w:rPr>
          <w:rFonts w:ascii="Times New Roman" w:eastAsia="Times New Roman" w:hAnsi="Times New Roman" w:cs="Times New Roman"/>
          <w:sz w:val="24"/>
          <w:szCs w:val="24"/>
        </w:rPr>
        <w:lastRenderedPageBreak/>
        <w:t xml:space="preserve">vehicle. As the group grew in number, police back-up arrived, and the incident was de-escalated. A significant police presence was deployed to the Brixton area </w:t>
      </w:r>
      <w:r w:rsidR="002C098B" w:rsidRPr="000A7702">
        <w:rPr>
          <w:rFonts w:ascii="Times New Roman" w:eastAsia="Times New Roman" w:hAnsi="Times New Roman" w:cs="Times New Roman"/>
          <w:sz w:val="24"/>
          <w:szCs w:val="24"/>
        </w:rPr>
        <w:t>that</w:t>
      </w:r>
      <w:r w:rsidRPr="000A7702">
        <w:rPr>
          <w:rFonts w:ascii="Times New Roman" w:eastAsia="Times New Roman" w:hAnsi="Times New Roman" w:cs="Times New Roman"/>
          <w:sz w:val="24"/>
          <w:szCs w:val="24"/>
        </w:rPr>
        <w:t xml:space="preserve"> night. The increased police presence gave rise to tension with local black minority groups </w:t>
      </w:r>
      <w:r w:rsidR="002C098B" w:rsidRPr="000A7702">
        <w:rPr>
          <w:rFonts w:ascii="Times New Roman" w:eastAsia="Times New Roman" w:hAnsi="Times New Roman" w:cs="Times New Roman"/>
          <w:sz w:val="24"/>
          <w:szCs w:val="24"/>
        </w:rPr>
        <w:t>which</w:t>
      </w:r>
      <w:r w:rsidRPr="000A7702">
        <w:rPr>
          <w:rFonts w:ascii="Times New Roman" w:eastAsia="Times New Roman" w:hAnsi="Times New Roman" w:cs="Times New Roman"/>
          <w:sz w:val="24"/>
          <w:szCs w:val="24"/>
        </w:rPr>
        <w:t xml:space="preserve"> in turn led to the riots. During the riots 279 police officers and no fewer than 45 members of the public were injured (Brenton, 2010). </w:t>
      </w:r>
    </w:p>
    <w:p w14:paraId="7A161DC9" w14:textId="4BF4A1E1"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Lord Scarman was appointed to conduct an inquiry into the riots</w:t>
      </w:r>
      <w:r w:rsidR="00AF6F27" w:rsidRPr="000A7702">
        <w:rPr>
          <w:rFonts w:ascii="Times New Roman" w:eastAsia="Times New Roman" w:hAnsi="Times New Roman" w:cs="Times New Roman"/>
          <w:sz w:val="24"/>
          <w:szCs w:val="24"/>
        </w:rPr>
        <w:t xml:space="preserve"> and released his finding in the</w:t>
      </w:r>
      <w:r w:rsidRPr="000A7702">
        <w:rPr>
          <w:rFonts w:ascii="Times New Roman" w:eastAsia="Times New Roman" w:hAnsi="Times New Roman" w:cs="Times New Roman"/>
          <w:sz w:val="24"/>
          <w:szCs w:val="24"/>
        </w:rPr>
        <w:t xml:space="preserve"> ‘Scarman Report’ </w:t>
      </w:r>
      <w:r w:rsidR="007358FD" w:rsidRPr="000A7702">
        <w:rPr>
          <w:rFonts w:ascii="Times New Roman" w:eastAsia="Times New Roman" w:hAnsi="Times New Roman" w:cs="Times New Roman"/>
          <w:sz w:val="24"/>
          <w:szCs w:val="24"/>
        </w:rPr>
        <w:t xml:space="preserve">(Williams, 1982). </w:t>
      </w:r>
      <w:r w:rsidR="002C098B" w:rsidRPr="000A7702">
        <w:rPr>
          <w:rFonts w:ascii="Times New Roman" w:eastAsia="Times New Roman" w:hAnsi="Times New Roman" w:cs="Times New Roman"/>
          <w:sz w:val="24"/>
          <w:szCs w:val="24"/>
        </w:rPr>
        <w:t>A</w:t>
      </w:r>
      <w:r w:rsidR="002A6B38" w:rsidRPr="000A7702">
        <w:rPr>
          <w:rFonts w:ascii="Times New Roman" w:eastAsia="Times New Roman" w:hAnsi="Times New Roman" w:cs="Times New Roman"/>
          <w:sz w:val="24"/>
          <w:szCs w:val="24"/>
        </w:rPr>
        <w:t xml:space="preserve"> recommendation </w:t>
      </w:r>
      <w:r w:rsidRPr="000A7702">
        <w:rPr>
          <w:rFonts w:ascii="Times New Roman" w:eastAsia="Times New Roman" w:hAnsi="Times New Roman" w:cs="Times New Roman"/>
          <w:sz w:val="24"/>
          <w:szCs w:val="24"/>
        </w:rPr>
        <w:t>of the report was that there should be a statutory framework for consultations between police and the community (Cook, 2021). The response produced the Police and Criminal Evidence Act 1984 (hereinafter referred to as PACE) (legislation.gov.uk, 1984). PACE was “set out to strike the right balance between the powers of the police and the rights and freedoms of the public” (Gov.uk, 2013).</w:t>
      </w:r>
    </w:p>
    <w:p w14:paraId="3D81B230" w14:textId="459C9806"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Contemporaneous Police powers to ‘stop search’ triggered the riots and it seems little coincidence that Section 1 of PACE outlines the police powers of ‘stop search’ (legislation.gov.uk, 1984). The Police and Criminal Evidence Act 1984 includes Codes of Practice which provide further guidance on how to apply ‘stop search’ powers, with Section 1.1 of the PACE Codes of Practice emphasising that their application must be fair, responsible, used with due respect to those being searched and free from unjustified discrimination (Home Office, 2023). </w:t>
      </w:r>
    </w:p>
    <w:p w14:paraId="339DB32E" w14:textId="4235D39D"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PACE made changes to the complaints process </w:t>
      </w:r>
      <w:r w:rsidR="002A6B38" w:rsidRPr="000A7702">
        <w:rPr>
          <w:rFonts w:ascii="Times New Roman" w:eastAsia="Times New Roman" w:hAnsi="Times New Roman" w:cs="Times New Roman"/>
          <w:sz w:val="24"/>
          <w:szCs w:val="24"/>
        </w:rPr>
        <w:t>to</w:t>
      </w:r>
      <w:r w:rsidRPr="000A7702">
        <w:rPr>
          <w:rFonts w:ascii="Times New Roman" w:eastAsia="Times New Roman" w:hAnsi="Times New Roman" w:cs="Times New Roman"/>
          <w:sz w:val="24"/>
          <w:szCs w:val="24"/>
        </w:rPr>
        <w:t xml:space="preserve"> </w:t>
      </w:r>
      <w:r w:rsidR="002A6B38" w:rsidRPr="000A7702">
        <w:rPr>
          <w:rFonts w:ascii="Times New Roman" w:eastAsia="Times New Roman" w:hAnsi="Times New Roman" w:cs="Times New Roman"/>
          <w:sz w:val="24"/>
          <w:szCs w:val="24"/>
        </w:rPr>
        <w:t xml:space="preserve">further </w:t>
      </w:r>
      <w:r w:rsidRPr="000A7702">
        <w:rPr>
          <w:rFonts w:ascii="Times New Roman" w:eastAsia="Times New Roman" w:hAnsi="Times New Roman" w:cs="Times New Roman"/>
          <w:sz w:val="24"/>
          <w:szCs w:val="24"/>
        </w:rPr>
        <w:t xml:space="preserve">reduce misconduct and malpractice. The Police Complaints Board was replaced with the Police Complaints Authority in 1985. This Authority retained the powers of its predecessor and acquired new powers to supervise the investigation of complaints. The Police Complaints Authority later evolved into the Independent Police Complaints Commission (IPCC) (Police Complaints Authority and Police Complaints Board, 1977) (Police Complaints Authority and Police Complaints Board, 1977), before further institutional change produced the Independent Office for Police Conduct (IOPC); this remains the current arrangement. The salient change between the IOPC and its predecessor being that a General Director would lead the organisation as opposed to a collective group of commissioners. The General Director would be appointed by the reigning monarch (Stephenson's, 2018). </w:t>
      </w:r>
    </w:p>
    <w:p w14:paraId="43EFBA16" w14:textId="2DB34993"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Additionally, the Scarman Report challenged</w:t>
      </w:r>
      <w:r w:rsidR="002A6B38" w:rsidRPr="000A7702">
        <w:rPr>
          <w:rFonts w:ascii="Times New Roman" w:eastAsia="Times New Roman" w:hAnsi="Times New Roman" w:cs="Times New Roman"/>
          <w:sz w:val="24"/>
          <w:szCs w:val="24"/>
        </w:rPr>
        <w:t xml:space="preserve"> </w:t>
      </w:r>
      <w:r w:rsidRPr="000A7702">
        <w:rPr>
          <w:rFonts w:ascii="Times New Roman" w:eastAsia="Times New Roman" w:hAnsi="Times New Roman" w:cs="Times New Roman"/>
          <w:sz w:val="24"/>
          <w:szCs w:val="24"/>
        </w:rPr>
        <w:t xml:space="preserve">police training programmes upon commencement. Around the time of the riots a Constable received 10-weeks of initial training before being cleared to police in the community. Scarman recommended training be extended </w:t>
      </w:r>
      <w:r w:rsidRPr="000A7702">
        <w:rPr>
          <w:rFonts w:ascii="Times New Roman" w:eastAsia="Times New Roman" w:hAnsi="Times New Roman" w:cs="Times New Roman"/>
          <w:sz w:val="24"/>
          <w:szCs w:val="24"/>
        </w:rPr>
        <w:lastRenderedPageBreak/>
        <w:t>to six-months and the content to be more community focused (Peacock, 2012).  This supports another of the Scarman Report recommendations to “create better relations between the police and the community.” (Cook, 2021).</w:t>
      </w:r>
    </w:p>
    <w:p w14:paraId="5EC2B7AE" w14:textId="77777777"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To emphasise these improvements (Skolnick, 1966) stated that “The behaviour of police, and their ability to control and direct the emotions of people in potentially explosive situations, is of paramount importance. Training, then, is the key to the development of an effective force, in which officers are better prepared to analyze situations and react in a professional manner. But training must be geared to producing effective results, and not merely a ritual of formal education or indoctrination”.</w:t>
      </w:r>
    </w:p>
    <w:p w14:paraId="6F0D784F" w14:textId="77777777"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Furthermore, since the Scarman Report emerged the need for better relations between Police and the community has been underlined which has led to the inception of the role of Police Community Support Officer (PCSO). The College of Policing describes the role of PCSO as “a link between the police and the communities they serve. They bring essential skills, values, and diversity to policing” (College of Policing, 2022c).</w:t>
      </w:r>
    </w:p>
    <w:p w14:paraId="57EC376F" w14:textId="2603FDE9" w:rsidR="00263A77"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To conclude, there is strong evidence </w:t>
      </w:r>
      <w:r w:rsidR="002A6B38" w:rsidRPr="000A7702">
        <w:rPr>
          <w:rFonts w:ascii="Times New Roman" w:eastAsia="Times New Roman" w:hAnsi="Times New Roman" w:cs="Times New Roman"/>
          <w:sz w:val="24"/>
          <w:szCs w:val="24"/>
        </w:rPr>
        <w:t xml:space="preserve">to suggest </w:t>
      </w:r>
      <w:r w:rsidRPr="000A7702">
        <w:rPr>
          <w:rFonts w:ascii="Times New Roman" w:eastAsia="Times New Roman" w:hAnsi="Times New Roman" w:cs="Times New Roman"/>
          <w:sz w:val="24"/>
          <w:szCs w:val="24"/>
        </w:rPr>
        <w:t xml:space="preserve">the abuse of Police powers prior to the Brixton riots of 1981, have </w:t>
      </w:r>
      <w:r w:rsidR="002A6B38" w:rsidRPr="000A7702">
        <w:rPr>
          <w:rFonts w:ascii="Times New Roman" w:eastAsia="Times New Roman" w:hAnsi="Times New Roman" w:cs="Times New Roman"/>
          <w:sz w:val="24"/>
          <w:szCs w:val="24"/>
        </w:rPr>
        <w:t>contributed to the</w:t>
      </w:r>
      <w:r w:rsidRPr="000A7702">
        <w:rPr>
          <w:rFonts w:ascii="Times New Roman" w:eastAsia="Times New Roman" w:hAnsi="Times New Roman" w:cs="Times New Roman"/>
          <w:sz w:val="24"/>
          <w:szCs w:val="24"/>
        </w:rPr>
        <w:t xml:space="preserve"> development of modern professional policing. The Scarman Report led to the Police and Criminal Evidence Act 1984 being established which influenced the codes of practice associated with PACE which in turn have brought balance between police powers and public rights. Furthermore, the Scarman Report catalysed improvements in police-community relations through the establishment of PCSO‘s and this has been augmented by better training design. Finally, the ultimate establishment of the Independent Office for Police Conduct and the single line of accountability makes governance in the force clearer.  </w:t>
      </w:r>
    </w:p>
    <w:p w14:paraId="39DD5608" w14:textId="7DCA1678" w:rsidR="00B531D1" w:rsidRPr="000A7702" w:rsidRDefault="00B531D1"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Word </w:t>
      </w:r>
      <w:r w:rsidR="003D029E" w:rsidRPr="000A7702">
        <w:rPr>
          <w:rFonts w:ascii="Times New Roman" w:eastAsia="Times New Roman" w:hAnsi="Times New Roman" w:cs="Times New Roman"/>
          <w:sz w:val="24"/>
          <w:szCs w:val="24"/>
        </w:rPr>
        <w:t>count:</w:t>
      </w:r>
      <w:r w:rsidRPr="000A7702">
        <w:rPr>
          <w:rFonts w:ascii="Times New Roman" w:eastAsia="Times New Roman" w:hAnsi="Times New Roman" w:cs="Times New Roman"/>
          <w:sz w:val="24"/>
          <w:szCs w:val="24"/>
        </w:rPr>
        <w:t xml:space="preserve"> </w:t>
      </w:r>
      <w:r w:rsidR="002A6B38" w:rsidRPr="000A7702">
        <w:rPr>
          <w:rFonts w:ascii="Times New Roman" w:eastAsia="Times New Roman" w:hAnsi="Times New Roman" w:cs="Times New Roman"/>
          <w:sz w:val="24"/>
          <w:szCs w:val="24"/>
        </w:rPr>
        <w:t>1000</w:t>
      </w:r>
    </w:p>
    <w:p w14:paraId="67866ABD" w14:textId="77777777" w:rsidR="00FC4C3A" w:rsidRDefault="00FC4C3A" w:rsidP="000534BE">
      <w:pPr>
        <w:spacing w:line="360" w:lineRule="auto"/>
        <w:jc w:val="both"/>
        <w:rPr>
          <w:rFonts w:ascii="Times New Roman" w:eastAsia="Times New Roman" w:hAnsi="Times New Roman" w:cs="Times New Roman"/>
          <w:sz w:val="24"/>
          <w:szCs w:val="24"/>
        </w:rPr>
      </w:pPr>
      <w:bookmarkStart w:id="0" w:name="_heading=h.gjdgxs" w:colFirst="0" w:colLast="0"/>
      <w:bookmarkEnd w:id="0"/>
    </w:p>
    <w:p w14:paraId="21FB3B40" w14:textId="6F0680C1" w:rsidR="00B2709C" w:rsidRPr="000A7702" w:rsidRDefault="002A7285" w:rsidP="000534BE">
      <w:pPr>
        <w:spacing w:line="360" w:lineRule="auto"/>
        <w:jc w:val="both"/>
        <w:rPr>
          <w:rFonts w:ascii="Times New Roman" w:eastAsia="Times New Roman" w:hAnsi="Times New Roman" w:cs="Times New Roman"/>
          <w:sz w:val="24"/>
          <w:szCs w:val="24"/>
          <w:u w:val="single"/>
        </w:rPr>
      </w:pPr>
      <w:r w:rsidRPr="000A7702">
        <w:rPr>
          <w:rFonts w:ascii="Times New Roman" w:hAnsi="Times New Roman" w:cs="Times New Roman"/>
          <w:sz w:val="24"/>
          <w:szCs w:val="24"/>
          <w:u w:val="single"/>
        </w:rPr>
        <w:t xml:space="preserve">Essay two: How does media coverage affect policing strategies in relation to public protection incidents? </w:t>
      </w:r>
    </w:p>
    <w:p w14:paraId="3E1CD021" w14:textId="77777777"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This essay will examine how media coverage can influence policing strategies relating to public protection incidents. The College of Policing defines protecting the public as “the responsibility of all police officers and staff working in the police service” (College of Policing, 2017). To fulfil this responsibility, the Multi-Agency Public Protection Arrangements (MAPPA) were </w:t>
      </w:r>
      <w:r w:rsidRPr="000A7702">
        <w:rPr>
          <w:rFonts w:ascii="Times New Roman" w:eastAsia="Times New Roman" w:hAnsi="Times New Roman" w:cs="Times New Roman"/>
          <w:sz w:val="24"/>
          <w:szCs w:val="24"/>
        </w:rPr>
        <w:lastRenderedPageBreak/>
        <w:t xml:space="preserve">established by the Criminal Justice Act 2003 to safeguard the public, including victims of crime, from substantial harm caused by sexual or violent offenders and other dangerous offenders (College of Policing, 2017b). </w:t>
      </w:r>
    </w:p>
    <w:p w14:paraId="72695F92" w14:textId="77777777"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This essay argues that media coverage can significantly influence policing strategies with respect to public protection incidents, as exemplified by the Rochdale sex scandal. Despite the establishment of measures such as the Multi-Agency Public Protection Arrangements (MAPPA) to safeguard the public from harm caused by dangerous and sexual offenders, the demands generated by media coverage can lead to police forces reacting to public demand and shaping their strategies (BBC News, 2013).</w:t>
      </w:r>
    </w:p>
    <w:p w14:paraId="4F845F38" w14:textId="18A428A4"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The Rochdale sex scandal involved a gang of males, of Pakistani descent, who between 2008 and 2009 trafficked and sexually exploited teenage girls in Rochdale. The men were convicted of crimes </w:t>
      </w:r>
      <w:r w:rsidR="00CA2573" w:rsidRPr="000A7702">
        <w:rPr>
          <w:rFonts w:ascii="Times New Roman" w:eastAsia="Times New Roman" w:hAnsi="Times New Roman" w:cs="Times New Roman"/>
          <w:sz w:val="24"/>
          <w:szCs w:val="24"/>
        </w:rPr>
        <w:t>including</w:t>
      </w:r>
      <w:r w:rsidRPr="000A7702">
        <w:rPr>
          <w:rFonts w:ascii="Times New Roman" w:eastAsia="Times New Roman" w:hAnsi="Times New Roman" w:cs="Times New Roman"/>
          <w:sz w:val="24"/>
          <w:szCs w:val="24"/>
        </w:rPr>
        <w:t xml:space="preserve"> rape, trafficking, and encouraging underage prostitution</w:t>
      </w:r>
      <w:r w:rsidR="00E870E5" w:rsidRPr="000A7702">
        <w:rPr>
          <w:rFonts w:ascii="Times New Roman" w:eastAsia="Times New Roman" w:hAnsi="Times New Roman" w:cs="Times New Roman"/>
          <w:sz w:val="24"/>
          <w:szCs w:val="24"/>
        </w:rPr>
        <w:t xml:space="preserve"> </w:t>
      </w:r>
      <w:r w:rsidRPr="000A7702">
        <w:rPr>
          <w:rFonts w:ascii="Times New Roman" w:eastAsia="Times New Roman" w:hAnsi="Times New Roman" w:cs="Times New Roman"/>
          <w:sz w:val="24"/>
          <w:szCs w:val="24"/>
        </w:rPr>
        <w:t>(House of Commons and Home Affairs Committee, 2013).</w:t>
      </w:r>
    </w:p>
    <w:p w14:paraId="2445D8DD" w14:textId="1C8492A5" w:rsidR="00B2709C" w:rsidRPr="000A7702" w:rsidRDefault="00B2709C" w:rsidP="000534BE">
      <w:pPr>
        <w:spacing w:line="360" w:lineRule="auto"/>
        <w:jc w:val="both"/>
        <w:rPr>
          <w:rFonts w:ascii="Times New Roman" w:eastAsia="Times New Roman" w:hAnsi="Times New Roman" w:cs="Times New Roman"/>
          <w:sz w:val="24"/>
          <w:szCs w:val="24"/>
          <w:highlight w:val="cyan"/>
        </w:rPr>
      </w:pPr>
      <w:r w:rsidRPr="000A7702">
        <w:rPr>
          <w:rFonts w:ascii="Times New Roman" w:eastAsia="Times New Roman" w:hAnsi="Times New Roman" w:cs="Times New Roman"/>
          <w:sz w:val="24"/>
          <w:szCs w:val="24"/>
        </w:rPr>
        <w:t xml:space="preserve">In August 2008 police were called to a report of the </w:t>
      </w:r>
      <w:r w:rsidR="00A14A4C" w:rsidRPr="000A7702">
        <w:rPr>
          <w:rFonts w:ascii="Times New Roman" w:eastAsia="Times New Roman" w:hAnsi="Times New Roman" w:cs="Times New Roman"/>
          <w:sz w:val="24"/>
          <w:szCs w:val="24"/>
        </w:rPr>
        <w:t>15-year-old</w:t>
      </w:r>
      <w:r w:rsidRPr="000A7702">
        <w:rPr>
          <w:rFonts w:ascii="Times New Roman" w:eastAsia="Times New Roman" w:hAnsi="Times New Roman" w:cs="Times New Roman"/>
          <w:sz w:val="24"/>
          <w:szCs w:val="24"/>
        </w:rPr>
        <w:t xml:space="preserve"> female who was causing damage to a Balti House in Rochdale. Police arrested the female</w:t>
      </w:r>
      <w:r w:rsidR="0046621F" w:rsidRPr="000A7702">
        <w:rPr>
          <w:rFonts w:ascii="Times New Roman" w:eastAsia="Times New Roman" w:hAnsi="Times New Roman" w:cs="Times New Roman"/>
          <w:sz w:val="24"/>
          <w:szCs w:val="24"/>
        </w:rPr>
        <w:t xml:space="preserve"> and afterwards</w:t>
      </w:r>
      <w:r w:rsidRPr="000A7702">
        <w:rPr>
          <w:rFonts w:ascii="Times New Roman" w:eastAsia="Times New Roman" w:hAnsi="Times New Roman" w:cs="Times New Roman"/>
          <w:sz w:val="24"/>
          <w:szCs w:val="24"/>
        </w:rPr>
        <w:t xml:space="preserve"> she disclosed she had been repeatedly raped by a gang of men. Police made two arrests following her disclosure but in July 2009 the Crown Prosecution Service deemed the victim as not credible and ruled that the </w:t>
      </w:r>
      <w:r w:rsidR="0046621F" w:rsidRPr="000A7702">
        <w:rPr>
          <w:rFonts w:ascii="Times New Roman" w:eastAsia="Times New Roman" w:hAnsi="Times New Roman" w:cs="Times New Roman"/>
          <w:sz w:val="24"/>
          <w:szCs w:val="24"/>
        </w:rPr>
        <w:t xml:space="preserve">suspects </w:t>
      </w:r>
      <w:r w:rsidRPr="000A7702">
        <w:rPr>
          <w:rFonts w:ascii="Times New Roman" w:eastAsia="Times New Roman" w:hAnsi="Times New Roman" w:cs="Times New Roman"/>
          <w:sz w:val="24"/>
          <w:szCs w:val="24"/>
        </w:rPr>
        <w:t xml:space="preserve">who had been arrested would not be charged and no further action taken against them (Scheerhout, 2017). </w:t>
      </w:r>
    </w:p>
    <w:p w14:paraId="269D50E2" w14:textId="4CB6E759"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A reporter named Andrew Norfolk published an article in ‘The Times’ in January 2011. </w:t>
      </w:r>
      <w:r w:rsidR="0046621F" w:rsidRPr="000A7702">
        <w:rPr>
          <w:rFonts w:ascii="Times New Roman" w:eastAsia="Times New Roman" w:hAnsi="Times New Roman" w:cs="Times New Roman"/>
          <w:sz w:val="24"/>
          <w:szCs w:val="24"/>
        </w:rPr>
        <w:t xml:space="preserve">It </w:t>
      </w:r>
      <w:r w:rsidRPr="000A7702">
        <w:rPr>
          <w:rFonts w:ascii="Times New Roman" w:eastAsia="Times New Roman" w:hAnsi="Times New Roman" w:cs="Times New Roman"/>
          <w:sz w:val="24"/>
          <w:szCs w:val="24"/>
        </w:rPr>
        <w:t xml:space="preserve">exposed the sexual abuse of children by men of a Pakistani decent in Rochdale. Following this publication, the case that had been previously closed by the Crown prosecution service was reopened (Radio Times, 2017). This decision was reversed by Chief Prosecutor Nazir Afzal after he reviewed the case </w:t>
      </w:r>
      <w:r w:rsidR="00504BE1" w:rsidRPr="000A7702">
        <w:rPr>
          <w:rFonts w:ascii="Times New Roman" w:eastAsia="Times New Roman" w:hAnsi="Times New Roman" w:cs="Times New Roman"/>
          <w:sz w:val="24"/>
          <w:szCs w:val="24"/>
        </w:rPr>
        <w:t xml:space="preserve">post </w:t>
      </w:r>
      <w:r w:rsidRPr="000A7702">
        <w:rPr>
          <w:rFonts w:ascii="Times New Roman" w:eastAsia="Times New Roman" w:hAnsi="Times New Roman" w:cs="Times New Roman"/>
          <w:sz w:val="24"/>
          <w:szCs w:val="24"/>
        </w:rPr>
        <w:t>release of Norfolk’s article. Afzal found that “The victims were not always taken seriously as they should have been by police and prosecutors” (House of Commons and Home Affairs Committee, 2013b). The two individuals involved in the initial investigation were charged and following further complaints coming forward from new victims a larger scale investigation was opened and named ‘Operation Span’ (Scheerhout, 2017).</w:t>
      </w:r>
    </w:p>
    <w:p w14:paraId="798EE70C" w14:textId="77777777" w:rsidR="00504BE1"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Operation Span was made up of Greater Manchester Police officers </w:t>
      </w:r>
      <w:r w:rsidR="00504BE1" w:rsidRPr="000A7702">
        <w:rPr>
          <w:rFonts w:ascii="Times New Roman" w:eastAsia="Times New Roman" w:hAnsi="Times New Roman" w:cs="Times New Roman"/>
          <w:sz w:val="24"/>
          <w:szCs w:val="24"/>
        </w:rPr>
        <w:t>whose</w:t>
      </w:r>
      <w:r w:rsidRPr="000A7702">
        <w:rPr>
          <w:rFonts w:ascii="Times New Roman" w:eastAsia="Times New Roman" w:hAnsi="Times New Roman" w:cs="Times New Roman"/>
          <w:sz w:val="24"/>
          <w:szCs w:val="24"/>
        </w:rPr>
        <w:t xml:space="preserve"> role was to investigate instances of sexual abuse. Despite police being increasingly open to hearing from sexual assault victims, there were still many obstacles for investigators to overcome. For example, when victims came forward and disclosed abuse it was often difficult for the police </w:t>
      </w:r>
      <w:r w:rsidRPr="000A7702">
        <w:rPr>
          <w:rFonts w:ascii="Times New Roman" w:eastAsia="Times New Roman" w:hAnsi="Times New Roman" w:cs="Times New Roman"/>
          <w:sz w:val="24"/>
          <w:szCs w:val="24"/>
        </w:rPr>
        <w:lastRenderedPageBreak/>
        <w:t xml:space="preserve">to establish the identity of abusers due to them self-identifying to the victims. (Crime + Investigation, 2021). </w:t>
      </w:r>
    </w:p>
    <w:p w14:paraId="7C34A339" w14:textId="5BEC7BA8"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The police had let the victimised girls down in the past which led to some of them being reluctant </w:t>
      </w:r>
      <w:r w:rsidR="00504BE1" w:rsidRPr="000A7702">
        <w:rPr>
          <w:rFonts w:ascii="Times New Roman" w:eastAsia="Times New Roman" w:hAnsi="Times New Roman" w:cs="Times New Roman"/>
          <w:sz w:val="24"/>
          <w:szCs w:val="24"/>
        </w:rPr>
        <w:t xml:space="preserve">to </w:t>
      </w:r>
      <w:r w:rsidRPr="000A7702">
        <w:rPr>
          <w:rFonts w:ascii="Times New Roman" w:eastAsia="Times New Roman" w:hAnsi="Times New Roman" w:cs="Times New Roman"/>
          <w:sz w:val="24"/>
          <w:szCs w:val="24"/>
        </w:rPr>
        <w:t>report new abuse. When they did come forward their accounts were often impaired by the alcohol and drugs they were frequently exposed to by the sexual offenders (Crime + Investigation, 2021).</w:t>
      </w:r>
    </w:p>
    <w:p w14:paraId="0A66B999" w14:textId="77777777"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Following further police investigations in relation to the sexual exploitation of young girls in Rochdale nine men were convicted and received prison sentences. After these convictions police geared up their inquiries. 550 officers were involved in Operation Routh and Operation Doublet, which examined similar and related old cases. These efforts uncovered a potential additional 50 offenders (Crime + Investigation, 2021).</w:t>
      </w:r>
    </w:p>
    <w:p w14:paraId="21EAC7AC" w14:textId="04C818AD" w:rsidR="00B2709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During this period Keir Starmer was the head of the Crown Prosecution Service in England and Wales. He expressed dissatisfaction with the </w:t>
      </w:r>
      <w:r w:rsidR="001F2A41" w:rsidRPr="000A7702">
        <w:rPr>
          <w:rFonts w:ascii="Times New Roman" w:eastAsia="Times New Roman" w:hAnsi="Times New Roman" w:cs="Times New Roman"/>
          <w:sz w:val="24"/>
          <w:szCs w:val="24"/>
        </w:rPr>
        <w:t>way</w:t>
      </w:r>
      <w:r w:rsidRPr="000A7702">
        <w:rPr>
          <w:rFonts w:ascii="Times New Roman" w:eastAsia="Times New Roman" w:hAnsi="Times New Roman" w:cs="Times New Roman"/>
          <w:sz w:val="24"/>
          <w:szCs w:val="24"/>
        </w:rPr>
        <w:t xml:space="preserve"> child abuse cases were being handled. In early 2013 He stated that hundreds of cases that had not resulted in prosecutions would be re-examined and that new guidelines would be issued (Deith, 2013). These guidelines were issued in October 2013 and were named “protocol and Good Practice Model: Disclosure of information in cases of alleged child abuse and linked criminal and care directions hearings” (Association of Chief Police Officers et al., 2013). </w:t>
      </w:r>
    </w:p>
    <w:p w14:paraId="6C8211BB" w14:textId="0B6767FD" w:rsidR="00A14A4C" w:rsidRPr="000A7702" w:rsidRDefault="00A14A4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While in the case of the Rochdale incident the media prompted police action. There are also example</w:t>
      </w:r>
      <w:r w:rsidR="001F2A41" w:rsidRPr="000A7702">
        <w:rPr>
          <w:rFonts w:ascii="Times New Roman" w:eastAsia="Times New Roman" w:hAnsi="Times New Roman" w:cs="Times New Roman"/>
          <w:sz w:val="24"/>
          <w:szCs w:val="24"/>
        </w:rPr>
        <w:t>s</w:t>
      </w:r>
      <w:r w:rsidRPr="000A7702">
        <w:rPr>
          <w:rFonts w:ascii="Times New Roman" w:eastAsia="Times New Roman" w:hAnsi="Times New Roman" w:cs="Times New Roman"/>
          <w:sz w:val="24"/>
          <w:szCs w:val="24"/>
        </w:rPr>
        <w:t xml:space="preserve"> of how Media can hinder police action. In the book ‘Social Media Strategy in </w:t>
      </w:r>
      <w:r w:rsidR="00504BE1" w:rsidRPr="000A7702">
        <w:rPr>
          <w:rFonts w:ascii="Times New Roman" w:eastAsia="Times New Roman" w:hAnsi="Times New Roman" w:cs="Times New Roman"/>
          <w:sz w:val="24"/>
          <w:szCs w:val="24"/>
        </w:rPr>
        <w:t>Policing:</w:t>
      </w:r>
      <w:r w:rsidRPr="000A7702">
        <w:rPr>
          <w:rFonts w:ascii="Times New Roman" w:eastAsia="Times New Roman" w:hAnsi="Times New Roman" w:cs="Times New Roman"/>
          <w:sz w:val="24"/>
          <w:szCs w:val="24"/>
        </w:rPr>
        <w:t xml:space="preserve"> From Cultural Intelligence to Community Policing’ the authors highlight that </w:t>
      </w:r>
      <w:r w:rsidR="00504BE1" w:rsidRPr="000A7702">
        <w:rPr>
          <w:rFonts w:ascii="Times New Roman" w:eastAsia="Times New Roman" w:hAnsi="Times New Roman" w:cs="Times New Roman"/>
          <w:sz w:val="24"/>
          <w:szCs w:val="24"/>
        </w:rPr>
        <w:t>a</w:t>
      </w:r>
      <w:r w:rsidRPr="000A7702">
        <w:rPr>
          <w:rFonts w:ascii="Times New Roman" w:eastAsia="Times New Roman" w:hAnsi="Times New Roman" w:cs="Times New Roman"/>
          <w:sz w:val="24"/>
          <w:szCs w:val="24"/>
        </w:rPr>
        <w:t xml:space="preserve"> challenge related to social media is that rumours and prevalence of misinformation and make it difficult for law enforcement to decipher fact from fiction and potentially skew their investigative efforts (Babak Akhgar, P  Saskia Bayerl and Leventakis, 2019, pp.79–100). </w:t>
      </w:r>
    </w:p>
    <w:p w14:paraId="312C1E02" w14:textId="102156F5" w:rsidR="00A14A4C" w:rsidRPr="000A7702" w:rsidRDefault="00B2709C"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In conclusion, policing strategies can be greatly impacted by media coverage of public protection incidents. The Rochdale sex scandal is a prime example of how media coverage can </w:t>
      </w:r>
      <w:r w:rsidR="0046621F" w:rsidRPr="000A7702">
        <w:rPr>
          <w:rFonts w:ascii="Times New Roman" w:eastAsia="Times New Roman" w:hAnsi="Times New Roman" w:cs="Times New Roman"/>
          <w:sz w:val="24"/>
          <w:szCs w:val="24"/>
        </w:rPr>
        <w:t>highlight</w:t>
      </w:r>
      <w:r w:rsidRPr="000A7702">
        <w:rPr>
          <w:rFonts w:ascii="Times New Roman" w:eastAsia="Times New Roman" w:hAnsi="Times New Roman" w:cs="Times New Roman"/>
          <w:sz w:val="24"/>
          <w:szCs w:val="24"/>
        </w:rPr>
        <w:t xml:space="preserve"> weaknesses in police investigations and trigger them to alter their investigative procedures. In this case the article written by Andrew Norfolk played a key role in prompting the re-opening of the investigation into the two individuals that had earlier been released by police with no further action taken against them. The re-opening of this investigation led to uncovering a larger network of men that were involved in crimes such as rape, trafficking, and encouraging underage prostitution, which are public protection incidents. The wrong doings </w:t>
      </w:r>
      <w:r w:rsidRPr="000A7702">
        <w:rPr>
          <w:rFonts w:ascii="Times New Roman" w:eastAsia="Times New Roman" w:hAnsi="Times New Roman" w:cs="Times New Roman"/>
          <w:sz w:val="24"/>
          <w:szCs w:val="24"/>
        </w:rPr>
        <w:lastRenderedPageBreak/>
        <w:t>made by several agencies in relation to the Rochdale sex scandal also gave rise to the “protocol and Good Practice Model: Disclosure of information in cases of alleged child abuse and linked criminal and care directions hearings” which was a change at an institutional level. This string of occurrences and their shortcomings highlights the significance of interagency coordination and effective communication,</w:t>
      </w:r>
      <w:r w:rsidR="0046621F" w:rsidRPr="000A7702">
        <w:rPr>
          <w:rFonts w:ascii="Times New Roman" w:eastAsia="Times New Roman" w:hAnsi="Times New Roman" w:cs="Times New Roman"/>
          <w:sz w:val="24"/>
          <w:szCs w:val="24"/>
        </w:rPr>
        <w:t xml:space="preserve"> and</w:t>
      </w:r>
      <w:r w:rsidRPr="000A7702">
        <w:rPr>
          <w:rFonts w:ascii="Times New Roman" w:eastAsia="Times New Roman" w:hAnsi="Times New Roman" w:cs="Times New Roman"/>
          <w:sz w:val="24"/>
          <w:szCs w:val="24"/>
        </w:rPr>
        <w:t xml:space="preserve"> how crucial it is for authorities to investigate every abuse complaint, regardless of the victim's background, and to take victims' concerns seriously. Additionally, it emphasises how crucial it is for police to be transparent with the public and responsive to media inquiries, especially in cases of public protection incidents.</w:t>
      </w:r>
    </w:p>
    <w:p w14:paraId="3DB52CEE" w14:textId="696CA394" w:rsidR="002A7285" w:rsidRPr="000A7702" w:rsidRDefault="003D029E"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Word count: 9</w:t>
      </w:r>
      <w:r w:rsidR="001F2A41" w:rsidRPr="000A7702">
        <w:rPr>
          <w:rFonts w:ascii="Times New Roman" w:eastAsia="Times New Roman" w:hAnsi="Times New Roman" w:cs="Times New Roman"/>
          <w:sz w:val="24"/>
          <w:szCs w:val="24"/>
        </w:rPr>
        <w:t>97</w:t>
      </w:r>
    </w:p>
    <w:p w14:paraId="38427930" w14:textId="77777777" w:rsidR="002A7285" w:rsidRPr="000A7702" w:rsidRDefault="002A7285" w:rsidP="000534BE">
      <w:pPr>
        <w:spacing w:line="360" w:lineRule="auto"/>
        <w:jc w:val="both"/>
        <w:rPr>
          <w:rFonts w:ascii="Times New Roman" w:eastAsia="Times New Roman" w:hAnsi="Times New Roman" w:cs="Times New Roman"/>
          <w:sz w:val="24"/>
          <w:szCs w:val="24"/>
        </w:rPr>
      </w:pPr>
    </w:p>
    <w:p w14:paraId="5085A09B" w14:textId="6A8981B9" w:rsidR="00D027BD" w:rsidRPr="000A7702" w:rsidRDefault="002A7285" w:rsidP="000534BE">
      <w:pPr>
        <w:spacing w:line="360" w:lineRule="auto"/>
        <w:jc w:val="both"/>
        <w:rPr>
          <w:rFonts w:ascii="Times New Roman" w:eastAsia="Times New Roman" w:hAnsi="Times New Roman" w:cs="Times New Roman"/>
          <w:sz w:val="24"/>
          <w:szCs w:val="24"/>
          <w:highlight w:val="yellow"/>
          <w:u w:val="single"/>
        </w:rPr>
      </w:pPr>
      <w:r w:rsidRPr="000A7702">
        <w:rPr>
          <w:rFonts w:ascii="Times New Roman" w:hAnsi="Times New Roman" w:cs="Times New Roman"/>
          <w:sz w:val="24"/>
          <w:szCs w:val="24"/>
          <w:u w:val="single"/>
        </w:rPr>
        <w:t>Essay three: How effective is early intervention in preventing young people from offending, or re-offending?</w:t>
      </w:r>
    </w:p>
    <w:p w14:paraId="316F45D5"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Early intervention is defined by Action for Children as “the process of providing support to children and young people who are at a risk of poor outcomes and tackling the problems they face before they become worse” (Action for Children, 2019). This essay will explore the effectiveness of early intervention in addressing youth crime in the by examining the different approaches to early intervention, including youth offending teams and "scared straight" programs. Ultimately, this essay will argue that early intervention is a crucial step in addressing youth crime, and that investment in effective early intervention programs can help to prevent young people from becoming involved in crime and improve their life outcomes.</w:t>
      </w:r>
    </w:p>
    <w:p w14:paraId="14D6C8F5" w14:textId="6A10F83C"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Youth offending teams (YOT’s) are made up of a combination of staff from multiple agencies including housing officers, alcohol and drug referral teams, education, health services, social services, probation services and the police. By being made up by an amalgamation of agencies they </w:t>
      </w:r>
      <w:r w:rsidR="00F77241" w:rsidRPr="000A7702">
        <w:rPr>
          <w:rFonts w:ascii="Times New Roman" w:eastAsia="Times New Roman" w:hAnsi="Times New Roman" w:cs="Times New Roman"/>
          <w:sz w:val="24"/>
          <w:szCs w:val="24"/>
        </w:rPr>
        <w:t>can</w:t>
      </w:r>
      <w:r w:rsidRPr="000A7702">
        <w:rPr>
          <w:rFonts w:ascii="Times New Roman" w:eastAsia="Times New Roman" w:hAnsi="Times New Roman" w:cs="Times New Roman"/>
          <w:sz w:val="24"/>
          <w:szCs w:val="24"/>
        </w:rPr>
        <w:t xml:space="preserve"> work towards the goal of establishing the precise reasons why young people commit crimes. This also enables them to and assess the risk they represent to other people and to create a programme that is appropriate for the young person's requirements (College of Policing, 2022).</w:t>
      </w:r>
    </w:p>
    <w:p w14:paraId="0EE82AE9"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Her Majesty's Inspectorate of Probation investigated the work being done by Youth Offending Teams in 2017 and discovered that 59% of the cases they looked at where Youth Offending Teams had an influence led to a decrease in the frequency and or severity of reoffending. </w:t>
      </w:r>
      <w:r w:rsidRPr="000A7702">
        <w:rPr>
          <w:rFonts w:ascii="Times New Roman" w:eastAsia="Times New Roman" w:hAnsi="Times New Roman" w:cs="Times New Roman"/>
          <w:sz w:val="24"/>
          <w:szCs w:val="24"/>
        </w:rPr>
        <w:lastRenderedPageBreak/>
        <w:t xml:space="preserve">Additionally, they discovered that 57% of the young people they worked with followed court orders that were in effect (HM Inspectorate of Probation, 2017). </w:t>
      </w:r>
    </w:p>
    <w:p w14:paraId="7BC2E031"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The Youth Justice board released a report in 2015 called ‘Youth offending teams: making the difference for children and young people, victims and communities’. Within this report the Youth Justice Board acknowledge that “The reduction in the number of children and young people at all stages of the youth justice system has been the outstanding success of the YOT model and of the wider youth justice system.” The report goes on to highlight that to number of first-time entrants into the youth justice system has fallen 20% in the 12 months prior to the report being released. The number of people imprisoned under the age of 18 also fell by 21% over the same period (Youth Justice Board, 2015). </w:t>
      </w:r>
    </w:p>
    <w:p w14:paraId="7E1FB6CD"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Another form of early intervention which attempted to reduce offending or reoffending is the Scared Straight Program. This approach is derived from the deterrence theory, which holds that quick, harsh, and certain punishment will stop criminal or delinquent behaviour. The program looks to expose young people to life inside a prison with the view to leading them away from criminal activity. The College of Policing reviewed this program, and the findings indicate that it is not an effective practice in diverting young people from offending. In fact, the findings of the review found that this approach led to an elevated chance of offending. Another downside to this approach was the negative impacts it had on the mental health of the persons subjected to it. College of policing also suggests that this decline in mental health post involvement with the Scared Straight programme could lead to contributions to anti-social behaviour (College of Policing, 2015). </w:t>
      </w:r>
    </w:p>
    <w:p w14:paraId="21B4D22E"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The Early intervention foundation which “is an independent charity focused on promoting and enabling an evidence-based approach to early intervention” (Early Intervention Foundation, 2019). They published a report in 2016 by called ‘The Cost of Late Intervention” analysed the cost effectiveness of early intervention initiatives for children and families. The report found that early intervention can be a cost effective and positive approach to prevent offending and reoffending before it occurs and becomes more costly to address. The report emphasises how many children and families receive intervention after an incident has taken place, by which point their behaviour might have already taken root making it more challenging to resolve. Due to the frequent use of more expensive and intensive services like child protection, youth justice, and mental health services, late intervention can be expensive both financially and socially. In the report, examples of effective early intervention programmes in social services, health, and </w:t>
      </w:r>
      <w:r w:rsidRPr="000A7702">
        <w:rPr>
          <w:rFonts w:ascii="Times New Roman" w:eastAsia="Times New Roman" w:hAnsi="Times New Roman" w:cs="Times New Roman"/>
          <w:sz w:val="24"/>
          <w:szCs w:val="24"/>
        </w:rPr>
        <w:lastRenderedPageBreak/>
        <w:t xml:space="preserve">education are provided. These programmes have been shown to enhance family and child outcomes while lowering the long-term expenses linked to late intervention (Early Intervention Foundation, 2016). </w:t>
      </w:r>
    </w:p>
    <w:p w14:paraId="30F0045B"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The report concludes that by advising policymakers and practitioners to fund early intervention programmes to stop issues from worsening and becoming more expensive to resolve. By doing this children and families can receive the support they require by getting involved early, which will also ease the financial strain on public services in addition to preventing offending and re-offending (Early Intervention Foundation, 2016).</w:t>
      </w:r>
    </w:p>
    <w:p w14:paraId="02E3E224"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In conclusion, early intervention is crucial for preventing young children from offending or re-offending. The finding of this essay has found that the continued good work of YOTs has decreased youth offending and reoffending. While the success of YOTs has contributed to preventing young people from offending and re-offending there are forms of early intervention which have proven to be counterproductive in attempting the same. Scared Straight programs are not an effective form of early intervention. Studies have shown that they can increase the likelihood of reoffending, and potentially have a negative impact on the mental health of those subjected to it which in hand could lead to further issues in the future. However overall, the Early Intervention Foundation argues that the cost of early intervention in less than the cost of late intervention and that early intervention is proven to have a positive impact on the live of the children and the families it works with.</w:t>
      </w:r>
    </w:p>
    <w:p w14:paraId="72102270" w14:textId="08D9E149" w:rsidR="002A7285"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Overall, early intervention is a positive step in tackling youth offending and re-offending. It does so by addressing underlying issues and providing young people with support and opportunities which can help to prevent them from entering the criminal justice system and instead give them a chance to lead productive and fulfilling lives.</w:t>
      </w:r>
    </w:p>
    <w:p w14:paraId="29A45DC6" w14:textId="33948186" w:rsidR="003D029E" w:rsidRPr="000A7702" w:rsidRDefault="003D029E"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Word count: 9</w:t>
      </w:r>
      <w:r w:rsidR="00F77241" w:rsidRPr="000A7702">
        <w:rPr>
          <w:rFonts w:ascii="Times New Roman" w:eastAsia="Times New Roman" w:hAnsi="Times New Roman" w:cs="Times New Roman"/>
          <w:sz w:val="24"/>
          <w:szCs w:val="24"/>
        </w:rPr>
        <w:t>92</w:t>
      </w:r>
    </w:p>
    <w:p w14:paraId="36057583" w14:textId="77777777" w:rsidR="00FC4C3A" w:rsidRDefault="00FC4C3A" w:rsidP="000534BE">
      <w:pPr>
        <w:spacing w:line="360" w:lineRule="auto"/>
        <w:jc w:val="both"/>
        <w:rPr>
          <w:rFonts w:ascii="Times New Roman" w:eastAsia="Times New Roman" w:hAnsi="Times New Roman" w:cs="Times New Roman"/>
          <w:sz w:val="24"/>
          <w:szCs w:val="24"/>
        </w:rPr>
      </w:pPr>
    </w:p>
    <w:p w14:paraId="29312B62" w14:textId="2AB9D3F7" w:rsidR="002A7285" w:rsidRPr="000A7702" w:rsidRDefault="002A7285" w:rsidP="000534BE">
      <w:pPr>
        <w:spacing w:line="360" w:lineRule="auto"/>
        <w:jc w:val="both"/>
        <w:rPr>
          <w:rFonts w:ascii="Times New Roman" w:eastAsia="Times New Roman" w:hAnsi="Times New Roman" w:cs="Times New Roman"/>
          <w:sz w:val="24"/>
          <w:szCs w:val="24"/>
        </w:rPr>
      </w:pPr>
      <w:r w:rsidRPr="000A7702">
        <w:rPr>
          <w:rFonts w:ascii="Times New Roman" w:hAnsi="Times New Roman" w:cs="Times New Roman"/>
          <w:sz w:val="24"/>
          <w:szCs w:val="24"/>
          <w:u w:val="single"/>
        </w:rPr>
        <w:t xml:space="preserve">Essay four: Are partnership approaches the most effective means of rehabilitating offenders? </w:t>
      </w:r>
    </w:p>
    <w:p w14:paraId="79070036" w14:textId="77777777" w:rsidR="00D027BD" w:rsidRPr="000A7702" w:rsidRDefault="00D027BD" w:rsidP="000534BE">
      <w:pPr>
        <w:spacing w:line="360" w:lineRule="auto"/>
        <w:jc w:val="both"/>
        <w:rPr>
          <w:rFonts w:ascii="Times New Roman" w:eastAsia="Times New Roman" w:hAnsi="Times New Roman" w:cs="Times New Roman"/>
          <w:sz w:val="24"/>
          <w:szCs w:val="24"/>
          <w:u w:val="single"/>
        </w:rPr>
      </w:pPr>
      <w:r w:rsidRPr="000A7702">
        <w:rPr>
          <w:rFonts w:ascii="Times New Roman" w:eastAsia="Times New Roman" w:hAnsi="Times New Roman" w:cs="Times New Roman"/>
          <w:sz w:val="24"/>
          <w:szCs w:val="24"/>
        </w:rPr>
        <w:t xml:space="preserve">This essay will examine whether partnership approaches are the most effective means of rehabilitating offenders. It will delve into methods of partnership working in relation to offender rehabilitation including Integrated Offender Management teams (IOM) and Multi-Agency Public Protection Arrangements (MAPPA’s). It will compare these with form of offender rehabilitation that do not adopt a multi-agency approach such as Community </w:t>
      </w:r>
      <w:r w:rsidRPr="000A7702">
        <w:rPr>
          <w:rFonts w:ascii="Times New Roman" w:eastAsia="Times New Roman" w:hAnsi="Times New Roman" w:cs="Times New Roman"/>
          <w:sz w:val="24"/>
          <w:szCs w:val="24"/>
        </w:rPr>
        <w:lastRenderedPageBreak/>
        <w:t xml:space="preserve">Rehabilitation Companies (CRC’s), and mentoring.  The Rehabilitation of offenders involves either developing the skills necessary for such restoration or restoring the offender's social or moral status in society or their social or moral relationships with others. Along with moral abilities, this could encompass social and professional ones (Forsberg and Douglas, 2020). Rehabilitation take place while an offender is still in prison or post release. It can be the case that the rehabilitation be a requirement for the prisoner’s early release or to allow them to transition back into society easier (Politics.co.uk, 2020).  </w:t>
      </w:r>
    </w:p>
    <w:p w14:paraId="1CA01FFD"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Community Rehabilitation Companies are part of the private sector and assist inmates with release preparation and community reintegration. This includes aiding inmates in finding housing, work, training, or education, as well as assistance in managing their finances, benefits, and debt (HM Inspectorate of Prisons, 2017). There were 262,758 probationers in England and Wales as of March 2018, and 5,616 of them were recalled on licence between January and March 2018. This represented a 5% increase over the same time in 2017, with 69% of recalls resulting from infringing on licence conditions and 43% resulting in additional charges. In contrast, there were 224,283 persons under probation supervision on March 31, 2013, with 4,011 people being recalled. According to these figures, there have been more recalls since Community Rehabilitation Companies were put into place (Foster and Hutton, 2018).</w:t>
      </w:r>
    </w:p>
    <w:p w14:paraId="45F7F6DD"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Integrated Offender management teams allow Criminal justice agencies and other partners to collaborate and share information to assist and oversee a small, targeted group of offenders who are thought to be very likely to commit crimes again (Leicestershire Police, 2021). It is recognized that an offender's likelihood of committing crimes again decreases with increased support. Offenders are given support through IOM even if the courts have not ordered them to be on probation (O’Hagan and Elliot, 2018). (Williams and Ariel, 2012) examined the arrest records for one Force area six months before and six months after the IOM interventions. The findings showed a decrease in the severity of post-IOM offences as well as a positive and significant treatment effect on recidivism rates. The study went into more detail on the interactions between several paths and recidivism. For instance, the accommodation pathway had a strong negative impact, whereas medicinal and mental health therapies were both linked to the participants' beneficial outcomes.</w:t>
      </w:r>
    </w:p>
    <w:p w14:paraId="54C660D7"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Peer mentoring has four main goals.  (1) To help people find work, hinder reoffending, or aid in their integration into society. (2) change behaviour to strengthen bonds with others and lessen anti-social behaviour. (3) increase possibilities to boost accomplishment, help people </w:t>
      </w:r>
      <w:r w:rsidRPr="000A7702">
        <w:rPr>
          <w:rFonts w:ascii="Times New Roman" w:eastAsia="Times New Roman" w:hAnsi="Times New Roman" w:cs="Times New Roman"/>
          <w:sz w:val="24"/>
          <w:szCs w:val="24"/>
        </w:rPr>
        <w:lastRenderedPageBreak/>
        <w:t>develop their own talents, and so on. (4) encouraging: to increase confidence and resiliency, lessen social isolation, etc (Fletcher and Batty, 2012).</w:t>
      </w:r>
    </w:p>
    <w:p w14:paraId="597DE8CD"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A report published by the Home office in 2007 found that seven of the 18 studies found that mentoring reduced reoffending significantly. A further three studies showed a positive impact on re-offending but were not statistically significant and seven had a negative, but not statistically significant impact on re-offending.  On two different measures to assess the overall influence of mentoring on re-offending both estimates suggested that mentoring had a significant beneficial influence in reducing re-offending.  Overall, the findings indicated that mentoring greatly decreased future offending by 4% to 11% (J Olliffe and P Farrington, 2007).</w:t>
      </w:r>
    </w:p>
    <w:p w14:paraId="4E58F25D" w14:textId="093D46C5"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To enhance inter-agency cooperation, multi-agency public protection arrangements (MAPPA) were implemented in 2001. MAPPA is formed by the police, probation, and prison services</w:t>
      </w:r>
      <w:r w:rsidR="002F1D36" w:rsidRPr="000A7702">
        <w:rPr>
          <w:rFonts w:ascii="Times New Roman" w:eastAsia="Times New Roman" w:hAnsi="Times New Roman" w:cs="Times New Roman"/>
          <w:sz w:val="24"/>
          <w:szCs w:val="24"/>
        </w:rPr>
        <w:t xml:space="preserve"> (Kerry and Alex, 2009, p.3)</w:t>
      </w:r>
      <w:r w:rsidRPr="000A7702">
        <w:rPr>
          <w:rFonts w:ascii="Times New Roman" w:eastAsia="Times New Roman" w:hAnsi="Times New Roman" w:cs="Times New Roman"/>
          <w:sz w:val="24"/>
          <w:szCs w:val="24"/>
        </w:rPr>
        <w:t xml:space="preserve">. Other organisations, including the NHS or local governments who have an obligation to work with MAPPA, this is to identify, evaluate, and manage persons who offer a higher risk of causing harm to others locally, everyone should collaborate (Her Majesty's Inspectorate of Probation, 2021). MAPPA’s Operate on 3 levels. Level 1 deals with Registered sexual offenders, Level 2 with violent offenders convicted of a specified violent offence and sentenced to at least 12 months custody or detained under a hospital order or non-registered sexual offenders and finally level 3 deals with any other dangerous offenders who require active multi-agency management (Her Majesty's Inspectorate of Probation, 2021). </w:t>
      </w:r>
    </w:p>
    <w:p w14:paraId="4556B739" w14:textId="77777777" w:rsidR="00D027BD" w:rsidRPr="000A7702" w:rsidRDefault="00D027BD" w:rsidP="000534BE">
      <w:pPr>
        <w:spacing w:line="360" w:lineRule="auto"/>
        <w:jc w:val="both"/>
        <w:rPr>
          <w:rFonts w:ascii="Times New Roman" w:eastAsia="Times New Roman" w:hAnsi="Times New Roman" w:cs="Times New Roman"/>
          <w:sz w:val="24"/>
          <w:szCs w:val="24"/>
          <w:u w:val="single"/>
        </w:rPr>
      </w:pPr>
      <w:r w:rsidRPr="000A7702">
        <w:rPr>
          <w:rFonts w:ascii="Times New Roman" w:eastAsia="Times New Roman" w:hAnsi="Times New Roman" w:cs="Times New Roman"/>
          <w:sz w:val="24"/>
          <w:szCs w:val="24"/>
        </w:rPr>
        <w:t>Since the beginning of the MAPPA initiative, qualified service users' reoffending has decreased, according to a study of the programme. For violent and non-registered sexual offenders, the one-year proven reoffending rate dropped from 26% in 2000 which was prior to MAPPA, to 23% in 2004. Reoffending decreased from 29% to 16% among service users who posed the greatest risk of causing severe harm between 2000 and 2010 (Her Majesty's Inspectorate of Probation, 2021).</w:t>
      </w:r>
    </w:p>
    <w:p w14:paraId="2ABFCC97" w14:textId="77777777" w:rsidR="00D027BD" w:rsidRPr="000A7702" w:rsidRDefault="00D027BD"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 xml:space="preserve">In conclusion, the findings of this essay indicate that with increased support re-offending is reduced, it has also found that from the methods of rehabilitations that have been compared overall partnership approaches are more effective. The various partnership working strategies, such as IOM and MAPPA, were contrasted with offender rehabilitation programmes including CRCs, mentoring, and peer mentoring that do not use a multi-agency strategy. The importance of rehabilitation for offenders to restore their moral and social status in society has been emphasised, whether it occurs while they are in prison or after their release. The findings </w:t>
      </w:r>
      <w:r w:rsidRPr="000A7702">
        <w:rPr>
          <w:rFonts w:ascii="Times New Roman" w:eastAsia="Times New Roman" w:hAnsi="Times New Roman" w:cs="Times New Roman"/>
          <w:sz w:val="24"/>
          <w:szCs w:val="24"/>
        </w:rPr>
        <w:lastRenderedPageBreak/>
        <w:t xml:space="preserve">indicate that increased supervision of offenders reduces the likelihood of reoffending, and it has been demonstrated that partnerships between different agencies and organisations are effective in reducing recidivism rates. while it is not a partnership approach, Mentoring has been shown to decrease reoffending rates, and MAPPA has shown to reduce reoffending rates for qualified service users. As a result, partnership strategies can be regarded as an efficient way to rehabilitate offenders. </w:t>
      </w:r>
    </w:p>
    <w:p w14:paraId="7A5487C1" w14:textId="12859761" w:rsidR="00D027BD" w:rsidRPr="000A7702" w:rsidRDefault="003D029E" w:rsidP="000534BE">
      <w:pPr>
        <w:spacing w:line="360" w:lineRule="auto"/>
        <w:jc w:val="both"/>
        <w:rPr>
          <w:rFonts w:ascii="Times New Roman" w:eastAsia="Times New Roman" w:hAnsi="Times New Roman" w:cs="Times New Roman"/>
          <w:sz w:val="24"/>
          <w:szCs w:val="24"/>
        </w:rPr>
      </w:pPr>
      <w:r w:rsidRPr="000A7702">
        <w:rPr>
          <w:rFonts w:ascii="Times New Roman" w:eastAsia="Times New Roman" w:hAnsi="Times New Roman" w:cs="Times New Roman"/>
          <w:sz w:val="24"/>
          <w:szCs w:val="24"/>
        </w:rPr>
        <w:t>Word count: 97</w:t>
      </w:r>
      <w:r w:rsidR="000534BE" w:rsidRPr="000A7702">
        <w:rPr>
          <w:rFonts w:ascii="Times New Roman" w:eastAsia="Times New Roman" w:hAnsi="Times New Roman" w:cs="Times New Roman"/>
          <w:sz w:val="24"/>
          <w:szCs w:val="24"/>
        </w:rPr>
        <w:t>9</w:t>
      </w:r>
    </w:p>
    <w:p w14:paraId="10B49FAB" w14:textId="77777777" w:rsidR="000534BE" w:rsidRDefault="000534BE" w:rsidP="000534BE">
      <w:pPr>
        <w:pStyle w:val="NormalWeb"/>
        <w:spacing w:before="0" w:beforeAutospacing="0" w:after="240" w:afterAutospacing="0" w:line="360" w:lineRule="auto"/>
        <w:rPr>
          <w:sz w:val="36"/>
          <w:szCs w:val="36"/>
        </w:rPr>
      </w:pPr>
    </w:p>
    <w:p w14:paraId="656F6F7A" w14:textId="27EB80B0" w:rsidR="000534BE" w:rsidRDefault="000534BE" w:rsidP="000534BE">
      <w:pPr>
        <w:pStyle w:val="NormalWeb"/>
        <w:spacing w:before="0" w:beforeAutospacing="0" w:after="240" w:afterAutospacing="0" w:line="360" w:lineRule="auto"/>
        <w:rPr>
          <w:sz w:val="36"/>
          <w:szCs w:val="36"/>
        </w:rPr>
      </w:pPr>
      <w:r>
        <w:rPr>
          <w:sz w:val="36"/>
          <w:szCs w:val="36"/>
        </w:rPr>
        <w:t>Reference list</w:t>
      </w:r>
    </w:p>
    <w:p w14:paraId="7F148ACF" w14:textId="77777777" w:rsidR="000534BE" w:rsidRDefault="000534BE" w:rsidP="000534BE">
      <w:pPr>
        <w:pStyle w:val="NormalWeb"/>
        <w:spacing w:before="0" w:beforeAutospacing="0" w:after="240" w:afterAutospacing="0" w:line="360" w:lineRule="auto"/>
      </w:pPr>
      <w:r>
        <w:t xml:space="preserve">HM Inspectorate of Probation (2017). </w:t>
      </w:r>
      <w:r>
        <w:rPr>
          <w:i/>
          <w:iCs/>
        </w:rPr>
        <w:t>The Work of Youth Offending Teams to Protect the Public</w:t>
      </w:r>
      <w:r>
        <w:t xml:space="preserve">. [online] </w:t>
      </w:r>
      <w:r>
        <w:rPr>
          <w:i/>
          <w:iCs/>
        </w:rPr>
        <w:t>Justice Inspectorates</w:t>
      </w:r>
      <w:r>
        <w:t>, pp.22–23. Available at: https://www.justiceinspectorates.gov.uk/hmiprobation/wp-content/uploads/sites/5/2017/10/The-Work-of-Youth-Offending-Teams-to-Protect-the-Public_reportfinal.pdf [Accessed 1 Mar. 2023].</w:t>
      </w:r>
    </w:p>
    <w:p w14:paraId="521E3231" w14:textId="77777777" w:rsidR="000534BE" w:rsidRDefault="000534BE" w:rsidP="000534BE">
      <w:pPr>
        <w:pStyle w:val="NormalWeb"/>
        <w:spacing w:before="0" w:beforeAutospacing="0" w:after="240" w:afterAutospacing="0" w:line="360" w:lineRule="auto"/>
      </w:pPr>
      <w:r>
        <w:t xml:space="preserve">Action for Children (2019). </w:t>
      </w:r>
      <w:r>
        <w:rPr>
          <w:i/>
          <w:iCs/>
        </w:rPr>
        <w:t>Young people and serious organised crime - how early intervention can help</w:t>
      </w:r>
      <w:r>
        <w:t>. [online] Action for Children. Available at: https://www.actionforchildren.org.uk/blog/young-people-and-serious-organised-crime-how-early-intervention-can-help/#:~:text=Early%20intervention%20is%20the%20process [Accessed 29 Mar. 2023].</w:t>
      </w:r>
    </w:p>
    <w:p w14:paraId="6B78598A" w14:textId="77777777" w:rsidR="000534BE" w:rsidRDefault="000534BE" w:rsidP="000534BE">
      <w:pPr>
        <w:pStyle w:val="NormalWeb"/>
        <w:spacing w:before="0" w:beforeAutospacing="0" w:after="240" w:afterAutospacing="0" w:line="360" w:lineRule="auto"/>
      </w:pPr>
      <w:r>
        <w:t xml:space="preserve">Association of Chief Police Officers, Association of Directors of Children Services, Association of Independent Local Safeguarding Children Board Chairs, Crown Prosecution Service, Department for Education, HM Courts &amp; Tribunals Service, Local Government Association, President of the Family Division, Senior Presiding Judge for England and Wales and Welsh Government (2013). </w:t>
      </w:r>
      <w:r>
        <w:rPr>
          <w:i/>
          <w:iCs/>
        </w:rPr>
        <w:t>2013 Protocol and Good Practice Model</w:t>
      </w:r>
      <w:r>
        <w:t xml:space="preserve">. [online] </w:t>
      </w:r>
      <w:r>
        <w:rPr>
          <w:i/>
          <w:iCs/>
        </w:rPr>
        <w:t xml:space="preserve">Courts and Tribunals Judiciary </w:t>
      </w:r>
      <w:r>
        <w:t>. Available at: https://www.judiciary.uk/wp-content/uploads/JCO/Documents/Guidance/protocol-good-practice-model-2013.pdf [Accessed 19 Feb. 2023].</w:t>
      </w:r>
    </w:p>
    <w:p w14:paraId="030FF7E0" w14:textId="77777777" w:rsidR="000534BE" w:rsidRDefault="000534BE" w:rsidP="000534BE">
      <w:pPr>
        <w:pStyle w:val="NormalWeb"/>
        <w:spacing w:before="0" w:beforeAutospacing="0" w:after="240" w:afterAutospacing="0" w:line="360" w:lineRule="auto"/>
      </w:pPr>
      <w:r>
        <w:t xml:space="preserve">Babak Akhgar, P Saskia Bayerl and Leventakis, G. (2019). </w:t>
      </w:r>
      <w:r>
        <w:rPr>
          <w:i/>
          <w:iCs/>
        </w:rPr>
        <w:t>Social media strategy in policing : from cultural intelligence to community policing</w:t>
      </w:r>
      <w:r>
        <w:t>. Cham, Switzerland: Springer, pp.79–100.</w:t>
      </w:r>
    </w:p>
    <w:p w14:paraId="16A4FFDB" w14:textId="77777777" w:rsidR="000534BE" w:rsidRDefault="000534BE" w:rsidP="000534BE">
      <w:pPr>
        <w:pStyle w:val="NormalWeb"/>
        <w:spacing w:before="0" w:beforeAutospacing="0" w:after="240" w:afterAutospacing="0" w:line="360" w:lineRule="auto"/>
      </w:pPr>
      <w:r>
        <w:lastRenderedPageBreak/>
        <w:t xml:space="preserve">BBC News (2013). Rochdale grooming: ‘Shocking’ failure over sex abuse. </w:t>
      </w:r>
      <w:r>
        <w:rPr>
          <w:i/>
          <w:iCs/>
        </w:rPr>
        <w:t>BBC News</w:t>
      </w:r>
      <w:r>
        <w:t>. [online] 20 Dec. Available at: https://www.bbc.co.uk/news/uk-england-manchester-25450512 [Accessed 30 Mar. 2023].</w:t>
      </w:r>
    </w:p>
    <w:p w14:paraId="52F81FDE" w14:textId="77777777" w:rsidR="000534BE" w:rsidRDefault="000534BE" w:rsidP="000534BE">
      <w:pPr>
        <w:pStyle w:val="NormalWeb"/>
        <w:spacing w:before="0" w:beforeAutospacing="0" w:after="240" w:afterAutospacing="0" w:line="360" w:lineRule="auto"/>
      </w:pPr>
      <w:r>
        <w:t xml:space="preserve">Brenton, F. (2010). </w:t>
      </w:r>
      <w:r>
        <w:rPr>
          <w:i/>
          <w:iCs/>
        </w:rPr>
        <w:t>Brixton Riots (April 10-12, 1981)</w:t>
      </w:r>
      <w:r>
        <w:t>. [online] BlackPast. Available at: https://www.blackpast.org/global-african-history/brixton-riots-april-10-12-1981/ [Accessed 24 Jan. 2023].</w:t>
      </w:r>
    </w:p>
    <w:p w14:paraId="13EB780B" w14:textId="77777777" w:rsidR="000534BE" w:rsidRDefault="000534BE" w:rsidP="000534BE">
      <w:pPr>
        <w:pStyle w:val="NormalWeb"/>
        <w:spacing w:before="0" w:beforeAutospacing="0" w:after="240" w:afterAutospacing="0" w:line="360" w:lineRule="auto"/>
      </w:pPr>
      <w:r>
        <w:t xml:space="preserve">College of Policing (2015). </w:t>
      </w:r>
      <w:r>
        <w:rPr>
          <w:i/>
          <w:iCs/>
        </w:rPr>
        <w:t>Scared Straight programmes</w:t>
      </w:r>
      <w:r>
        <w:t>. [online] College of Policing. Available at: https://www.college.police.uk/research/crime-reduction-toolkit/scared-straight#:~:text=Scared%20Straight%20programmes%20involve%20organised.</w:t>
      </w:r>
    </w:p>
    <w:p w14:paraId="4B690328" w14:textId="77777777" w:rsidR="000534BE" w:rsidRDefault="000534BE" w:rsidP="000534BE">
      <w:pPr>
        <w:pStyle w:val="NormalWeb"/>
        <w:spacing w:before="0" w:beforeAutospacing="0" w:after="240" w:afterAutospacing="0" w:line="360" w:lineRule="auto"/>
      </w:pPr>
      <w:r>
        <w:t xml:space="preserve">College of Policing (2017). </w:t>
      </w:r>
      <w:r>
        <w:rPr>
          <w:i/>
          <w:iCs/>
        </w:rPr>
        <w:t>Multi-agency public protection arrangements (MAPPA)</w:t>
      </w:r>
      <w:r>
        <w:t>. [online] College of Policing. Available at: https://www.college.police.uk/app/major-investigation-and-public-protection/managing-sexual-offenders-and-violent-offenders/multi-agency-public-protection-arrangements-mappa [Accessed 18 Feb. 2023].</w:t>
      </w:r>
    </w:p>
    <w:p w14:paraId="16AAE21C" w14:textId="77777777" w:rsidR="000534BE" w:rsidRDefault="000534BE" w:rsidP="000534BE">
      <w:pPr>
        <w:pStyle w:val="NormalWeb"/>
        <w:spacing w:before="0" w:beforeAutospacing="0" w:after="240" w:afterAutospacing="0" w:line="360" w:lineRule="auto"/>
      </w:pPr>
      <w:r>
        <w:t xml:space="preserve">College of Policing (2022). </w:t>
      </w:r>
      <w:r>
        <w:rPr>
          <w:i/>
          <w:iCs/>
        </w:rPr>
        <w:t>Guidance on outcomes in police misconduct proceedings</w:t>
      </w:r>
      <w:r>
        <w:t>. [online] College of Policing . Available at: https://assets.college.police.uk/s3fs-public/2022-08/Guidance-on-outcomes-in-police-misconduct-proceedings.pdf [Accessed 16 Feb. 2023].</w:t>
      </w:r>
    </w:p>
    <w:p w14:paraId="34B11813" w14:textId="77777777" w:rsidR="000534BE" w:rsidRDefault="000534BE" w:rsidP="000534BE">
      <w:pPr>
        <w:pStyle w:val="NormalWeb"/>
        <w:spacing w:before="0" w:beforeAutospacing="0" w:after="240" w:afterAutospacing="0" w:line="360" w:lineRule="auto"/>
      </w:pPr>
      <w:r>
        <w:t xml:space="preserve">College of Policing (2017). </w:t>
      </w:r>
      <w:r>
        <w:rPr>
          <w:i/>
          <w:iCs/>
        </w:rPr>
        <w:t>Introduction to managing sexual offenders and violent offenders</w:t>
      </w:r>
      <w:r>
        <w:t>. [online] College of Policing. Available at: https://www.college.police.uk/app/major-investigation-and-public-protection/managing-sexual-offenders-and-violent-offenders/introduction-managing-sexual-offenders-and-violent-offenders#public-protection-and-neighbourhood-policing [Accessed 18 Feb. 2023].</w:t>
      </w:r>
    </w:p>
    <w:p w14:paraId="08F56AD2" w14:textId="77777777" w:rsidR="000534BE" w:rsidRDefault="000534BE" w:rsidP="000534BE">
      <w:pPr>
        <w:pStyle w:val="NormalWeb"/>
        <w:spacing w:before="0" w:beforeAutospacing="0" w:after="240" w:afterAutospacing="0" w:line="360" w:lineRule="auto"/>
      </w:pPr>
      <w:r>
        <w:t xml:space="preserve">College of Policing (2022a). </w:t>
      </w:r>
      <w:r>
        <w:rPr>
          <w:i/>
          <w:iCs/>
        </w:rPr>
        <w:t>Children and young persons</w:t>
      </w:r>
      <w:r>
        <w:t>. [online] College of Policing. Available at: https://www.college.police.uk/app/detention-and-custody/detainee-care/children-and-young-persons#:~:text=Youth%20offending%20teams [Accessed 29 Mar. 2023].</w:t>
      </w:r>
    </w:p>
    <w:p w14:paraId="4A0FAC91" w14:textId="77777777" w:rsidR="000534BE" w:rsidRDefault="000534BE" w:rsidP="000534BE">
      <w:pPr>
        <w:pStyle w:val="NormalWeb"/>
        <w:spacing w:before="0" w:beforeAutospacing="0" w:after="240" w:afterAutospacing="0" w:line="360" w:lineRule="auto"/>
      </w:pPr>
      <w:r>
        <w:t xml:space="preserve">College of Policing (2022b). </w:t>
      </w:r>
      <w:r>
        <w:rPr>
          <w:i/>
          <w:iCs/>
        </w:rPr>
        <w:t>PCSO handbook</w:t>
      </w:r>
      <w:r>
        <w:t>. [online] College of Policing. Available at: https://www.college.police.uk/career-learning/joining-police/joining-pcso/handbook [Accessed 30 Mar. 2023].</w:t>
      </w:r>
    </w:p>
    <w:p w14:paraId="565C0BF1" w14:textId="77777777" w:rsidR="000534BE" w:rsidRDefault="000534BE" w:rsidP="000534BE">
      <w:pPr>
        <w:pStyle w:val="NormalWeb"/>
        <w:spacing w:before="0" w:beforeAutospacing="0" w:after="240" w:afterAutospacing="0" w:line="360" w:lineRule="auto"/>
      </w:pPr>
      <w:r>
        <w:lastRenderedPageBreak/>
        <w:t xml:space="preserve">Cook, S. (2021). </w:t>
      </w:r>
      <w:r>
        <w:rPr>
          <w:i/>
          <w:iCs/>
        </w:rPr>
        <w:t>Scarman report into Brixton riots published – archive, 26 November 1981</w:t>
      </w:r>
      <w:r>
        <w:t>. [online] the Guardian. Available at: https://www.theguardian.com/world/2021/nov/26/scarman-report-into-brixton-riots-published-archive-1981 [Accessed 24 Jan. 2023].</w:t>
      </w:r>
    </w:p>
    <w:p w14:paraId="24431184" w14:textId="77777777" w:rsidR="000534BE" w:rsidRDefault="000534BE" w:rsidP="000534BE">
      <w:pPr>
        <w:pStyle w:val="NormalWeb"/>
        <w:spacing w:before="0" w:beforeAutospacing="0" w:after="240" w:afterAutospacing="0" w:line="360" w:lineRule="auto"/>
      </w:pPr>
      <w:r>
        <w:t xml:space="preserve">Crime + Investigation (2021). </w:t>
      </w:r>
      <w:r>
        <w:rPr>
          <w:i/>
          <w:iCs/>
        </w:rPr>
        <w:t>Rochdale Groomers</w:t>
      </w:r>
      <w:r>
        <w:t>. [online] Crime+Investigation UK. Available at: https://www.crimeandinvestigation.co.uk/crime-files/rochdale-groomers#The%20Crimes [Accessed 18 Feb. 2023].</w:t>
      </w:r>
    </w:p>
    <w:p w14:paraId="3C03BD2F" w14:textId="77777777" w:rsidR="000534BE" w:rsidRDefault="000534BE" w:rsidP="000534BE">
      <w:pPr>
        <w:pStyle w:val="NormalWeb"/>
        <w:spacing w:before="0" w:beforeAutospacing="0" w:after="240" w:afterAutospacing="0" w:line="360" w:lineRule="auto"/>
      </w:pPr>
      <w:r>
        <w:t xml:space="preserve">Deith, J. (2013). Rochdale grooming case ‘failed to use witness evidence’. </w:t>
      </w:r>
      <w:r>
        <w:rPr>
          <w:i/>
          <w:iCs/>
        </w:rPr>
        <w:t>BBC News</w:t>
      </w:r>
      <w:r>
        <w:t>. [online] 25 Mar. Available at: https://www.bbc.co.uk/news/uk-21925205 [Accessed 19 Feb. 2023].</w:t>
      </w:r>
    </w:p>
    <w:p w14:paraId="767D91CE" w14:textId="77777777" w:rsidR="000534BE" w:rsidRDefault="000534BE" w:rsidP="000534BE">
      <w:pPr>
        <w:pStyle w:val="NormalWeb"/>
        <w:spacing w:before="0" w:beforeAutospacing="0" w:after="240" w:afterAutospacing="0" w:line="360" w:lineRule="auto"/>
      </w:pPr>
      <w:r>
        <w:t xml:space="preserve">Dodd, V. (2012). </w:t>
      </w:r>
      <w:r>
        <w:rPr>
          <w:i/>
          <w:iCs/>
        </w:rPr>
        <w:t>Police conduct undermining service’s reputation, says watchdog</w:t>
      </w:r>
      <w:r>
        <w:t>. [online] The Guardian. Available at: https://www.theguardian.com/uk/2012/dec/19/police-conduct-undermining-reputation-watchdog.</w:t>
      </w:r>
    </w:p>
    <w:p w14:paraId="4A4F94F4" w14:textId="77777777" w:rsidR="000534BE" w:rsidRDefault="000534BE" w:rsidP="000534BE">
      <w:pPr>
        <w:pStyle w:val="NormalWeb"/>
        <w:spacing w:before="0" w:beforeAutospacing="0" w:after="240" w:afterAutospacing="0" w:line="360" w:lineRule="auto"/>
      </w:pPr>
      <w:r>
        <w:t xml:space="preserve">Early Intervention Foundation (2016). </w:t>
      </w:r>
      <w:r>
        <w:rPr>
          <w:i/>
          <w:iCs/>
        </w:rPr>
        <w:t>THE COST OF LATE INTERVENTION: EIF ANALYSIS 2016</w:t>
      </w:r>
      <w:r>
        <w:t xml:space="preserve">. [online] </w:t>
      </w:r>
      <w:r>
        <w:rPr>
          <w:i/>
          <w:iCs/>
        </w:rPr>
        <w:t xml:space="preserve">Early Intervention Foundation </w:t>
      </w:r>
      <w:r>
        <w:t>, pp.4–20. Available at: file:///C:/Users/SWP8184/Downloads/cost-of-late-intervention-2016%20(2).pdf [Accessed 29 Mar. 2023].</w:t>
      </w:r>
    </w:p>
    <w:p w14:paraId="6A123E10" w14:textId="77777777" w:rsidR="000534BE" w:rsidRDefault="000534BE" w:rsidP="000534BE">
      <w:pPr>
        <w:pStyle w:val="NormalWeb"/>
        <w:spacing w:before="0" w:beforeAutospacing="0" w:after="240" w:afterAutospacing="0" w:line="360" w:lineRule="auto"/>
      </w:pPr>
      <w:r>
        <w:t xml:space="preserve">Early Intervention Foundation (2019). </w:t>
      </w:r>
      <w:r>
        <w:rPr>
          <w:i/>
          <w:iCs/>
        </w:rPr>
        <w:t>Who we are &amp; what we do</w:t>
      </w:r>
      <w:r>
        <w:t>. [online] Early Intervention Foundation. Available at: https://www.eif.org.uk/about/who-is-eif#:~:text=EIF%20is%20an%20independent%20charity [Accessed 29 Mar. 2023].</w:t>
      </w:r>
    </w:p>
    <w:p w14:paraId="58E3DB74" w14:textId="77777777" w:rsidR="000534BE" w:rsidRDefault="000534BE" w:rsidP="000534BE">
      <w:pPr>
        <w:pStyle w:val="NormalWeb"/>
        <w:spacing w:before="0" w:beforeAutospacing="0" w:after="240" w:afterAutospacing="0" w:line="360" w:lineRule="auto"/>
      </w:pPr>
      <w:r>
        <w:t xml:space="preserve">Fletcher, D.R. and Batty, E. (2012). </w:t>
      </w:r>
      <w:r>
        <w:rPr>
          <w:i/>
          <w:iCs/>
        </w:rPr>
        <w:t>Offender Peer Interventions: What do we know?</w:t>
      </w:r>
      <w:r>
        <w:t xml:space="preserve"> [online] </w:t>
      </w:r>
      <w:r>
        <w:rPr>
          <w:i/>
          <w:iCs/>
        </w:rPr>
        <w:t xml:space="preserve">Sheffield Hallum University </w:t>
      </w:r>
      <w:r>
        <w:t>, Sheffield : Centre for Economic and Social Research, p.3. Available at: https://www.shu.ac.uk/centre-regional-economic-social-research/projects/all-projects/offender-peer-interventions-what-do-we-know [Accessed 24 Mar. 2023].</w:t>
      </w:r>
    </w:p>
    <w:p w14:paraId="3866E3B5" w14:textId="77777777" w:rsidR="000534BE" w:rsidRDefault="000534BE" w:rsidP="000534BE">
      <w:pPr>
        <w:pStyle w:val="NormalWeb"/>
        <w:spacing w:before="0" w:beforeAutospacing="0" w:after="240" w:afterAutospacing="0" w:line="360" w:lineRule="auto"/>
      </w:pPr>
      <w:r>
        <w:t xml:space="preserve">Forsberg, L. and Douglas, T. (2020). What is Criminal Rehabilitation? </w:t>
      </w:r>
      <w:r>
        <w:rPr>
          <w:i/>
          <w:iCs/>
        </w:rPr>
        <w:t>Criminal Law and Philosophy</w:t>
      </w:r>
      <w:r>
        <w:t>, 16(1). doi:https://doi.org/10.1007/s11572-020-09547-4.</w:t>
      </w:r>
    </w:p>
    <w:p w14:paraId="5E3A662D" w14:textId="77777777" w:rsidR="000534BE" w:rsidRDefault="000534BE" w:rsidP="000534BE">
      <w:pPr>
        <w:pStyle w:val="NormalWeb"/>
        <w:spacing w:before="0" w:beforeAutospacing="0" w:after="240" w:afterAutospacing="0" w:line="360" w:lineRule="auto"/>
      </w:pPr>
      <w:r>
        <w:t xml:space="preserve">Foster, D. and Hutton, R. (2018). </w:t>
      </w:r>
      <w:r>
        <w:rPr>
          <w:i/>
          <w:iCs/>
        </w:rPr>
        <w:t>The National Probation Service and Community Rehabilitation Companies – insidetime &amp; insideinformation</w:t>
      </w:r>
      <w:r>
        <w:t xml:space="preserve">. [online] Insidetime. Available </w:t>
      </w:r>
      <w:r>
        <w:lastRenderedPageBreak/>
        <w:t>at: https://insidetime.org/the-national-probation-service-and-community-rehabilitation-companies/ [Accessed 29 Mar. 2023].</w:t>
      </w:r>
    </w:p>
    <w:p w14:paraId="016EBADF" w14:textId="77777777" w:rsidR="000534BE" w:rsidRDefault="000534BE" w:rsidP="000534BE">
      <w:pPr>
        <w:pStyle w:val="NormalWeb"/>
        <w:spacing w:before="0" w:beforeAutospacing="0" w:after="240" w:afterAutospacing="0" w:line="360" w:lineRule="auto"/>
      </w:pPr>
      <w:r>
        <w:t xml:space="preserve">Gov.uk (2013). </w:t>
      </w:r>
      <w:r>
        <w:rPr>
          <w:i/>
          <w:iCs/>
        </w:rPr>
        <w:t>Police and Criminal Evidence Act 1984 (PACE) codes of practice</w:t>
      </w:r>
      <w:r>
        <w:t>. [online] GOV.UK. Available at: https://www.gov.uk/guidance/police-and-criminal-evidence-act-1984-pace-codes-of-practice#:~:text=PACE%20sets%20out%20to%20strike [Accessed 18 Feb. 2023].</w:t>
      </w:r>
    </w:p>
    <w:p w14:paraId="1003AD6B" w14:textId="77777777" w:rsidR="000534BE" w:rsidRDefault="000534BE" w:rsidP="000534BE">
      <w:pPr>
        <w:pStyle w:val="NormalWeb"/>
        <w:spacing w:before="0" w:beforeAutospacing="0" w:after="240" w:afterAutospacing="0" w:line="360" w:lineRule="auto"/>
      </w:pPr>
      <w:r>
        <w:t xml:space="preserve">Her Majesty's Inspectorate of Probation (2021). </w:t>
      </w:r>
      <w:r>
        <w:rPr>
          <w:i/>
          <w:iCs/>
        </w:rPr>
        <w:t>Multi-agency public protection arrangements</w:t>
      </w:r>
      <w:r>
        <w:t>. [online] www.justiceinspectorates.gov.uk. Available at: https://www.justiceinspectorates.gov.uk/hmiprobation/research/the-evidence-base-probation/specific-types-of-delivery/mappa/ [Accessed 28 Mar. 2023].</w:t>
      </w:r>
    </w:p>
    <w:p w14:paraId="7820A262" w14:textId="77777777" w:rsidR="000534BE" w:rsidRDefault="000534BE" w:rsidP="000534BE">
      <w:pPr>
        <w:pStyle w:val="NormalWeb"/>
        <w:spacing w:before="0" w:beforeAutospacing="0" w:after="240" w:afterAutospacing="0" w:line="360" w:lineRule="auto"/>
      </w:pPr>
      <w:r>
        <w:t xml:space="preserve">History Extra (2009). </w:t>
      </w:r>
      <w:r>
        <w:rPr>
          <w:i/>
          <w:iCs/>
        </w:rPr>
        <w:t>Stop and search: what can we learn from history?</w:t>
      </w:r>
      <w:r>
        <w:t xml:space="preserve"> [online] HistoryExtra. Available at: https://www.historyextra.com/period/modern/stop-and-search-what-can-we-learn-from-history/ [Accessed 24 Jan. 2023].</w:t>
      </w:r>
    </w:p>
    <w:p w14:paraId="17027E01" w14:textId="77777777" w:rsidR="000534BE" w:rsidRDefault="000534BE" w:rsidP="000534BE">
      <w:pPr>
        <w:pStyle w:val="NormalWeb"/>
        <w:spacing w:before="0" w:beforeAutospacing="0" w:after="240" w:afterAutospacing="0" w:line="360" w:lineRule="auto"/>
      </w:pPr>
      <w:r>
        <w:t xml:space="preserve">HM Inspectorate of Prisons (2017). </w:t>
      </w:r>
      <w:r>
        <w:rPr>
          <w:i/>
          <w:iCs/>
        </w:rPr>
        <w:t>Support for prisoners leaving jail: Community Rehabilitation Companies not having any impact, say inspectors</w:t>
      </w:r>
      <w:r>
        <w:t>. [online] www.justiceinspectorates.gov.uk. Available at: https://www.justiceinspectorates.gov.uk/hmiprisons/media/press-releases/2017/06/support-for-prisoners-leaving-jail-community-rehabilitation-companies-not-having-any-impact-say-inspectors/#:~:text=CRCs%20are%20now%20responsible%20for [Accessed 21 Mar. 2023].</w:t>
      </w:r>
    </w:p>
    <w:p w14:paraId="55A8B9EA" w14:textId="77777777" w:rsidR="000534BE" w:rsidRDefault="000534BE" w:rsidP="000534BE">
      <w:pPr>
        <w:pStyle w:val="NormalWeb"/>
        <w:spacing w:before="0" w:beforeAutospacing="0" w:after="240" w:afterAutospacing="0" w:line="360" w:lineRule="auto"/>
      </w:pPr>
      <w:r>
        <w:t xml:space="preserve">Home Office (2023). </w:t>
      </w:r>
      <w:r>
        <w:rPr>
          <w:i/>
          <w:iCs/>
        </w:rPr>
        <w:t>PACE Code A 2023 (accessible)</w:t>
      </w:r>
      <w:r>
        <w:t>. [online] GOV.UK. Available at: https://www.gov.uk/government/publications/pace-code-a-2023/pace-code-a-2023-accessible#principles-governing-stop-and-search [Accessed 3 2023].</w:t>
      </w:r>
    </w:p>
    <w:p w14:paraId="44F11FC6" w14:textId="77777777" w:rsidR="000534BE" w:rsidRDefault="000534BE" w:rsidP="000534BE">
      <w:pPr>
        <w:pStyle w:val="NormalWeb"/>
        <w:spacing w:before="0" w:beforeAutospacing="0" w:after="240" w:afterAutospacing="0" w:line="360" w:lineRule="auto"/>
      </w:pPr>
      <w:r>
        <w:t xml:space="preserve">House of Commons and Home Affairs Committee (2013). </w:t>
      </w:r>
      <w:r>
        <w:rPr>
          <w:i/>
          <w:iCs/>
        </w:rPr>
        <w:t>Child sexual exploitation and the response to localised grooming</w:t>
      </w:r>
      <w:r>
        <w:t xml:space="preserve">. [online] </w:t>
      </w:r>
      <w:r>
        <w:rPr>
          <w:i/>
          <w:iCs/>
        </w:rPr>
        <w:t>publications.parliament.uk</w:t>
      </w:r>
      <w:r>
        <w:t>, London: The Stationery Office Limited , p.4. Available at: https://publications.parliament.uk/pa/cm201314/cmselect/cmhaff/68/68i.pdf [Accessed 19 Feb. 2023].</w:t>
      </w:r>
    </w:p>
    <w:p w14:paraId="715CB9A1" w14:textId="77777777" w:rsidR="000534BE" w:rsidRDefault="000534BE" w:rsidP="000534BE">
      <w:pPr>
        <w:pStyle w:val="NormalWeb"/>
        <w:spacing w:before="0" w:beforeAutospacing="0" w:after="240" w:afterAutospacing="0" w:line="360" w:lineRule="auto"/>
      </w:pPr>
      <w:r>
        <w:t xml:space="preserve">House of Commons and Home Affairs Committee (2013). </w:t>
      </w:r>
      <w:r>
        <w:rPr>
          <w:i/>
          <w:iCs/>
        </w:rPr>
        <w:t>Child sexual exploitation and the response to localised grooming</w:t>
      </w:r>
      <w:r>
        <w:t xml:space="preserve">. [online] </w:t>
      </w:r>
      <w:r>
        <w:rPr>
          <w:i/>
          <w:iCs/>
        </w:rPr>
        <w:t>publications.parliament.uk</w:t>
      </w:r>
      <w:r>
        <w:t xml:space="preserve">, The Stationery Office </w:t>
      </w:r>
      <w:r>
        <w:lastRenderedPageBreak/>
        <w:t>Limited, p.3. Available at: https://publications.parliament.uk/pa/cm201314/cmselect/cmhaff/68/68i.pdf [Accessed 19 Feb. 2023].</w:t>
      </w:r>
    </w:p>
    <w:p w14:paraId="0D4A595E" w14:textId="77777777" w:rsidR="000534BE" w:rsidRDefault="000534BE" w:rsidP="000534BE">
      <w:pPr>
        <w:pStyle w:val="NormalWeb"/>
        <w:spacing w:before="0" w:beforeAutospacing="0" w:after="240" w:afterAutospacing="0" w:line="360" w:lineRule="auto"/>
      </w:pPr>
      <w:r>
        <w:t xml:space="preserve">J Olliffe, D. and P Farrington, D. (2007). </w:t>
      </w:r>
      <w:r>
        <w:rPr>
          <w:i/>
          <w:iCs/>
        </w:rPr>
        <w:t>A rapid evidence assessment of the impact of mentoring onre-offending: a summary</w:t>
      </w:r>
      <w:r>
        <w:t xml:space="preserve">. [online] </w:t>
      </w:r>
      <w:r>
        <w:rPr>
          <w:i/>
          <w:iCs/>
        </w:rPr>
        <w:t>Research Gate</w:t>
      </w:r>
      <w:r>
        <w:t>, Home Office, p.5. Available at: https://www.researchgate.net/publication/252216610_A_rapid_evidence_assessment_of_the_impact_of_mentoring_on_re-offending_A_summary [Accessed 28 Mar. 2023].</w:t>
      </w:r>
    </w:p>
    <w:p w14:paraId="785312A2" w14:textId="77777777" w:rsidR="000534BE" w:rsidRDefault="000534BE" w:rsidP="000534BE">
      <w:pPr>
        <w:pStyle w:val="NormalWeb"/>
        <w:spacing w:before="0" w:beforeAutospacing="0" w:after="240" w:afterAutospacing="0" w:line="360" w:lineRule="auto"/>
      </w:pPr>
      <w:r>
        <w:t xml:space="preserve">Jefferson, T. (2011). </w:t>
      </w:r>
      <w:r>
        <w:rPr>
          <w:i/>
          <w:iCs/>
        </w:rPr>
        <w:t xml:space="preserve">Policing the riots </w:t>
      </w:r>
      <w:r>
        <w:t xml:space="preserve">. [online] </w:t>
      </w:r>
      <w:r>
        <w:rPr>
          <w:i/>
          <w:iCs/>
        </w:rPr>
        <w:t xml:space="preserve">Crime and Justice </w:t>
      </w:r>
      <w:r>
        <w:t>, pp.8–9. Available at: https://www.crimeandjustice.org.uk/sites/crimeandjustice.org.uk/files/09627251.2012.670995_0.pdf [Accessed 16 Mar. 2023].</w:t>
      </w:r>
    </w:p>
    <w:p w14:paraId="25FEC67E" w14:textId="77777777" w:rsidR="000534BE" w:rsidRDefault="000534BE" w:rsidP="000534BE">
      <w:pPr>
        <w:pStyle w:val="NormalWeb"/>
        <w:spacing w:before="0" w:beforeAutospacing="0" w:after="240" w:afterAutospacing="0" w:line="360" w:lineRule="auto"/>
      </w:pPr>
      <w:r>
        <w:t xml:space="preserve">Kerry, B. and Alex, S. (2009). </w:t>
      </w:r>
      <w:r>
        <w:rPr>
          <w:i/>
          <w:iCs/>
        </w:rPr>
        <w:t>Multi-Agency Public Protection Arrangements and Youth Justice</w:t>
      </w:r>
      <w:r>
        <w:t xml:space="preserve">. [online] </w:t>
      </w:r>
      <w:r>
        <w:rPr>
          <w:i/>
          <w:iCs/>
        </w:rPr>
        <w:t>Google Books</w:t>
      </w:r>
      <w:r>
        <w:t>, Policy Press, p.3. Available at: https://books.google.co.uk/books?id=mnRoDwAAQBAJ&amp;printsec=frontcover&amp;source=gbs_ViewAPI&amp;redir_esc=y#v=onepage&amp;q&amp;f=false [Accessed 7 May 2023].</w:t>
      </w:r>
    </w:p>
    <w:p w14:paraId="3A118A25" w14:textId="77777777" w:rsidR="000534BE" w:rsidRDefault="000534BE" w:rsidP="000534BE">
      <w:pPr>
        <w:pStyle w:val="NormalWeb"/>
        <w:spacing w:before="0" w:beforeAutospacing="0" w:after="240" w:afterAutospacing="0" w:line="360" w:lineRule="auto"/>
      </w:pPr>
      <w:r>
        <w:t xml:space="preserve">legislation.gov.uk (1984). </w:t>
      </w:r>
      <w:r>
        <w:rPr>
          <w:i/>
          <w:iCs/>
        </w:rPr>
        <w:t>Police and Criminal Evidence Act 1984</w:t>
      </w:r>
      <w:r>
        <w:t>. [online] legislation.gov.uk. Available at: https://www.legislation.gov.uk/ukpga/1984/60/contents [Accessed 24 Jan. 2023].</w:t>
      </w:r>
    </w:p>
    <w:p w14:paraId="4DED7406" w14:textId="77777777" w:rsidR="000534BE" w:rsidRDefault="000534BE" w:rsidP="000534BE">
      <w:pPr>
        <w:pStyle w:val="NormalWeb"/>
        <w:spacing w:before="0" w:beforeAutospacing="0" w:after="240" w:afterAutospacing="0" w:line="360" w:lineRule="auto"/>
      </w:pPr>
      <w:r>
        <w:t xml:space="preserve">Leicestershire Police (2021). </w:t>
      </w:r>
      <w:r>
        <w:rPr>
          <w:i/>
          <w:iCs/>
        </w:rPr>
        <w:t>What is Integrated Offender Management?</w:t>
      </w:r>
      <w:r>
        <w:t xml:space="preserve"> [online] Leicestershire Police. Available at: https://www.leics.police.uk/news/leicestershire/news/2021/september/what-is-integrated-offender-management/#:~:text=Integrated%20Offender%20Management%20(IOM)%20provides,highly%20likely%20to%20re%2Doffend. [Accessed 21 Mar. 2023].</w:t>
      </w:r>
    </w:p>
    <w:p w14:paraId="2988E811" w14:textId="77777777" w:rsidR="000534BE" w:rsidRDefault="000534BE" w:rsidP="000534BE">
      <w:pPr>
        <w:pStyle w:val="NormalWeb"/>
        <w:spacing w:before="0" w:beforeAutospacing="0" w:after="240" w:afterAutospacing="0" w:line="360" w:lineRule="auto"/>
      </w:pPr>
      <w:r>
        <w:t xml:space="preserve">O’Hagan, A. and Elliot, A. (2018). Offender management: a review of approaches, benefits and challenges. </w:t>
      </w:r>
      <w:r>
        <w:rPr>
          <w:i/>
          <w:iCs/>
        </w:rPr>
        <w:t>Foresic Research &amp; Criminology International Journal</w:t>
      </w:r>
      <w:r>
        <w:t>, [online] 6(6), pp.527–533. doi:https://doi.org/10.15406/frcij.2018.06.00254.</w:t>
      </w:r>
    </w:p>
    <w:p w14:paraId="043B9E82" w14:textId="77777777" w:rsidR="000534BE" w:rsidRDefault="000534BE" w:rsidP="000534BE">
      <w:pPr>
        <w:pStyle w:val="NormalWeb"/>
        <w:spacing w:before="0" w:beforeAutospacing="0" w:after="240" w:afterAutospacing="0" w:line="360" w:lineRule="auto"/>
      </w:pPr>
      <w:r>
        <w:t xml:space="preserve">Peacock, S. (2012). </w:t>
      </w:r>
      <w:r>
        <w:rPr>
          <w:i/>
          <w:iCs/>
        </w:rPr>
        <w:t>Initial Police Training in England and Wales, 1945 – 2009</w:t>
      </w:r>
      <w:r>
        <w:t xml:space="preserve">. [online] </w:t>
      </w:r>
      <w:r>
        <w:rPr>
          <w:i/>
          <w:iCs/>
        </w:rPr>
        <w:t>UEAE Prints</w:t>
      </w:r>
      <w:r>
        <w:t xml:space="preserve">, pp.92–94. Available at: </w:t>
      </w:r>
      <w:r>
        <w:lastRenderedPageBreak/>
        <w:t>https://ueaeprints.uea.ac.uk/id/eprint/10595/1/Thesis_peacock_s_2010.pdf [Accessed 18 Feb. 2023].</w:t>
      </w:r>
    </w:p>
    <w:p w14:paraId="7E3C9BE4" w14:textId="77777777" w:rsidR="000534BE" w:rsidRDefault="000534BE" w:rsidP="000534BE">
      <w:pPr>
        <w:pStyle w:val="NormalWeb"/>
        <w:spacing w:before="0" w:beforeAutospacing="0" w:after="240" w:afterAutospacing="0" w:line="360" w:lineRule="auto"/>
      </w:pPr>
      <w:r>
        <w:t xml:space="preserve">Police Complaints Authority and Police Complaints Board (1977). </w:t>
      </w:r>
      <w:r>
        <w:rPr>
          <w:i/>
          <w:iCs/>
        </w:rPr>
        <w:t>Records of the Police Complaints Authority and Police Complaints Board</w:t>
      </w:r>
      <w:r>
        <w:t>. [online] The National Archives (UK). Available at: https://discovery.nationalarchives.gov.uk/details/r/C313#:~:text=The%20Police%20and%20Criminal%20Evidence [Accessed 14 Feb. 2023].</w:t>
      </w:r>
    </w:p>
    <w:p w14:paraId="763582A5" w14:textId="77777777" w:rsidR="000534BE" w:rsidRDefault="000534BE" w:rsidP="000534BE">
      <w:pPr>
        <w:pStyle w:val="NormalWeb"/>
        <w:spacing w:before="0" w:beforeAutospacing="0" w:after="240" w:afterAutospacing="0" w:line="360" w:lineRule="auto"/>
      </w:pPr>
      <w:r>
        <w:t xml:space="preserve">Politics.co.uk (2020). </w:t>
      </w:r>
      <w:r>
        <w:rPr>
          <w:i/>
          <w:iCs/>
        </w:rPr>
        <w:t>Prison Rehabilitation - All you need to know</w:t>
      </w:r>
      <w:r>
        <w:t>. [online] Politics.co.uk. Available at: https://www.politics.co.uk/reference/prison-rehabilitation/#:~:text=Rehabilitation%20takes%20place%20both%20inside [Accessed 20 Mar. 2023].</w:t>
      </w:r>
    </w:p>
    <w:p w14:paraId="7DE1E7DA" w14:textId="77777777" w:rsidR="000534BE" w:rsidRDefault="000534BE" w:rsidP="000534BE">
      <w:pPr>
        <w:pStyle w:val="NormalWeb"/>
        <w:spacing w:before="0" w:beforeAutospacing="0" w:after="240" w:afterAutospacing="0" w:line="360" w:lineRule="auto"/>
      </w:pPr>
      <w:r>
        <w:t xml:space="preserve">Pryce, K. (1979). </w:t>
      </w:r>
      <w:r>
        <w:rPr>
          <w:i/>
          <w:iCs/>
        </w:rPr>
        <w:t>Endless pressure.</w:t>
      </w:r>
      <w:r>
        <w:t xml:space="preserve"> Harmondsworth: Penguin Books.</w:t>
      </w:r>
    </w:p>
    <w:p w14:paraId="5E889665" w14:textId="77777777" w:rsidR="000534BE" w:rsidRDefault="000534BE" w:rsidP="000534BE">
      <w:pPr>
        <w:pStyle w:val="NormalWeb"/>
        <w:spacing w:before="0" w:beforeAutospacing="0" w:after="240" w:afterAutospacing="0" w:line="360" w:lineRule="auto"/>
      </w:pPr>
      <w:r>
        <w:t xml:space="preserve">Radio Times (2017). </w:t>
      </w:r>
      <w:r>
        <w:rPr>
          <w:i/>
          <w:iCs/>
        </w:rPr>
        <w:t>How did this happen?</w:t>
      </w:r>
      <w:r>
        <w:t xml:space="preserve"> [online] Radio Times. Available at: https://www.radiotimes.com/tv/drama/how-did-this-happen/ [Accessed 18 Feb. 2023].</w:t>
      </w:r>
    </w:p>
    <w:p w14:paraId="38FE98CD" w14:textId="77777777" w:rsidR="000534BE" w:rsidRDefault="000534BE" w:rsidP="000534BE">
      <w:pPr>
        <w:pStyle w:val="NormalWeb"/>
        <w:spacing w:before="0" w:beforeAutospacing="0" w:after="240" w:afterAutospacing="0" w:line="360" w:lineRule="auto"/>
      </w:pPr>
      <w:r>
        <w:t xml:space="preserve">Scheerhout, J. (2017). </w:t>
      </w:r>
      <w:r>
        <w:rPr>
          <w:i/>
          <w:iCs/>
        </w:rPr>
        <w:t>Timeline of how the Rochdale grooming scandal unfolded</w:t>
      </w:r>
      <w:r>
        <w:t>. [online] Manchester Evening News. Available at: https://www.manchestereveningnews.co.uk/news/greater-manchester-news/timeline-rochdale-grooming-scandale-bbc-13026060 [Accessed 19 Feb. 2023].</w:t>
      </w:r>
    </w:p>
    <w:p w14:paraId="1A38D0D5" w14:textId="77777777" w:rsidR="000534BE" w:rsidRDefault="000534BE" w:rsidP="000534BE">
      <w:pPr>
        <w:pStyle w:val="NormalWeb"/>
        <w:spacing w:before="0" w:beforeAutospacing="0" w:after="240" w:afterAutospacing="0" w:line="360" w:lineRule="auto"/>
      </w:pPr>
      <w:r>
        <w:t xml:space="preserve">Skolnick, J. (1966). </w:t>
      </w:r>
      <w:r>
        <w:rPr>
          <w:i/>
          <w:iCs/>
        </w:rPr>
        <w:t>Skolnick, Justice Without Trial</w:t>
      </w:r>
      <w:r>
        <w:t>. John Wiley &amp; Sons.</w:t>
      </w:r>
    </w:p>
    <w:p w14:paraId="10B0457C" w14:textId="77777777" w:rsidR="000534BE" w:rsidRDefault="000534BE" w:rsidP="000534BE">
      <w:pPr>
        <w:pStyle w:val="NormalWeb"/>
        <w:spacing w:before="0" w:beforeAutospacing="0" w:after="240" w:afterAutospacing="0" w:line="360" w:lineRule="auto"/>
      </w:pPr>
      <w:r>
        <w:t xml:space="preserve">Stephenson's (2018). </w:t>
      </w:r>
      <w:r>
        <w:rPr>
          <w:i/>
          <w:iCs/>
        </w:rPr>
        <w:t>The IPCC Becomes The IOPC - What Are The Key Changes?</w:t>
      </w:r>
      <w:r>
        <w:t xml:space="preserve"> [online] Stephensons Solicitors LLP. Available at: https://www.stephensons.co.uk/site/blog/civil-liberties-blog/the-ipcc-becomes-the-iopc-what-are-the-key-changes [Accessed 24 Feb. 2023].</w:t>
      </w:r>
    </w:p>
    <w:p w14:paraId="5566722C" w14:textId="77777777" w:rsidR="000534BE" w:rsidRDefault="000534BE" w:rsidP="000534BE">
      <w:pPr>
        <w:pStyle w:val="NormalWeb"/>
        <w:spacing w:before="0" w:beforeAutospacing="0" w:after="240" w:afterAutospacing="0" w:line="360" w:lineRule="auto"/>
      </w:pPr>
      <w:r>
        <w:t xml:space="preserve">Williams, A.E. and Ariel, B. (2012). The Bristol Integrated Offender Management Scheme: a Pseudo-Experimental Test of Desistance Theory. </w:t>
      </w:r>
      <w:r>
        <w:rPr>
          <w:i/>
          <w:iCs/>
        </w:rPr>
        <w:t>Policing</w:t>
      </w:r>
      <w:r>
        <w:t>, [online] 7(2), pp.123–134. doi:https://doi.org/10.1093/police/pas053.</w:t>
      </w:r>
    </w:p>
    <w:p w14:paraId="5636F0CD" w14:textId="77777777" w:rsidR="000534BE" w:rsidRDefault="000534BE" w:rsidP="000534BE">
      <w:pPr>
        <w:pStyle w:val="NormalWeb"/>
        <w:spacing w:before="0" w:beforeAutospacing="0" w:after="240" w:afterAutospacing="0" w:line="360" w:lineRule="auto"/>
      </w:pPr>
      <w:r>
        <w:t xml:space="preserve">Williams, D.G.T. (1982). The Brixton Disorders. </w:t>
      </w:r>
      <w:r>
        <w:rPr>
          <w:i/>
          <w:iCs/>
        </w:rPr>
        <w:t>The Cambridge Law Journal</w:t>
      </w:r>
      <w:r>
        <w:t>, [online] 41(1), pp.1–6. Available at: https://www.jstor.org/stable/4506399.</w:t>
      </w:r>
    </w:p>
    <w:p w14:paraId="14C0DB1E" w14:textId="77777777" w:rsidR="000534BE" w:rsidRDefault="000534BE" w:rsidP="000534BE">
      <w:pPr>
        <w:pStyle w:val="NormalWeb"/>
        <w:spacing w:before="0" w:beforeAutospacing="0" w:after="240" w:afterAutospacing="0" w:line="360" w:lineRule="auto"/>
      </w:pPr>
      <w:r>
        <w:lastRenderedPageBreak/>
        <w:t xml:space="preserve">Youth Justice Board (2015). </w:t>
      </w:r>
      <w:r>
        <w:rPr>
          <w:i/>
          <w:iCs/>
        </w:rPr>
        <w:t xml:space="preserve">Youth offending teams: making the difference for children and young people, victims and communities Final Report </w:t>
      </w:r>
      <w:r>
        <w:t xml:space="preserve">. [online] </w:t>
      </w:r>
      <w:r>
        <w:rPr>
          <w:i/>
          <w:iCs/>
        </w:rPr>
        <w:t xml:space="preserve">United Kingdom Government </w:t>
      </w:r>
      <w:r>
        <w:t>, pp.8–9. Available at: https://assets.publishing.service.gov.uk/government/uploads/system/uploads/attachment_data/file/445271/Board_Visits_Final_Report.pdf [Accessed 31 Mar. 2023].</w:t>
      </w:r>
    </w:p>
    <w:p w14:paraId="3ED3DB35" w14:textId="77777777" w:rsidR="000534BE" w:rsidRDefault="000534BE" w:rsidP="00916F3F">
      <w:pPr>
        <w:pStyle w:val="NormalWeb"/>
        <w:spacing w:before="0" w:beforeAutospacing="0" w:after="240" w:afterAutospacing="0" w:line="360" w:lineRule="auto"/>
        <w:rPr>
          <w:sz w:val="36"/>
          <w:szCs w:val="36"/>
        </w:rPr>
      </w:pPr>
    </w:p>
    <w:sectPr w:rsidR="000534B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4CB3D" w14:textId="77777777" w:rsidR="00B2709C" w:rsidRDefault="00B2709C" w:rsidP="00B2709C">
      <w:pPr>
        <w:spacing w:after="0" w:line="240" w:lineRule="auto"/>
      </w:pPr>
      <w:r>
        <w:separator/>
      </w:r>
    </w:p>
  </w:endnote>
  <w:endnote w:type="continuationSeparator" w:id="0">
    <w:p w14:paraId="7D31972E" w14:textId="77777777" w:rsidR="00B2709C" w:rsidRDefault="00B2709C" w:rsidP="00B27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32EBA" w14:textId="77777777" w:rsidR="00FC4C3A" w:rsidRDefault="00FC4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A87AD" w14:textId="77777777" w:rsidR="00FC4C3A" w:rsidRDefault="00FC4C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A5B2B" w14:textId="77777777" w:rsidR="00FC4C3A" w:rsidRDefault="00FC4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44413" w14:textId="77777777" w:rsidR="00B2709C" w:rsidRDefault="00B2709C" w:rsidP="00B2709C">
      <w:pPr>
        <w:spacing w:after="0" w:line="240" w:lineRule="auto"/>
      </w:pPr>
      <w:r>
        <w:separator/>
      </w:r>
    </w:p>
  </w:footnote>
  <w:footnote w:type="continuationSeparator" w:id="0">
    <w:p w14:paraId="480BFC26" w14:textId="77777777" w:rsidR="00B2709C" w:rsidRDefault="00B2709C" w:rsidP="00B270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E497D" w14:textId="77777777" w:rsidR="00FC4C3A" w:rsidRDefault="00FC4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09B3E" w14:textId="60452BD8" w:rsidR="00E179A2" w:rsidRDefault="00E179A2">
    <w:pPr>
      <w:pStyle w:val="Header"/>
    </w:pPr>
    <w:r>
      <w:t>Kieran Rees – 2124738 – Assignment</w:t>
    </w:r>
    <w:r w:rsidR="000534BE">
      <w:t xml:space="preserve"> 1</w:t>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BD5E8" w14:textId="77777777" w:rsidR="00FC4C3A" w:rsidRDefault="00FC4C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DE3"/>
    <w:rsid w:val="000534BE"/>
    <w:rsid w:val="000A7702"/>
    <w:rsid w:val="00174DE3"/>
    <w:rsid w:val="001F2A41"/>
    <w:rsid w:val="00263A77"/>
    <w:rsid w:val="002A6B38"/>
    <w:rsid w:val="002A7285"/>
    <w:rsid w:val="002C098B"/>
    <w:rsid w:val="002F1D36"/>
    <w:rsid w:val="003D029E"/>
    <w:rsid w:val="004048EF"/>
    <w:rsid w:val="0046621F"/>
    <w:rsid w:val="00504BE1"/>
    <w:rsid w:val="00715520"/>
    <w:rsid w:val="007358FD"/>
    <w:rsid w:val="00916F3F"/>
    <w:rsid w:val="00A14A4C"/>
    <w:rsid w:val="00A64C50"/>
    <w:rsid w:val="00AF6F27"/>
    <w:rsid w:val="00B2709C"/>
    <w:rsid w:val="00B531D1"/>
    <w:rsid w:val="00CA2573"/>
    <w:rsid w:val="00D027BD"/>
    <w:rsid w:val="00D56D15"/>
    <w:rsid w:val="00E179A2"/>
    <w:rsid w:val="00E870E5"/>
    <w:rsid w:val="00F77241"/>
    <w:rsid w:val="00FC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38053"/>
  <w15:chartTrackingRefBased/>
  <w15:docId w15:val="{57ADCCF2-88C3-4C89-A8AA-69E727AAE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09C"/>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6F3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1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9A2"/>
    <w:rPr>
      <w:rFonts w:ascii="Calibri" w:eastAsia="Calibri" w:hAnsi="Calibri" w:cs="Calibri"/>
      <w:lang w:eastAsia="en-GB"/>
    </w:rPr>
  </w:style>
  <w:style w:type="paragraph" w:styleId="Footer">
    <w:name w:val="footer"/>
    <w:basedOn w:val="Normal"/>
    <w:link w:val="FooterChar"/>
    <w:uiPriority w:val="99"/>
    <w:unhideWhenUsed/>
    <w:rsid w:val="00E1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9A2"/>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770394">
      <w:bodyDiv w:val="1"/>
      <w:marLeft w:val="0"/>
      <w:marRight w:val="0"/>
      <w:marTop w:val="0"/>
      <w:marBottom w:val="0"/>
      <w:divBdr>
        <w:top w:val="none" w:sz="0" w:space="0" w:color="auto"/>
        <w:left w:val="none" w:sz="0" w:space="0" w:color="auto"/>
        <w:bottom w:val="none" w:sz="0" w:space="0" w:color="auto"/>
        <w:right w:val="none" w:sz="0" w:space="0" w:color="auto"/>
      </w:divBdr>
      <w:divsChild>
        <w:div w:id="1148669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1676</TotalTime>
  <Pages>17</Pages>
  <Words>5731</Words>
  <Characters>32668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Rees</dc:creator>
  <cp:keywords/>
  <dc:description/>
  <cp:lastModifiedBy>Rees,Kieran swp8184</cp:lastModifiedBy>
  <cp:revision>24</cp:revision>
  <dcterms:created xsi:type="dcterms:W3CDTF">2023-04-08T16:10:00Z</dcterms:created>
  <dcterms:modified xsi:type="dcterms:W3CDTF">2023-05-08T18:53:00Z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2023-04-08T16:11:38Z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82076db4-ac8b-4402-8c93-237e6b0d6532</vt:lpwstr>
  </property>
  <property fmtid="{D5CDD505-2E9C-101B-9397-08002B2CF9AE}" pid="8" name="MSIP_Label_66cf8fe5-b7b7-4df7-b38d-1c61ac2f6639_ContentBits">
    <vt:lpwstr>0</vt:lpwstr>
  </property>
</Properties>
</file>