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1D48F8" w14:textId="7D4762E9" w:rsidR="00112473" w:rsidRDefault="00112473" w:rsidP="543597F1">
      <w:pPr>
        <w:spacing w:line="360" w:lineRule="auto"/>
        <w:jc w:val="center"/>
        <w:rPr>
          <w:rFonts w:ascii="Arial" w:eastAsia="Arial" w:hAnsi="Arial" w:cs="Arial"/>
          <w:b/>
          <w:bCs/>
          <w:sz w:val="22"/>
          <w:szCs w:val="22"/>
          <w:u w:val="single"/>
        </w:rPr>
      </w:pPr>
    </w:p>
    <w:p w14:paraId="43FB371E" w14:textId="0158183D" w:rsidR="00112473" w:rsidRDefault="00112473" w:rsidP="3ACCE6D1">
      <w:pPr>
        <w:spacing w:line="360" w:lineRule="auto"/>
      </w:pPr>
    </w:p>
    <w:p w14:paraId="3D0163F1" w14:textId="77777777" w:rsidR="00B30DA9" w:rsidRDefault="00B30DA9" w:rsidP="3ACCE6D1">
      <w:pPr>
        <w:spacing w:line="360" w:lineRule="auto"/>
      </w:pPr>
    </w:p>
    <w:p w14:paraId="090B0C06" w14:textId="77777777" w:rsidR="00B30DA9" w:rsidRDefault="00B30DA9" w:rsidP="3ACCE6D1">
      <w:pPr>
        <w:spacing w:line="360" w:lineRule="auto"/>
      </w:pPr>
    </w:p>
    <w:p w14:paraId="274F96FC" w14:textId="77777777" w:rsidR="00B30DA9" w:rsidRDefault="00B30DA9" w:rsidP="3ACCE6D1">
      <w:pPr>
        <w:spacing w:line="360" w:lineRule="auto"/>
      </w:pPr>
    </w:p>
    <w:p w14:paraId="1B90813B" w14:textId="1950B904" w:rsidR="00112473" w:rsidRDefault="00112473" w:rsidP="543597F1">
      <w:pPr>
        <w:spacing w:line="360" w:lineRule="auto"/>
        <w:jc w:val="center"/>
        <w:rPr>
          <w:rFonts w:ascii="Arial" w:eastAsia="Arial" w:hAnsi="Arial" w:cs="Arial"/>
          <w:b/>
          <w:bCs/>
          <w:sz w:val="22"/>
          <w:szCs w:val="22"/>
          <w:u w:val="single"/>
        </w:rPr>
      </w:pPr>
    </w:p>
    <w:p w14:paraId="1C216CA3" w14:textId="17FBC027"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Name:</w:t>
      </w:r>
      <w:r w:rsidRPr="543597F1">
        <w:rPr>
          <w:rFonts w:ascii="Arial" w:eastAsia="Arial" w:hAnsi="Arial" w:cs="Arial"/>
          <w:sz w:val="22"/>
          <w:szCs w:val="22"/>
        </w:rPr>
        <w:t xml:space="preserve"> Ansa Nusrat Ashfaq</w:t>
      </w:r>
    </w:p>
    <w:p w14:paraId="4073C3F8" w14:textId="16AD9532"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Student Number:</w:t>
      </w:r>
      <w:r w:rsidRPr="543597F1">
        <w:rPr>
          <w:rFonts w:ascii="Arial" w:eastAsia="Arial" w:hAnsi="Arial" w:cs="Arial"/>
          <w:sz w:val="22"/>
          <w:szCs w:val="22"/>
        </w:rPr>
        <w:t xml:space="preserve"> 2129074</w:t>
      </w:r>
    </w:p>
    <w:p w14:paraId="254FC113" w14:textId="2673C394"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Module</w:t>
      </w:r>
      <w:proofErr w:type="gramStart"/>
      <w:r w:rsidRPr="543597F1">
        <w:rPr>
          <w:rFonts w:ascii="Arial" w:eastAsia="Arial" w:hAnsi="Arial" w:cs="Arial"/>
          <w:b/>
          <w:bCs/>
          <w:sz w:val="22"/>
          <w:szCs w:val="22"/>
          <w:u w:val="single"/>
        </w:rPr>
        <w:t xml:space="preserve">: </w:t>
      </w:r>
      <w:r w:rsidR="3279E492" w:rsidRPr="543597F1">
        <w:rPr>
          <w:rFonts w:ascii="Arial" w:eastAsia="Arial" w:hAnsi="Arial" w:cs="Arial"/>
          <w:sz w:val="22"/>
          <w:szCs w:val="22"/>
        </w:rPr>
        <w:t xml:space="preserve"> Introduction</w:t>
      </w:r>
      <w:proofErr w:type="gramEnd"/>
      <w:r w:rsidR="3279E492" w:rsidRPr="543597F1">
        <w:rPr>
          <w:rFonts w:ascii="Arial" w:eastAsia="Arial" w:hAnsi="Arial" w:cs="Arial"/>
          <w:sz w:val="22"/>
          <w:szCs w:val="22"/>
        </w:rPr>
        <w:t xml:space="preserve"> to Physiology</w:t>
      </w:r>
    </w:p>
    <w:p w14:paraId="4BFB6284" w14:textId="046CC630"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Assignment title:</w:t>
      </w:r>
      <w:r w:rsidR="049A1416" w:rsidRPr="543597F1">
        <w:rPr>
          <w:rFonts w:ascii="Arial" w:eastAsia="Arial" w:hAnsi="Arial" w:cs="Arial"/>
          <w:sz w:val="22"/>
          <w:szCs w:val="22"/>
        </w:rPr>
        <w:t xml:space="preserve"> Component 1: Written Assignment (Case Study Report)</w:t>
      </w:r>
    </w:p>
    <w:p w14:paraId="538C3524" w14:textId="5AD158A7" w:rsidR="00112473" w:rsidRDefault="1E9628F1" w:rsidP="543597F1">
      <w:pPr>
        <w:spacing w:line="360" w:lineRule="auto"/>
        <w:jc w:val="center"/>
        <w:rPr>
          <w:rFonts w:ascii="Arial" w:eastAsia="Arial" w:hAnsi="Arial" w:cs="Arial"/>
          <w:sz w:val="22"/>
          <w:szCs w:val="22"/>
        </w:rPr>
      </w:pPr>
      <w:r w:rsidRPr="543597F1">
        <w:rPr>
          <w:rFonts w:ascii="Arial" w:eastAsia="Arial" w:hAnsi="Arial" w:cs="Arial"/>
          <w:b/>
          <w:bCs/>
          <w:sz w:val="22"/>
          <w:szCs w:val="22"/>
          <w:u w:val="single"/>
        </w:rPr>
        <w:t>Module Code:</w:t>
      </w:r>
      <w:r w:rsidR="444612A9" w:rsidRPr="543597F1">
        <w:rPr>
          <w:rFonts w:ascii="Arial" w:eastAsia="Arial" w:hAnsi="Arial" w:cs="Arial"/>
          <w:sz w:val="22"/>
          <w:szCs w:val="22"/>
        </w:rPr>
        <w:t xml:space="preserve"> BMHP5023</w:t>
      </w:r>
    </w:p>
    <w:p w14:paraId="0A86D2D4" w14:textId="7B2C39EA" w:rsidR="00112473" w:rsidRDefault="00112473" w:rsidP="543597F1">
      <w:pPr>
        <w:spacing w:line="360" w:lineRule="auto"/>
        <w:jc w:val="center"/>
        <w:rPr>
          <w:rFonts w:ascii="Arial" w:eastAsia="Arial" w:hAnsi="Arial" w:cs="Arial"/>
          <w:b/>
          <w:bCs/>
          <w:sz w:val="22"/>
          <w:szCs w:val="22"/>
          <w:u w:val="single"/>
        </w:rPr>
      </w:pPr>
    </w:p>
    <w:p w14:paraId="6CD4E12B" w14:textId="4B4DD598" w:rsidR="00112473" w:rsidRDefault="00112473" w:rsidP="543597F1">
      <w:pPr>
        <w:spacing w:line="360" w:lineRule="auto"/>
        <w:jc w:val="center"/>
        <w:rPr>
          <w:rFonts w:ascii="Arial" w:eastAsia="Arial" w:hAnsi="Arial" w:cs="Arial"/>
          <w:b/>
          <w:bCs/>
          <w:sz w:val="22"/>
          <w:szCs w:val="22"/>
          <w:u w:val="single"/>
        </w:rPr>
      </w:pPr>
    </w:p>
    <w:p w14:paraId="03E69530" w14:textId="4A7A4AB2" w:rsidR="00112473" w:rsidRDefault="00112473" w:rsidP="543597F1">
      <w:pPr>
        <w:spacing w:line="360" w:lineRule="auto"/>
        <w:jc w:val="center"/>
        <w:rPr>
          <w:rFonts w:ascii="Arial" w:eastAsia="Arial" w:hAnsi="Arial" w:cs="Arial"/>
          <w:b/>
          <w:bCs/>
          <w:sz w:val="22"/>
          <w:szCs w:val="22"/>
          <w:u w:val="single"/>
        </w:rPr>
      </w:pPr>
    </w:p>
    <w:p w14:paraId="29B3965C" w14:textId="04A39845" w:rsidR="00112473" w:rsidRDefault="00112473" w:rsidP="543597F1">
      <w:pPr>
        <w:spacing w:line="360" w:lineRule="auto"/>
        <w:jc w:val="center"/>
        <w:rPr>
          <w:rFonts w:ascii="Arial" w:eastAsia="Arial" w:hAnsi="Arial" w:cs="Arial"/>
          <w:b/>
          <w:bCs/>
          <w:sz w:val="22"/>
          <w:szCs w:val="22"/>
          <w:u w:val="single"/>
        </w:rPr>
      </w:pPr>
    </w:p>
    <w:p w14:paraId="3EAEDB9D" w14:textId="0E72B49F" w:rsidR="00112473" w:rsidRDefault="00112473" w:rsidP="543597F1">
      <w:pPr>
        <w:spacing w:line="360" w:lineRule="auto"/>
        <w:jc w:val="center"/>
        <w:rPr>
          <w:rFonts w:ascii="Arial" w:eastAsia="Arial" w:hAnsi="Arial" w:cs="Arial"/>
          <w:b/>
          <w:bCs/>
          <w:sz w:val="22"/>
          <w:szCs w:val="22"/>
          <w:u w:val="single"/>
        </w:rPr>
      </w:pPr>
    </w:p>
    <w:p w14:paraId="6291CB90" w14:textId="1B45F9FA" w:rsidR="00112473" w:rsidRDefault="00112473" w:rsidP="543597F1">
      <w:pPr>
        <w:spacing w:line="360" w:lineRule="auto"/>
        <w:jc w:val="center"/>
        <w:rPr>
          <w:rFonts w:ascii="Arial" w:eastAsia="Arial" w:hAnsi="Arial" w:cs="Arial"/>
          <w:b/>
          <w:bCs/>
          <w:sz w:val="22"/>
          <w:szCs w:val="22"/>
          <w:u w:val="single"/>
        </w:rPr>
      </w:pPr>
    </w:p>
    <w:p w14:paraId="2599F81C" w14:textId="4A318684" w:rsidR="3ACCE6D1" w:rsidRDefault="3ACCE6D1" w:rsidP="3ACCE6D1">
      <w:pPr>
        <w:spacing w:line="360" w:lineRule="auto"/>
        <w:jc w:val="center"/>
        <w:rPr>
          <w:rFonts w:ascii="Arial" w:eastAsia="Arial" w:hAnsi="Arial" w:cs="Arial"/>
          <w:b/>
          <w:bCs/>
          <w:sz w:val="22"/>
          <w:szCs w:val="22"/>
          <w:u w:val="single"/>
        </w:rPr>
      </w:pPr>
    </w:p>
    <w:p w14:paraId="22B50BD0" w14:textId="05F53F09" w:rsidR="3ACCE6D1" w:rsidRDefault="3ACCE6D1" w:rsidP="3ACCE6D1">
      <w:pPr>
        <w:spacing w:line="360" w:lineRule="auto"/>
        <w:jc w:val="center"/>
        <w:rPr>
          <w:rFonts w:ascii="Arial" w:eastAsia="Arial" w:hAnsi="Arial" w:cs="Arial"/>
          <w:b/>
          <w:bCs/>
          <w:sz w:val="22"/>
          <w:szCs w:val="22"/>
          <w:u w:val="single"/>
        </w:rPr>
      </w:pPr>
    </w:p>
    <w:p w14:paraId="4C859A93" w14:textId="076E74CD" w:rsidR="3ACCE6D1" w:rsidRDefault="3ACCE6D1" w:rsidP="3ACCE6D1">
      <w:pPr>
        <w:spacing w:line="360" w:lineRule="auto"/>
        <w:jc w:val="center"/>
        <w:rPr>
          <w:rFonts w:ascii="Arial" w:eastAsia="Arial" w:hAnsi="Arial" w:cs="Arial"/>
          <w:b/>
          <w:bCs/>
          <w:sz w:val="22"/>
          <w:szCs w:val="22"/>
          <w:u w:val="single"/>
        </w:rPr>
      </w:pPr>
    </w:p>
    <w:p w14:paraId="1A9BFE0F" w14:textId="09883D48" w:rsidR="3ACCE6D1" w:rsidRDefault="3ACCE6D1" w:rsidP="3ACCE6D1">
      <w:pPr>
        <w:spacing w:line="360" w:lineRule="auto"/>
        <w:jc w:val="center"/>
        <w:rPr>
          <w:rFonts w:ascii="Arial" w:eastAsia="Arial" w:hAnsi="Arial" w:cs="Arial"/>
          <w:b/>
          <w:bCs/>
          <w:sz w:val="22"/>
          <w:szCs w:val="22"/>
          <w:u w:val="single"/>
        </w:rPr>
      </w:pPr>
    </w:p>
    <w:p w14:paraId="210CD965" w14:textId="7763B5FB" w:rsidR="3ACCE6D1" w:rsidRDefault="3ACCE6D1" w:rsidP="3ACCE6D1">
      <w:pPr>
        <w:spacing w:line="360" w:lineRule="auto"/>
        <w:jc w:val="center"/>
        <w:rPr>
          <w:rFonts w:ascii="Arial" w:eastAsia="Arial" w:hAnsi="Arial" w:cs="Arial"/>
          <w:b/>
          <w:bCs/>
          <w:sz w:val="22"/>
          <w:szCs w:val="22"/>
          <w:u w:val="single"/>
        </w:rPr>
      </w:pPr>
    </w:p>
    <w:p w14:paraId="458335BA" w14:textId="67605FB7" w:rsidR="00112473" w:rsidRDefault="00112473" w:rsidP="00B30DA9">
      <w:pPr>
        <w:spacing w:line="360" w:lineRule="auto"/>
        <w:rPr>
          <w:rFonts w:ascii="Arial" w:eastAsia="Arial" w:hAnsi="Arial" w:cs="Arial"/>
          <w:b/>
          <w:bCs/>
          <w:sz w:val="22"/>
          <w:szCs w:val="22"/>
          <w:u w:val="single"/>
        </w:rPr>
      </w:pPr>
    </w:p>
    <w:p w14:paraId="3089A556" w14:textId="77777777" w:rsidR="00B30DA9" w:rsidRDefault="00B30DA9" w:rsidP="00B30DA9">
      <w:pPr>
        <w:spacing w:line="360" w:lineRule="auto"/>
        <w:rPr>
          <w:rFonts w:ascii="Arial" w:eastAsia="Arial" w:hAnsi="Arial" w:cs="Arial"/>
          <w:b/>
          <w:bCs/>
          <w:sz w:val="22"/>
          <w:szCs w:val="22"/>
          <w:u w:val="single"/>
        </w:rPr>
      </w:pPr>
    </w:p>
    <w:p w14:paraId="3754A7AA" w14:textId="4CFEF2D6" w:rsidR="0004424F" w:rsidRDefault="001405F1" w:rsidP="543597F1">
      <w:pPr>
        <w:spacing w:line="360" w:lineRule="auto"/>
        <w:jc w:val="center"/>
        <w:rPr>
          <w:rFonts w:ascii="Arial" w:eastAsia="Arial" w:hAnsi="Arial" w:cs="Arial"/>
          <w:b/>
          <w:bCs/>
          <w:sz w:val="22"/>
          <w:szCs w:val="22"/>
          <w:u w:val="single"/>
        </w:rPr>
      </w:pPr>
      <w:r>
        <w:rPr>
          <w:rFonts w:ascii="Arial" w:eastAsia="Arial" w:hAnsi="Arial" w:cs="Arial"/>
          <w:b/>
          <w:bCs/>
          <w:sz w:val="22"/>
          <w:szCs w:val="22"/>
          <w:u w:val="single"/>
        </w:rPr>
        <w:lastRenderedPageBreak/>
        <w:t>Contents Page.</w:t>
      </w:r>
    </w:p>
    <w:p w14:paraId="2F581BA8" w14:textId="77777777" w:rsidR="00EA254D" w:rsidRDefault="00EA254D" w:rsidP="543597F1">
      <w:pPr>
        <w:spacing w:line="360" w:lineRule="auto"/>
        <w:jc w:val="center"/>
        <w:rPr>
          <w:rFonts w:ascii="Arial" w:eastAsia="Arial" w:hAnsi="Arial" w:cs="Arial"/>
          <w:b/>
          <w:bCs/>
          <w:sz w:val="22"/>
          <w:szCs w:val="22"/>
          <w:u w:val="single"/>
        </w:rPr>
      </w:pPr>
    </w:p>
    <w:p w14:paraId="60660436" w14:textId="77777777" w:rsidR="001405F1" w:rsidRDefault="001405F1" w:rsidP="543597F1">
      <w:pPr>
        <w:spacing w:line="360" w:lineRule="auto"/>
        <w:jc w:val="center"/>
        <w:rPr>
          <w:rFonts w:ascii="Arial" w:eastAsia="Arial" w:hAnsi="Arial" w:cs="Arial"/>
          <w:b/>
          <w:bCs/>
          <w:sz w:val="22"/>
          <w:szCs w:val="22"/>
          <w:u w:val="single"/>
        </w:rPr>
      </w:pPr>
    </w:p>
    <w:p w14:paraId="0F66D34F" w14:textId="78842C32" w:rsidR="001405F1" w:rsidRPr="00040871" w:rsidRDefault="00BB055D"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I</w:t>
      </w:r>
      <w:r w:rsidR="005400FD" w:rsidRPr="00040871">
        <w:rPr>
          <w:rFonts w:ascii="Arial" w:eastAsia="Arial" w:hAnsi="Arial" w:cs="Arial"/>
          <w:sz w:val="22"/>
          <w:szCs w:val="22"/>
          <w:u w:val="single"/>
        </w:rPr>
        <w:t>ntroduction</w:t>
      </w:r>
      <w:r w:rsidRPr="00040871">
        <w:rPr>
          <w:rFonts w:ascii="Arial" w:eastAsia="Arial" w:hAnsi="Arial" w:cs="Arial"/>
          <w:sz w:val="22"/>
          <w:szCs w:val="22"/>
          <w:u w:val="single"/>
        </w:rPr>
        <w:t xml:space="preserve"> </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C7252F">
        <w:rPr>
          <w:rFonts w:ascii="Arial" w:eastAsia="Arial" w:hAnsi="Arial" w:cs="Arial"/>
          <w:sz w:val="22"/>
          <w:szCs w:val="22"/>
          <w:u w:val="single"/>
        </w:rPr>
        <w:t>Page 3</w:t>
      </w:r>
    </w:p>
    <w:p w14:paraId="0C52F0D1" w14:textId="7B7F6DFC" w:rsidR="00BB055D" w:rsidRPr="00040871" w:rsidRDefault="00F93CE8"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 xml:space="preserve">How blood sugar levels </w:t>
      </w:r>
      <w:proofErr w:type="gramStart"/>
      <w:r w:rsidRPr="00040871">
        <w:rPr>
          <w:rFonts w:ascii="Arial" w:eastAsia="Arial" w:hAnsi="Arial" w:cs="Arial"/>
          <w:sz w:val="22"/>
          <w:szCs w:val="22"/>
          <w:u w:val="single"/>
        </w:rPr>
        <w:t>are maintained</w:t>
      </w:r>
      <w:proofErr w:type="gramEnd"/>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C7252F">
        <w:rPr>
          <w:rFonts w:ascii="Arial" w:eastAsia="Arial" w:hAnsi="Arial" w:cs="Arial"/>
          <w:sz w:val="22"/>
          <w:szCs w:val="22"/>
          <w:u w:val="single"/>
        </w:rPr>
        <w:t>Page 4</w:t>
      </w:r>
    </w:p>
    <w:p w14:paraId="34415265" w14:textId="3BB5DD46" w:rsidR="00F93CE8" w:rsidRPr="00040871" w:rsidRDefault="00D163BF"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 xml:space="preserve">How oxygen and glucose </w:t>
      </w:r>
      <w:proofErr w:type="gramStart"/>
      <w:r w:rsidRPr="00040871">
        <w:rPr>
          <w:rFonts w:ascii="Arial" w:eastAsia="Arial" w:hAnsi="Arial" w:cs="Arial"/>
          <w:sz w:val="22"/>
          <w:szCs w:val="22"/>
          <w:u w:val="single"/>
        </w:rPr>
        <w:t>are used</w:t>
      </w:r>
      <w:proofErr w:type="gramEnd"/>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C7252F">
        <w:rPr>
          <w:rFonts w:ascii="Arial" w:eastAsia="Arial" w:hAnsi="Arial" w:cs="Arial"/>
          <w:sz w:val="22"/>
          <w:szCs w:val="22"/>
          <w:u w:val="single"/>
        </w:rPr>
        <w:t>Page 5</w:t>
      </w:r>
    </w:p>
    <w:p w14:paraId="7348F2FB" w14:textId="2AEEB02A" w:rsidR="00D163BF" w:rsidRPr="00040871" w:rsidRDefault="00D163BF"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Recording and tracking</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1F5519">
        <w:rPr>
          <w:rFonts w:ascii="Arial" w:eastAsia="Arial" w:hAnsi="Arial" w:cs="Arial"/>
          <w:sz w:val="22"/>
          <w:szCs w:val="22"/>
          <w:u w:val="single"/>
        </w:rPr>
        <w:t>Page 7</w:t>
      </w:r>
    </w:p>
    <w:p w14:paraId="5467ED50" w14:textId="52303EE8" w:rsidR="00EF00A8" w:rsidRPr="00040871" w:rsidRDefault="00EF00A8"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Evidence based recommendations</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1F5519">
        <w:rPr>
          <w:rFonts w:ascii="Arial" w:eastAsia="Arial" w:hAnsi="Arial" w:cs="Arial"/>
          <w:sz w:val="22"/>
          <w:szCs w:val="22"/>
          <w:u w:val="single"/>
        </w:rPr>
        <w:t>Page 8</w:t>
      </w:r>
    </w:p>
    <w:p w14:paraId="7F42581C" w14:textId="62C27C31" w:rsidR="00EF00A8" w:rsidRPr="00040871" w:rsidRDefault="00EA254D"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C</w:t>
      </w:r>
      <w:r w:rsidR="00EF00A8" w:rsidRPr="00040871">
        <w:rPr>
          <w:rFonts w:ascii="Arial" w:eastAsia="Arial" w:hAnsi="Arial" w:cs="Arial"/>
          <w:sz w:val="22"/>
          <w:szCs w:val="22"/>
          <w:u w:val="single"/>
        </w:rPr>
        <w:t>onclusion</w:t>
      </w:r>
      <w:r w:rsidRPr="00040871">
        <w:rPr>
          <w:rFonts w:ascii="Arial" w:eastAsia="Arial" w:hAnsi="Arial" w:cs="Arial"/>
          <w:sz w:val="22"/>
          <w:szCs w:val="22"/>
          <w:u w:val="single"/>
        </w:rPr>
        <w:t xml:space="preserve"> </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1F5519">
        <w:rPr>
          <w:rFonts w:ascii="Arial" w:eastAsia="Arial" w:hAnsi="Arial" w:cs="Arial"/>
          <w:sz w:val="22"/>
          <w:szCs w:val="22"/>
          <w:u w:val="single"/>
        </w:rPr>
        <w:t>Page 11</w:t>
      </w:r>
    </w:p>
    <w:p w14:paraId="18B68777" w14:textId="3FB2CEC2" w:rsidR="00EA254D" w:rsidRPr="00040871" w:rsidRDefault="00EA254D" w:rsidP="007916CA">
      <w:pPr>
        <w:spacing w:line="360" w:lineRule="auto"/>
        <w:rPr>
          <w:rFonts w:ascii="Arial" w:eastAsia="Arial" w:hAnsi="Arial" w:cs="Arial"/>
          <w:sz w:val="22"/>
          <w:szCs w:val="22"/>
          <w:u w:val="single"/>
        </w:rPr>
      </w:pPr>
      <w:r w:rsidRPr="00040871">
        <w:rPr>
          <w:rFonts w:ascii="Arial" w:eastAsia="Arial" w:hAnsi="Arial" w:cs="Arial"/>
          <w:sz w:val="22"/>
          <w:szCs w:val="22"/>
          <w:u w:val="single"/>
        </w:rPr>
        <w:t xml:space="preserve">References </w:t>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Pr="00040871">
        <w:rPr>
          <w:rFonts w:ascii="Arial" w:eastAsia="Arial" w:hAnsi="Arial" w:cs="Arial"/>
          <w:sz w:val="22"/>
          <w:szCs w:val="22"/>
          <w:u w:val="single"/>
        </w:rPr>
        <w:tab/>
      </w:r>
      <w:r w:rsidR="00057351">
        <w:rPr>
          <w:rFonts w:ascii="Arial" w:eastAsia="Arial" w:hAnsi="Arial" w:cs="Arial"/>
          <w:sz w:val="22"/>
          <w:szCs w:val="22"/>
          <w:u w:val="single"/>
        </w:rPr>
        <w:t>Page 12</w:t>
      </w:r>
    </w:p>
    <w:p w14:paraId="0954F67C" w14:textId="77777777" w:rsidR="001405F1" w:rsidRPr="00040871" w:rsidRDefault="001405F1" w:rsidP="007916CA">
      <w:pPr>
        <w:spacing w:line="360" w:lineRule="auto"/>
        <w:rPr>
          <w:rFonts w:ascii="Arial" w:eastAsia="Arial" w:hAnsi="Arial" w:cs="Arial"/>
          <w:sz w:val="22"/>
          <w:szCs w:val="22"/>
          <w:u w:val="single"/>
        </w:rPr>
      </w:pPr>
    </w:p>
    <w:p w14:paraId="315EB5E8" w14:textId="77777777" w:rsidR="001405F1" w:rsidRPr="00040871" w:rsidRDefault="001405F1" w:rsidP="007916CA">
      <w:pPr>
        <w:spacing w:line="360" w:lineRule="auto"/>
        <w:rPr>
          <w:rFonts w:ascii="Arial" w:eastAsia="Arial" w:hAnsi="Arial" w:cs="Arial"/>
          <w:sz w:val="22"/>
          <w:szCs w:val="22"/>
          <w:u w:val="single"/>
        </w:rPr>
      </w:pPr>
    </w:p>
    <w:p w14:paraId="42A769C9" w14:textId="77777777" w:rsidR="001405F1" w:rsidRPr="00040871" w:rsidRDefault="001405F1" w:rsidP="007916CA">
      <w:pPr>
        <w:spacing w:line="360" w:lineRule="auto"/>
        <w:rPr>
          <w:rFonts w:ascii="Arial" w:eastAsia="Arial" w:hAnsi="Arial" w:cs="Arial"/>
          <w:sz w:val="22"/>
          <w:szCs w:val="22"/>
          <w:u w:val="single"/>
        </w:rPr>
      </w:pPr>
    </w:p>
    <w:p w14:paraId="1E09642F" w14:textId="77777777" w:rsidR="001405F1" w:rsidRDefault="001405F1" w:rsidP="543597F1">
      <w:pPr>
        <w:spacing w:line="360" w:lineRule="auto"/>
        <w:jc w:val="center"/>
        <w:rPr>
          <w:rFonts w:ascii="Arial" w:eastAsia="Arial" w:hAnsi="Arial" w:cs="Arial"/>
          <w:b/>
          <w:bCs/>
          <w:sz w:val="22"/>
          <w:szCs w:val="22"/>
          <w:u w:val="single"/>
        </w:rPr>
      </w:pPr>
    </w:p>
    <w:p w14:paraId="03251553" w14:textId="77777777" w:rsidR="001405F1" w:rsidRDefault="001405F1" w:rsidP="543597F1">
      <w:pPr>
        <w:spacing w:line="360" w:lineRule="auto"/>
        <w:jc w:val="center"/>
        <w:rPr>
          <w:rFonts w:ascii="Arial" w:eastAsia="Arial" w:hAnsi="Arial" w:cs="Arial"/>
          <w:b/>
          <w:bCs/>
          <w:sz w:val="22"/>
          <w:szCs w:val="22"/>
          <w:u w:val="single"/>
        </w:rPr>
      </w:pPr>
    </w:p>
    <w:p w14:paraId="32C39E67" w14:textId="77777777" w:rsidR="001405F1" w:rsidRDefault="001405F1" w:rsidP="543597F1">
      <w:pPr>
        <w:spacing w:line="360" w:lineRule="auto"/>
        <w:jc w:val="center"/>
        <w:rPr>
          <w:rFonts w:ascii="Arial" w:eastAsia="Arial" w:hAnsi="Arial" w:cs="Arial"/>
          <w:b/>
          <w:bCs/>
          <w:sz w:val="22"/>
          <w:szCs w:val="22"/>
          <w:u w:val="single"/>
        </w:rPr>
      </w:pPr>
    </w:p>
    <w:p w14:paraId="51421F35" w14:textId="77777777" w:rsidR="001405F1" w:rsidRDefault="001405F1" w:rsidP="543597F1">
      <w:pPr>
        <w:spacing w:line="360" w:lineRule="auto"/>
        <w:jc w:val="center"/>
        <w:rPr>
          <w:rFonts w:ascii="Arial" w:eastAsia="Arial" w:hAnsi="Arial" w:cs="Arial"/>
          <w:b/>
          <w:bCs/>
          <w:sz w:val="22"/>
          <w:szCs w:val="22"/>
          <w:u w:val="single"/>
        </w:rPr>
      </w:pPr>
    </w:p>
    <w:p w14:paraId="476516B1" w14:textId="77777777" w:rsidR="001405F1" w:rsidRDefault="001405F1" w:rsidP="543597F1">
      <w:pPr>
        <w:spacing w:line="360" w:lineRule="auto"/>
        <w:jc w:val="center"/>
        <w:rPr>
          <w:rFonts w:ascii="Arial" w:eastAsia="Arial" w:hAnsi="Arial" w:cs="Arial"/>
          <w:b/>
          <w:bCs/>
          <w:sz w:val="22"/>
          <w:szCs w:val="22"/>
          <w:u w:val="single"/>
        </w:rPr>
      </w:pPr>
    </w:p>
    <w:p w14:paraId="69DAA125" w14:textId="77777777" w:rsidR="001405F1" w:rsidRDefault="001405F1" w:rsidP="543597F1">
      <w:pPr>
        <w:spacing w:line="360" w:lineRule="auto"/>
        <w:jc w:val="center"/>
        <w:rPr>
          <w:rFonts w:ascii="Arial" w:eastAsia="Arial" w:hAnsi="Arial" w:cs="Arial"/>
          <w:b/>
          <w:bCs/>
          <w:sz w:val="22"/>
          <w:szCs w:val="22"/>
          <w:u w:val="single"/>
        </w:rPr>
      </w:pPr>
    </w:p>
    <w:p w14:paraId="53F88B69" w14:textId="77777777" w:rsidR="001405F1" w:rsidRDefault="001405F1" w:rsidP="543597F1">
      <w:pPr>
        <w:spacing w:line="360" w:lineRule="auto"/>
        <w:jc w:val="center"/>
        <w:rPr>
          <w:rFonts w:ascii="Arial" w:eastAsia="Arial" w:hAnsi="Arial" w:cs="Arial"/>
          <w:b/>
          <w:bCs/>
          <w:sz w:val="22"/>
          <w:szCs w:val="22"/>
          <w:u w:val="single"/>
        </w:rPr>
      </w:pPr>
    </w:p>
    <w:p w14:paraId="530CA983" w14:textId="77777777" w:rsidR="001405F1" w:rsidRDefault="001405F1" w:rsidP="543597F1">
      <w:pPr>
        <w:spacing w:line="360" w:lineRule="auto"/>
        <w:jc w:val="center"/>
        <w:rPr>
          <w:rFonts w:ascii="Arial" w:eastAsia="Arial" w:hAnsi="Arial" w:cs="Arial"/>
          <w:b/>
          <w:bCs/>
          <w:sz w:val="22"/>
          <w:szCs w:val="22"/>
          <w:u w:val="single"/>
        </w:rPr>
      </w:pPr>
    </w:p>
    <w:p w14:paraId="6FE4166F" w14:textId="77777777" w:rsidR="001405F1" w:rsidRDefault="001405F1" w:rsidP="543597F1">
      <w:pPr>
        <w:spacing w:line="360" w:lineRule="auto"/>
        <w:jc w:val="center"/>
        <w:rPr>
          <w:rFonts w:ascii="Arial" w:eastAsia="Arial" w:hAnsi="Arial" w:cs="Arial"/>
          <w:b/>
          <w:bCs/>
          <w:sz w:val="22"/>
          <w:szCs w:val="22"/>
          <w:u w:val="single"/>
        </w:rPr>
      </w:pPr>
    </w:p>
    <w:p w14:paraId="5F7EDC13" w14:textId="77777777" w:rsidR="001405F1" w:rsidRDefault="001405F1" w:rsidP="00E7179D">
      <w:pPr>
        <w:spacing w:line="360" w:lineRule="auto"/>
        <w:rPr>
          <w:rFonts w:ascii="Arial" w:eastAsia="Arial" w:hAnsi="Arial" w:cs="Arial"/>
          <w:b/>
          <w:bCs/>
          <w:sz w:val="22"/>
          <w:szCs w:val="22"/>
          <w:u w:val="single"/>
        </w:rPr>
      </w:pPr>
    </w:p>
    <w:p w14:paraId="1DD3913A" w14:textId="77777777" w:rsidR="00E7179D" w:rsidRDefault="00E7179D" w:rsidP="00E7179D">
      <w:pPr>
        <w:spacing w:line="360" w:lineRule="auto"/>
        <w:rPr>
          <w:rFonts w:ascii="Arial" w:eastAsia="Arial" w:hAnsi="Arial" w:cs="Arial"/>
          <w:b/>
          <w:bCs/>
          <w:sz w:val="22"/>
          <w:szCs w:val="22"/>
          <w:u w:val="single"/>
        </w:rPr>
      </w:pPr>
    </w:p>
    <w:p w14:paraId="4AA8B9C0" w14:textId="54571290" w:rsidR="00112473" w:rsidRDefault="6EA45F13" w:rsidP="543597F1">
      <w:pPr>
        <w:spacing w:line="360" w:lineRule="auto"/>
        <w:jc w:val="center"/>
        <w:rPr>
          <w:rFonts w:ascii="Arial" w:eastAsia="Arial" w:hAnsi="Arial" w:cs="Arial"/>
          <w:b/>
          <w:bCs/>
          <w:sz w:val="22"/>
          <w:szCs w:val="22"/>
          <w:u w:val="single"/>
        </w:rPr>
      </w:pPr>
      <w:r w:rsidRPr="543597F1">
        <w:rPr>
          <w:rFonts w:ascii="Arial" w:eastAsia="Arial" w:hAnsi="Arial" w:cs="Arial"/>
          <w:b/>
          <w:bCs/>
          <w:sz w:val="22"/>
          <w:szCs w:val="22"/>
          <w:u w:val="single"/>
        </w:rPr>
        <w:lastRenderedPageBreak/>
        <w:t>Diabetes: Blood Glucose Regulation, Cellular Metabolism and Lifestyle Management</w:t>
      </w:r>
    </w:p>
    <w:p w14:paraId="15BC64EE" w14:textId="5FA900DF" w:rsidR="00112473" w:rsidRDefault="00112473" w:rsidP="543597F1">
      <w:pPr>
        <w:spacing w:line="360" w:lineRule="auto"/>
        <w:rPr>
          <w:rFonts w:ascii="Arial" w:eastAsia="Arial" w:hAnsi="Arial" w:cs="Arial"/>
          <w:b/>
          <w:bCs/>
          <w:sz w:val="22"/>
          <w:szCs w:val="22"/>
          <w:u w:val="single"/>
        </w:rPr>
      </w:pPr>
    </w:p>
    <w:p w14:paraId="53854743" w14:textId="79C4412A" w:rsidR="00112473" w:rsidRDefault="6EA45F13" w:rsidP="543597F1">
      <w:pPr>
        <w:spacing w:line="360" w:lineRule="auto"/>
        <w:rPr>
          <w:rFonts w:ascii="Arial" w:eastAsia="Arial" w:hAnsi="Arial" w:cs="Arial"/>
          <w:b/>
          <w:bCs/>
          <w:sz w:val="22"/>
          <w:szCs w:val="22"/>
        </w:rPr>
      </w:pPr>
      <w:r w:rsidRPr="543597F1">
        <w:rPr>
          <w:rFonts w:ascii="Arial" w:eastAsia="Arial" w:hAnsi="Arial" w:cs="Arial"/>
          <w:b/>
          <w:bCs/>
          <w:sz w:val="22"/>
          <w:szCs w:val="22"/>
        </w:rPr>
        <w:t>Introduction</w:t>
      </w:r>
    </w:p>
    <w:p w14:paraId="6ADCC974"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Diabetes mellitus is a chronic metabolic condition characterised by elevated blood glucose levels, known as hyperglycaemia. Glucose provides energy for the body's cells, but its concentration in the blood must be carefully regulated. Insulin, produced by pancreatic beta (β) cells, plays a central role by helping glucose move from the bloodstream into cells. In type 2 diabetes mellitus (T2DM), the body either produces insufficient insulin or does not use it effectively, known as insulin resistance (NHS, 2025a).</w:t>
      </w:r>
    </w:p>
    <w:p w14:paraId="33294BC5"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Type 1 and type 2 are the most common forms of diabetes. Type 1 results from an autoimmune process that destroys pancreatic beta cells, causing little or no insulin production. In contrast, T2DM develops through insulin resistance combined with progressive impairment of insulin secretion. Genetic and environmental factors contribute, while potentially modifiable factors such as excess body weight, physical inactivity and dietary patterns influence its development and management (World Health Organization, 2024).</w:t>
      </w:r>
    </w:p>
    <w:p w14:paraId="524C9C4F"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Other risk factors include increasing age, family history and ethnicity. People from South Asian backgrounds have a substantially higher risk of T2DM and may develop it at a younger age and lower body mass index than White European populations (Department of Health and Social Care, 2021). High blood pressure and other cardiometabolic factors can also increase T2DM risk (NHS, 2025b).</w:t>
      </w:r>
    </w:p>
    <w:p w14:paraId="60155113" w14:textId="77777777" w:rsidR="007A013D" w:rsidRPr="00610381" w:rsidRDefault="007A013D" w:rsidP="007A013D">
      <w:pPr>
        <w:spacing w:line="360" w:lineRule="auto"/>
        <w:rPr>
          <w:rFonts w:ascii="Arial" w:eastAsia="Arial" w:hAnsi="Arial" w:cs="Arial"/>
          <w:sz w:val="22"/>
          <w:szCs w:val="22"/>
          <w:lang w:val="en-GB"/>
        </w:rPr>
      </w:pPr>
      <w:r w:rsidRPr="00610381">
        <w:rPr>
          <w:rFonts w:ascii="Arial" w:eastAsia="Arial" w:hAnsi="Arial" w:cs="Arial"/>
          <w:sz w:val="22"/>
          <w:szCs w:val="22"/>
          <w:lang w:val="en-GB"/>
        </w:rPr>
        <w:t>Persistently high blood glucose can damage blood vessels and nerves, contributing to complications affecting the cardiovascular system, kidneys, eyes and peripheral nerves (NHS, 2025c). Understanding glucose regulation and lifestyle influences is therefore important in supporting people with T2DM to participate effectively in their care.</w:t>
      </w:r>
    </w:p>
    <w:p w14:paraId="43189C8E" w14:textId="77777777" w:rsidR="007A013D" w:rsidRDefault="007A013D" w:rsidP="543597F1">
      <w:pPr>
        <w:spacing w:line="360" w:lineRule="auto"/>
        <w:rPr>
          <w:rFonts w:ascii="Arial" w:eastAsia="Arial" w:hAnsi="Arial" w:cs="Arial"/>
          <w:b/>
          <w:bCs/>
          <w:sz w:val="22"/>
          <w:szCs w:val="22"/>
        </w:rPr>
      </w:pPr>
    </w:p>
    <w:p w14:paraId="462821E3" w14:textId="77777777" w:rsidR="007A013D" w:rsidRDefault="007A013D" w:rsidP="543597F1">
      <w:pPr>
        <w:spacing w:line="360" w:lineRule="auto"/>
        <w:rPr>
          <w:rFonts w:ascii="Arial" w:eastAsia="Arial" w:hAnsi="Arial" w:cs="Arial"/>
          <w:b/>
          <w:bCs/>
          <w:sz w:val="22"/>
          <w:szCs w:val="22"/>
        </w:rPr>
      </w:pPr>
    </w:p>
    <w:p w14:paraId="45878A48" w14:textId="77777777" w:rsidR="007A013D" w:rsidRDefault="007A013D" w:rsidP="543597F1">
      <w:pPr>
        <w:spacing w:line="360" w:lineRule="auto"/>
        <w:rPr>
          <w:rFonts w:ascii="Arial" w:eastAsia="Arial" w:hAnsi="Arial" w:cs="Arial"/>
          <w:b/>
          <w:bCs/>
          <w:sz w:val="22"/>
          <w:szCs w:val="22"/>
        </w:rPr>
      </w:pPr>
    </w:p>
    <w:p w14:paraId="72400AB1" w14:textId="70D5C9EF" w:rsidR="3ACCE6D1" w:rsidRDefault="3ACCE6D1" w:rsidP="3ACCE6D1">
      <w:pPr>
        <w:spacing w:line="360" w:lineRule="auto"/>
        <w:rPr>
          <w:rFonts w:ascii="Arial" w:eastAsia="Arial" w:hAnsi="Arial" w:cs="Arial"/>
          <w:b/>
          <w:bCs/>
          <w:sz w:val="22"/>
          <w:szCs w:val="22"/>
        </w:rPr>
      </w:pPr>
    </w:p>
    <w:p w14:paraId="02B0F62F" w14:textId="77777777" w:rsidR="00610381" w:rsidRDefault="00610381" w:rsidP="3ACCE6D1">
      <w:pPr>
        <w:spacing w:line="360" w:lineRule="auto"/>
        <w:rPr>
          <w:rFonts w:ascii="Arial" w:eastAsia="Arial" w:hAnsi="Arial" w:cs="Arial"/>
          <w:b/>
          <w:bCs/>
          <w:sz w:val="22"/>
          <w:szCs w:val="22"/>
        </w:rPr>
      </w:pPr>
    </w:p>
    <w:p w14:paraId="09F3C890" w14:textId="61D59CF9" w:rsidR="00112473" w:rsidRDefault="0D329C66" w:rsidP="543597F1">
      <w:pPr>
        <w:spacing w:line="360" w:lineRule="auto"/>
        <w:rPr>
          <w:rFonts w:ascii="Arial" w:eastAsia="Arial" w:hAnsi="Arial" w:cs="Arial"/>
          <w:sz w:val="22"/>
          <w:szCs w:val="22"/>
        </w:rPr>
      </w:pPr>
      <w:r w:rsidRPr="3ACCE6D1">
        <w:rPr>
          <w:rFonts w:ascii="Arial" w:eastAsia="Arial" w:hAnsi="Arial" w:cs="Arial"/>
          <w:b/>
          <w:bCs/>
          <w:sz w:val="22"/>
          <w:szCs w:val="22"/>
        </w:rPr>
        <w:lastRenderedPageBreak/>
        <w:t>Maintenance of Blood Glucose Levels</w:t>
      </w:r>
    </w:p>
    <w:p w14:paraId="4695DD1A" w14:textId="33777BBE"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Blood glucose regulation is an example of homeostasis, whereby the body maintains an internal environment within a </w:t>
      </w:r>
      <w:proofErr w:type="gramStart"/>
      <w:r w:rsidRPr="543597F1">
        <w:rPr>
          <w:rFonts w:ascii="Arial" w:eastAsia="Arial" w:hAnsi="Arial" w:cs="Arial"/>
          <w:sz w:val="22"/>
          <w:szCs w:val="22"/>
        </w:rPr>
        <w:t>relatively stable</w:t>
      </w:r>
      <w:proofErr w:type="gramEnd"/>
      <w:r w:rsidRPr="543597F1">
        <w:rPr>
          <w:rFonts w:ascii="Arial" w:eastAsia="Arial" w:hAnsi="Arial" w:cs="Arial"/>
          <w:sz w:val="22"/>
          <w:szCs w:val="22"/>
        </w:rPr>
        <w:t xml:space="preserve"> range despite changes occurring externally. The pancreas, liver and body tissues have important roles in maintaining blood glucose homeostasis.</w:t>
      </w:r>
    </w:p>
    <w:p w14:paraId="00B56197" w14:textId="1FF2547E" w:rsidR="00112473" w:rsidRDefault="2123477B" w:rsidP="543597F1">
      <w:pPr>
        <w:spacing w:line="360" w:lineRule="auto"/>
        <w:rPr>
          <w:rFonts w:ascii="Arial" w:eastAsia="Arial" w:hAnsi="Arial" w:cs="Arial"/>
          <w:sz w:val="22"/>
          <w:szCs w:val="22"/>
        </w:rPr>
      </w:pPr>
      <w:r w:rsidRPr="659EF4DE">
        <w:rPr>
          <w:rFonts w:ascii="Arial" w:eastAsia="Arial" w:hAnsi="Arial" w:cs="Arial"/>
          <w:sz w:val="22"/>
          <w:szCs w:val="22"/>
        </w:rPr>
        <w:t xml:space="preserve">Following the consumption of carbohydrate-containing food, carbohydrates </w:t>
      </w:r>
      <w:proofErr w:type="gramStart"/>
      <w:r w:rsidRPr="659EF4DE">
        <w:rPr>
          <w:rFonts w:ascii="Arial" w:eastAsia="Arial" w:hAnsi="Arial" w:cs="Arial"/>
          <w:sz w:val="22"/>
          <w:szCs w:val="22"/>
        </w:rPr>
        <w:t>are digested</w:t>
      </w:r>
      <w:proofErr w:type="gramEnd"/>
      <w:r w:rsidRPr="659EF4DE">
        <w:rPr>
          <w:rFonts w:ascii="Arial" w:eastAsia="Arial" w:hAnsi="Arial" w:cs="Arial"/>
          <w:sz w:val="22"/>
          <w:szCs w:val="22"/>
        </w:rPr>
        <w:t xml:space="preserve"> into smaller molecules, including glucose. Glucose </w:t>
      </w:r>
      <w:proofErr w:type="gramStart"/>
      <w:r w:rsidRPr="659EF4DE">
        <w:rPr>
          <w:rFonts w:ascii="Arial" w:eastAsia="Arial" w:hAnsi="Arial" w:cs="Arial"/>
          <w:sz w:val="22"/>
          <w:szCs w:val="22"/>
        </w:rPr>
        <w:t>is absorbed</w:t>
      </w:r>
      <w:proofErr w:type="gramEnd"/>
      <w:r w:rsidRPr="659EF4DE">
        <w:rPr>
          <w:rFonts w:ascii="Arial" w:eastAsia="Arial" w:hAnsi="Arial" w:cs="Arial"/>
          <w:sz w:val="22"/>
          <w:szCs w:val="22"/>
        </w:rPr>
        <w:t xml:space="preserve"> through the small intestine into the bloodstream, causing blood glucose concentration to rise. In response, pancreatic </w:t>
      </w:r>
      <w:r w:rsidR="275D268D" w:rsidRPr="659EF4DE">
        <w:rPr>
          <w:rFonts w:ascii="Arial" w:eastAsia="Arial" w:hAnsi="Arial" w:cs="Arial"/>
          <w:sz w:val="22"/>
          <w:szCs w:val="22"/>
        </w:rPr>
        <w:t>beta</w:t>
      </w:r>
      <w:r w:rsidRPr="659EF4DE">
        <w:rPr>
          <w:rFonts w:ascii="Arial" w:eastAsia="Arial" w:hAnsi="Arial" w:cs="Arial"/>
          <w:sz w:val="22"/>
          <w:szCs w:val="22"/>
        </w:rPr>
        <w:t xml:space="preserve"> cells detect the increase and release insulin into the circulation. Insulin binds to receptors on target cells and promotes glucose uptake, particularly in skeletal muscle and adipose tissue. It also encourages the liver and muscles to store glucose as glycogen, thereby reducing the concentration of glucose circulating in the blood (NHS, 2025a).</w:t>
      </w:r>
    </w:p>
    <w:p w14:paraId="62BEBFF6" w14:textId="2F135AF3"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The liver acts as an important storage and regulatory organ. When glucose is plentiful, insulin promotes glycogenesis, whereby glucose </w:t>
      </w:r>
      <w:proofErr w:type="gramStart"/>
      <w:r w:rsidRPr="543597F1">
        <w:rPr>
          <w:rFonts w:ascii="Arial" w:eastAsia="Arial" w:hAnsi="Arial" w:cs="Arial"/>
          <w:sz w:val="22"/>
          <w:szCs w:val="22"/>
        </w:rPr>
        <w:t>is converted</w:t>
      </w:r>
      <w:proofErr w:type="gramEnd"/>
      <w:r w:rsidRPr="543597F1">
        <w:rPr>
          <w:rFonts w:ascii="Arial" w:eastAsia="Arial" w:hAnsi="Arial" w:cs="Arial"/>
          <w:sz w:val="22"/>
          <w:szCs w:val="22"/>
        </w:rPr>
        <w:t xml:space="preserve"> into glycogen for storage. When blood glucose begins to fall, pancreatic alpha (α) cells release the hormone glucagon. Glucagon has an opposing effect </w:t>
      </w:r>
      <w:proofErr w:type="gramStart"/>
      <w:r w:rsidRPr="543597F1">
        <w:rPr>
          <w:rFonts w:ascii="Arial" w:eastAsia="Arial" w:hAnsi="Arial" w:cs="Arial"/>
          <w:sz w:val="22"/>
          <w:szCs w:val="22"/>
        </w:rPr>
        <w:t>to</w:t>
      </w:r>
      <w:proofErr w:type="gramEnd"/>
      <w:r w:rsidRPr="543597F1">
        <w:rPr>
          <w:rFonts w:ascii="Arial" w:eastAsia="Arial" w:hAnsi="Arial" w:cs="Arial"/>
          <w:sz w:val="22"/>
          <w:szCs w:val="22"/>
        </w:rPr>
        <w:t xml:space="preserve"> insulin. It stimulates glycogenolysis, the breakdown of glycogen into glucose, and promotes gluconeogenesis, in which glucose </w:t>
      </w:r>
      <w:proofErr w:type="gramStart"/>
      <w:r w:rsidRPr="543597F1">
        <w:rPr>
          <w:rFonts w:ascii="Arial" w:eastAsia="Arial" w:hAnsi="Arial" w:cs="Arial"/>
          <w:sz w:val="22"/>
          <w:szCs w:val="22"/>
        </w:rPr>
        <w:t>is produced</w:t>
      </w:r>
      <w:proofErr w:type="gramEnd"/>
      <w:r w:rsidRPr="543597F1">
        <w:rPr>
          <w:rFonts w:ascii="Arial" w:eastAsia="Arial" w:hAnsi="Arial" w:cs="Arial"/>
          <w:sz w:val="22"/>
          <w:szCs w:val="22"/>
        </w:rPr>
        <w:t xml:space="preserve"> from non-carbohydrate substrates. The liver can subsequently release glucose into the bloodstream to help restore </w:t>
      </w:r>
      <w:proofErr w:type="gramStart"/>
      <w:r w:rsidRPr="543597F1">
        <w:rPr>
          <w:rFonts w:ascii="Arial" w:eastAsia="Arial" w:hAnsi="Arial" w:cs="Arial"/>
          <w:sz w:val="22"/>
          <w:szCs w:val="22"/>
        </w:rPr>
        <w:t>an appropriate</w:t>
      </w:r>
      <w:proofErr w:type="gramEnd"/>
      <w:r w:rsidRPr="543597F1">
        <w:rPr>
          <w:rFonts w:ascii="Arial" w:eastAsia="Arial" w:hAnsi="Arial" w:cs="Arial"/>
          <w:sz w:val="22"/>
          <w:szCs w:val="22"/>
        </w:rPr>
        <w:t xml:space="preserve"> blood glucose concentration.</w:t>
      </w:r>
    </w:p>
    <w:p w14:paraId="4E5E1814" w14:textId="4EC51CD2"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This relationship between insulin and glucagon represents a negative feedback mechanism. When blood glucose rises, insulin secretion increases and blood glucose </w:t>
      </w:r>
      <w:proofErr w:type="gramStart"/>
      <w:r w:rsidRPr="543597F1">
        <w:rPr>
          <w:rFonts w:ascii="Arial" w:eastAsia="Arial" w:hAnsi="Arial" w:cs="Arial"/>
          <w:sz w:val="22"/>
          <w:szCs w:val="22"/>
        </w:rPr>
        <w:t>is lowered</w:t>
      </w:r>
      <w:proofErr w:type="gramEnd"/>
      <w:r w:rsidRPr="543597F1">
        <w:rPr>
          <w:rFonts w:ascii="Arial" w:eastAsia="Arial" w:hAnsi="Arial" w:cs="Arial"/>
          <w:sz w:val="22"/>
          <w:szCs w:val="22"/>
        </w:rPr>
        <w:t>. When blood glucose falls, glucagon secretion increases and helps raise blood glucose. In a healthy individual, these mechanisms work together to maintain glucose availability for tissues while preventing excessive fluctuations.</w:t>
      </w:r>
    </w:p>
    <w:p w14:paraId="61A5CE89" w14:textId="2C9E17F4" w:rsidR="00112473" w:rsidRDefault="2123477B" w:rsidP="543597F1">
      <w:pPr>
        <w:spacing w:line="360" w:lineRule="auto"/>
        <w:rPr>
          <w:rFonts w:ascii="Arial" w:eastAsia="Arial" w:hAnsi="Arial" w:cs="Arial"/>
          <w:sz w:val="22"/>
          <w:szCs w:val="22"/>
        </w:rPr>
      </w:pPr>
      <w:r w:rsidRPr="659EF4DE">
        <w:rPr>
          <w:rFonts w:ascii="Arial" w:eastAsia="Arial" w:hAnsi="Arial" w:cs="Arial"/>
          <w:sz w:val="22"/>
          <w:szCs w:val="22"/>
        </w:rPr>
        <w:t xml:space="preserve">In T2DM, this regulatory system becomes impaired. Insulin resistance means that target cells respond less effectively to insulin. The pancreas may initially compensate by producing additional insulin; however, over time pancreatic </w:t>
      </w:r>
      <w:r w:rsidR="275D268D" w:rsidRPr="659EF4DE">
        <w:rPr>
          <w:rFonts w:ascii="Arial" w:eastAsia="Arial" w:hAnsi="Arial" w:cs="Arial"/>
          <w:sz w:val="22"/>
          <w:szCs w:val="22"/>
        </w:rPr>
        <w:t>beta</w:t>
      </w:r>
      <w:r w:rsidRPr="659EF4DE">
        <w:rPr>
          <w:rFonts w:ascii="Arial" w:eastAsia="Arial" w:hAnsi="Arial" w:cs="Arial"/>
          <w:sz w:val="22"/>
          <w:szCs w:val="22"/>
        </w:rPr>
        <w:t xml:space="preserve">-cell function can decline. Consequently, glucose </w:t>
      </w:r>
      <w:proofErr w:type="gramStart"/>
      <w:r w:rsidRPr="659EF4DE">
        <w:rPr>
          <w:rFonts w:ascii="Arial" w:eastAsia="Arial" w:hAnsi="Arial" w:cs="Arial"/>
          <w:sz w:val="22"/>
          <w:szCs w:val="22"/>
        </w:rPr>
        <w:t>is less effectively taken</w:t>
      </w:r>
      <w:proofErr w:type="gramEnd"/>
      <w:r w:rsidRPr="659EF4DE">
        <w:rPr>
          <w:rFonts w:ascii="Arial" w:eastAsia="Arial" w:hAnsi="Arial" w:cs="Arial"/>
          <w:sz w:val="22"/>
          <w:szCs w:val="22"/>
        </w:rPr>
        <w:t xml:space="preserve"> up by </w:t>
      </w:r>
      <w:proofErr w:type="gramStart"/>
      <w:r w:rsidRPr="659EF4DE">
        <w:rPr>
          <w:rFonts w:ascii="Arial" w:eastAsia="Arial" w:hAnsi="Arial" w:cs="Arial"/>
          <w:sz w:val="22"/>
          <w:szCs w:val="22"/>
        </w:rPr>
        <w:t>cells</w:t>
      </w:r>
      <w:proofErr w:type="gramEnd"/>
      <w:r w:rsidRPr="659EF4DE">
        <w:rPr>
          <w:rFonts w:ascii="Arial" w:eastAsia="Arial" w:hAnsi="Arial" w:cs="Arial"/>
          <w:sz w:val="22"/>
          <w:szCs w:val="22"/>
        </w:rPr>
        <w:t xml:space="preserve"> and the liver may continue releasing glucose when it </w:t>
      </w:r>
      <w:proofErr w:type="gramStart"/>
      <w:r w:rsidRPr="659EF4DE">
        <w:rPr>
          <w:rFonts w:ascii="Arial" w:eastAsia="Arial" w:hAnsi="Arial" w:cs="Arial"/>
          <w:sz w:val="22"/>
          <w:szCs w:val="22"/>
        </w:rPr>
        <w:t>is not required</w:t>
      </w:r>
      <w:proofErr w:type="gramEnd"/>
      <w:r w:rsidRPr="659EF4DE">
        <w:rPr>
          <w:rFonts w:ascii="Arial" w:eastAsia="Arial" w:hAnsi="Arial" w:cs="Arial"/>
          <w:sz w:val="22"/>
          <w:szCs w:val="22"/>
        </w:rPr>
        <w:t>, contributing to persistent hyperglycaemia (NHS, 2025a).</w:t>
      </w:r>
    </w:p>
    <w:p w14:paraId="7911755E" w14:textId="13A9E321"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NICE (2026) emphasises individualised blood glucose management and HbA1c targets for adults with T2DM. HbA1c provides an indication of average blood glucose over </w:t>
      </w:r>
      <w:proofErr w:type="gramStart"/>
      <w:r w:rsidRPr="543597F1">
        <w:rPr>
          <w:rFonts w:ascii="Arial" w:eastAsia="Arial" w:hAnsi="Arial" w:cs="Arial"/>
          <w:sz w:val="22"/>
          <w:szCs w:val="22"/>
        </w:rPr>
        <w:t xml:space="preserve">approximately </w:t>
      </w:r>
      <w:r w:rsidRPr="543597F1">
        <w:rPr>
          <w:rFonts w:ascii="Arial" w:eastAsia="Arial" w:hAnsi="Arial" w:cs="Arial"/>
          <w:sz w:val="22"/>
          <w:szCs w:val="22"/>
        </w:rPr>
        <w:lastRenderedPageBreak/>
        <w:t>the</w:t>
      </w:r>
      <w:proofErr w:type="gramEnd"/>
      <w:r w:rsidRPr="543597F1">
        <w:rPr>
          <w:rFonts w:ascii="Arial" w:eastAsia="Arial" w:hAnsi="Arial" w:cs="Arial"/>
          <w:sz w:val="22"/>
          <w:szCs w:val="22"/>
        </w:rPr>
        <w:t xml:space="preserve"> previous two to three months and is therefore useful for assessing longer-term glycaemic control. The target must be individualised because excessively intensive glucose lowering can increase the risk of hypoglycaemia in </w:t>
      </w:r>
      <w:proofErr w:type="gramStart"/>
      <w:r w:rsidRPr="543597F1">
        <w:rPr>
          <w:rFonts w:ascii="Arial" w:eastAsia="Arial" w:hAnsi="Arial" w:cs="Arial"/>
          <w:sz w:val="22"/>
          <w:szCs w:val="22"/>
        </w:rPr>
        <w:t>some</w:t>
      </w:r>
      <w:proofErr w:type="gramEnd"/>
      <w:r w:rsidRPr="543597F1">
        <w:rPr>
          <w:rFonts w:ascii="Arial" w:eastAsia="Arial" w:hAnsi="Arial" w:cs="Arial"/>
          <w:sz w:val="22"/>
          <w:szCs w:val="22"/>
        </w:rPr>
        <w:t xml:space="preserve"> patients (NICE, 2026).</w:t>
      </w:r>
    </w:p>
    <w:p w14:paraId="56BDF987" w14:textId="4A40B633" w:rsidR="00112473" w:rsidRDefault="00112473" w:rsidP="543597F1">
      <w:pPr>
        <w:spacing w:line="360" w:lineRule="auto"/>
        <w:rPr>
          <w:rFonts w:ascii="Arial" w:eastAsia="Arial" w:hAnsi="Arial" w:cs="Arial"/>
          <w:b/>
          <w:bCs/>
          <w:sz w:val="22"/>
          <w:szCs w:val="22"/>
        </w:rPr>
      </w:pPr>
    </w:p>
    <w:p w14:paraId="40428D82" w14:textId="4337B76F" w:rsidR="00112473" w:rsidRDefault="0D329C66" w:rsidP="543597F1">
      <w:pPr>
        <w:spacing w:line="360" w:lineRule="auto"/>
      </w:pPr>
      <w:r w:rsidRPr="3ACCE6D1">
        <w:rPr>
          <w:rFonts w:ascii="Arial" w:eastAsia="Arial" w:hAnsi="Arial" w:cs="Arial"/>
          <w:b/>
          <w:bCs/>
          <w:sz w:val="22"/>
          <w:szCs w:val="22"/>
        </w:rPr>
        <w:t>The Use of Glucose and Oxygen in Cellular Energy Production</w:t>
      </w:r>
    </w:p>
    <w:p w14:paraId="3863A058" w14:textId="2817A873" w:rsidR="00112473" w:rsidRDefault="11532988" w:rsidP="3ACCE6D1">
      <w:pPr>
        <w:spacing w:before="240" w:after="240" w:line="360" w:lineRule="auto"/>
      </w:pPr>
      <w:r w:rsidRPr="3ACCE6D1">
        <w:rPr>
          <w:rFonts w:ascii="Arial" w:eastAsia="Arial" w:hAnsi="Arial" w:cs="Arial"/>
          <w:sz w:val="22"/>
          <w:szCs w:val="22"/>
        </w:rPr>
        <w:t xml:space="preserve">Glucose is an important source of energy for human cells. However, cells cannot use glucose directly as their immediate energy source. Instead, the energy stored in glucose </w:t>
      </w:r>
      <w:proofErr w:type="gramStart"/>
      <w:r w:rsidRPr="3ACCE6D1">
        <w:rPr>
          <w:rFonts w:ascii="Arial" w:eastAsia="Arial" w:hAnsi="Arial" w:cs="Arial"/>
          <w:sz w:val="22"/>
          <w:szCs w:val="22"/>
        </w:rPr>
        <w:t>is converted</w:t>
      </w:r>
      <w:proofErr w:type="gramEnd"/>
      <w:r w:rsidRPr="3ACCE6D1">
        <w:rPr>
          <w:rFonts w:ascii="Arial" w:eastAsia="Arial" w:hAnsi="Arial" w:cs="Arial"/>
          <w:sz w:val="22"/>
          <w:szCs w:val="22"/>
        </w:rPr>
        <w:t xml:space="preserve"> into adenosine triphosphate (ATP). ATP provides energy for important cellular processes, including muscle contraction, active transport, cellular </w:t>
      </w:r>
      <w:proofErr w:type="gramStart"/>
      <w:r w:rsidRPr="3ACCE6D1">
        <w:rPr>
          <w:rFonts w:ascii="Arial" w:eastAsia="Arial" w:hAnsi="Arial" w:cs="Arial"/>
          <w:sz w:val="22"/>
          <w:szCs w:val="22"/>
        </w:rPr>
        <w:t>repair</w:t>
      </w:r>
      <w:proofErr w:type="gramEnd"/>
      <w:r w:rsidRPr="3ACCE6D1">
        <w:rPr>
          <w:rFonts w:ascii="Arial" w:eastAsia="Arial" w:hAnsi="Arial" w:cs="Arial"/>
          <w:sz w:val="22"/>
          <w:szCs w:val="22"/>
        </w:rPr>
        <w:t xml:space="preserve"> and the production of molecules (Betts et al., 2022).</w:t>
      </w:r>
    </w:p>
    <w:p w14:paraId="446053D4" w14:textId="51E82085" w:rsidR="00112473" w:rsidRDefault="11532988" w:rsidP="3ACCE6D1">
      <w:pPr>
        <w:spacing w:before="240" w:after="240" w:line="360" w:lineRule="auto"/>
      </w:pPr>
      <w:r w:rsidRPr="3ACCE6D1">
        <w:rPr>
          <w:rFonts w:ascii="Arial" w:eastAsia="Arial" w:hAnsi="Arial" w:cs="Arial"/>
          <w:sz w:val="22"/>
          <w:szCs w:val="22"/>
        </w:rPr>
        <w:t xml:space="preserve">Aerobic cellular respiration is the process through which glucose </w:t>
      </w:r>
      <w:proofErr w:type="gramStart"/>
      <w:r w:rsidRPr="3ACCE6D1">
        <w:rPr>
          <w:rFonts w:ascii="Arial" w:eastAsia="Arial" w:hAnsi="Arial" w:cs="Arial"/>
          <w:sz w:val="22"/>
          <w:szCs w:val="22"/>
        </w:rPr>
        <w:t>is broken</w:t>
      </w:r>
      <w:proofErr w:type="gramEnd"/>
      <w:r w:rsidRPr="3ACCE6D1">
        <w:rPr>
          <w:rFonts w:ascii="Arial" w:eastAsia="Arial" w:hAnsi="Arial" w:cs="Arial"/>
          <w:sz w:val="22"/>
          <w:szCs w:val="22"/>
        </w:rPr>
        <w:t xml:space="preserve"> down using oxygen. The overall process can be summarised as:</w:t>
      </w:r>
    </w:p>
    <w:p w14:paraId="0E79EB71" w14:textId="055A6DC9" w:rsidR="00112473" w:rsidRDefault="11532988" w:rsidP="3ACCE6D1">
      <w:pPr>
        <w:spacing w:before="240" w:after="240" w:line="360" w:lineRule="auto"/>
      </w:pPr>
      <w:r w:rsidRPr="3ACCE6D1">
        <w:rPr>
          <w:rFonts w:ascii="Arial" w:eastAsia="Arial" w:hAnsi="Arial" w:cs="Arial"/>
          <w:b/>
          <w:bCs/>
          <w:sz w:val="22"/>
          <w:szCs w:val="22"/>
        </w:rPr>
        <w:t>Glucose + oxygen → carbon dioxide + water + ATP</w:t>
      </w:r>
    </w:p>
    <w:p w14:paraId="78E03609" w14:textId="3964EE21" w:rsidR="00112473" w:rsidRDefault="11532988" w:rsidP="3ACCE6D1">
      <w:pPr>
        <w:spacing w:before="240" w:after="240" w:line="360" w:lineRule="auto"/>
      </w:pPr>
      <w:r w:rsidRPr="3ACCE6D1">
        <w:rPr>
          <w:rFonts w:ascii="Arial" w:eastAsia="Arial" w:hAnsi="Arial" w:cs="Arial"/>
          <w:sz w:val="22"/>
          <w:szCs w:val="22"/>
        </w:rPr>
        <w:t xml:space="preserve">Cellular respiration occurs in </w:t>
      </w:r>
      <w:r w:rsidRPr="3ACCE6D1">
        <w:rPr>
          <w:rFonts w:ascii="Arial" w:eastAsia="Arial" w:hAnsi="Arial" w:cs="Arial"/>
          <w:b/>
          <w:bCs/>
          <w:sz w:val="22"/>
          <w:szCs w:val="22"/>
        </w:rPr>
        <w:t>four main stages: glycolysis, the link reaction, the citric acid cycle (Krebs cycle), and oxidative phosphorylation</w:t>
      </w:r>
      <w:r w:rsidRPr="3ACCE6D1">
        <w:rPr>
          <w:rFonts w:ascii="Arial" w:eastAsia="Arial" w:hAnsi="Arial" w:cs="Arial"/>
          <w:sz w:val="22"/>
          <w:szCs w:val="22"/>
        </w:rPr>
        <w:t xml:space="preserve"> (Betts et al., 2022).</w:t>
      </w:r>
    </w:p>
    <w:p w14:paraId="4798722E" w14:textId="791B12A9" w:rsidR="00112473" w:rsidRDefault="11532988" w:rsidP="3ACCE6D1">
      <w:pPr>
        <w:pStyle w:val="Heading3"/>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lastRenderedPageBreak/>
        <w:t>Figure 1: Stages of Cellular Respiration</w:t>
      </w:r>
    </w:p>
    <w:p w14:paraId="78E3B0E9" w14:textId="5305038B" w:rsidR="00112473" w:rsidRDefault="7EC8529B" w:rsidP="3ACCE6D1">
      <w:pPr>
        <w:spacing w:before="240" w:after="240" w:line="360" w:lineRule="auto"/>
      </w:pPr>
      <w:r>
        <w:rPr>
          <w:noProof/>
        </w:rPr>
        <w:drawing>
          <wp:inline distT="0" distB="0" distL="0" distR="0" wp14:anchorId="2C793724" wp14:editId="459BCFB1">
            <wp:extent cx="4924425" cy="3952875"/>
            <wp:effectExtent l="0" t="0" r="0" b="0"/>
            <wp:docPr id="13983659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65976" name="Picture 1398365976"/>
                    <pic:cNvPicPr/>
                  </pic:nvPicPr>
                  <pic:blipFill>
                    <a:blip r:embed="rId4">
                      <a:extLst>
                        <a:ext uri="{28A0092B-C50C-407E-A947-70E740481C1C}">
                          <a14:useLocalDpi xmlns:a14="http://schemas.microsoft.com/office/drawing/2010/main"/>
                        </a:ext>
                      </a:extLst>
                    </a:blip>
                    <a:stretch>
                      <a:fillRect/>
                    </a:stretch>
                  </pic:blipFill>
                  <pic:spPr>
                    <a:xfrm>
                      <a:off x="0" y="0"/>
                      <a:ext cx="4924425" cy="3952875"/>
                    </a:xfrm>
                    <a:prstGeom prst="rect">
                      <a:avLst/>
                    </a:prstGeom>
                  </pic:spPr>
                </pic:pic>
              </a:graphicData>
            </a:graphic>
          </wp:inline>
        </w:drawing>
      </w:r>
    </w:p>
    <w:p w14:paraId="11640739" w14:textId="1273AB2D" w:rsidR="00112473" w:rsidRDefault="11532988" w:rsidP="3ACCE6D1">
      <w:pPr>
        <w:spacing w:before="240" w:after="240" w:line="360" w:lineRule="auto"/>
      </w:pPr>
      <w:r w:rsidRPr="3ACCE6D1">
        <w:rPr>
          <w:rFonts w:ascii="Arial" w:eastAsia="Arial" w:hAnsi="Arial" w:cs="Arial"/>
          <w:i/>
          <w:iCs/>
          <w:sz w:val="22"/>
          <w:szCs w:val="22"/>
        </w:rPr>
        <w:t>Figure 1: Cellular respiration showing the main stages involved in the breakdown of glucose and production of ATP. Source: Betts et al. (2022), Figure 24.4.</w:t>
      </w:r>
    </w:p>
    <w:p w14:paraId="21396087" w14:textId="45AF9C2F"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t>1. Glycolysis</w:t>
      </w:r>
    </w:p>
    <w:p w14:paraId="73E2A6B6" w14:textId="118CE0D2"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 xml:space="preserve">Glycolysis takes place in the cytoplasm and does not directly require oxygen. During this stage, one glucose molecule </w:t>
      </w:r>
      <w:proofErr w:type="gramStart"/>
      <w:r w:rsidRPr="3ACCE6D1">
        <w:rPr>
          <w:rFonts w:ascii="Arial" w:eastAsia="Arial" w:hAnsi="Arial" w:cs="Arial"/>
          <w:sz w:val="22"/>
          <w:szCs w:val="22"/>
        </w:rPr>
        <w:t>is split</w:t>
      </w:r>
      <w:proofErr w:type="gramEnd"/>
      <w:r w:rsidRPr="3ACCE6D1">
        <w:rPr>
          <w:rFonts w:ascii="Arial" w:eastAsia="Arial" w:hAnsi="Arial" w:cs="Arial"/>
          <w:sz w:val="22"/>
          <w:szCs w:val="22"/>
        </w:rPr>
        <w:t xml:space="preserve"> into two pyruvate molecules. A small amount of ATP </w:t>
      </w:r>
      <w:proofErr w:type="gramStart"/>
      <w:r w:rsidRPr="3ACCE6D1">
        <w:rPr>
          <w:rFonts w:ascii="Arial" w:eastAsia="Arial" w:hAnsi="Arial" w:cs="Arial"/>
          <w:sz w:val="22"/>
          <w:szCs w:val="22"/>
        </w:rPr>
        <w:t>is produced</w:t>
      </w:r>
      <w:proofErr w:type="gramEnd"/>
      <w:r w:rsidRPr="3ACCE6D1">
        <w:rPr>
          <w:rFonts w:ascii="Arial" w:eastAsia="Arial" w:hAnsi="Arial" w:cs="Arial"/>
          <w:sz w:val="22"/>
          <w:szCs w:val="22"/>
        </w:rPr>
        <w:t>. The pyruvate can then continue into aerobic respiration when oxygen is available (Betts et al., 2022).</w:t>
      </w:r>
    </w:p>
    <w:p w14:paraId="40E0A022" w14:textId="48B31663"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t>2. Link Reaction</w:t>
      </w:r>
    </w:p>
    <w:p w14:paraId="441D1AC2" w14:textId="6D973A89"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 xml:space="preserve">When oxygen is available, pyruvate enters the mitochondria. It </w:t>
      </w:r>
      <w:proofErr w:type="gramStart"/>
      <w:r w:rsidRPr="3ACCE6D1">
        <w:rPr>
          <w:rFonts w:ascii="Arial" w:eastAsia="Arial" w:hAnsi="Arial" w:cs="Arial"/>
          <w:sz w:val="22"/>
          <w:szCs w:val="22"/>
        </w:rPr>
        <w:t>is converted</w:t>
      </w:r>
      <w:proofErr w:type="gramEnd"/>
      <w:r w:rsidRPr="3ACCE6D1">
        <w:rPr>
          <w:rFonts w:ascii="Arial" w:eastAsia="Arial" w:hAnsi="Arial" w:cs="Arial"/>
          <w:sz w:val="22"/>
          <w:szCs w:val="22"/>
        </w:rPr>
        <w:t xml:space="preserve"> into acetyl coenzyme A (acetyl-CoA). Carbon dioxide </w:t>
      </w:r>
      <w:proofErr w:type="gramStart"/>
      <w:r w:rsidRPr="3ACCE6D1">
        <w:rPr>
          <w:rFonts w:ascii="Arial" w:eastAsia="Arial" w:hAnsi="Arial" w:cs="Arial"/>
          <w:sz w:val="22"/>
          <w:szCs w:val="22"/>
        </w:rPr>
        <w:t>is released</w:t>
      </w:r>
      <w:proofErr w:type="gramEnd"/>
      <w:r w:rsidRPr="3ACCE6D1">
        <w:rPr>
          <w:rFonts w:ascii="Arial" w:eastAsia="Arial" w:hAnsi="Arial" w:cs="Arial"/>
          <w:sz w:val="22"/>
          <w:szCs w:val="22"/>
        </w:rPr>
        <w:t xml:space="preserve"> during this process, and NADH </w:t>
      </w:r>
      <w:proofErr w:type="gramStart"/>
      <w:r w:rsidRPr="3ACCE6D1">
        <w:rPr>
          <w:rFonts w:ascii="Arial" w:eastAsia="Arial" w:hAnsi="Arial" w:cs="Arial"/>
          <w:sz w:val="22"/>
          <w:szCs w:val="22"/>
        </w:rPr>
        <w:t>is produced</w:t>
      </w:r>
      <w:proofErr w:type="gramEnd"/>
      <w:r w:rsidRPr="3ACCE6D1">
        <w:rPr>
          <w:rFonts w:ascii="Arial" w:eastAsia="Arial" w:hAnsi="Arial" w:cs="Arial"/>
          <w:sz w:val="22"/>
          <w:szCs w:val="22"/>
        </w:rPr>
        <w:t>. Acetyl-CoA then enters the next stage of cellular respiration (Betts et al., 2022).</w:t>
      </w:r>
    </w:p>
    <w:p w14:paraId="0362ADB6" w14:textId="31DE3ED3"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lastRenderedPageBreak/>
        <w:t>3. Citric Acid Cycle (Krebs Cycle)</w:t>
      </w:r>
    </w:p>
    <w:p w14:paraId="33BE8980" w14:textId="34122D96"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 xml:space="preserve">Acetyl-CoA enters the citric acid cycle within the mitochondrial matrix. During this stage, carbon dioxide </w:t>
      </w:r>
      <w:proofErr w:type="gramStart"/>
      <w:r w:rsidRPr="3ACCE6D1">
        <w:rPr>
          <w:rFonts w:ascii="Arial" w:eastAsia="Arial" w:hAnsi="Arial" w:cs="Arial"/>
          <w:sz w:val="22"/>
          <w:szCs w:val="22"/>
        </w:rPr>
        <w:t>is released</w:t>
      </w:r>
      <w:proofErr w:type="gramEnd"/>
      <w:r w:rsidRPr="3ACCE6D1">
        <w:rPr>
          <w:rFonts w:ascii="Arial" w:eastAsia="Arial" w:hAnsi="Arial" w:cs="Arial"/>
          <w:sz w:val="22"/>
          <w:szCs w:val="22"/>
        </w:rPr>
        <w:t xml:space="preserve"> and high-energy molecules, including ATP, NADH and FADH₂, </w:t>
      </w:r>
      <w:proofErr w:type="gramStart"/>
      <w:r w:rsidRPr="3ACCE6D1">
        <w:rPr>
          <w:rFonts w:ascii="Arial" w:eastAsia="Arial" w:hAnsi="Arial" w:cs="Arial"/>
          <w:sz w:val="22"/>
          <w:szCs w:val="22"/>
        </w:rPr>
        <w:t>are produced</w:t>
      </w:r>
      <w:proofErr w:type="gramEnd"/>
      <w:r w:rsidRPr="3ACCE6D1">
        <w:rPr>
          <w:rFonts w:ascii="Arial" w:eastAsia="Arial" w:hAnsi="Arial" w:cs="Arial"/>
          <w:sz w:val="22"/>
          <w:szCs w:val="22"/>
        </w:rPr>
        <w:t>. NADH and FADH₂ carry high-energy electrons to the electron transport chain (Betts et al., 2022).</w:t>
      </w:r>
    </w:p>
    <w:p w14:paraId="2D3A1EBB" w14:textId="0CC4F2F0" w:rsidR="00112473" w:rsidRDefault="11532988" w:rsidP="3ACCE6D1">
      <w:pPr>
        <w:pStyle w:val="Heading3"/>
        <w:keepNext w:val="0"/>
        <w:keepLines w:val="0"/>
        <w:spacing w:before="281" w:after="281" w:line="360" w:lineRule="auto"/>
        <w:rPr>
          <w:rFonts w:ascii="Arial" w:eastAsia="Arial" w:hAnsi="Arial" w:cs="Arial"/>
          <w:b/>
          <w:bCs/>
          <w:color w:val="auto"/>
          <w:sz w:val="22"/>
          <w:szCs w:val="22"/>
        </w:rPr>
      </w:pPr>
      <w:r w:rsidRPr="3ACCE6D1">
        <w:rPr>
          <w:rFonts w:ascii="Arial" w:eastAsia="Arial" w:hAnsi="Arial" w:cs="Arial"/>
          <w:b/>
          <w:bCs/>
          <w:color w:val="auto"/>
          <w:sz w:val="22"/>
          <w:szCs w:val="22"/>
        </w:rPr>
        <w:t>4. Oxidative Phosphorylation</w:t>
      </w:r>
    </w:p>
    <w:p w14:paraId="02AB163A" w14:textId="6502E18C"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 xml:space="preserve">Oxidative phosphorylation takes place at the inner mitochondrial membrane. Electrons from NADH and FADH₂ pass through the electron transport chain. The energy released </w:t>
      </w:r>
      <w:proofErr w:type="gramStart"/>
      <w:r w:rsidRPr="3ACCE6D1">
        <w:rPr>
          <w:rFonts w:ascii="Arial" w:eastAsia="Arial" w:hAnsi="Arial" w:cs="Arial"/>
          <w:sz w:val="22"/>
          <w:szCs w:val="22"/>
        </w:rPr>
        <w:t>is used</w:t>
      </w:r>
      <w:proofErr w:type="gramEnd"/>
      <w:r w:rsidRPr="3ACCE6D1">
        <w:rPr>
          <w:rFonts w:ascii="Arial" w:eastAsia="Arial" w:hAnsi="Arial" w:cs="Arial"/>
          <w:sz w:val="22"/>
          <w:szCs w:val="22"/>
        </w:rPr>
        <w:t xml:space="preserve"> to create a proton gradient, which drives the production of ATP. Oxygen acts as the final electron acceptor and </w:t>
      </w:r>
      <w:proofErr w:type="gramStart"/>
      <w:r w:rsidRPr="3ACCE6D1">
        <w:rPr>
          <w:rFonts w:ascii="Arial" w:eastAsia="Arial" w:hAnsi="Arial" w:cs="Arial"/>
          <w:sz w:val="22"/>
          <w:szCs w:val="22"/>
        </w:rPr>
        <w:t>combines with</w:t>
      </w:r>
      <w:proofErr w:type="gramEnd"/>
      <w:r w:rsidRPr="3ACCE6D1">
        <w:rPr>
          <w:rFonts w:ascii="Arial" w:eastAsia="Arial" w:hAnsi="Arial" w:cs="Arial"/>
          <w:sz w:val="22"/>
          <w:szCs w:val="22"/>
        </w:rPr>
        <w:t xml:space="preserve"> electrons and hydrogen ions to form water. This stage produces </w:t>
      </w:r>
      <w:proofErr w:type="gramStart"/>
      <w:r w:rsidRPr="3ACCE6D1">
        <w:rPr>
          <w:rFonts w:ascii="Arial" w:eastAsia="Arial" w:hAnsi="Arial" w:cs="Arial"/>
          <w:sz w:val="22"/>
          <w:szCs w:val="22"/>
        </w:rPr>
        <w:t>most of</w:t>
      </w:r>
      <w:proofErr w:type="gramEnd"/>
      <w:r w:rsidRPr="3ACCE6D1">
        <w:rPr>
          <w:rFonts w:ascii="Arial" w:eastAsia="Arial" w:hAnsi="Arial" w:cs="Arial"/>
          <w:sz w:val="22"/>
          <w:szCs w:val="22"/>
        </w:rPr>
        <w:t xml:space="preserve"> the ATP made during aerobic respiration (Betts et al., 2022).</w:t>
      </w:r>
    </w:p>
    <w:p w14:paraId="173896E9" w14:textId="0B39BB6B"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 xml:space="preserve">Glucose and oxygen therefore have different but connected roles in energy production. Glucose provides the energy that </w:t>
      </w:r>
      <w:proofErr w:type="gramStart"/>
      <w:r w:rsidRPr="3ACCE6D1">
        <w:rPr>
          <w:rFonts w:ascii="Arial" w:eastAsia="Arial" w:hAnsi="Arial" w:cs="Arial"/>
          <w:sz w:val="22"/>
          <w:szCs w:val="22"/>
        </w:rPr>
        <w:t>is gradually released</w:t>
      </w:r>
      <w:proofErr w:type="gramEnd"/>
      <w:r w:rsidRPr="3ACCE6D1">
        <w:rPr>
          <w:rFonts w:ascii="Arial" w:eastAsia="Arial" w:hAnsi="Arial" w:cs="Arial"/>
          <w:sz w:val="22"/>
          <w:szCs w:val="22"/>
        </w:rPr>
        <w:t xml:space="preserve"> during cellular respiration, while oxygen allows the final stages of the process to continue. The ATP </w:t>
      </w:r>
      <w:proofErr w:type="gramStart"/>
      <w:r w:rsidRPr="3ACCE6D1">
        <w:rPr>
          <w:rFonts w:ascii="Arial" w:eastAsia="Arial" w:hAnsi="Arial" w:cs="Arial"/>
          <w:sz w:val="22"/>
          <w:szCs w:val="22"/>
        </w:rPr>
        <w:t>produced provides</w:t>
      </w:r>
      <w:proofErr w:type="gramEnd"/>
      <w:r w:rsidRPr="3ACCE6D1">
        <w:rPr>
          <w:rFonts w:ascii="Arial" w:eastAsia="Arial" w:hAnsi="Arial" w:cs="Arial"/>
          <w:sz w:val="22"/>
          <w:szCs w:val="22"/>
        </w:rPr>
        <w:t xml:space="preserve"> usable energy for cellular functions (Betts et al., 2022).</w:t>
      </w:r>
    </w:p>
    <w:p w14:paraId="15FB4B34" w14:textId="0577948F" w:rsidR="00112473" w:rsidRDefault="11532988" w:rsidP="3ACCE6D1">
      <w:pPr>
        <w:spacing w:before="240" w:after="240" w:line="360" w:lineRule="auto"/>
        <w:rPr>
          <w:rFonts w:ascii="Arial" w:eastAsia="Arial" w:hAnsi="Arial" w:cs="Arial"/>
          <w:sz w:val="22"/>
          <w:szCs w:val="22"/>
        </w:rPr>
      </w:pPr>
      <w:r w:rsidRPr="3ACCE6D1">
        <w:rPr>
          <w:rFonts w:ascii="Arial" w:eastAsia="Arial" w:hAnsi="Arial" w:cs="Arial"/>
          <w:sz w:val="22"/>
          <w:szCs w:val="22"/>
        </w:rPr>
        <w:t xml:space="preserve">This process also demonstrates the relationship between anatomy and physiology. The pancreas helps regulate blood glucose levels, while the circulatory system transports glucose and oxygen to body tissues. At a cellular level, mitochondria use these substances to produce ATP. In diabetes, impaired glucose regulation can cause excessive glucose to remain in the bloodstream rather than </w:t>
      </w:r>
      <w:proofErr w:type="gramStart"/>
      <w:r w:rsidRPr="3ACCE6D1">
        <w:rPr>
          <w:rFonts w:ascii="Arial" w:eastAsia="Arial" w:hAnsi="Arial" w:cs="Arial"/>
          <w:sz w:val="22"/>
          <w:szCs w:val="22"/>
        </w:rPr>
        <w:t>being appropriately used</w:t>
      </w:r>
      <w:proofErr w:type="gramEnd"/>
      <w:r w:rsidRPr="3ACCE6D1">
        <w:rPr>
          <w:rFonts w:ascii="Arial" w:eastAsia="Arial" w:hAnsi="Arial" w:cs="Arial"/>
          <w:sz w:val="22"/>
          <w:szCs w:val="22"/>
        </w:rPr>
        <w:t xml:space="preserve"> or stored by cells.</w:t>
      </w:r>
    </w:p>
    <w:p w14:paraId="4982CA7E" w14:textId="07664D38" w:rsidR="00112473" w:rsidRDefault="00112473" w:rsidP="3ACCE6D1">
      <w:pPr>
        <w:spacing w:line="360" w:lineRule="auto"/>
        <w:rPr>
          <w:rFonts w:ascii="Arial" w:eastAsia="Arial" w:hAnsi="Arial" w:cs="Arial"/>
          <w:b/>
          <w:bCs/>
          <w:sz w:val="22"/>
          <w:szCs w:val="22"/>
        </w:rPr>
      </w:pPr>
    </w:p>
    <w:p w14:paraId="65216D37" w14:textId="467CDE31" w:rsidR="00112473" w:rsidRDefault="0D329C66" w:rsidP="3ACCE6D1">
      <w:pPr>
        <w:spacing w:line="360" w:lineRule="auto"/>
        <w:rPr>
          <w:rFonts w:ascii="Arial" w:eastAsia="Arial" w:hAnsi="Arial" w:cs="Arial"/>
          <w:sz w:val="22"/>
          <w:szCs w:val="22"/>
        </w:rPr>
      </w:pPr>
      <w:r w:rsidRPr="3ACCE6D1">
        <w:rPr>
          <w:rFonts w:ascii="Arial" w:eastAsia="Arial" w:hAnsi="Arial" w:cs="Arial"/>
          <w:b/>
          <w:bCs/>
          <w:sz w:val="22"/>
          <w:szCs w:val="22"/>
        </w:rPr>
        <w:t>Recording and Tracking Blood Glucose in Type 2 Diabetes</w:t>
      </w:r>
    </w:p>
    <w:p w14:paraId="3AE0068E" w14:textId="3EC679C0"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Monitoring blood glucose can help </w:t>
      </w:r>
      <w:proofErr w:type="gramStart"/>
      <w:r w:rsidRPr="543597F1">
        <w:rPr>
          <w:rFonts w:ascii="Arial" w:eastAsia="Arial" w:hAnsi="Arial" w:cs="Arial"/>
          <w:sz w:val="22"/>
          <w:szCs w:val="22"/>
        </w:rPr>
        <w:t>some</w:t>
      </w:r>
      <w:proofErr w:type="gramEnd"/>
      <w:r w:rsidRPr="543597F1">
        <w:rPr>
          <w:rFonts w:ascii="Arial" w:eastAsia="Arial" w:hAnsi="Arial" w:cs="Arial"/>
          <w:sz w:val="22"/>
          <w:szCs w:val="22"/>
        </w:rPr>
        <w:t xml:space="preserve"> individuals with T2DM understand how food, physical activity, </w:t>
      </w:r>
      <w:proofErr w:type="gramStart"/>
      <w:r w:rsidRPr="543597F1">
        <w:rPr>
          <w:rFonts w:ascii="Arial" w:eastAsia="Arial" w:hAnsi="Arial" w:cs="Arial"/>
          <w:sz w:val="22"/>
          <w:szCs w:val="22"/>
        </w:rPr>
        <w:t>illness</w:t>
      </w:r>
      <w:proofErr w:type="gramEnd"/>
      <w:r w:rsidRPr="543597F1">
        <w:rPr>
          <w:rFonts w:ascii="Arial" w:eastAsia="Arial" w:hAnsi="Arial" w:cs="Arial"/>
          <w:sz w:val="22"/>
          <w:szCs w:val="22"/>
        </w:rPr>
        <w:t xml:space="preserve"> and medication affect their glucose levels. However, self-monitoring </w:t>
      </w:r>
      <w:proofErr w:type="gramStart"/>
      <w:r w:rsidRPr="543597F1">
        <w:rPr>
          <w:rFonts w:ascii="Arial" w:eastAsia="Arial" w:hAnsi="Arial" w:cs="Arial"/>
          <w:sz w:val="22"/>
          <w:szCs w:val="22"/>
        </w:rPr>
        <w:t>is not automatically required</w:t>
      </w:r>
      <w:proofErr w:type="gramEnd"/>
      <w:r w:rsidRPr="543597F1">
        <w:rPr>
          <w:rFonts w:ascii="Arial" w:eastAsia="Arial" w:hAnsi="Arial" w:cs="Arial"/>
          <w:sz w:val="22"/>
          <w:szCs w:val="22"/>
        </w:rPr>
        <w:t xml:space="preserve"> for every person with T2DM. NICE (2026) recommends that the need for capillary blood glucose monitoring should </w:t>
      </w:r>
      <w:proofErr w:type="gramStart"/>
      <w:r w:rsidRPr="543597F1">
        <w:rPr>
          <w:rFonts w:ascii="Arial" w:eastAsia="Arial" w:hAnsi="Arial" w:cs="Arial"/>
          <w:sz w:val="22"/>
          <w:szCs w:val="22"/>
        </w:rPr>
        <w:t>be considered</w:t>
      </w:r>
      <w:proofErr w:type="gramEnd"/>
      <w:r w:rsidRPr="543597F1">
        <w:rPr>
          <w:rFonts w:ascii="Arial" w:eastAsia="Arial" w:hAnsi="Arial" w:cs="Arial"/>
          <w:sz w:val="22"/>
          <w:szCs w:val="22"/>
        </w:rPr>
        <w:t xml:space="preserve"> according to the individual's treatment and clinical circumstances.</w:t>
      </w:r>
    </w:p>
    <w:p w14:paraId="0CF4F310" w14:textId="2337E964"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For people who </w:t>
      </w:r>
      <w:proofErr w:type="gramStart"/>
      <w:r w:rsidRPr="543597F1">
        <w:rPr>
          <w:rFonts w:ascii="Arial" w:eastAsia="Arial" w:hAnsi="Arial" w:cs="Arial"/>
          <w:sz w:val="22"/>
          <w:szCs w:val="22"/>
        </w:rPr>
        <w:t>are advised</w:t>
      </w:r>
      <w:proofErr w:type="gramEnd"/>
      <w:r w:rsidRPr="543597F1">
        <w:rPr>
          <w:rFonts w:ascii="Arial" w:eastAsia="Arial" w:hAnsi="Arial" w:cs="Arial"/>
          <w:sz w:val="22"/>
          <w:szCs w:val="22"/>
        </w:rPr>
        <w:t xml:space="preserve"> to monitor their glucose, recording results over time can provide useful information about patterns rather than focusing on a single reading. For example, </w:t>
      </w:r>
      <w:r w:rsidRPr="543597F1">
        <w:rPr>
          <w:rFonts w:ascii="Arial" w:eastAsia="Arial" w:hAnsi="Arial" w:cs="Arial"/>
          <w:sz w:val="22"/>
          <w:szCs w:val="22"/>
        </w:rPr>
        <w:lastRenderedPageBreak/>
        <w:t xml:space="preserve">repeated increases following </w:t>
      </w:r>
      <w:proofErr w:type="gramStart"/>
      <w:r w:rsidRPr="543597F1">
        <w:rPr>
          <w:rFonts w:ascii="Arial" w:eastAsia="Arial" w:hAnsi="Arial" w:cs="Arial"/>
          <w:sz w:val="22"/>
          <w:szCs w:val="22"/>
        </w:rPr>
        <w:t>particular meals</w:t>
      </w:r>
      <w:proofErr w:type="gramEnd"/>
      <w:r w:rsidRPr="543597F1">
        <w:rPr>
          <w:rFonts w:ascii="Arial" w:eastAsia="Arial" w:hAnsi="Arial" w:cs="Arial"/>
          <w:sz w:val="22"/>
          <w:szCs w:val="22"/>
        </w:rPr>
        <w:t xml:space="preserve"> may encourage discussion about carbohydrate portions, meal </w:t>
      </w:r>
      <w:proofErr w:type="gramStart"/>
      <w:r w:rsidRPr="543597F1">
        <w:rPr>
          <w:rFonts w:ascii="Arial" w:eastAsia="Arial" w:hAnsi="Arial" w:cs="Arial"/>
          <w:sz w:val="22"/>
          <w:szCs w:val="22"/>
        </w:rPr>
        <w:t>composition</w:t>
      </w:r>
      <w:proofErr w:type="gramEnd"/>
      <w:r w:rsidRPr="543597F1">
        <w:rPr>
          <w:rFonts w:ascii="Arial" w:eastAsia="Arial" w:hAnsi="Arial" w:cs="Arial"/>
          <w:sz w:val="22"/>
          <w:szCs w:val="22"/>
        </w:rPr>
        <w:t xml:space="preserve"> or timing. Similarly, a person may observe changes following physical activity. For individuals taking medicines that can cause hypoglycaemia, monitoring may help identify low glucose levels and support appropriate action.</w:t>
      </w:r>
    </w:p>
    <w:p w14:paraId="5E77F496" w14:textId="0C0528F8"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Diabetes UK (2026) explains that blood glucose monitoring can help people understand their glucose levels and identify episodes of hyperglycaemia or hypoglycaemia. Continuous glucose monitoring (CGM) and flash glucose monitoring can provide additional information for </w:t>
      </w:r>
      <w:proofErr w:type="gramStart"/>
      <w:r w:rsidRPr="543597F1">
        <w:rPr>
          <w:rFonts w:ascii="Arial" w:eastAsia="Arial" w:hAnsi="Arial" w:cs="Arial"/>
          <w:sz w:val="22"/>
          <w:szCs w:val="22"/>
        </w:rPr>
        <w:t>some</w:t>
      </w:r>
      <w:proofErr w:type="gramEnd"/>
      <w:r w:rsidRPr="543597F1">
        <w:rPr>
          <w:rFonts w:ascii="Arial" w:eastAsia="Arial" w:hAnsi="Arial" w:cs="Arial"/>
          <w:sz w:val="22"/>
          <w:szCs w:val="22"/>
        </w:rPr>
        <w:t xml:space="preserve"> people, although these technologies are not appropriate or available for everyone.</w:t>
      </w:r>
    </w:p>
    <w:p w14:paraId="63164CEB" w14:textId="29F4376B"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Longer-term monitoring </w:t>
      </w:r>
      <w:proofErr w:type="gramStart"/>
      <w:r w:rsidRPr="543597F1">
        <w:rPr>
          <w:rFonts w:ascii="Arial" w:eastAsia="Arial" w:hAnsi="Arial" w:cs="Arial"/>
          <w:sz w:val="22"/>
          <w:szCs w:val="22"/>
        </w:rPr>
        <w:t>is also provided</w:t>
      </w:r>
      <w:proofErr w:type="gramEnd"/>
      <w:r w:rsidRPr="543597F1">
        <w:rPr>
          <w:rFonts w:ascii="Arial" w:eastAsia="Arial" w:hAnsi="Arial" w:cs="Arial"/>
          <w:sz w:val="22"/>
          <w:szCs w:val="22"/>
        </w:rPr>
        <w:t xml:space="preserve"> through HbA1c testing. Unlike a single finger-prick measurement, HbA1c provides an indication of average blood glucose over a period of </w:t>
      </w:r>
      <w:proofErr w:type="gramStart"/>
      <w:r w:rsidRPr="543597F1">
        <w:rPr>
          <w:rFonts w:ascii="Arial" w:eastAsia="Arial" w:hAnsi="Arial" w:cs="Arial"/>
          <w:sz w:val="22"/>
          <w:szCs w:val="22"/>
        </w:rPr>
        <w:t>approximately two</w:t>
      </w:r>
      <w:proofErr w:type="gramEnd"/>
      <w:r w:rsidRPr="543597F1">
        <w:rPr>
          <w:rFonts w:ascii="Arial" w:eastAsia="Arial" w:hAnsi="Arial" w:cs="Arial"/>
          <w:sz w:val="22"/>
          <w:szCs w:val="22"/>
        </w:rPr>
        <w:t xml:space="preserve"> to three months. This allows healthcare professionals and patients to evaluate whether management strategies are maintaining glucose within an agreed target range (Diabetes UK, 2026).</w:t>
      </w:r>
    </w:p>
    <w:p w14:paraId="7D8B7A66" w14:textId="1349D580"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NICE (2026) recommends that people with T2DM who self-monitor capillary blood glucose should receive a structured assessment at least annually. This should consider whether the person understands their readings, can use the equipment correctly, knows what action to take and continues to benefit from monitoring. Consequently, monitoring should </w:t>
      </w:r>
      <w:proofErr w:type="gramStart"/>
      <w:r w:rsidRPr="543597F1">
        <w:rPr>
          <w:rFonts w:ascii="Arial" w:eastAsia="Arial" w:hAnsi="Arial" w:cs="Arial"/>
          <w:sz w:val="22"/>
          <w:szCs w:val="22"/>
        </w:rPr>
        <w:t>be viewed</w:t>
      </w:r>
      <w:proofErr w:type="gramEnd"/>
      <w:r w:rsidRPr="543597F1">
        <w:rPr>
          <w:rFonts w:ascii="Arial" w:eastAsia="Arial" w:hAnsi="Arial" w:cs="Arial"/>
          <w:sz w:val="22"/>
          <w:szCs w:val="22"/>
        </w:rPr>
        <w:t xml:space="preserve"> as part of an individual's wider care plan rather than an isolated activity.</w:t>
      </w:r>
    </w:p>
    <w:p w14:paraId="49E4F23E" w14:textId="5414AF83" w:rsidR="00112473" w:rsidRDefault="00112473" w:rsidP="543597F1">
      <w:pPr>
        <w:spacing w:line="360" w:lineRule="auto"/>
        <w:rPr>
          <w:rFonts w:ascii="Arial" w:eastAsia="Arial" w:hAnsi="Arial" w:cs="Arial"/>
          <w:b/>
          <w:bCs/>
          <w:sz w:val="22"/>
          <w:szCs w:val="22"/>
        </w:rPr>
      </w:pPr>
    </w:p>
    <w:p w14:paraId="5BA3A9FB" w14:textId="38D78DF1" w:rsidR="00112473" w:rsidRDefault="6EA45F13" w:rsidP="543597F1">
      <w:pPr>
        <w:spacing w:line="360" w:lineRule="auto"/>
        <w:rPr>
          <w:rFonts w:ascii="Arial" w:eastAsia="Arial" w:hAnsi="Arial" w:cs="Arial"/>
          <w:b/>
          <w:bCs/>
          <w:sz w:val="22"/>
          <w:szCs w:val="22"/>
        </w:rPr>
      </w:pPr>
      <w:r w:rsidRPr="543597F1">
        <w:rPr>
          <w:rFonts w:ascii="Arial" w:eastAsia="Arial" w:hAnsi="Arial" w:cs="Arial"/>
          <w:b/>
          <w:bCs/>
          <w:sz w:val="22"/>
          <w:szCs w:val="22"/>
        </w:rPr>
        <w:t>Evidence-Based Lifestyle Recommendations</w:t>
      </w:r>
    </w:p>
    <w:p w14:paraId="30C07B80" w14:textId="2F46E949"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Lifestyle modification is </w:t>
      </w:r>
      <w:proofErr w:type="gramStart"/>
      <w:r w:rsidRPr="543597F1">
        <w:rPr>
          <w:rFonts w:ascii="Arial" w:eastAsia="Arial" w:hAnsi="Arial" w:cs="Arial"/>
          <w:sz w:val="22"/>
          <w:szCs w:val="22"/>
        </w:rPr>
        <w:t>an important component</w:t>
      </w:r>
      <w:proofErr w:type="gramEnd"/>
      <w:r w:rsidRPr="543597F1">
        <w:rPr>
          <w:rFonts w:ascii="Arial" w:eastAsia="Arial" w:hAnsi="Arial" w:cs="Arial"/>
          <w:sz w:val="22"/>
          <w:szCs w:val="22"/>
        </w:rPr>
        <w:t xml:space="preserve"> of T2DM management. Changes should be individualised and realistic, </w:t>
      </w:r>
      <w:proofErr w:type="gramStart"/>
      <w:r w:rsidRPr="543597F1">
        <w:rPr>
          <w:rFonts w:ascii="Arial" w:eastAsia="Arial" w:hAnsi="Arial" w:cs="Arial"/>
          <w:sz w:val="22"/>
          <w:szCs w:val="22"/>
        </w:rPr>
        <w:t>taking into account</w:t>
      </w:r>
      <w:proofErr w:type="gramEnd"/>
      <w:r w:rsidRPr="543597F1">
        <w:rPr>
          <w:rFonts w:ascii="Arial" w:eastAsia="Arial" w:hAnsi="Arial" w:cs="Arial"/>
          <w:sz w:val="22"/>
          <w:szCs w:val="22"/>
        </w:rPr>
        <w:t xml:space="preserve"> the person's preferences, culture, financial circumstances, physical </w:t>
      </w:r>
      <w:proofErr w:type="gramStart"/>
      <w:r w:rsidRPr="543597F1">
        <w:rPr>
          <w:rFonts w:ascii="Arial" w:eastAsia="Arial" w:hAnsi="Arial" w:cs="Arial"/>
          <w:sz w:val="22"/>
          <w:szCs w:val="22"/>
        </w:rPr>
        <w:t>abilities</w:t>
      </w:r>
      <w:proofErr w:type="gramEnd"/>
      <w:r w:rsidRPr="543597F1">
        <w:rPr>
          <w:rFonts w:ascii="Arial" w:eastAsia="Arial" w:hAnsi="Arial" w:cs="Arial"/>
          <w:sz w:val="22"/>
          <w:szCs w:val="22"/>
        </w:rPr>
        <w:t xml:space="preserve"> and existing treatment. NICE (2026) recommends combining healthy living with appropriate medical management rather than treating lifestyle change as an alternative to professional care.</w:t>
      </w:r>
    </w:p>
    <w:p w14:paraId="56E5A0AC" w14:textId="3129337F"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Diet</w:t>
      </w:r>
    </w:p>
    <w:p w14:paraId="01440569" w14:textId="77777777" w:rsidR="005B7980" w:rsidRPr="002A7D00" w:rsidRDefault="005B7980" w:rsidP="005B7980">
      <w:pPr>
        <w:spacing w:line="360" w:lineRule="auto"/>
        <w:rPr>
          <w:rFonts w:ascii="Arial" w:eastAsia="Arial" w:hAnsi="Arial" w:cs="Arial"/>
          <w:sz w:val="22"/>
          <w:szCs w:val="22"/>
          <w:lang w:val="en-GB"/>
        </w:rPr>
      </w:pPr>
      <w:r w:rsidRPr="002A7D00">
        <w:rPr>
          <w:rFonts w:ascii="Arial" w:eastAsia="Arial" w:hAnsi="Arial" w:cs="Arial"/>
          <w:sz w:val="22"/>
          <w:szCs w:val="22"/>
          <w:lang w:val="en-GB"/>
        </w:rPr>
        <w:t>Diet has a direct influence on blood glucose because carbohydrate-containing foods are broken down into glucose. A balanced diet containing vegetables, fruit, wholegrains, pulses and appropriate protein sources can support healthier eating patterns. NHS guidance recommends reducing highly processed foods high in saturated fat, salt and free sugars while increasing vegetables, wholegrains and pulses (NHS, 2025d).</w:t>
      </w:r>
    </w:p>
    <w:p w14:paraId="29902F63" w14:textId="77777777" w:rsidR="005B7980" w:rsidRPr="002A7D00" w:rsidRDefault="005B7980" w:rsidP="005B7980">
      <w:pPr>
        <w:spacing w:line="360" w:lineRule="auto"/>
        <w:rPr>
          <w:rFonts w:ascii="Arial" w:eastAsia="Arial" w:hAnsi="Arial" w:cs="Arial"/>
          <w:sz w:val="22"/>
          <w:szCs w:val="22"/>
          <w:lang w:val="en-GB"/>
        </w:rPr>
      </w:pPr>
      <w:r w:rsidRPr="002A7D00">
        <w:rPr>
          <w:rFonts w:ascii="Arial" w:eastAsia="Arial" w:hAnsi="Arial" w:cs="Arial"/>
          <w:sz w:val="22"/>
          <w:szCs w:val="22"/>
          <w:lang w:val="en-GB"/>
        </w:rPr>
        <w:lastRenderedPageBreak/>
        <w:t>Dietary patterns rather than individual foods are particularly important. Evidence from an umbrella review indicates that Mediterranean, plant-based, low-glycaemic-index and lower-carbohydrate diets can provide cardiometabolic benefits for people with T2DM, although evidence strength differs between outcomes (Ojo et al., 2023). Recent randomised controlled trials also indicate that Mediterranean-style diets can produce modest improvements in HbA1c, fasting glucose and body mass index (2025).</w:t>
      </w:r>
    </w:p>
    <w:p w14:paraId="0985CB03" w14:textId="71762A20" w:rsidR="005B7980" w:rsidRPr="002A7D00" w:rsidRDefault="005B7980" w:rsidP="543597F1">
      <w:pPr>
        <w:spacing w:line="360" w:lineRule="auto"/>
        <w:rPr>
          <w:rFonts w:ascii="Arial" w:eastAsia="Arial" w:hAnsi="Arial" w:cs="Arial"/>
          <w:sz w:val="22"/>
          <w:szCs w:val="22"/>
          <w:lang w:val="en-GB"/>
        </w:rPr>
      </w:pPr>
      <w:r w:rsidRPr="002A7D00">
        <w:rPr>
          <w:rFonts w:ascii="Arial" w:eastAsia="Arial" w:hAnsi="Arial" w:cs="Arial"/>
          <w:sz w:val="22"/>
          <w:szCs w:val="22"/>
          <w:lang w:val="en-GB"/>
        </w:rPr>
        <w:t xml:space="preserve">A practical approach is to encourage sustainable changes rather than unnecessary restriction. </w:t>
      </w:r>
      <w:proofErr w:type="gramStart"/>
      <w:r w:rsidRPr="002A7D00">
        <w:rPr>
          <w:rFonts w:ascii="Arial" w:eastAsia="Arial" w:hAnsi="Arial" w:cs="Arial"/>
          <w:sz w:val="22"/>
          <w:szCs w:val="22"/>
          <w:lang w:val="en-GB"/>
        </w:rPr>
        <w:t>Portion control,</w:t>
      </w:r>
      <w:proofErr w:type="gramEnd"/>
      <w:r w:rsidRPr="002A7D00">
        <w:rPr>
          <w:rFonts w:ascii="Arial" w:eastAsia="Arial" w:hAnsi="Arial" w:cs="Arial"/>
          <w:sz w:val="22"/>
          <w:szCs w:val="22"/>
          <w:lang w:val="en-GB"/>
        </w:rPr>
        <w:t xml:space="preserve"> increased dietary fibre and choosing minimally processed carbohydrates can improve dietary quality. Advice should also be culturally appropriate, as familiar foods and eating practices may influence adherence.</w:t>
      </w:r>
    </w:p>
    <w:p w14:paraId="70DDAEBB" w14:textId="7D80E573"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Physical Activity</w:t>
      </w:r>
    </w:p>
    <w:p w14:paraId="3F1CFBD0" w14:textId="01EB43D7"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Regular physical activity can improve insulin sensitivity because contracting skeletal muscle can increase glucose uptake. Exercise therefore has benefits beyond energy expenditure and weight management.</w:t>
      </w:r>
    </w:p>
    <w:p w14:paraId="0C0CA494" w14:textId="3BAC346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A systematic review and meta-analysis involving adults with T2DM found that structured exercise was associated with reductions in HbA1c, with aerobic exercise, resistance training and combined programmes all demonstrating beneficial effects (Umpierre et al., 2011). More recent evidence continues to support exercise as </w:t>
      </w:r>
      <w:proofErr w:type="gramStart"/>
      <w:r w:rsidRPr="543597F1">
        <w:rPr>
          <w:rFonts w:ascii="Arial" w:eastAsia="Arial" w:hAnsi="Arial" w:cs="Arial"/>
          <w:sz w:val="22"/>
          <w:szCs w:val="22"/>
        </w:rPr>
        <w:t>an important component</w:t>
      </w:r>
      <w:proofErr w:type="gramEnd"/>
      <w:r w:rsidRPr="543597F1">
        <w:rPr>
          <w:rFonts w:ascii="Arial" w:eastAsia="Arial" w:hAnsi="Arial" w:cs="Arial"/>
          <w:sz w:val="22"/>
          <w:szCs w:val="22"/>
        </w:rPr>
        <w:t xml:space="preserve"> of T2DM management (Igarashi, </w:t>
      </w:r>
      <w:proofErr w:type="gramStart"/>
      <w:r w:rsidRPr="543597F1">
        <w:rPr>
          <w:rFonts w:ascii="Arial" w:eastAsia="Arial" w:hAnsi="Arial" w:cs="Arial"/>
          <w:sz w:val="22"/>
          <w:szCs w:val="22"/>
        </w:rPr>
        <w:t>Akazawa</w:t>
      </w:r>
      <w:proofErr w:type="gramEnd"/>
      <w:r w:rsidRPr="543597F1">
        <w:rPr>
          <w:rFonts w:ascii="Arial" w:eastAsia="Arial" w:hAnsi="Arial" w:cs="Arial"/>
          <w:sz w:val="22"/>
          <w:szCs w:val="22"/>
        </w:rPr>
        <w:t xml:space="preserve"> and Maeda, 2021).</w:t>
      </w:r>
    </w:p>
    <w:p w14:paraId="68A63C56" w14:textId="3853C52D"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(2025d) recommends that adults aim for at least 150 minutes of moderate-intensity physical activity across the week, such as brisk walking, where this is safe and appropriate. Resistance exercises can also support muscle strength and glucose regulation. Individuals who are currently inactive should begin gradually and increase activity according to their capabilities.</w:t>
      </w:r>
    </w:p>
    <w:p w14:paraId="5401C281" w14:textId="73D0AC73"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Weight Management</w:t>
      </w:r>
    </w:p>
    <w:p w14:paraId="414046F4" w14:textId="6152683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For people living with </w:t>
      </w:r>
      <w:proofErr w:type="gramStart"/>
      <w:r w:rsidRPr="543597F1">
        <w:rPr>
          <w:rFonts w:ascii="Arial" w:eastAsia="Arial" w:hAnsi="Arial" w:cs="Arial"/>
          <w:sz w:val="22"/>
          <w:szCs w:val="22"/>
        </w:rPr>
        <w:t>overweight</w:t>
      </w:r>
      <w:proofErr w:type="gramEnd"/>
      <w:r w:rsidRPr="543597F1">
        <w:rPr>
          <w:rFonts w:ascii="Arial" w:eastAsia="Arial" w:hAnsi="Arial" w:cs="Arial"/>
          <w:sz w:val="22"/>
          <w:szCs w:val="22"/>
        </w:rPr>
        <w:t xml:space="preserve"> or obesity, gradual and sustained weight loss can improve metabolic health and blood glucose control. Excess adipose tissue, particularly visceral fat, is associated with insulin resistance. NICE (2026) therefore recommends addressing weight management as part of comprehensive T2DM care.</w:t>
      </w:r>
    </w:p>
    <w:p w14:paraId="30AF82EF" w14:textId="50E5DFE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Weight management should not </w:t>
      </w:r>
      <w:proofErr w:type="gramStart"/>
      <w:r w:rsidRPr="543597F1">
        <w:rPr>
          <w:rFonts w:ascii="Arial" w:eastAsia="Arial" w:hAnsi="Arial" w:cs="Arial"/>
          <w:sz w:val="22"/>
          <w:szCs w:val="22"/>
        </w:rPr>
        <w:t>be approached</w:t>
      </w:r>
      <w:proofErr w:type="gramEnd"/>
      <w:r w:rsidRPr="543597F1">
        <w:rPr>
          <w:rFonts w:ascii="Arial" w:eastAsia="Arial" w:hAnsi="Arial" w:cs="Arial"/>
          <w:sz w:val="22"/>
          <w:szCs w:val="22"/>
        </w:rPr>
        <w:t xml:space="preserve"> solely through calorie restriction. Combining a nutritionally balanced diet with physical activity and appropriate behavioural support can make changes more sustainable. NHS guidance also recognises that weight loss can sometimes </w:t>
      </w:r>
      <w:r w:rsidRPr="543597F1">
        <w:rPr>
          <w:rFonts w:ascii="Arial" w:eastAsia="Arial" w:hAnsi="Arial" w:cs="Arial"/>
          <w:sz w:val="22"/>
          <w:szCs w:val="22"/>
        </w:rPr>
        <w:lastRenderedPageBreak/>
        <w:t xml:space="preserve">result in significant improvement in blood glucose levels and, for </w:t>
      </w:r>
      <w:proofErr w:type="gramStart"/>
      <w:r w:rsidRPr="543597F1">
        <w:rPr>
          <w:rFonts w:ascii="Arial" w:eastAsia="Arial" w:hAnsi="Arial" w:cs="Arial"/>
          <w:sz w:val="22"/>
          <w:szCs w:val="22"/>
        </w:rPr>
        <w:t>some</w:t>
      </w:r>
      <w:proofErr w:type="gramEnd"/>
      <w:r w:rsidRPr="543597F1">
        <w:rPr>
          <w:rFonts w:ascii="Arial" w:eastAsia="Arial" w:hAnsi="Arial" w:cs="Arial"/>
          <w:sz w:val="22"/>
          <w:szCs w:val="22"/>
        </w:rPr>
        <w:t xml:space="preserve"> individuals, remission of T2DM (NHS, 2025d).</w:t>
      </w:r>
    </w:p>
    <w:p w14:paraId="04BED03F" w14:textId="4F78B77E"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Smoking Cessation</w:t>
      </w:r>
    </w:p>
    <w:p w14:paraId="09538BA7" w14:textId="1A71DC04"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Smoking is particularly important because diabetes already increases the risk of cardiovascular disease. Tobacco exposure adds further cardiovascular risk and can contribute to vascular damage. The World Health Organization (2024) identifies avoiding tobacco as an important measure for preventing or delaying T2DM and reducing associated health risks.</w:t>
      </w:r>
    </w:p>
    <w:p w14:paraId="675F0B11" w14:textId="5EDCBE39"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People with diabetes who smoke should therefore </w:t>
      </w:r>
      <w:proofErr w:type="gramStart"/>
      <w:r w:rsidRPr="543597F1">
        <w:rPr>
          <w:rFonts w:ascii="Arial" w:eastAsia="Arial" w:hAnsi="Arial" w:cs="Arial"/>
          <w:sz w:val="22"/>
          <w:szCs w:val="22"/>
        </w:rPr>
        <w:t>be offered</w:t>
      </w:r>
      <w:proofErr w:type="gramEnd"/>
      <w:r w:rsidRPr="543597F1">
        <w:rPr>
          <w:rFonts w:ascii="Arial" w:eastAsia="Arial" w:hAnsi="Arial" w:cs="Arial"/>
          <w:sz w:val="22"/>
          <w:szCs w:val="22"/>
        </w:rPr>
        <w:t xml:space="preserve"> appropriate smoking cessation support. This may include behavioural support and evidence-based treatments through NHS services. Smoking cessation should </w:t>
      </w:r>
      <w:proofErr w:type="gramStart"/>
      <w:r w:rsidRPr="543597F1">
        <w:rPr>
          <w:rFonts w:ascii="Arial" w:eastAsia="Arial" w:hAnsi="Arial" w:cs="Arial"/>
          <w:sz w:val="22"/>
          <w:szCs w:val="22"/>
        </w:rPr>
        <w:t>be approached</w:t>
      </w:r>
      <w:proofErr w:type="gramEnd"/>
      <w:r w:rsidRPr="543597F1">
        <w:rPr>
          <w:rFonts w:ascii="Arial" w:eastAsia="Arial" w:hAnsi="Arial" w:cs="Arial"/>
          <w:sz w:val="22"/>
          <w:szCs w:val="22"/>
        </w:rPr>
        <w:t xml:space="preserve"> as part of holistic diabetes management rather than simply as an instruction to stop smoking.</w:t>
      </w:r>
    </w:p>
    <w:p w14:paraId="2F34A790" w14:textId="0C99B6CF" w:rsidR="00112473" w:rsidRDefault="6EA45F13" w:rsidP="543597F1">
      <w:pPr>
        <w:spacing w:line="360" w:lineRule="auto"/>
        <w:rPr>
          <w:rFonts w:ascii="Arial" w:eastAsia="Arial" w:hAnsi="Arial" w:cs="Arial"/>
          <w:b/>
          <w:bCs/>
          <w:i/>
          <w:iCs/>
          <w:sz w:val="22"/>
          <w:szCs w:val="22"/>
        </w:rPr>
      </w:pPr>
      <w:r w:rsidRPr="543597F1">
        <w:rPr>
          <w:rFonts w:ascii="Arial" w:eastAsia="Arial" w:hAnsi="Arial" w:cs="Arial"/>
          <w:b/>
          <w:bCs/>
          <w:i/>
          <w:iCs/>
          <w:sz w:val="22"/>
          <w:szCs w:val="22"/>
        </w:rPr>
        <w:t>Alcohol and Self-Management</w:t>
      </w:r>
    </w:p>
    <w:p w14:paraId="5E3AB0F6" w14:textId="275F3F0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Alcohol intake should also </w:t>
      </w:r>
      <w:proofErr w:type="gramStart"/>
      <w:r w:rsidRPr="543597F1">
        <w:rPr>
          <w:rFonts w:ascii="Arial" w:eastAsia="Arial" w:hAnsi="Arial" w:cs="Arial"/>
          <w:sz w:val="22"/>
          <w:szCs w:val="22"/>
        </w:rPr>
        <w:t>be considered</w:t>
      </w:r>
      <w:proofErr w:type="gramEnd"/>
      <w:r w:rsidRPr="543597F1">
        <w:rPr>
          <w:rFonts w:ascii="Arial" w:eastAsia="Arial" w:hAnsi="Arial" w:cs="Arial"/>
          <w:sz w:val="22"/>
          <w:szCs w:val="22"/>
        </w:rPr>
        <w:t xml:space="preserve"> because alcohol can affect blood glucose and may contribute additional calories. Individuals taking certain diabetes medicines may be particularly vulnerable to hypoglycaemia following alcohol consumption. Advice should therefore be individualised according to medication and personal circumstances.</w:t>
      </w:r>
    </w:p>
    <w:p w14:paraId="79D60D9D" w14:textId="5AF0461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Overall, effective diabetes management requires patients to understand their condition and participate in shared decision-making. Diabetes education can help individuals develop practical skills, recognise changes in their </w:t>
      </w:r>
      <w:proofErr w:type="gramStart"/>
      <w:r w:rsidRPr="543597F1">
        <w:rPr>
          <w:rFonts w:ascii="Arial" w:eastAsia="Arial" w:hAnsi="Arial" w:cs="Arial"/>
          <w:sz w:val="22"/>
          <w:szCs w:val="22"/>
        </w:rPr>
        <w:t>health</w:t>
      </w:r>
      <w:proofErr w:type="gramEnd"/>
      <w:r w:rsidRPr="543597F1">
        <w:rPr>
          <w:rFonts w:ascii="Arial" w:eastAsia="Arial" w:hAnsi="Arial" w:cs="Arial"/>
          <w:sz w:val="22"/>
          <w:szCs w:val="22"/>
        </w:rPr>
        <w:t xml:space="preserve"> and understand how lifestyle behaviours interact with treatment.</w:t>
      </w:r>
    </w:p>
    <w:p w14:paraId="33B2BA25" w14:textId="41C09C6F" w:rsidR="00112473" w:rsidRDefault="00112473" w:rsidP="543597F1">
      <w:pPr>
        <w:spacing w:line="360" w:lineRule="auto"/>
        <w:rPr>
          <w:rFonts w:ascii="Arial" w:eastAsia="Arial" w:hAnsi="Arial" w:cs="Arial"/>
          <w:b/>
          <w:bCs/>
          <w:sz w:val="22"/>
          <w:szCs w:val="22"/>
        </w:rPr>
      </w:pPr>
    </w:p>
    <w:p w14:paraId="6A4450F3" w14:textId="77777777" w:rsidR="001049F3" w:rsidRDefault="001049F3" w:rsidP="543597F1">
      <w:pPr>
        <w:spacing w:line="360" w:lineRule="auto"/>
        <w:rPr>
          <w:rFonts w:ascii="Arial" w:eastAsia="Arial" w:hAnsi="Arial" w:cs="Arial"/>
          <w:b/>
          <w:bCs/>
          <w:sz w:val="22"/>
          <w:szCs w:val="22"/>
        </w:rPr>
      </w:pPr>
    </w:p>
    <w:p w14:paraId="5B996ADF" w14:textId="77777777" w:rsidR="001049F3" w:rsidRDefault="001049F3" w:rsidP="543597F1">
      <w:pPr>
        <w:spacing w:line="360" w:lineRule="auto"/>
        <w:rPr>
          <w:rFonts w:ascii="Arial" w:eastAsia="Arial" w:hAnsi="Arial" w:cs="Arial"/>
          <w:b/>
          <w:bCs/>
          <w:sz w:val="22"/>
          <w:szCs w:val="22"/>
        </w:rPr>
      </w:pPr>
    </w:p>
    <w:p w14:paraId="1D65CF65" w14:textId="77777777" w:rsidR="001049F3" w:rsidRDefault="001049F3" w:rsidP="543597F1">
      <w:pPr>
        <w:spacing w:line="360" w:lineRule="auto"/>
        <w:rPr>
          <w:rFonts w:ascii="Arial" w:eastAsia="Arial" w:hAnsi="Arial" w:cs="Arial"/>
          <w:b/>
          <w:bCs/>
          <w:sz w:val="22"/>
          <w:szCs w:val="22"/>
        </w:rPr>
      </w:pPr>
    </w:p>
    <w:p w14:paraId="4A0376C3" w14:textId="77777777" w:rsidR="001049F3" w:rsidRDefault="001049F3" w:rsidP="543597F1">
      <w:pPr>
        <w:spacing w:line="360" w:lineRule="auto"/>
        <w:rPr>
          <w:rFonts w:ascii="Arial" w:eastAsia="Arial" w:hAnsi="Arial" w:cs="Arial"/>
          <w:b/>
          <w:bCs/>
          <w:sz w:val="22"/>
          <w:szCs w:val="22"/>
        </w:rPr>
      </w:pPr>
    </w:p>
    <w:p w14:paraId="6C0DFF19" w14:textId="77777777" w:rsidR="001049F3" w:rsidRDefault="001049F3" w:rsidP="543597F1">
      <w:pPr>
        <w:spacing w:line="360" w:lineRule="auto"/>
        <w:rPr>
          <w:rFonts w:ascii="Arial" w:eastAsia="Arial" w:hAnsi="Arial" w:cs="Arial"/>
          <w:b/>
          <w:bCs/>
          <w:sz w:val="22"/>
          <w:szCs w:val="22"/>
        </w:rPr>
      </w:pPr>
    </w:p>
    <w:p w14:paraId="56C2360F" w14:textId="77777777" w:rsidR="001049F3" w:rsidRDefault="001049F3" w:rsidP="543597F1">
      <w:pPr>
        <w:spacing w:line="360" w:lineRule="auto"/>
        <w:rPr>
          <w:rFonts w:ascii="Arial" w:eastAsia="Arial" w:hAnsi="Arial" w:cs="Arial"/>
          <w:b/>
          <w:bCs/>
          <w:sz w:val="22"/>
          <w:szCs w:val="22"/>
        </w:rPr>
      </w:pPr>
    </w:p>
    <w:p w14:paraId="76AD2EAC" w14:textId="77777777" w:rsidR="001049F3" w:rsidRDefault="001049F3" w:rsidP="543597F1">
      <w:pPr>
        <w:spacing w:line="360" w:lineRule="auto"/>
        <w:rPr>
          <w:rFonts w:ascii="Arial" w:eastAsia="Arial" w:hAnsi="Arial" w:cs="Arial"/>
          <w:b/>
          <w:bCs/>
          <w:sz w:val="22"/>
          <w:szCs w:val="22"/>
        </w:rPr>
      </w:pPr>
    </w:p>
    <w:p w14:paraId="54E1F127" w14:textId="73A0B0D7" w:rsidR="00112473" w:rsidRDefault="6EA45F13" w:rsidP="543597F1">
      <w:pPr>
        <w:spacing w:line="360" w:lineRule="auto"/>
        <w:rPr>
          <w:rFonts w:ascii="Arial" w:eastAsia="Arial" w:hAnsi="Arial" w:cs="Arial"/>
          <w:b/>
          <w:bCs/>
          <w:sz w:val="22"/>
          <w:szCs w:val="22"/>
        </w:rPr>
      </w:pPr>
      <w:r w:rsidRPr="543597F1">
        <w:rPr>
          <w:rFonts w:ascii="Arial" w:eastAsia="Arial" w:hAnsi="Arial" w:cs="Arial"/>
          <w:b/>
          <w:bCs/>
          <w:sz w:val="22"/>
          <w:szCs w:val="22"/>
        </w:rPr>
        <w:lastRenderedPageBreak/>
        <w:t>Conclusion</w:t>
      </w:r>
    </w:p>
    <w:p w14:paraId="32F1E7E5" w14:textId="087EAF23" w:rsidR="00112473" w:rsidRDefault="2123477B" w:rsidP="543597F1">
      <w:pPr>
        <w:spacing w:line="360" w:lineRule="auto"/>
        <w:rPr>
          <w:rFonts w:ascii="Arial" w:eastAsia="Arial" w:hAnsi="Arial" w:cs="Arial"/>
          <w:sz w:val="22"/>
          <w:szCs w:val="22"/>
        </w:rPr>
      </w:pPr>
      <w:r w:rsidRPr="659EF4DE">
        <w:rPr>
          <w:rFonts w:ascii="Arial" w:eastAsia="Arial" w:hAnsi="Arial" w:cs="Arial"/>
          <w:sz w:val="22"/>
          <w:szCs w:val="22"/>
        </w:rPr>
        <w:t xml:space="preserve">Diabetes is a chronic metabolic condition in which blood glucose regulation is impaired. In T2DM, insulin resistance and progressive pancreatic </w:t>
      </w:r>
      <w:r w:rsidR="275D268D" w:rsidRPr="659EF4DE">
        <w:rPr>
          <w:rFonts w:ascii="Arial" w:eastAsia="Arial" w:hAnsi="Arial" w:cs="Arial"/>
          <w:sz w:val="22"/>
          <w:szCs w:val="22"/>
        </w:rPr>
        <w:t>beta</w:t>
      </w:r>
      <w:r w:rsidRPr="659EF4DE">
        <w:rPr>
          <w:rFonts w:ascii="Arial" w:eastAsia="Arial" w:hAnsi="Arial" w:cs="Arial"/>
          <w:sz w:val="22"/>
          <w:szCs w:val="22"/>
        </w:rPr>
        <w:t xml:space="preserve">-cell dysfunction interfere with normal glucose homeostasis, resulting in hyperglycaemia. The pancreas, liver, </w:t>
      </w:r>
      <w:proofErr w:type="gramStart"/>
      <w:r w:rsidRPr="659EF4DE">
        <w:rPr>
          <w:rFonts w:ascii="Arial" w:eastAsia="Arial" w:hAnsi="Arial" w:cs="Arial"/>
          <w:sz w:val="22"/>
          <w:szCs w:val="22"/>
        </w:rPr>
        <w:t>bloodstream</w:t>
      </w:r>
      <w:proofErr w:type="gramEnd"/>
      <w:r w:rsidRPr="659EF4DE">
        <w:rPr>
          <w:rFonts w:ascii="Arial" w:eastAsia="Arial" w:hAnsi="Arial" w:cs="Arial"/>
          <w:sz w:val="22"/>
          <w:szCs w:val="22"/>
        </w:rPr>
        <w:t xml:space="preserve"> and target tissues work together under normal physiological conditions to maintain blood glucose within an appropriate range. At cellular level, glucose is metabolised through cellular respiration, with oxygen supporting oxidative phosphorylation and the production of ATP required for cellular function.</w:t>
      </w:r>
    </w:p>
    <w:p w14:paraId="6715DF05" w14:textId="40222FA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For people with T2DM, monitoring and recording blood glucose can provide useful information when self-monitoring is clinically appropriate, while HbA1c provides an important measure of longer-term glycaemic control. Lifestyle measures, including a balanced diet, regular physical activity, weight management and smoking cessation, can improve glycaemic and cardiovascular outcomes. Effective management should therefore combine physiological understanding, evidence-based </w:t>
      </w:r>
      <w:proofErr w:type="gramStart"/>
      <w:r w:rsidRPr="543597F1">
        <w:rPr>
          <w:rFonts w:ascii="Arial" w:eastAsia="Arial" w:hAnsi="Arial" w:cs="Arial"/>
          <w:sz w:val="22"/>
          <w:szCs w:val="22"/>
        </w:rPr>
        <w:t>interventions</w:t>
      </w:r>
      <w:proofErr w:type="gramEnd"/>
      <w:r w:rsidRPr="543597F1">
        <w:rPr>
          <w:rFonts w:ascii="Arial" w:eastAsia="Arial" w:hAnsi="Arial" w:cs="Arial"/>
          <w:sz w:val="22"/>
          <w:szCs w:val="22"/>
        </w:rPr>
        <w:t xml:space="preserve"> and individualised support, enabling people with T2DM to participate actively in their care and reduce the risk of long-term complications.</w:t>
      </w:r>
    </w:p>
    <w:p w14:paraId="37B6D732" w14:textId="6CC62179" w:rsidR="00112473" w:rsidRDefault="00112473" w:rsidP="543597F1">
      <w:pPr>
        <w:spacing w:line="360" w:lineRule="auto"/>
        <w:rPr>
          <w:rFonts w:ascii="Arial" w:eastAsia="Arial" w:hAnsi="Arial" w:cs="Arial"/>
          <w:b/>
          <w:bCs/>
          <w:sz w:val="22"/>
          <w:szCs w:val="22"/>
        </w:rPr>
      </w:pPr>
    </w:p>
    <w:p w14:paraId="38832C0D" w14:textId="565A767E" w:rsidR="00112473" w:rsidRDefault="00112473" w:rsidP="543597F1">
      <w:pPr>
        <w:spacing w:line="360" w:lineRule="auto"/>
        <w:rPr>
          <w:rFonts w:ascii="Arial" w:eastAsia="Arial" w:hAnsi="Arial" w:cs="Arial"/>
          <w:b/>
          <w:bCs/>
          <w:sz w:val="22"/>
          <w:szCs w:val="22"/>
        </w:rPr>
      </w:pPr>
    </w:p>
    <w:p w14:paraId="09FDFD46" w14:textId="1AB2C48B" w:rsidR="00112473" w:rsidRDefault="00112473" w:rsidP="543597F1">
      <w:pPr>
        <w:spacing w:line="360" w:lineRule="auto"/>
        <w:rPr>
          <w:rFonts w:ascii="Arial" w:eastAsia="Arial" w:hAnsi="Arial" w:cs="Arial"/>
          <w:b/>
          <w:bCs/>
          <w:sz w:val="22"/>
          <w:szCs w:val="22"/>
        </w:rPr>
      </w:pPr>
    </w:p>
    <w:p w14:paraId="1DA4C9F7" w14:textId="28B90D8D" w:rsidR="00112473" w:rsidRDefault="00112473" w:rsidP="3ACCE6D1">
      <w:pPr>
        <w:spacing w:line="360" w:lineRule="auto"/>
        <w:rPr>
          <w:rFonts w:ascii="Arial" w:eastAsia="Arial" w:hAnsi="Arial" w:cs="Arial"/>
          <w:b/>
          <w:bCs/>
          <w:sz w:val="22"/>
          <w:szCs w:val="22"/>
        </w:rPr>
      </w:pPr>
    </w:p>
    <w:p w14:paraId="06F39EA7" w14:textId="21D1A4A3" w:rsidR="00112473" w:rsidRDefault="00112473" w:rsidP="3ACCE6D1">
      <w:pPr>
        <w:spacing w:line="360" w:lineRule="auto"/>
        <w:jc w:val="center"/>
        <w:rPr>
          <w:rFonts w:ascii="Arial" w:eastAsia="Arial" w:hAnsi="Arial" w:cs="Arial"/>
          <w:b/>
          <w:bCs/>
          <w:sz w:val="22"/>
          <w:szCs w:val="22"/>
          <w:u w:val="single"/>
        </w:rPr>
      </w:pPr>
    </w:p>
    <w:p w14:paraId="7C0C36F7" w14:textId="77777777" w:rsidR="002B2629" w:rsidRDefault="002B2629" w:rsidP="543597F1">
      <w:pPr>
        <w:spacing w:line="360" w:lineRule="auto"/>
        <w:jc w:val="center"/>
        <w:rPr>
          <w:rFonts w:ascii="Arial" w:eastAsia="Arial" w:hAnsi="Arial" w:cs="Arial"/>
          <w:b/>
          <w:bCs/>
          <w:sz w:val="22"/>
          <w:szCs w:val="22"/>
          <w:u w:val="single"/>
        </w:rPr>
      </w:pPr>
    </w:p>
    <w:p w14:paraId="1C535ECC" w14:textId="77777777" w:rsidR="002B2629" w:rsidRDefault="002B2629" w:rsidP="543597F1">
      <w:pPr>
        <w:spacing w:line="360" w:lineRule="auto"/>
        <w:jc w:val="center"/>
        <w:rPr>
          <w:rFonts w:ascii="Arial" w:eastAsia="Arial" w:hAnsi="Arial" w:cs="Arial"/>
          <w:b/>
          <w:bCs/>
          <w:sz w:val="22"/>
          <w:szCs w:val="22"/>
          <w:u w:val="single"/>
        </w:rPr>
      </w:pPr>
    </w:p>
    <w:p w14:paraId="54FC483F" w14:textId="77777777" w:rsidR="002B2629" w:rsidRDefault="002B2629" w:rsidP="543597F1">
      <w:pPr>
        <w:spacing w:line="360" w:lineRule="auto"/>
        <w:jc w:val="center"/>
        <w:rPr>
          <w:rFonts w:ascii="Arial" w:eastAsia="Arial" w:hAnsi="Arial" w:cs="Arial"/>
          <w:b/>
          <w:bCs/>
          <w:sz w:val="22"/>
          <w:szCs w:val="22"/>
          <w:u w:val="single"/>
        </w:rPr>
      </w:pPr>
    </w:p>
    <w:p w14:paraId="74631C46" w14:textId="77777777" w:rsidR="002B2629" w:rsidRDefault="002B2629" w:rsidP="543597F1">
      <w:pPr>
        <w:spacing w:line="360" w:lineRule="auto"/>
        <w:jc w:val="center"/>
        <w:rPr>
          <w:rFonts w:ascii="Arial" w:eastAsia="Arial" w:hAnsi="Arial" w:cs="Arial"/>
          <w:b/>
          <w:bCs/>
          <w:sz w:val="22"/>
          <w:szCs w:val="22"/>
          <w:u w:val="single"/>
        </w:rPr>
      </w:pPr>
    </w:p>
    <w:p w14:paraId="5FDE076D" w14:textId="77777777" w:rsidR="002B2629" w:rsidRDefault="002B2629" w:rsidP="543597F1">
      <w:pPr>
        <w:spacing w:line="360" w:lineRule="auto"/>
        <w:jc w:val="center"/>
        <w:rPr>
          <w:rFonts w:ascii="Arial" w:eastAsia="Arial" w:hAnsi="Arial" w:cs="Arial"/>
          <w:b/>
          <w:bCs/>
          <w:sz w:val="22"/>
          <w:szCs w:val="22"/>
          <w:u w:val="single"/>
        </w:rPr>
      </w:pPr>
    </w:p>
    <w:p w14:paraId="351BB63F" w14:textId="77777777" w:rsidR="002B2629" w:rsidRDefault="002B2629" w:rsidP="543597F1">
      <w:pPr>
        <w:spacing w:line="360" w:lineRule="auto"/>
        <w:jc w:val="center"/>
        <w:rPr>
          <w:rFonts w:ascii="Arial" w:eastAsia="Arial" w:hAnsi="Arial" w:cs="Arial"/>
          <w:b/>
          <w:bCs/>
          <w:sz w:val="22"/>
          <w:szCs w:val="22"/>
          <w:u w:val="single"/>
        </w:rPr>
      </w:pPr>
    </w:p>
    <w:p w14:paraId="312CF276" w14:textId="77777777" w:rsidR="002B2629" w:rsidRDefault="002B2629" w:rsidP="543597F1">
      <w:pPr>
        <w:spacing w:line="360" w:lineRule="auto"/>
        <w:jc w:val="center"/>
        <w:rPr>
          <w:rFonts w:ascii="Arial" w:eastAsia="Arial" w:hAnsi="Arial" w:cs="Arial"/>
          <w:b/>
          <w:bCs/>
          <w:sz w:val="22"/>
          <w:szCs w:val="22"/>
          <w:u w:val="single"/>
        </w:rPr>
      </w:pPr>
    </w:p>
    <w:p w14:paraId="4E53BDE9" w14:textId="77777777" w:rsidR="00DB31EA" w:rsidRDefault="00DB31EA" w:rsidP="00DB31EA">
      <w:pPr>
        <w:spacing w:line="360" w:lineRule="auto"/>
        <w:rPr>
          <w:rFonts w:ascii="Arial" w:eastAsia="Arial" w:hAnsi="Arial" w:cs="Arial"/>
          <w:b/>
          <w:bCs/>
          <w:sz w:val="22"/>
          <w:szCs w:val="22"/>
          <w:u w:val="single"/>
        </w:rPr>
      </w:pPr>
    </w:p>
    <w:p w14:paraId="19E2C6FE" w14:textId="7DA9830F" w:rsidR="00112473" w:rsidRDefault="0D329C66" w:rsidP="00DB31EA">
      <w:pPr>
        <w:spacing w:line="360" w:lineRule="auto"/>
        <w:jc w:val="center"/>
      </w:pPr>
      <w:r w:rsidRPr="3ACCE6D1">
        <w:rPr>
          <w:rFonts w:ascii="Arial" w:eastAsia="Arial" w:hAnsi="Arial" w:cs="Arial"/>
          <w:b/>
          <w:bCs/>
          <w:sz w:val="22"/>
          <w:szCs w:val="22"/>
          <w:u w:val="single"/>
        </w:rPr>
        <w:lastRenderedPageBreak/>
        <w:t>Reference</w:t>
      </w:r>
      <w:r w:rsidR="03F74128" w:rsidRPr="3ACCE6D1">
        <w:rPr>
          <w:rFonts w:ascii="Arial" w:eastAsia="Arial" w:hAnsi="Arial" w:cs="Arial"/>
          <w:b/>
          <w:bCs/>
          <w:sz w:val="22"/>
          <w:szCs w:val="22"/>
          <w:u w:val="single"/>
        </w:rPr>
        <w:t>s</w:t>
      </w:r>
    </w:p>
    <w:p w14:paraId="4ACE1981" w14:textId="71EC11DD" w:rsidR="3ACCE6D1" w:rsidRDefault="3ACCE6D1" w:rsidP="3ACCE6D1">
      <w:pPr>
        <w:spacing w:line="360" w:lineRule="auto"/>
        <w:jc w:val="center"/>
        <w:rPr>
          <w:rFonts w:ascii="Arial" w:eastAsia="Arial" w:hAnsi="Arial" w:cs="Arial"/>
          <w:b/>
          <w:bCs/>
          <w:sz w:val="22"/>
          <w:szCs w:val="22"/>
          <w:u w:val="single"/>
        </w:rPr>
      </w:pPr>
    </w:p>
    <w:p w14:paraId="735CFA21" w14:textId="00304556" w:rsidR="00112473" w:rsidRDefault="0D329C66" w:rsidP="543597F1">
      <w:pPr>
        <w:spacing w:line="360" w:lineRule="auto"/>
      </w:pPr>
      <w:r w:rsidRPr="3ACCE6D1">
        <w:rPr>
          <w:rFonts w:ascii="Arial" w:eastAsia="Arial" w:hAnsi="Arial" w:cs="Arial"/>
          <w:sz w:val="22"/>
          <w:szCs w:val="22"/>
        </w:rPr>
        <w:t xml:space="preserve">Alberts, B., Johnson, A., Lewis, J., Morgan, D., Raff, M., Roberts, </w:t>
      </w:r>
      <w:proofErr w:type="gramStart"/>
      <w:r w:rsidRPr="3ACCE6D1">
        <w:rPr>
          <w:rFonts w:ascii="Arial" w:eastAsia="Arial" w:hAnsi="Arial" w:cs="Arial"/>
          <w:sz w:val="22"/>
          <w:szCs w:val="22"/>
        </w:rPr>
        <w:t>K.</w:t>
      </w:r>
      <w:proofErr w:type="gramEnd"/>
      <w:r w:rsidRPr="3ACCE6D1">
        <w:rPr>
          <w:rFonts w:ascii="Arial" w:eastAsia="Arial" w:hAnsi="Arial" w:cs="Arial"/>
          <w:sz w:val="22"/>
          <w:szCs w:val="22"/>
        </w:rPr>
        <w:t xml:space="preserve"> and Walter, P. (2022) Molecular Biology of the Cell. 7th edn. New York: W.W. Norton.</w:t>
      </w:r>
    </w:p>
    <w:p w14:paraId="42E42D1B" w14:textId="79B17F5D" w:rsidR="779640C7" w:rsidRDefault="779640C7" w:rsidP="3ACCE6D1">
      <w:pPr>
        <w:spacing w:line="360" w:lineRule="auto"/>
      </w:pPr>
      <w:r w:rsidRPr="3ACCE6D1">
        <w:rPr>
          <w:rFonts w:ascii="Arial" w:eastAsia="Arial" w:hAnsi="Arial" w:cs="Arial"/>
          <w:sz w:val="22"/>
          <w:szCs w:val="22"/>
        </w:rPr>
        <w:t xml:space="preserve">Betts, J.G., Young, K.A., Wise, J.A., Johnson, E., Poe, B., Kruse, D.H., Korol, O., Johnson, J.E., Womble, M. and DeSaix, P. (2022) </w:t>
      </w:r>
      <w:r w:rsidRPr="3ACCE6D1">
        <w:rPr>
          <w:rFonts w:ascii="Arial" w:eastAsia="Arial" w:hAnsi="Arial" w:cs="Arial"/>
          <w:i/>
          <w:iCs/>
          <w:sz w:val="22"/>
          <w:szCs w:val="22"/>
        </w:rPr>
        <w:t>Anatomy and Physiology 2e</w:t>
      </w:r>
      <w:r w:rsidRPr="3ACCE6D1">
        <w:rPr>
          <w:rFonts w:ascii="Arial" w:eastAsia="Arial" w:hAnsi="Arial" w:cs="Arial"/>
          <w:sz w:val="22"/>
          <w:szCs w:val="22"/>
        </w:rPr>
        <w:t xml:space="preserve">. Houston, TX: OpenStax. Available at: </w:t>
      </w:r>
      <w:hyperlink r:id="rId5">
        <w:r w:rsidRPr="3ACCE6D1">
          <w:rPr>
            <w:rStyle w:val="Hyperlink"/>
          </w:rPr>
          <w:t>OpenStax – Anatomy and Physiology 2e</w:t>
        </w:r>
      </w:hyperlink>
      <w:r w:rsidRPr="3ACCE6D1">
        <w:rPr>
          <w:rFonts w:ascii="Arial" w:eastAsia="Arial" w:hAnsi="Arial" w:cs="Arial"/>
          <w:sz w:val="22"/>
          <w:szCs w:val="22"/>
        </w:rPr>
        <w:t xml:space="preserve"> (Accessed: 4 October 2026).</w:t>
      </w:r>
    </w:p>
    <w:p w14:paraId="354FF93B" w14:textId="076D390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Cooper, G.M. (</w:t>
      </w:r>
      <w:proofErr w:type="gramStart"/>
      <w:r w:rsidRPr="543597F1">
        <w:rPr>
          <w:rFonts w:ascii="Arial" w:eastAsia="Arial" w:hAnsi="Arial" w:cs="Arial"/>
          <w:sz w:val="22"/>
          <w:szCs w:val="22"/>
        </w:rPr>
        <w:t>2000</w:t>
      </w:r>
      <w:proofErr w:type="gramEnd"/>
      <w:r w:rsidRPr="543597F1">
        <w:rPr>
          <w:rFonts w:ascii="Arial" w:eastAsia="Arial" w:hAnsi="Arial" w:cs="Arial"/>
          <w:sz w:val="22"/>
          <w:szCs w:val="22"/>
        </w:rPr>
        <w:t>) The Cell: A Molecular Approach. 2nd edn. Sunderland, MA: Sinauer Associates.</w:t>
      </w:r>
    </w:p>
    <w:p w14:paraId="1BB75494" w14:textId="01CD80A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Department of Health and Social Care (2021) Ethnic disparities in the major causes of mortality and their risk factors. Available at: GOV.UK (Accessed: 17 September 2026).</w:t>
      </w:r>
    </w:p>
    <w:p w14:paraId="32EF40B0" w14:textId="7A76244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Diabetes UK (2026) How to check your blood sugar levels. Available at: Diabetes UK (Accessed: 17 September 2026).</w:t>
      </w:r>
    </w:p>
    <w:p w14:paraId="4EA73A7B" w14:textId="209D5F8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Igarashi, Y., Akazawa, </w:t>
      </w:r>
      <w:proofErr w:type="gramStart"/>
      <w:r w:rsidRPr="543597F1">
        <w:rPr>
          <w:rFonts w:ascii="Arial" w:eastAsia="Arial" w:hAnsi="Arial" w:cs="Arial"/>
          <w:sz w:val="22"/>
          <w:szCs w:val="22"/>
        </w:rPr>
        <w:t>N.</w:t>
      </w:r>
      <w:proofErr w:type="gramEnd"/>
      <w:r w:rsidRPr="543597F1">
        <w:rPr>
          <w:rFonts w:ascii="Arial" w:eastAsia="Arial" w:hAnsi="Arial" w:cs="Arial"/>
          <w:sz w:val="22"/>
          <w:szCs w:val="22"/>
        </w:rPr>
        <w:t xml:space="preserve"> and Maeda, S. (2021) ‘The relationship between the level of exercise and hemoglobin A1c in patients with type 2 diabetes mellitus: a systematic review and meta-analysis’, Endocrine, 74(3), pp. 546–558.</w:t>
      </w:r>
    </w:p>
    <w:p w14:paraId="01732258" w14:textId="45B80158"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(2025a) What is type 2 diabetes? Available at: NHS (Accessed: 17 September 2026).</w:t>
      </w:r>
    </w:p>
    <w:p w14:paraId="7DC59572" w14:textId="1F836354"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NHS (2025b) Symptoms of type 2 diabetes and how it </w:t>
      </w:r>
      <w:proofErr w:type="gramStart"/>
      <w:r w:rsidRPr="543597F1">
        <w:rPr>
          <w:rFonts w:ascii="Arial" w:eastAsia="Arial" w:hAnsi="Arial" w:cs="Arial"/>
          <w:sz w:val="22"/>
          <w:szCs w:val="22"/>
        </w:rPr>
        <w:t>is diagnosed</w:t>
      </w:r>
      <w:proofErr w:type="gramEnd"/>
      <w:r w:rsidRPr="543597F1">
        <w:rPr>
          <w:rFonts w:ascii="Arial" w:eastAsia="Arial" w:hAnsi="Arial" w:cs="Arial"/>
          <w:sz w:val="22"/>
          <w:szCs w:val="22"/>
        </w:rPr>
        <w:t>. Available at: NHS (Accessed: 17 September 2026).</w:t>
      </w:r>
    </w:p>
    <w:p w14:paraId="0698150C" w14:textId="59CAB3B1"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(2025c) Diabetes. Available at: NHS (Accessed: 17 September 2026).</w:t>
      </w:r>
    </w:p>
    <w:p w14:paraId="388FD508" w14:textId="30AF443D"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NHS (2025d) Treatment for type 2 diabetes. Available at: NHS (Accessed: 17 September 2026).</w:t>
      </w:r>
    </w:p>
    <w:p w14:paraId="3C7A0A21" w14:textId="25DE09DA" w:rsidR="00112473" w:rsidRDefault="343D7B27" w:rsidP="543597F1">
      <w:pPr>
        <w:spacing w:line="360" w:lineRule="auto"/>
        <w:rPr>
          <w:rFonts w:ascii="Arial" w:eastAsia="Arial" w:hAnsi="Arial" w:cs="Arial"/>
          <w:sz w:val="22"/>
          <w:szCs w:val="22"/>
        </w:rPr>
      </w:pPr>
      <w:r w:rsidRPr="3ACCE6D1">
        <w:rPr>
          <w:rFonts w:ascii="Arial" w:eastAsia="Arial" w:hAnsi="Arial" w:cs="Arial"/>
          <w:sz w:val="22"/>
          <w:szCs w:val="22"/>
        </w:rPr>
        <w:t>NICE (2026) Type 2</w:t>
      </w:r>
      <w:r w:rsidR="1F9D129C" w:rsidRPr="3ACCE6D1">
        <w:rPr>
          <w:rFonts w:ascii="Arial" w:eastAsia="Arial" w:hAnsi="Arial" w:cs="Arial"/>
          <w:sz w:val="22"/>
          <w:szCs w:val="22"/>
        </w:rPr>
        <w:t xml:space="preserve"> </w:t>
      </w:r>
      <w:r w:rsidRPr="3ACCE6D1">
        <w:rPr>
          <w:rFonts w:ascii="Arial" w:eastAsia="Arial" w:hAnsi="Arial" w:cs="Arial"/>
          <w:sz w:val="22"/>
          <w:szCs w:val="22"/>
        </w:rPr>
        <w:t>diabetes in adults: management (NG28). London: National Institute for Health and Care Excellence. Available at: NICE (Accessed: 17 September 2026).</w:t>
      </w:r>
    </w:p>
    <w:p w14:paraId="3EA7572C" w14:textId="4C12387C"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Ojo, O., Adebowale, F., Wang, X., Ojo, O.O. and Adegboye, A.R.A. (2023) ‘Diet in the management of type 2 diabetes: umbrella review of systematic reviews with meta-analyses of randomised controlled trials’, BMJ Open, 13.</w:t>
      </w:r>
    </w:p>
    <w:p w14:paraId="552D6115" w14:textId="7F8866AF"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 xml:space="preserve">Umpierre, D., Ribeiro, P.A.B., Kramer, C.K., Leitão, C.B., Zucatti, A.T.N., Azevedo, M.J., Gross, J.L., Ribeiro, J.P. and Schaan, B.D. (2011) ‘Physical activity advice only or structured exercise </w:t>
      </w:r>
      <w:r w:rsidRPr="543597F1">
        <w:rPr>
          <w:rFonts w:ascii="Arial" w:eastAsia="Arial" w:hAnsi="Arial" w:cs="Arial"/>
          <w:sz w:val="22"/>
          <w:szCs w:val="22"/>
        </w:rPr>
        <w:lastRenderedPageBreak/>
        <w:t>training and association with HbA1c levels in type 2 diabetes: a systematic review and meta-analysis’, JAMA, 305(17), pp. 1790–1799.</w:t>
      </w:r>
    </w:p>
    <w:p w14:paraId="7E55EDED" w14:textId="505267BA" w:rsidR="00112473" w:rsidRDefault="6EA45F13" w:rsidP="543597F1">
      <w:pPr>
        <w:spacing w:line="360" w:lineRule="auto"/>
        <w:rPr>
          <w:rFonts w:ascii="Arial" w:eastAsia="Arial" w:hAnsi="Arial" w:cs="Arial"/>
          <w:sz w:val="22"/>
          <w:szCs w:val="22"/>
        </w:rPr>
      </w:pPr>
      <w:r w:rsidRPr="543597F1">
        <w:rPr>
          <w:rFonts w:ascii="Arial" w:eastAsia="Arial" w:hAnsi="Arial" w:cs="Arial"/>
          <w:sz w:val="22"/>
          <w:szCs w:val="22"/>
        </w:rPr>
        <w:t>World Health Organization (2024) Diabetes. Available at: World Health Organization (Accessed: 17 September 2026).</w:t>
      </w:r>
    </w:p>
    <w:p w14:paraId="2C078E63" w14:textId="07EB1C13" w:rsidR="00112473" w:rsidRDefault="00112473"/>
    <w:sectPr w:rsidR="001124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CAB884"/>
    <w:rsid w:val="00040871"/>
    <w:rsid w:val="0004424F"/>
    <w:rsid w:val="00057351"/>
    <w:rsid w:val="000B30C4"/>
    <w:rsid w:val="001049F3"/>
    <w:rsid w:val="00112473"/>
    <w:rsid w:val="001405F1"/>
    <w:rsid w:val="001F5519"/>
    <w:rsid w:val="002A7D00"/>
    <w:rsid w:val="002B2629"/>
    <w:rsid w:val="003015AD"/>
    <w:rsid w:val="005400FD"/>
    <w:rsid w:val="005B7980"/>
    <w:rsid w:val="00610381"/>
    <w:rsid w:val="007916CA"/>
    <w:rsid w:val="007A013D"/>
    <w:rsid w:val="00B30DA9"/>
    <w:rsid w:val="00BB055D"/>
    <w:rsid w:val="00C7252F"/>
    <w:rsid w:val="00CC61F4"/>
    <w:rsid w:val="00D163BF"/>
    <w:rsid w:val="00DB31EA"/>
    <w:rsid w:val="00E7179D"/>
    <w:rsid w:val="00EA254D"/>
    <w:rsid w:val="00EF00A8"/>
    <w:rsid w:val="00F93CE8"/>
    <w:rsid w:val="03F74128"/>
    <w:rsid w:val="049A1416"/>
    <w:rsid w:val="096BF219"/>
    <w:rsid w:val="0AE3A1D2"/>
    <w:rsid w:val="0C0F5436"/>
    <w:rsid w:val="0D329C66"/>
    <w:rsid w:val="0F1B66BD"/>
    <w:rsid w:val="0FD13A52"/>
    <w:rsid w:val="11397ACD"/>
    <w:rsid w:val="11532988"/>
    <w:rsid w:val="1339ED11"/>
    <w:rsid w:val="173FFEC7"/>
    <w:rsid w:val="1D5E21B8"/>
    <w:rsid w:val="1E9628F1"/>
    <w:rsid w:val="1F9D129C"/>
    <w:rsid w:val="20E4AF8A"/>
    <w:rsid w:val="2123477B"/>
    <w:rsid w:val="24F8E3A9"/>
    <w:rsid w:val="275D268D"/>
    <w:rsid w:val="2AD9A69B"/>
    <w:rsid w:val="2F4CC366"/>
    <w:rsid w:val="30496B0E"/>
    <w:rsid w:val="324E6DFA"/>
    <w:rsid w:val="3279E492"/>
    <w:rsid w:val="343D7B27"/>
    <w:rsid w:val="36B9C8BA"/>
    <w:rsid w:val="36D42E00"/>
    <w:rsid w:val="3ACCE6D1"/>
    <w:rsid w:val="41DFEAF2"/>
    <w:rsid w:val="42C8055E"/>
    <w:rsid w:val="444612A9"/>
    <w:rsid w:val="53D6999C"/>
    <w:rsid w:val="543597F1"/>
    <w:rsid w:val="54456D28"/>
    <w:rsid w:val="578D85EA"/>
    <w:rsid w:val="5ABA985D"/>
    <w:rsid w:val="5C2359CF"/>
    <w:rsid w:val="5C239DB5"/>
    <w:rsid w:val="5C3BC517"/>
    <w:rsid w:val="5EE1BEFA"/>
    <w:rsid w:val="5EEA4C4D"/>
    <w:rsid w:val="64BFC200"/>
    <w:rsid w:val="659EF4DE"/>
    <w:rsid w:val="691D1193"/>
    <w:rsid w:val="6B91B496"/>
    <w:rsid w:val="6CB8A310"/>
    <w:rsid w:val="6CCAB884"/>
    <w:rsid w:val="6EA45F13"/>
    <w:rsid w:val="6FBE3B73"/>
    <w:rsid w:val="70D723C2"/>
    <w:rsid w:val="72460F3C"/>
    <w:rsid w:val="779640C7"/>
    <w:rsid w:val="78F475A6"/>
    <w:rsid w:val="7A31FD1C"/>
    <w:rsid w:val="7C2EE9FD"/>
    <w:rsid w:val="7EC8529B"/>
    <w:rsid w:val="7F4671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FEDF"/>
  <w15:chartTrackingRefBased/>
  <w15:docId w15:val="{D7E0FC25-3635-4D25-861C-44A0624CE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3ACCE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3ACCE6D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ACCE6D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openstax.org/books/anatomy-and-physiology-2e/pages/24-2-carbohydrate-metabolism?utm_source=chatgpt.com"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2806</Words>
  <Characters>15997</Characters>
  <Application>Microsoft Office Word</Application>
  <DocSecurity>0</DocSecurity>
  <Lines>133</Lines>
  <Paragraphs>37</Paragraphs>
  <ScaleCrop>false</ScaleCrop>
  <Company/>
  <LinksUpToDate>false</LinksUpToDate>
  <CharactersWithSpaces>18766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Ansa Nusrat (2129074)</dc:creator>
  <cp:keywords/>
  <dc:description/>
  <cp:lastModifiedBy>Ansa Ashfaq</cp:lastModifiedBy>
  <cp:revision>2</cp:revision>
  <dcterms:created xsi:type="dcterms:W3CDTF">2026-10-07T10:12:00Z</dcterms:created>
  <dcterms:modified xsi:type="dcterms:W3CDTF">2026-10-07T10:12:00Z</dcterms:modified>
</cp:coreProperties>
</file>