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w:t>
      </w:r>
      <w:proofErr w:type="gramStart"/>
      <w:r w:rsidR="00E55A6B">
        <w:t>in order</w:t>
      </w:r>
      <w:r w:rsidR="00CC6392">
        <w:t xml:space="preserve"> to</w:t>
      </w:r>
      <w:proofErr w:type="gramEnd"/>
      <w:r w:rsidR="00CC6392">
        <w:t xml:space="preserve">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4E8E4A54" w:rsidR="19913911" w:rsidRDefault="19913911" w:rsidP="14A5FA1C">
            <w:r w:rsidRPr="14A5FA1C">
              <w:rPr>
                <w:b/>
                <w:bCs/>
              </w:rPr>
              <w:t>Trainee teacher</w:t>
            </w:r>
            <w:r>
              <w:t xml:space="preserve">: </w:t>
            </w:r>
            <w:r w:rsidR="006F4459">
              <w:t>Joanna Reed</w:t>
            </w:r>
          </w:p>
        </w:tc>
        <w:tc>
          <w:tcPr>
            <w:tcW w:w="4725" w:type="dxa"/>
          </w:tcPr>
          <w:p w14:paraId="17393E98" w14:textId="4AB56B1B" w:rsidR="19913911" w:rsidRDefault="19913911" w:rsidP="14A5FA1C">
            <w:r w:rsidRPr="14A5FA1C">
              <w:rPr>
                <w:b/>
                <w:bCs/>
              </w:rPr>
              <w:t>Observer</w:t>
            </w:r>
            <w:r>
              <w:t>:</w:t>
            </w:r>
            <w:r w:rsidR="006F4459">
              <w:t xml:space="preserve"> Katie Gardner</w:t>
            </w:r>
          </w:p>
        </w:tc>
      </w:tr>
      <w:tr w:rsidR="14A5FA1C" w14:paraId="5196EFF1" w14:textId="77777777" w:rsidTr="14A5FA1C">
        <w:tc>
          <w:tcPr>
            <w:tcW w:w="4290" w:type="dxa"/>
          </w:tcPr>
          <w:p w14:paraId="39CB1271" w14:textId="2CCAF8F3" w:rsidR="19913911" w:rsidRDefault="19913911" w:rsidP="14A5FA1C">
            <w:r w:rsidRPr="14A5FA1C">
              <w:rPr>
                <w:b/>
                <w:bCs/>
              </w:rPr>
              <w:t>Date</w:t>
            </w:r>
            <w:r>
              <w:t>:</w:t>
            </w:r>
            <w:r w:rsidR="006F4459">
              <w:t xml:space="preserve"> 25 November 2024</w:t>
            </w:r>
          </w:p>
        </w:tc>
        <w:tc>
          <w:tcPr>
            <w:tcW w:w="4725" w:type="dxa"/>
          </w:tcPr>
          <w:p w14:paraId="3A289960" w14:textId="06EF5577" w:rsidR="19913911" w:rsidRDefault="19913911" w:rsidP="14A5FA1C">
            <w:r w:rsidRPr="14A5FA1C">
              <w:rPr>
                <w:b/>
                <w:bCs/>
              </w:rPr>
              <w:t>Time</w:t>
            </w:r>
            <w:r>
              <w:t>:</w:t>
            </w:r>
            <w:r w:rsidR="006F4459">
              <w:t xml:space="preserve"> 30 minutes</w:t>
            </w:r>
          </w:p>
        </w:tc>
      </w:tr>
      <w:tr w:rsidR="14A5FA1C" w14:paraId="6BB47DA2" w14:textId="77777777" w:rsidTr="14A5FA1C">
        <w:tc>
          <w:tcPr>
            <w:tcW w:w="4290" w:type="dxa"/>
          </w:tcPr>
          <w:p w14:paraId="138FD893" w14:textId="576CAB21" w:rsidR="19913911" w:rsidRDefault="19913911" w:rsidP="14A5FA1C">
            <w:r w:rsidRPr="14A5FA1C">
              <w:rPr>
                <w:b/>
                <w:bCs/>
              </w:rPr>
              <w:t>Topic</w:t>
            </w:r>
            <w:r>
              <w:t>:</w:t>
            </w:r>
            <w:r w:rsidR="006F4459">
              <w:t xml:space="preserve"> Masculinity (Reeser,2020 and </w:t>
            </w:r>
            <w:proofErr w:type="spellStart"/>
            <w:r w:rsidR="006F4459">
              <w:t>Deslandes</w:t>
            </w:r>
            <w:proofErr w:type="spellEnd"/>
            <w:r w:rsidR="006F4459">
              <w:t xml:space="preserve"> 2021) &amp; Myth (Barthes,1957 and Haute Couture and Haute Culture </w:t>
            </w:r>
            <w:r w:rsidR="00341E4B">
              <w:t xml:space="preserve">Bourdieu, </w:t>
            </w:r>
            <w:r w:rsidR="006F4459">
              <w:t>2020)</w:t>
            </w:r>
          </w:p>
        </w:tc>
        <w:tc>
          <w:tcPr>
            <w:tcW w:w="4725" w:type="dxa"/>
          </w:tcPr>
          <w:p w14:paraId="68845D0B" w14:textId="1DFCB1F4" w:rsidR="19913911" w:rsidRDefault="19913911" w:rsidP="14A5FA1C">
            <w:r w:rsidRPr="14A5FA1C">
              <w:rPr>
                <w:b/>
                <w:bCs/>
              </w:rPr>
              <w:t>Group</w:t>
            </w:r>
            <w:r>
              <w:t>:</w:t>
            </w:r>
            <w:r w:rsidR="006F4459">
              <w:t xml:space="preserve"> </w:t>
            </w:r>
          </w:p>
          <w:p w14:paraId="1D674E66" w14:textId="77777777" w:rsidR="00D60C44" w:rsidRDefault="00D60C44" w:rsidP="00D60C44">
            <w:r>
              <w:t>Paula Rees-</w:t>
            </w:r>
            <w:proofErr w:type="spellStart"/>
            <w:r>
              <w:t>Rehwald</w:t>
            </w:r>
            <w:proofErr w:type="spellEnd"/>
          </w:p>
          <w:p w14:paraId="1F375ED2" w14:textId="453BB0DC" w:rsidR="00D60C44" w:rsidRDefault="00D60C44" w:rsidP="00D60C44">
            <w:r>
              <w:t>Aimee Leigh Jenkins</w:t>
            </w:r>
          </w:p>
          <w:p w14:paraId="2A3D67DF" w14:textId="66221991" w:rsidR="00D60C44" w:rsidRDefault="00D60C44" w:rsidP="00D60C44">
            <w:r>
              <w:t xml:space="preserve">Elsayed </w:t>
            </w:r>
            <w:proofErr w:type="spellStart"/>
            <w:r>
              <w:t>Elhoshi</w:t>
            </w:r>
            <w:proofErr w:type="spellEnd"/>
          </w:p>
          <w:p w14:paraId="4AB02473" w14:textId="72BD603E" w:rsidR="00D60C44" w:rsidRDefault="00D60C44" w:rsidP="00D60C44">
            <w:r>
              <w:t>Tracy Linsey</w:t>
            </w:r>
          </w:p>
        </w:tc>
      </w:tr>
      <w:tr w:rsidR="14A5FA1C" w14:paraId="07F5707C" w14:textId="77777777" w:rsidTr="14A5FA1C">
        <w:tc>
          <w:tcPr>
            <w:tcW w:w="4290" w:type="dxa"/>
          </w:tcPr>
          <w:p w14:paraId="07A20135" w14:textId="1C4CC29F" w:rsidR="19913911" w:rsidRDefault="19913911" w:rsidP="14A5FA1C">
            <w:r w:rsidRPr="14A5FA1C">
              <w:rPr>
                <w:b/>
                <w:bCs/>
              </w:rPr>
              <w:t>Setting (classroom, workshop etc)</w:t>
            </w:r>
            <w:r w:rsidR="647B948A">
              <w:t>:</w:t>
            </w:r>
            <w:r w:rsidR="006F4459">
              <w:t xml:space="preserve"> </w:t>
            </w:r>
            <w:r w:rsidR="00341E4B">
              <w:t>Small lecture room (microteach)</w:t>
            </w:r>
          </w:p>
        </w:tc>
        <w:tc>
          <w:tcPr>
            <w:tcW w:w="4725" w:type="dxa"/>
          </w:tcPr>
          <w:p w14:paraId="004543A2" w14:textId="47F35465" w:rsidR="19913911" w:rsidRDefault="19913911" w:rsidP="14A5FA1C">
            <w:r w:rsidRPr="14A5FA1C">
              <w:rPr>
                <w:b/>
                <w:bCs/>
              </w:rPr>
              <w:t>Number of learners</w:t>
            </w:r>
            <w:r>
              <w:t>:</w:t>
            </w:r>
            <w:r w:rsidR="006F4459">
              <w:t xml:space="preserve"> </w:t>
            </w:r>
            <w:r w:rsidR="00D60C44">
              <w:t>4</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3EBFD190" w14:textId="646BFEEA" w:rsidR="00DD0E2E" w:rsidRDefault="00DD0E2E" w:rsidP="00D72C0E">
            <w:pPr>
              <w:rPr>
                <w:lang w:val="en-US"/>
              </w:rPr>
            </w:pPr>
          </w:p>
          <w:p w14:paraId="483E6415" w14:textId="76F7FDB9" w:rsidR="0019021F" w:rsidRPr="0019021F" w:rsidRDefault="0019021F" w:rsidP="00D72C0E">
            <w:pPr>
              <w:rPr>
                <w:color w:val="4472C4" w:themeColor="accent1"/>
                <w:lang w:val="en-US"/>
              </w:rPr>
            </w:pPr>
            <w:r w:rsidRPr="0019021F">
              <w:rPr>
                <w:color w:val="4472C4" w:themeColor="accent1"/>
                <w:lang w:val="en-US"/>
              </w:rPr>
              <w:t>This content should be within your lesson plan (and it is) you do not need to provide so much information here too.</w:t>
            </w:r>
          </w:p>
          <w:p w14:paraId="33BB9E3A" w14:textId="77777777" w:rsidR="0019021F" w:rsidRDefault="0019021F" w:rsidP="00D72C0E">
            <w:pPr>
              <w:rPr>
                <w:lang w:val="en-US"/>
              </w:rPr>
            </w:pPr>
          </w:p>
          <w:p w14:paraId="64C50DD8" w14:textId="2B793827" w:rsidR="00DD0E2E" w:rsidRPr="00DD0E2E" w:rsidRDefault="00DD0E2E" w:rsidP="00D72C0E">
            <w:pPr>
              <w:rPr>
                <w:b/>
                <w:bCs/>
                <w:lang w:val="en-US"/>
              </w:rPr>
            </w:pPr>
            <w:r w:rsidRPr="00DD0E2E">
              <w:rPr>
                <w:b/>
                <w:bCs/>
                <w:lang w:val="en-US"/>
              </w:rPr>
              <w:t>Rationale</w:t>
            </w:r>
          </w:p>
          <w:p w14:paraId="172B9C4B" w14:textId="3AC595AF" w:rsidR="00D72C0E" w:rsidRDefault="00D72C0E" w:rsidP="00D72C0E">
            <w:pPr>
              <w:rPr>
                <w:lang w:val="en-US"/>
              </w:rPr>
            </w:pPr>
            <w:r w:rsidRPr="00D72C0E">
              <w:rPr>
                <w:lang w:val="en-US"/>
              </w:rPr>
              <w:t xml:space="preserve"> built my lecture following the format of my master’s lecturer. His approach follows a method of presenting the breadth of a subject and then showing specific examples. I wanted my microteach to be simultaneously cognitive (lecture) psychomotor (object handling) and affective through (reflective or self-exploratory practice). To promote a variety of learning styles.</w:t>
            </w:r>
            <w:r w:rsidR="005447A8">
              <w:rPr>
                <w:lang w:val="en-US"/>
              </w:rPr>
              <w:t xml:space="preserve"> I considered </w:t>
            </w:r>
            <w:r w:rsidR="00C11DB0">
              <w:rPr>
                <w:lang w:val="en-US"/>
              </w:rPr>
              <w:t>conventions in art lectures and curriculums in (Freedman,2024)</w:t>
            </w:r>
            <w:r w:rsidR="0058689A">
              <w:rPr>
                <w:lang w:val="en-US"/>
              </w:rPr>
              <w:t>.</w:t>
            </w:r>
          </w:p>
          <w:p w14:paraId="2797C227" w14:textId="77777777" w:rsidR="00DD0E2E" w:rsidRDefault="00DD0E2E" w:rsidP="00D72C0E">
            <w:pPr>
              <w:rPr>
                <w:lang w:val="en-US"/>
              </w:rPr>
            </w:pPr>
          </w:p>
          <w:p w14:paraId="5A0E87F3" w14:textId="57BB8421" w:rsidR="00DD0E2E" w:rsidRPr="00DD0E2E" w:rsidRDefault="00DD0E2E" w:rsidP="00D72C0E">
            <w:pPr>
              <w:rPr>
                <w:b/>
                <w:bCs/>
                <w:lang w:val="en-US"/>
              </w:rPr>
            </w:pPr>
            <w:r w:rsidRPr="00DD0E2E">
              <w:rPr>
                <w:b/>
                <w:bCs/>
                <w:lang w:val="en-US"/>
              </w:rPr>
              <w:t>Learning Objectives</w:t>
            </w:r>
          </w:p>
          <w:p w14:paraId="5E32456A" w14:textId="77777777" w:rsidR="00DD0E2E" w:rsidRPr="00DD0E2E" w:rsidRDefault="00DD0E2E" w:rsidP="00DD0E2E">
            <w:pPr>
              <w:rPr>
                <w:lang w:val="en-US"/>
              </w:rPr>
            </w:pPr>
            <w:r w:rsidRPr="00DD0E2E">
              <w:rPr>
                <w:b/>
                <w:bCs/>
                <w:lang w:val="en-US"/>
              </w:rPr>
              <w:t xml:space="preserve">1 EXPLORE </w:t>
            </w:r>
            <w:r w:rsidRPr="00DD0E2E">
              <w:rPr>
                <w:lang w:val="en-US"/>
              </w:rPr>
              <w:t>the key theme of the lecture:  </w:t>
            </w:r>
            <w:r w:rsidRPr="00DD0E2E">
              <w:rPr>
                <w:b/>
                <w:bCs/>
                <w:lang w:val="en-US"/>
              </w:rPr>
              <w:t>Masculinity (Reeser,2023 and Deslandes,2021) and Myth (Barthes,1957) Haute Couture and Haute Culture (Bourdieu,2020) ​</w:t>
            </w:r>
          </w:p>
          <w:p w14:paraId="499DC973" w14:textId="35EA0207" w:rsidR="00DD0E2E" w:rsidRPr="00DD0E2E" w:rsidRDefault="00DD0E2E" w:rsidP="00DD0E2E">
            <w:pPr>
              <w:rPr>
                <w:lang w:val="en-US"/>
              </w:rPr>
            </w:pPr>
            <w:r w:rsidRPr="00DD0E2E">
              <w:rPr>
                <w:lang w:val="en-US"/>
              </w:rPr>
              <w:t xml:space="preserve">This lecture will  cover </w:t>
            </w:r>
            <w:r w:rsidR="00F81B39">
              <w:rPr>
                <w:lang w:val="en-US"/>
              </w:rPr>
              <w:t xml:space="preserve">Judith Butler’s </w:t>
            </w:r>
            <w:r w:rsidRPr="00DD0E2E">
              <w:rPr>
                <w:lang w:val="en-US"/>
              </w:rPr>
              <w:t>Gender as a Performance (</w:t>
            </w:r>
            <w:r w:rsidR="00F81B39">
              <w:rPr>
                <w:lang w:val="en-US"/>
              </w:rPr>
              <w:t>Smith-Laing, 2017</w:t>
            </w:r>
            <w:r w:rsidRPr="00DD0E2E">
              <w:rPr>
                <w:lang w:val="en-US"/>
              </w:rPr>
              <w:t>) Dressed Embodiment (</w:t>
            </w:r>
            <w:proofErr w:type="spellStart"/>
            <w:r w:rsidRPr="00DD0E2E">
              <w:rPr>
                <w:lang w:val="en-US"/>
              </w:rPr>
              <w:t>Hesselbein</w:t>
            </w:r>
            <w:proofErr w:type="spellEnd"/>
            <w:r w:rsidRPr="00DD0E2E">
              <w:rPr>
                <w:lang w:val="en-US"/>
              </w:rPr>
              <w:t xml:space="preserve">, 2021) and Archetypes (Braam &amp; Dhoest,2022) (Barry et al, 2020) in </w:t>
            </w:r>
            <w:r w:rsidRPr="00DD0E2E">
              <w:rPr>
                <w:lang w:val="en-US"/>
              </w:rPr>
              <w:lastRenderedPageBreak/>
              <w:t>relation to ideas surrounding [Fashion] photography and male models of the 1950s (</w:t>
            </w:r>
            <w:proofErr w:type="spellStart"/>
            <w:r w:rsidRPr="00DD0E2E">
              <w:rPr>
                <w:lang w:val="en-US"/>
              </w:rPr>
              <w:t>Deslandes</w:t>
            </w:r>
            <w:proofErr w:type="spellEnd"/>
            <w:r w:rsidRPr="00DD0E2E">
              <w:rPr>
                <w:lang w:val="en-US"/>
              </w:rPr>
              <w:t xml:space="preserve"> 2021) linking these to wider sociopolitical events in Britain during the 1950s and 1960s building on (Barthes, 1957), (</w:t>
            </w:r>
            <w:proofErr w:type="spellStart"/>
            <w:r w:rsidRPr="00DD0E2E">
              <w:rPr>
                <w:lang w:val="en-US"/>
              </w:rPr>
              <w:t>Fuhg</w:t>
            </w:r>
            <w:proofErr w:type="spellEnd"/>
            <w:r w:rsidRPr="00DD0E2E">
              <w:rPr>
                <w:lang w:val="en-US"/>
              </w:rPr>
              <w:t>, 2020) and Bourdieu (2020). ​</w:t>
            </w:r>
          </w:p>
          <w:p w14:paraId="454627BB" w14:textId="77777777" w:rsidR="00DD0E2E" w:rsidRPr="00DD0E2E" w:rsidRDefault="00DD0E2E" w:rsidP="00DD0E2E">
            <w:pPr>
              <w:rPr>
                <w:lang w:val="en-US"/>
              </w:rPr>
            </w:pPr>
            <w:r w:rsidRPr="00DD0E2E">
              <w:rPr>
                <w:b/>
                <w:bCs/>
                <w:lang w:val="en-US"/>
              </w:rPr>
              <w:t xml:space="preserve">2 INTERPRET </w:t>
            </w:r>
            <w:r w:rsidRPr="00DD0E2E">
              <w:rPr>
                <w:lang w:val="en-US"/>
              </w:rPr>
              <w:t xml:space="preserve">this in the context of the </w:t>
            </w:r>
            <w:r w:rsidRPr="00DD0E2E">
              <w:rPr>
                <w:b/>
                <w:bCs/>
                <w:lang w:val="en-US"/>
              </w:rPr>
              <w:t xml:space="preserve">1950s </w:t>
            </w:r>
            <w:r w:rsidRPr="00DD0E2E">
              <w:rPr>
                <w:lang w:val="en-US"/>
              </w:rPr>
              <w:t xml:space="preserve">in images of Robin Tattersall through the </w:t>
            </w:r>
            <w:proofErr w:type="gramStart"/>
            <w:r w:rsidRPr="00DD0E2E">
              <w:rPr>
                <w:lang w:val="en-US"/>
              </w:rPr>
              <w:t>aforementioned lenses</w:t>
            </w:r>
            <w:proofErr w:type="gramEnd"/>
            <w:r w:rsidRPr="00DD0E2E">
              <w:rPr>
                <w:lang w:val="en-US"/>
              </w:rPr>
              <w:t xml:space="preserve"> through </w:t>
            </w:r>
            <w:r w:rsidRPr="00DD0E2E">
              <w:rPr>
                <w:b/>
                <w:bCs/>
                <w:lang w:val="en-US"/>
              </w:rPr>
              <w:t>visual analysis</w:t>
            </w:r>
            <w:r w:rsidRPr="00DD0E2E">
              <w:rPr>
                <w:lang w:val="en-US"/>
              </w:rPr>
              <w:t xml:space="preserve"> of a selection of period advertisements.​</w:t>
            </w:r>
          </w:p>
          <w:p w14:paraId="2F6EFA71" w14:textId="7746169A" w:rsidR="00DD0E2E" w:rsidRPr="00DD0E2E" w:rsidRDefault="00DD0E2E" w:rsidP="00DD0E2E">
            <w:pPr>
              <w:rPr>
                <w:lang w:val="en-US"/>
              </w:rPr>
            </w:pPr>
            <w:r w:rsidRPr="00DD0E2E">
              <w:rPr>
                <w:b/>
                <w:bCs/>
                <w:lang w:val="en-US"/>
              </w:rPr>
              <w:t>3 CREATE</w:t>
            </w:r>
            <w:r w:rsidRPr="00DD0E2E">
              <w:rPr>
                <w:lang w:val="en-US"/>
              </w:rPr>
              <w:t xml:space="preserve"> a </w:t>
            </w:r>
            <w:r w:rsidR="002353FE" w:rsidRPr="00DD0E2E">
              <w:rPr>
                <w:lang w:val="en-US"/>
              </w:rPr>
              <w:t>short reflective</w:t>
            </w:r>
            <w:r w:rsidRPr="00DD0E2E">
              <w:rPr>
                <w:lang w:val="en-US"/>
              </w:rPr>
              <w:t xml:space="preserve"> document of your ideas surrounding masculinity in the 1950s and be able to </w:t>
            </w:r>
            <w:r w:rsidRPr="00DD0E2E">
              <w:rPr>
                <w:b/>
                <w:bCs/>
                <w:lang w:val="en-US"/>
              </w:rPr>
              <w:t xml:space="preserve">Define ideas </w:t>
            </w:r>
            <w:r w:rsidRPr="00DD0E2E">
              <w:rPr>
                <w:lang w:val="en-US"/>
              </w:rPr>
              <w:t xml:space="preserve">surrounding </w:t>
            </w:r>
            <w:r w:rsidRPr="00DD0E2E">
              <w:rPr>
                <w:b/>
                <w:bCs/>
                <w:lang w:val="en-US"/>
              </w:rPr>
              <w:t xml:space="preserve">Masculinity </w:t>
            </w:r>
            <w:r w:rsidRPr="00DD0E2E">
              <w:rPr>
                <w:lang w:val="en-US"/>
              </w:rPr>
              <w:t>studies in relation to the aforementioned.</w:t>
            </w:r>
          </w:p>
          <w:p w14:paraId="6384BB4B" w14:textId="77777777" w:rsidR="00DD0E2E" w:rsidRDefault="00DD0E2E" w:rsidP="00D72C0E">
            <w:pPr>
              <w:rPr>
                <w:lang w:val="en-US"/>
              </w:rPr>
            </w:pPr>
          </w:p>
          <w:p w14:paraId="09D8D930" w14:textId="66E5C0F6" w:rsidR="00DD0E2E" w:rsidRDefault="00DD0E2E" w:rsidP="00D72C0E">
            <w:pPr>
              <w:rPr>
                <w:b/>
                <w:bCs/>
                <w:lang w:val="en-US"/>
              </w:rPr>
            </w:pPr>
            <w:r>
              <w:rPr>
                <w:b/>
                <w:bCs/>
                <w:lang w:val="en-US"/>
              </w:rPr>
              <w:t>Teaching strategies</w:t>
            </w:r>
            <w:r w:rsidR="00C624B4">
              <w:rPr>
                <w:b/>
                <w:bCs/>
                <w:lang w:val="en-US"/>
              </w:rPr>
              <w:t xml:space="preserve"> and Taxonomies</w:t>
            </w:r>
          </w:p>
          <w:p w14:paraId="58E01749" w14:textId="77777777" w:rsidR="00AB20E0" w:rsidRDefault="00AB20E0" w:rsidP="00D72C0E">
            <w:pPr>
              <w:rPr>
                <w:b/>
                <w:bCs/>
                <w:lang w:val="en-US"/>
              </w:rPr>
            </w:pPr>
          </w:p>
          <w:p w14:paraId="6034633A" w14:textId="77777777" w:rsidR="00AB20E0" w:rsidRPr="00DD0E2E" w:rsidRDefault="00AB20E0" w:rsidP="00D72C0E">
            <w:pPr>
              <w:rPr>
                <w:b/>
                <w:bCs/>
                <w:lang w:val="en-US"/>
              </w:rPr>
            </w:pPr>
          </w:p>
          <w:p w14:paraId="47BED88F" w14:textId="72540C00" w:rsidR="00D72C0E" w:rsidRDefault="00D72C0E" w:rsidP="00D72C0E">
            <w:pPr>
              <w:rPr>
                <w:lang w:val="en-US"/>
              </w:rPr>
            </w:pPr>
            <w:r w:rsidRPr="00D72C0E">
              <w:rPr>
                <w:lang w:val="en-US"/>
              </w:rPr>
              <w:t>I have set 3 tasks in developing taxonomies: 1 Exploring a handful of philosophical and sociopolitical theories as related to 1950s masculinity through a 15-minute lecture, 2 10 minute Interpretation of first-hand material (a case study of one male model Robin Tattersall and the photographer Norman Parkinson) in the form of a collaborative group seminar and then finally 3 a 5 minute Creation of a self-reflective or self-exploratory document looking at a personal encounter with a 1950s male either in personal life or visual media. Following the idea that “Research shows that students who participate in “self-exploratory activities develop stronger creative abilities” (Heckel, 20</w:t>
            </w:r>
            <w:r w:rsidR="00A06965">
              <w:rPr>
                <w:lang w:val="en-US"/>
              </w:rPr>
              <w:t>24</w:t>
            </w:r>
            <w:r w:rsidRPr="00D72C0E">
              <w:rPr>
                <w:lang w:val="en-US"/>
              </w:rPr>
              <w:t>, p.39)</w:t>
            </w:r>
            <w:r w:rsidR="0026677A">
              <w:rPr>
                <w:lang w:val="en-US"/>
              </w:rPr>
              <w:t xml:space="preserve">. </w:t>
            </w:r>
            <w:r w:rsidR="00C77916">
              <w:rPr>
                <w:lang w:val="en-US"/>
              </w:rPr>
              <w:t>By presenting</w:t>
            </w:r>
            <w:r w:rsidR="00781BD9">
              <w:rPr>
                <w:lang w:val="en-US"/>
              </w:rPr>
              <w:t xml:space="preserve"> a large range of </w:t>
            </w:r>
            <w:r w:rsidR="00190831">
              <w:rPr>
                <w:lang w:val="en-US"/>
              </w:rPr>
              <w:t xml:space="preserve">material through an overview format, </w:t>
            </w:r>
            <w:r w:rsidR="00904FAE">
              <w:rPr>
                <w:lang w:val="en-US"/>
              </w:rPr>
              <w:t xml:space="preserve">the student is encouraged </w:t>
            </w:r>
            <w:r w:rsidR="008E5AD8">
              <w:rPr>
                <w:lang w:val="en-US"/>
              </w:rPr>
              <w:t>to</w:t>
            </w:r>
            <w:r w:rsidR="0054418B">
              <w:rPr>
                <w:lang w:val="en-US"/>
              </w:rPr>
              <w:t xml:space="preserve"> </w:t>
            </w:r>
            <w:r w:rsidR="00E43FA1">
              <w:rPr>
                <w:lang w:val="en-US"/>
              </w:rPr>
              <w:t>continue</w:t>
            </w:r>
            <w:r w:rsidR="0054418B">
              <w:rPr>
                <w:lang w:val="en-US"/>
              </w:rPr>
              <w:t xml:space="preserve"> a supported journey of</w:t>
            </w:r>
            <w:r w:rsidR="008E5AD8">
              <w:rPr>
                <w:lang w:val="en-US"/>
              </w:rPr>
              <w:t xml:space="preserve"> self-explor</w:t>
            </w:r>
            <w:r w:rsidR="0054418B">
              <w:rPr>
                <w:lang w:val="en-US"/>
              </w:rPr>
              <w:t>ation into the subject of masculinity.</w:t>
            </w:r>
          </w:p>
          <w:p w14:paraId="2E2D983C" w14:textId="77777777" w:rsidR="00DD0E2E" w:rsidRDefault="00DD0E2E" w:rsidP="00D72C0E">
            <w:pPr>
              <w:rPr>
                <w:lang w:val="en-US"/>
              </w:rPr>
            </w:pPr>
          </w:p>
          <w:p w14:paraId="16F74E5B" w14:textId="5BD6DB07" w:rsidR="00DD0E2E" w:rsidRDefault="00DD0E2E" w:rsidP="00D72C0E">
            <w:pPr>
              <w:rPr>
                <w:lang w:val="en-US"/>
              </w:rPr>
            </w:pPr>
            <w:r>
              <w:rPr>
                <w:lang w:val="en-US"/>
              </w:rPr>
              <w:t>The teaching strategies I have used</w:t>
            </w:r>
            <w:r w:rsidR="00D23A64">
              <w:rPr>
                <w:lang w:val="en-US"/>
              </w:rPr>
              <w:t xml:space="preserve"> include lecture (independent), </w:t>
            </w:r>
            <w:r w:rsidR="00013AF8">
              <w:rPr>
                <w:lang w:val="en-US"/>
              </w:rPr>
              <w:t>seminar (</w:t>
            </w:r>
            <w:r w:rsidR="00D23A64">
              <w:rPr>
                <w:lang w:val="en-US"/>
              </w:rPr>
              <w:t xml:space="preserve">collaborative) and self-exploratory or self-reflective learning (independent). Loughlin and </w:t>
            </w:r>
            <w:r w:rsidR="002353FE">
              <w:rPr>
                <w:lang w:val="en-US"/>
              </w:rPr>
              <w:t>Sand (</w:t>
            </w:r>
            <w:r w:rsidR="00D23A64">
              <w:rPr>
                <w:lang w:val="en-US"/>
              </w:rPr>
              <w:t xml:space="preserve">2023) </w:t>
            </w:r>
            <w:r w:rsidR="002353FE">
              <w:rPr>
                <w:lang w:val="en-US"/>
              </w:rPr>
              <w:t xml:space="preserve">conclude that the ‘informal </w:t>
            </w:r>
            <w:r w:rsidR="00341E4B">
              <w:rPr>
                <w:lang w:val="en-US"/>
              </w:rPr>
              <w:t>networks</w:t>
            </w:r>
            <w:r w:rsidR="002353FE">
              <w:rPr>
                <w:lang w:val="en-US"/>
              </w:rPr>
              <w:t xml:space="preserve"> or Peer support offered during lectures enhanced their learning significantly which is why I have included </w:t>
            </w:r>
            <w:r w:rsidR="00341E4B">
              <w:rPr>
                <w:lang w:val="en-US"/>
              </w:rPr>
              <w:t>a</w:t>
            </w:r>
            <w:r w:rsidR="002353FE">
              <w:rPr>
                <w:lang w:val="en-US"/>
              </w:rPr>
              <w:t xml:space="preserve"> safe learning environment of a seminar/ object handling session which encourages peer supported learning</w:t>
            </w:r>
            <w:r w:rsidR="00AB370D">
              <w:rPr>
                <w:lang w:val="en-US"/>
              </w:rPr>
              <w:t xml:space="preserve"> instead of just an lecture alone</w:t>
            </w:r>
            <w:r w:rsidR="00280BF6">
              <w:rPr>
                <w:lang w:val="en-US"/>
              </w:rPr>
              <w:t>, “emphasizing academic skill development” (</w:t>
            </w:r>
            <w:proofErr w:type="spellStart"/>
            <w:r w:rsidR="00593026">
              <w:rPr>
                <w:lang w:val="en-US"/>
              </w:rPr>
              <w:t>Keup</w:t>
            </w:r>
            <w:proofErr w:type="spellEnd"/>
            <w:r w:rsidR="00593026">
              <w:rPr>
                <w:lang w:val="en-US"/>
              </w:rPr>
              <w:t xml:space="preserve"> et al</w:t>
            </w:r>
            <w:r w:rsidR="0010216C">
              <w:rPr>
                <w:lang w:val="en-US"/>
              </w:rPr>
              <w:t>, 2023,p.5)</w:t>
            </w:r>
            <w:r w:rsidR="009829A1">
              <w:rPr>
                <w:lang w:val="en-US"/>
              </w:rPr>
              <w:t xml:space="preserve"> I wanted to present the student with a range of skills including </w:t>
            </w:r>
            <w:r w:rsidR="008025E4">
              <w:rPr>
                <w:lang w:val="en-US"/>
              </w:rPr>
              <w:t>some around museology and touch (</w:t>
            </w:r>
            <w:r w:rsidR="00D55856">
              <w:rPr>
                <w:lang w:val="en-US"/>
              </w:rPr>
              <w:t>Chatterjee,2020)</w:t>
            </w:r>
            <w:r w:rsidR="003A25FC">
              <w:rPr>
                <w:lang w:val="en-US"/>
              </w:rPr>
              <w:t xml:space="preserve"> to emphasize </w:t>
            </w:r>
            <w:r w:rsidR="00B64C8E">
              <w:rPr>
                <w:lang w:val="en-US"/>
              </w:rPr>
              <w:t>the importance of touch as a</w:t>
            </w:r>
            <w:r w:rsidR="00066E92">
              <w:rPr>
                <w:lang w:val="en-US"/>
              </w:rPr>
              <w:t xml:space="preserve">n educational practice as well as emphasize the importance of </w:t>
            </w:r>
            <w:r w:rsidR="007A7286">
              <w:rPr>
                <w:lang w:val="en-US"/>
              </w:rPr>
              <w:t>object handling</w:t>
            </w:r>
            <w:r w:rsidR="00D178C8">
              <w:rPr>
                <w:lang w:val="en-US"/>
              </w:rPr>
              <w:t xml:space="preserve">/curation </w:t>
            </w:r>
            <w:r w:rsidR="007A7286">
              <w:rPr>
                <w:lang w:val="en-US"/>
              </w:rPr>
              <w:t xml:space="preserve">as well as </w:t>
            </w:r>
            <w:r w:rsidR="00066E92">
              <w:rPr>
                <w:lang w:val="en-US"/>
              </w:rPr>
              <w:t>collections in Wales (</w:t>
            </w:r>
            <w:r w:rsidR="007A7286">
              <w:rPr>
                <w:lang w:val="en-US"/>
              </w:rPr>
              <w:t>this is further detailed in my lesson plan)</w:t>
            </w:r>
            <w:r w:rsidR="00FF36BA">
              <w:rPr>
                <w:lang w:val="en-US"/>
              </w:rPr>
              <w:t xml:space="preserve"> and will be further detailed in my own reflective practice. </w:t>
            </w:r>
            <w:r w:rsidR="007A7286">
              <w:rPr>
                <w:lang w:val="en-US"/>
              </w:rPr>
              <w:t xml:space="preserve"> </w:t>
            </w:r>
          </w:p>
          <w:p w14:paraId="113C7A49" w14:textId="77777777" w:rsidR="003F3812" w:rsidRPr="00D72C0E" w:rsidRDefault="003F3812" w:rsidP="00D72C0E">
            <w:pPr>
              <w:rPr>
                <w:lang w:val="en-US"/>
              </w:rPr>
            </w:pPr>
          </w:p>
          <w:p w14:paraId="7F86CE9F" w14:textId="45BD4609" w:rsidR="00D72C0E" w:rsidRPr="00DD0E2E" w:rsidRDefault="00DD0E2E" w:rsidP="00D72C0E">
            <w:pPr>
              <w:rPr>
                <w:b/>
                <w:bCs/>
                <w:lang w:val="en-US"/>
              </w:rPr>
            </w:pPr>
            <w:r w:rsidRPr="00DD0E2E">
              <w:rPr>
                <w:b/>
                <w:bCs/>
                <w:lang w:val="en-US"/>
              </w:rPr>
              <w:t>Professional development</w:t>
            </w:r>
            <w:r>
              <w:rPr>
                <w:b/>
                <w:bCs/>
                <w:lang w:val="en-US"/>
              </w:rPr>
              <w:t xml:space="preserve"> &amp; Wider Curriculum</w:t>
            </w:r>
          </w:p>
          <w:p w14:paraId="52A9F0E6" w14:textId="77777777" w:rsidR="00DD0E2E" w:rsidRPr="00D72C0E" w:rsidRDefault="00DD0E2E" w:rsidP="00D72C0E">
            <w:pPr>
              <w:rPr>
                <w:lang w:val="en-US"/>
              </w:rPr>
            </w:pPr>
          </w:p>
          <w:p w14:paraId="71B1A072" w14:textId="3DE3309C" w:rsidR="00D72C0E" w:rsidRPr="00D72C0E" w:rsidRDefault="00D72C0E" w:rsidP="00D72C0E">
            <w:pPr>
              <w:rPr>
                <w:lang w:val="en-US"/>
              </w:rPr>
            </w:pPr>
            <w:r w:rsidRPr="00D72C0E">
              <w:rPr>
                <w:lang w:val="en-US"/>
              </w:rPr>
              <w:t>The lecture in this way promotes the learner’s professional development through the future ability to write creative essays around a variety of subjects within photographic practice, gender being a key one of them. The lectures in this wider curriculum would be designed to show an overview of photographic development within the twentieth century. This lecture will follow a lecture about the depiction of femini</w:t>
            </w:r>
            <w:r>
              <w:rPr>
                <w:lang w:val="en-US"/>
              </w:rPr>
              <w:t>ni</w:t>
            </w:r>
            <w:r w:rsidRPr="00D72C0E">
              <w:rPr>
                <w:lang w:val="en-US"/>
              </w:rPr>
              <w:t xml:space="preserve">ty in fashion imagery during the 1950s. </w:t>
            </w:r>
          </w:p>
          <w:p w14:paraId="46652AD4" w14:textId="77777777" w:rsidR="00D72C0E" w:rsidRDefault="00D72C0E" w:rsidP="00D72C0E">
            <w:pPr>
              <w:rPr>
                <w:lang w:val="en-US"/>
              </w:rPr>
            </w:pPr>
          </w:p>
          <w:p w14:paraId="6D57A3BA" w14:textId="0CDCF1EB" w:rsidR="00DD0E2E" w:rsidRPr="00DD0E2E" w:rsidRDefault="00DD0E2E" w:rsidP="00D72C0E">
            <w:pPr>
              <w:rPr>
                <w:b/>
                <w:bCs/>
                <w:lang w:val="en-US"/>
              </w:rPr>
            </w:pPr>
            <w:r w:rsidRPr="00DD0E2E">
              <w:rPr>
                <w:b/>
                <w:bCs/>
                <w:lang w:val="en-US"/>
              </w:rPr>
              <w:t>Assessment strategies</w:t>
            </w:r>
          </w:p>
          <w:p w14:paraId="3228D2C5" w14:textId="61766B89" w:rsidR="00D72C0E" w:rsidRDefault="00D72C0E" w:rsidP="00D72C0E">
            <w:pPr>
              <w:rPr>
                <w:lang w:val="en-US"/>
              </w:rPr>
            </w:pPr>
            <w:r w:rsidRPr="00D72C0E">
              <w:rPr>
                <w:lang w:val="en-US"/>
              </w:rPr>
              <w:t xml:space="preserve">The assessment strategy I am using is surrounding the idea of Authentic assessment (Ajjawi,2024). This includes ideas around ontological fidelity (Ajjawi,2024): which explores the lived experience of students and linking this to the concept of interpretative phenomenology (Stollz,2023) which is used by researchers to look at someone else’s lived experience in depth. By presenting the reasons behind the photographer’s choices including those made by the systems within they work as well as the biases which they may hold I aim to make the ideas as well as the individuals depicted in the photographs more tangible to my students. This is strengthened </w:t>
            </w:r>
            <w:r w:rsidR="00D56DEE" w:rsidRPr="00D72C0E">
              <w:rPr>
                <w:lang w:val="en-US"/>
              </w:rPr>
              <w:t>using</w:t>
            </w:r>
            <w:r w:rsidRPr="00D72C0E">
              <w:rPr>
                <w:lang w:val="en-US"/>
              </w:rPr>
              <w:t xml:space="preserve"> a clear case study in the seminar using just 1 photographer and 1 male model to deconstruct the material </w:t>
            </w:r>
            <w:proofErr w:type="gramStart"/>
            <w:r w:rsidRPr="00D72C0E">
              <w:rPr>
                <w:lang w:val="en-US"/>
              </w:rPr>
              <w:t>in a way that is clear</w:t>
            </w:r>
            <w:proofErr w:type="gramEnd"/>
            <w:r w:rsidRPr="00D72C0E">
              <w:rPr>
                <w:lang w:val="en-US"/>
              </w:rPr>
              <w:t xml:space="preserve"> for the student. I have done this following the idea that “When tasks are overly </w:t>
            </w:r>
            <w:r w:rsidRPr="00D72C0E">
              <w:rPr>
                <w:lang w:val="en-US"/>
              </w:rPr>
              <w:lastRenderedPageBreak/>
              <w:t>abstracted from their contexts, complexities and narratives, and characters and events are seen as merely placeholders for a technical problem, ontological fidelity is lost.” (</w:t>
            </w:r>
            <w:proofErr w:type="spellStart"/>
            <w:r w:rsidRPr="00D72C0E">
              <w:rPr>
                <w:lang w:val="en-US"/>
              </w:rPr>
              <w:t>Ajjawi</w:t>
            </w:r>
            <w:proofErr w:type="spellEnd"/>
            <w:r w:rsidRPr="00D72C0E">
              <w:rPr>
                <w:lang w:val="en-US"/>
              </w:rPr>
              <w:t xml:space="preserve"> et al,2024).</w:t>
            </w:r>
          </w:p>
          <w:p w14:paraId="2AA723B7" w14:textId="77777777" w:rsidR="00D368E2" w:rsidRDefault="00D368E2" w:rsidP="00D72C0E">
            <w:pPr>
              <w:rPr>
                <w:lang w:val="en-US"/>
              </w:rPr>
            </w:pPr>
          </w:p>
          <w:p w14:paraId="4146021C" w14:textId="77777777" w:rsidR="00D368E2" w:rsidRDefault="00D368E2" w:rsidP="00D368E2">
            <w:pPr>
              <w:rPr>
                <w:lang w:val="en-US"/>
              </w:rPr>
            </w:pPr>
            <w:r>
              <w:rPr>
                <w:lang w:val="en-US"/>
              </w:rPr>
              <w:t>Reece and Walker (Reece and Walker,2007, pp.123-124) explore seminar strategies. Yet according to Reece and Walker students in seminar often don’t have the information available to them. However, I have intentionally chosen to put the seminar after the lecture to reinforce the ideas presented in the lecture and to present them in a more manageable format of a case study and function almost as an assessment of whether the students can identify the ideas discussed in the lecture.</w:t>
            </w:r>
          </w:p>
          <w:p w14:paraId="708F3736" w14:textId="77777777" w:rsidR="00D368E2" w:rsidRPr="00D72C0E" w:rsidRDefault="00D368E2" w:rsidP="00D72C0E">
            <w:pPr>
              <w:rPr>
                <w:lang w:val="en-US"/>
              </w:rPr>
            </w:pPr>
          </w:p>
          <w:p w14:paraId="632A9B8B" w14:textId="77777777" w:rsidR="00D72C0E" w:rsidRPr="00D72C0E" w:rsidRDefault="00D72C0E" w:rsidP="00D72C0E">
            <w:pPr>
              <w:rPr>
                <w:lang w:val="en-US"/>
              </w:rPr>
            </w:pPr>
          </w:p>
          <w:p w14:paraId="19CFA519" w14:textId="466F4D10" w:rsidR="00DD0E2E" w:rsidRDefault="00D72C0E" w:rsidP="00D72C0E">
            <w:pPr>
              <w:rPr>
                <w:lang w:val="en-US"/>
              </w:rPr>
            </w:pPr>
            <w:r w:rsidRPr="00D72C0E">
              <w:rPr>
                <w:lang w:val="en-US"/>
              </w:rPr>
              <w:t xml:space="preserve">By presenting the ideas firstly as theoretical and secondly in practice by having the student look at the objects firsthand in a clear case study. I aim to accurately assess their understanding by asking the student first to think about (in the lecture) an encounter the student has already subconsciously with the material in their previous lived experience. Through the question what does a 1950s man look like? These ideas are then further discussed in the seminar increasing students’ confidence. This 'previous experience' is then combined with the </w:t>
            </w:r>
            <w:r w:rsidR="00D23A64" w:rsidRPr="00D72C0E">
              <w:rPr>
                <w:lang w:val="en-US"/>
              </w:rPr>
              <w:t>student’s</w:t>
            </w:r>
            <w:r w:rsidRPr="00D72C0E">
              <w:rPr>
                <w:lang w:val="en-US"/>
              </w:rPr>
              <w:t xml:space="preserve"> newfound knowledge into masculinity, through a self-reflective and self-exploratory document which asks the students to look at Two aspects of masculinity in the 1950s </w:t>
            </w:r>
            <w:r w:rsidR="00D6083E" w:rsidRPr="00D72C0E">
              <w:rPr>
                <w:lang w:val="en-US"/>
              </w:rPr>
              <w:t>and</w:t>
            </w:r>
            <w:r w:rsidRPr="00D72C0E">
              <w:rPr>
                <w:lang w:val="en-US"/>
              </w:rPr>
              <w:t xml:space="preserve"> provides a gentle first encounter through independent working into the ideas around what kind of men are not included.</w:t>
            </w:r>
          </w:p>
          <w:p w14:paraId="0F5C7A0B" w14:textId="77777777" w:rsidR="00DD0E2E" w:rsidRDefault="00DD0E2E" w:rsidP="00D72C0E">
            <w:pPr>
              <w:rPr>
                <w:lang w:val="en-US"/>
              </w:rPr>
            </w:pPr>
          </w:p>
          <w:p w14:paraId="6DA62234" w14:textId="77777777" w:rsidR="00DD0E2E" w:rsidRDefault="00DD0E2E" w:rsidP="00D72C0E">
            <w:pPr>
              <w:rPr>
                <w:lang w:val="en-US"/>
              </w:rPr>
            </w:pPr>
          </w:p>
          <w:p w14:paraId="749E0460" w14:textId="3DBBBD16" w:rsidR="00D72C0E" w:rsidRDefault="00D72C0E" w:rsidP="00D72C0E">
            <w:pPr>
              <w:rPr>
                <w:lang w:val="en-US"/>
              </w:rPr>
            </w:pPr>
            <w:r w:rsidRPr="00D72C0E">
              <w:rPr>
                <w:lang w:val="en-US"/>
              </w:rPr>
              <w:t xml:space="preserve"> </w:t>
            </w:r>
            <w:r w:rsidR="00DD0E2E">
              <w:rPr>
                <w:lang w:val="en-US"/>
              </w:rPr>
              <w:t>This is also to include</w:t>
            </w:r>
            <w:r w:rsidR="00D23A64">
              <w:rPr>
                <w:lang w:val="en-US"/>
              </w:rPr>
              <w:t xml:space="preserve"> ideas around supporting student learning through </w:t>
            </w:r>
            <w:r w:rsidR="00DD0E2E">
              <w:rPr>
                <w:lang w:val="en-US"/>
              </w:rPr>
              <w:t>conscious competence</w:t>
            </w:r>
            <w:r w:rsidR="00D23A64">
              <w:rPr>
                <w:lang w:val="en-US"/>
              </w:rPr>
              <w:t>. “</w:t>
            </w:r>
            <w:r w:rsidR="00D23A64" w:rsidRPr="00D23A64">
              <w:rPr>
                <w:lang w:val="en-US"/>
              </w:rPr>
              <w:t>The more we can help students to be aware of their competences, the better their motivation. In other words, conscious competence links to the wanting-to-learn factor. It breeds confidence.</w:t>
            </w:r>
            <w:r w:rsidR="00D23A64">
              <w:rPr>
                <w:lang w:val="en-US"/>
              </w:rPr>
              <w:t>” (Race, 2019, p.24) By making students aware of the fact that they likely already have ideas about 1950s men and strengthening this through both my lecture (independent learning) and seminar (collaborative learning) I aim to</w:t>
            </w:r>
            <w:r w:rsidR="00D23A64" w:rsidRPr="00D72C0E">
              <w:rPr>
                <w:lang w:val="en-US"/>
              </w:rPr>
              <w:t xml:space="preserve"> increase students’ confidence around this highly complex material at level 6/7.</w:t>
            </w:r>
          </w:p>
          <w:p w14:paraId="1AD22657" w14:textId="77777777" w:rsidR="0010216C" w:rsidRDefault="0010216C" w:rsidP="00D72C0E">
            <w:pPr>
              <w:rPr>
                <w:lang w:val="en-US"/>
              </w:rPr>
            </w:pPr>
          </w:p>
          <w:p w14:paraId="53E47D8B" w14:textId="77777777" w:rsidR="0010216C" w:rsidRDefault="0010216C" w:rsidP="00D72C0E">
            <w:pPr>
              <w:rPr>
                <w:lang w:val="en-US"/>
              </w:rPr>
            </w:pPr>
          </w:p>
          <w:p w14:paraId="1715D16B" w14:textId="0B1586E4" w:rsidR="00D72C0E" w:rsidRPr="00D72C0E" w:rsidRDefault="00D72C0E" w:rsidP="00D72C0E">
            <w:pPr>
              <w:rPr>
                <w:lang w:val="en-US"/>
              </w:rPr>
            </w:pPr>
            <w:r w:rsidRPr="00D72C0E">
              <w:rPr>
                <w:lang w:val="en-US"/>
              </w:rPr>
              <w:t>References:</w:t>
            </w:r>
          </w:p>
          <w:p w14:paraId="3B0FB077" w14:textId="77777777" w:rsidR="00D72C0E" w:rsidRPr="00D72C0E" w:rsidRDefault="00D72C0E" w:rsidP="00D72C0E">
            <w:pPr>
              <w:rPr>
                <w:lang w:val="en-US"/>
              </w:rPr>
            </w:pPr>
          </w:p>
          <w:p w14:paraId="63F1A0B7" w14:textId="77777777" w:rsidR="00D72C0E" w:rsidRDefault="00D72C0E" w:rsidP="00D72C0E">
            <w:pPr>
              <w:rPr>
                <w:lang w:val="en-US"/>
              </w:rPr>
            </w:pPr>
            <w:proofErr w:type="spellStart"/>
            <w:r w:rsidRPr="00D72C0E">
              <w:rPr>
                <w:lang w:val="en-US"/>
              </w:rPr>
              <w:t>Ajjawi</w:t>
            </w:r>
            <w:proofErr w:type="spellEnd"/>
            <w:r w:rsidRPr="00D72C0E">
              <w:rPr>
                <w:lang w:val="en-US"/>
              </w:rPr>
              <w:t xml:space="preserve">, R., Tai, J., Huu Nghia, T.L., </w:t>
            </w:r>
            <w:proofErr w:type="spellStart"/>
            <w:r w:rsidRPr="00D72C0E">
              <w:rPr>
                <w:lang w:val="en-US"/>
              </w:rPr>
              <w:t>Boud</w:t>
            </w:r>
            <w:proofErr w:type="spellEnd"/>
            <w:r w:rsidRPr="00D72C0E">
              <w:rPr>
                <w:lang w:val="en-US"/>
              </w:rPr>
              <w:t>, D., Johnson, L. and Patrick, C.J., 2020. Aligning assessment with the needs of work-integrated learning: The challenges of authentic assessment in a complex context. Assessment &amp; Evaluation in Higher Education, 45(2), pp.304-316.</w:t>
            </w:r>
          </w:p>
          <w:p w14:paraId="02D8D870" w14:textId="77777777" w:rsidR="000A05EE" w:rsidRDefault="000A05EE" w:rsidP="00D72C0E">
            <w:pPr>
              <w:rPr>
                <w:lang w:val="en-US"/>
              </w:rPr>
            </w:pPr>
          </w:p>
          <w:p w14:paraId="4F0D9666" w14:textId="6503CF33" w:rsidR="000A05EE" w:rsidRDefault="000A05EE" w:rsidP="00D72C0E">
            <w:pPr>
              <w:rPr>
                <w:lang w:val="en-US"/>
              </w:rPr>
            </w:pPr>
            <w:r w:rsidRPr="000A05EE">
              <w:rPr>
                <w:lang w:val="en-US"/>
              </w:rPr>
              <w:t>Chatterjee, H. ed., 2020. Touch in museums: Policy and practice in object handling. Routledge.</w:t>
            </w:r>
          </w:p>
          <w:p w14:paraId="5B712A8A" w14:textId="77777777" w:rsidR="005447A8" w:rsidRDefault="005447A8" w:rsidP="00D72C0E">
            <w:pPr>
              <w:rPr>
                <w:lang w:val="en-US"/>
              </w:rPr>
            </w:pPr>
          </w:p>
          <w:p w14:paraId="490A2985" w14:textId="77777777" w:rsidR="005447A8" w:rsidRPr="005447A8" w:rsidRDefault="005447A8" w:rsidP="005447A8">
            <w:pPr>
              <w:rPr>
                <w:lang w:val="en-US"/>
              </w:rPr>
            </w:pPr>
          </w:p>
          <w:p w14:paraId="22A734B2" w14:textId="25E7AE22" w:rsidR="005447A8" w:rsidRDefault="005447A8" w:rsidP="005447A8">
            <w:pPr>
              <w:rPr>
                <w:lang w:val="en-US"/>
              </w:rPr>
            </w:pPr>
            <w:r w:rsidRPr="005447A8">
              <w:rPr>
                <w:lang w:val="en-US"/>
              </w:rPr>
              <w:t>Freedman, K. and Hernández-Hernández, F. eds., 2024. Curriculum, culture, and art education: Comparative perspectives. Suny Press.</w:t>
            </w:r>
          </w:p>
          <w:p w14:paraId="47DECFA8" w14:textId="77777777" w:rsidR="0010216C" w:rsidRDefault="0010216C" w:rsidP="00D72C0E">
            <w:pPr>
              <w:rPr>
                <w:lang w:val="en-US"/>
              </w:rPr>
            </w:pPr>
          </w:p>
          <w:p w14:paraId="35D7C804" w14:textId="718FB888" w:rsidR="001742FA" w:rsidRPr="001742FA" w:rsidRDefault="001742FA" w:rsidP="00D72C0E">
            <w:pPr>
              <w:rPr>
                <w:sz w:val="24"/>
                <w:szCs w:val="24"/>
              </w:rPr>
            </w:pPr>
            <w:r w:rsidRPr="001742FA">
              <w:rPr>
                <w:sz w:val="24"/>
                <w:szCs w:val="24"/>
              </w:rPr>
              <w:t>Heckel, H., 2024. Leadership Skills and Teaching Creativity Through Art Education. </w:t>
            </w:r>
            <w:r w:rsidRPr="001742FA">
              <w:rPr>
                <w:i/>
                <w:iCs/>
                <w:sz w:val="24"/>
                <w:szCs w:val="24"/>
              </w:rPr>
              <w:t>Art Education</w:t>
            </w:r>
            <w:r w:rsidRPr="001742FA">
              <w:rPr>
                <w:sz w:val="24"/>
                <w:szCs w:val="24"/>
              </w:rPr>
              <w:t>, </w:t>
            </w:r>
            <w:r w:rsidRPr="001742FA">
              <w:rPr>
                <w:i/>
                <w:iCs/>
                <w:sz w:val="24"/>
                <w:szCs w:val="24"/>
              </w:rPr>
              <w:t>77</w:t>
            </w:r>
            <w:r w:rsidRPr="001742FA">
              <w:rPr>
                <w:sz w:val="24"/>
                <w:szCs w:val="24"/>
              </w:rPr>
              <w:t>(1), pp.39-44.</w:t>
            </w:r>
          </w:p>
          <w:p w14:paraId="1AF73729" w14:textId="77777777" w:rsidR="001742FA" w:rsidRDefault="001742FA" w:rsidP="00D72C0E">
            <w:pPr>
              <w:rPr>
                <w:lang w:val="en-US"/>
              </w:rPr>
            </w:pPr>
          </w:p>
          <w:p w14:paraId="07EAEA00" w14:textId="5D76093B" w:rsidR="0010216C" w:rsidRDefault="0010216C" w:rsidP="00D72C0E">
            <w:pPr>
              <w:rPr>
                <w:lang w:val="en-US"/>
              </w:rPr>
            </w:pPr>
            <w:proofErr w:type="spellStart"/>
            <w:r w:rsidRPr="0010216C">
              <w:rPr>
                <w:lang w:val="en-US"/>
              </w:rPr>
              <w:t>Keup</w:t>
            </w:r>
            <w:proofErr w:type="spellEnd"/>
            <w:r w:rsidRPr="0010216C">
              <w:rPr>
                <w:lang w:val="en-US"/>
              </w:rPr>
              <w:t xml:space="preserve">, J.R., </w:t>
            </w:r>
            <w:proofErr w:type="spellStart"/>
            <w:r w:rsidRPr="0010216C">
              <w:rPr>
                <w:lang w:val="en-US"/>
              </w:rPr>
              <w:t>Petschauer</w:t>
            </w:r>
            <w:proofErr w:type="spellEnd"/>
            <w:r w:rsidRPr="0010216C">
              <w:rPr>
                <w:lang w:val="en-US"/>
              </w:rPr>
              <w:t xml:space="preserve">, J.W., </w:t>
            </w:r>
            <w:proofErr w:type="spellStart"/>
            <w:r w:rsidRPr="0010216C">
              <w:rPr>
                <w:lang w:val="en-US"/>
              </w:rPr>
              <w:t>Groccia</w:t>
            </w:r>
            <w:proofErr w:type="spellEnd"/>
            <w:r w:rsidRPr="0010216C">
              <w:rPr>
                <w:lang w:val="en-US"/>
              </w:rPr>
              <w:t>, J.E., Hunter, M.S., Garner, B., Latino, J.A., Ashcraft, M.L. and Friedman, D.B. eds., 2023. The first-year seminar: Designing, implementing, and assessing courses to support student learning and success. The National Resource Center for The First-Year Experience.</w:t>
            </w:r>
          </w:p>
          <w:p w14:paraId="37670A50" w14:textId="77777777" w:rsidR="00AA776B" w:rsidRDefault="00AA776B" w:rsidP="00D72C0E">
            <w:pPr>
              <w:rPr>
                <w:lang w:val="en-US"/>
              </w:rPr>
            </w:pPr>
          </w:p>
          <w:p w14:paraId="27C40FD0" w14:textId="70BDA1B5" w:rsidR="00AA776B" w:rsidRPr="00D72C0E" w:rsidRDefault="00AA776B" w:rsidP="00D72C0E">
            <w:pPr>
              <w:rPr>
                <w:lang w:val="en-US"/>
              </w:rPr>
            </w:pPr>
            <w:r w:rsidRPr="00AA776B">
              <w:t xml:space="preserve">Loughlin, C. and Lindberg-Sand, Å., 2023. The use of lectures: effective pedagogy or seeds scattered on the </w:t>
            </w:r>
            <w:proofErr w:type="gramStart"/>
            <w:r w:rsidRPr="00AA776B">
              <w:t>wind?.</w:t>
            </w:r>
            <w:proofErr w:type="gramEnd"/>
            <w:r w:rsidRPr="00AA776B">
              <w:t> </w:t>
            </w:r>
            <w:r w:rsidRPr="00AA776B">
              <w:rPr>
                <w:i/>
                <w:iCs/>
              </w:rPr>
              <w:t>Higher Education</w:t>
            </w:r>
            <w:r w:rsidRPr="00AA776B">
              <w:t>, </w:t>
            </w:r>
            <w:r w:rsidRPr="00AA776B">
              <w:rPr>
                <w:i/>
                <w:iCs/>
              </w:rPr>
              <w:t>85</w:t>
            </w:r>
            <w:r w:rsidRPr="00AA776B">
              <w:t>(2), pp.283-299.</w:t>
            </w:r>
          </w:p>
          <w:p w14:paraId="3375D59A" w14:textId="77777777" w:rsidR="00D72C0E" w:rsidRPr="00D72C0E" w:rsidRDefault="00D72C0E" w:rsidP="00D72C0E">
            <w:pPr>
              <w:rPr>
                <w:lang w:val="en-US"/>
              </w:rPr>
            </w:pPr>
          </w:p>
          <w:p w14:paraId="1321894B" w14:textId="4A904B6A" w:rsidR="00EC4CD5" w:rsidRDefault="00D72C0E" w:rsidP="00D72C0E">
            <w:pPr>
              <w:rPr>
                <w:lang w:val="en-US"/>
              </w:rPr>
            </w:pPr>
            <w:r w:rsidRPr="00D72C0E">
              <w:rPr>
                <w:lang w:val="en-US"/>
              </w:rPr>
              <w:t>Stolz, S.A., 2023. The practice of phenomenology in educational research. Educational Philosophy and Theory, 55(7), pp.822-834.</w:t>
            </w:r>
          </w:p>
          <w:p w14:paraId="0C291772" w14:textId="77777777" w:rsidR="00D23A64" w:rsidRDefault="00D23A64" w:rsidP="00D72C0E">
            <w:pPr>
              <w:rPr>
                <w:lang w:val="en-US"/>
              </w:rPr>
            </w:pPr>
          </w:p>
          <w:p w14:paraId="6CC369ED" w14:textId="768366C2" w:rsidR="00D23A64" w:rsidRDefault="00D23A64" w:rsidP="00D72C0E">
            <w:pPr>
              <w:rPr>
                <w:lang w:val="en-US"/>
              </w:rPr>
            </w:pPr>
            <w:r w:rsidRPr="00D23A64">
              <w:rPr>
                <w:lang w:val="en-US"/>
              </w:rPr>
              <w:t xml:space="preserve">Race, P. (2019) The Lecturer’s Toolkit. 5th </w:t>
            </w:r>
            <w:proofErr w:type="spellStart"/>
            <w:r w:rsidRPr="00D23A64">
              <w:rPr>
                <w:lang w:val="en-US"/>
              </w:rPr>
              <w:t>edn</w:t>
            </w:r>
            <w:proofErr w:type="spellEnd"/>
            <w:r w:rsidRPr="00D23A64">
              <w:rPr>
                <w:lang w:val="en-US"/>
              </w:rPr>
              <w:t>. Routledge. Available at: https://www.perlego.com/book/1603214 (Accessed: 1 November 2024).</w:t>
            </w:r>
          </w:p>
          <w:p w14:paraId="623ECDB2" w14:textId="4270E3AB" w:rsidR="009829A1" w:rsidRDefault="009829A1" w:rsidP="00D72C0E">
            <w:pPr>
              <w:rPr>
                <w:lang w:val="en-US"/>
              </w:rPr>
            </w:pPr>
          </w:p>
          <w:p w14:paraId="0CE7E437" w14:textId="3F13F911" w:rsidR="00D6083E" w:rsidRDefault="00D6083E" w:rsidP="00D72C0E">
            <w:pPr>
              <w:rPr>
                <w:lang w:val="en-US"/>
              </w:rPr>
            </w:pPr>
            <w:r w:rsidRPr="00D6083E">
              <w:rPr>
                <w:lang w:val="en-US"/>
              </w:rPr>
              <w:t>Reece, I., Walker, S., Clues, D. and Charlton, M., 2007. Teaching, training and learning: A practical guide.</w:t>
            </w:r>
          </w:p>
          <w:p w14:paraId="747755D9" w14:textId="77777777" w:rsidR="0058689A" w:rsidRDefault="0058689A" w:rsidP="00D72C0E">
            <w:pPr>
              <w:rPr>
                <w:lang w:val="en-US"/>
              </w:rPr>
            </w:pPr>
          </w:p>
          <w:p w14:paraId="273F9C03" w14:textId="6528BDDA" w:rsidR="00AE279D" w:rsidRDefault="00AE279D" w:rsidP="00D72C0E">
            <w:pPr>
              <w:rPr>
                <w:lang w:val="en-US"/>
              </w:rPr>
            </w:pPr>
            <w:r>
              <w:rPr>
                <w:lang w:val="en-US"/>
              </w:rPr>
              <w:t>Resources used in lecture:</w:t>
            </w:r>
          </w:p>
          <w:tbl>
            <w:tblPr>
              <w:tblW w:w="6570" w:type="dxa"/>
              <w:tblCellMar>
                <w:left w:w="0" w:type="dxa"/>
                <w:right w:w="0" w:type="dxa"/>
              </w:tblCellMar>
              <w:tblLook w:val="04A0" w:firstRow="1" w:lastRow="0" w:firstColumn="1" w:lastColumn="0" w:noHBand="0" w:noVBand="1"/>
            </w:tblPr>
            <w:tblGrid>
              <w:gridCol w:w="6570"/>
            </w:tblGrid>
            <w:tr w:rsidR="009C6F1B" w:rsidRPr="009C6F1B" w14:paraId="4A778563" w14:textId="77777777">
              <w:tc>
                <w:tcPr>
                  <w:tcW w:w="0" w:type="auto"/>
                  <w:vAlign w:val="center"/>
                  <w:hideMark/>
                </w:tcPr>
                <w:p w14:paraId="7C40512F" w14:textId="77777777" w:rsidR="009C6F1B" w:rsidRPr="009C6F1B" w:rsidRDefault="009C6F1B" w:rsidP="009C6F1B">
                  <w:pPr>
                    <w:spacing w:after="0" w:line="240" w:lineRule="auto"/>
                    <w:rPr>
                      <w:lang w:val="en-US"/>
                    </w:rPr>
                  </w:pPr>
                </w:p>
              </w:tc>
            </w:tr>
            <w:tr w:rsidR="009C6F1B" w:rsidRPr="009C6F1B" w14:paraId="0389CA7D" w14:textId="77777777">
              <w:tc>
                <w:tcPr>
                  <w:tcW w:w="0" w:type="auto"/>
                  <w:tcMar>
                    <w:top w:w="120" w:type="dxa"/>
                    <w:left w:w="0" w:type="dxa"/>
                    <w:bottom w:w="120" w:type="dxa"/>
                    <w:right w:w="0" w:type="dxa"/>
                  </w:tcMar>
                  <w:hideMark/>
                </w:tcPr>
                <w:p w14:paraId="28A8907A" w14:textId="3B744BCF" w:rsidR="00424C71" w:rsidRDefault="00223C9C" w:rsidP="009C6F1B">
                  <w:pPr>
                    <w:spacing w:after="0" w:line="240" w:lineRule="auto"/>
                    <w:rPr>
                      <w:lang w:val="en-US"/>
                    </w:rPr>
                  </w:pPr>
                  <w:r w:rsidRPr="0098203D">
                    <w:rPr>
                      <w:lang w:val="fr-FR"/>
                    </w:rPr>
                    <w:t xml:space="preserve">Bourdieu, P., 2020. Haute </w:t>
                  </w:r>
                  <w:r w:rsidR="00AE3D76" w:rsidRPr="0098203D">
                    <w:rPr>
                      <w:lang w:val="fr-FR"/>
                    </w:rPr>
                    <w:t>C</w:t>
                  </w:r>
                  <w:r w:rsidRPr="0098203D">
                    <w:rPr>
                      <w:lang w:val="fr-FR"/>
                    </w:rPr>
                    <w:t xml:space="preserve">outure and </w:t>
                  </w:r>
                  <w:r w:rsidR="00AE3D76" w:rsidRPr="0098203D">
                    <w:rPr>
                      <w:lang w:val="fr-FR"/>
                    </w:rPr>
                    <w:t>H</w:t>
                  </w:r>
                  <w:r w:rsidRPr="0098203D">
                    <w:rPr>
                      <w:lang w:val="fr-FR"/>
                    </w:rPr>
                    <w:t xml:space="preserve">aute </w:t>
                  </w:r>
                  <w:r w:rsidR="00AE3D76" w:rsidRPr="0098203D">
                    <w:rPr>
                      <w:lang w:val="fr-FR"/>
                    </w:rPr>
                    <w:t>C</w:t>
                  </w:r>
                  <w:r w:rsidRPr="0098203D">
                    <w:rPr>
                      <w:lang w:val="fr-FR"/>
                    </w:rPr>
                    <w:t xml:space="preserve">ulture. </w:t>
                  </w:r>
                  <w:r w:rsidRPr="00223C9C">
                    <w:rPr>
                      <w:lang w:val="en-US"/>
                    </w:rPr>
                    <w:t>In Fashion Theory (pp. 46-52). Routledge.</w:t>
                  </w:r>
                </w:p>
                <w:p w14:paraId="7CDFBAB6" w14:textId="77777777" w:rsidR="00DD43DF" w:rsidRDefault="00DD43DF" w:rsidP="009C6F1B">
                  <w:pPr>
                    <w:spacing w:after="0" w:line="240" w:lineRule="auto"/>
                    <w:rPr>
                      <w:lang w:val="en-US"/>
                    </w:rPr>
                  </w:pPr>
                </w:p>
                <w:p w14:paraId="71AF0CCF" w14:textId="3F90B12C" w:rsidR="00DD43DF" w:rsidRDefault="00DD43DF" w:rsidP="009C6F1B">
                  <w:pPr>
                    <w:spacing w:after="0" w:line="240" w:lineRule="auto"/>
                    <w:rPr>
                      <w:lang w:val="en-US"/>
                    </w:rPr>
                  </w:pPr>
                  <w:proofErr w:type="spellStart"/>
                  <w:r w:rsidRPr="00DD43DF">
                    <w:rPr>
                      <w:lang w:val="en-US"/>
                    </w:rPr>
                    <w:t>Fuhg</w:t>
                  </w:r>
                  <w:proofErr w:type="spellEnd"/>
                  <w:r w:rsidRPr="00DD43DF">
                    <w:rPr>
                      <w:lang w:val="en-US"/>
                    </w:rPr>
                    <w:t>, F., 2021. Did Britain rule the world again? The international fashion market and the continental look in 1960s London. Contemporary British History, 35(3), pp.365-391.</w:t>
                  </w:r>
                </w:p>
                <w:p w14:paraId="34F59453" w14:textId="77777777" w:rsidR="00223C9C" w:rsidRDefault="00223C9C" w:rsidP="009C6F1B">
                  <w:pPr>
                    <w:spacing w:after="0" w:line="240" w:lineRule="auto"/>
                    <w:rPr>
                      <w:lang w:val="en-US"/>
                    </w:rPr>
                  </w:pPr>
                </w:p>
                <w:p w14:paraId="664516D5" w14:textId="5EF64456" w:rsidR="009C6F1B" w:rsidRPr="009C6F1B" w:rsidRDefault="009C6F1B" w:rsidP="009C6F1B">
                  <w:pPr>
                    <w:spacing w:after="0" w:line="240" w:lineRule="auto"/>
                    <w:rPr>
                      <w:lang w:val="en-US"/>
                    </w:rPr>
                  </w:pPr>
                  <w:proofErr w:type="spellStart"/>
                  <w:r w:rsidRPr="009C6F1B">
                    <w:rPr>
                      <w:lang w:val="en-US"/>
                    </w:rPr>
                    <w:t>Deslandes</w:t>
                  </w:r>
                  <w:proofErr w:type="spellEnd"/>
                  <w:r w:rsidRPr="009C6F1B">
                    <w:rPr>
                      <w:lang w:val="en-US"/>
                    </w:rPr>
                    <w:t>, P.R., 2021. </w:t>
                  </w:r>
                  <w:r w:rsidRPr="009C6F1B">
                    <w:rPr>
                      <w:i/>
                      <w:iCs/>
                      <w:lang w:val="en-US"/>
                    </w:rPr>
                    <w:t>The Culture of Male Beauty in Britain: From the First Photographs to David Beckham</w:t>
                  </w:r>
                  <w:r w:rsidRPr="009C6F1B">
                    <w:rPr>
                      <w:lang w:val="en-US"/>
                    </w:rPr>
                    <w:t>. University of Chicago Press.</w:t>
                  </w:r>
                </w:p>
              </w:tc>
            </w:tr>
            <w:tr w:rsidR="009C6F1B" w:rsidRPr="009C6F1B" w14:paraId="59954B3C" w14:textId="77777777">
              <w:tc>
                <w:tcPr>
                  <w:tcW w:w="0" w:type="auto"/>
                  <w:tcMar>
                    <w:top w:w="120" w:type="dxa"/>
                    <w:left w:w="0" w:type="dxa"/>
                    <w:bottom w:w="120" w:type="dxa"/>
                    <w:right w:w="0" w:type="dxa"/>
                  </w:tcMar>
                  <w:hideMark/>
                </w:tcPr>
                <w:p w14:paraId="5829E078" w14:textId="77777777" w:rsidR="009C6F1B" w:rsidRPr="009C6F1B" w:rsidRDefault="009C6F1B" w:rsidP="009C6F1B">
                  <w:pPr>
                    <w:spacing w:after="0" w:line="240" w:lineRule="auto"/>
                    <w:rPr>
                      <w:lang w:val="en-US"/>
                    </w:rPr>
                  </w:pPr>
                </w:p>
              </w:tc>
            </w:tr>
          </w:tbl>
          <w:p w14:paraId="3EC69233" w14:textId="0E5A0EA8" w:rsidR="00684F47" w:rsidRDefault="00684F47" w:rsidP="00D72C0E">
            <w:proofErr w:type="spellStart"/>
            <w:r w:rsidRPr="00684F47">
              <w:t>Hesselbein</w:t>
            </w:r>
            <w:proofErr w:type="spellEnd"/>
            <w:r w:rsidRPr="00684F47">
              <w:t xml:space="preserve">, C., 2021. Walking the catwalk: From </w:t>
            </w:r>
            <w:r w:rsidR="00CF0E85">
              <w:t>Dr</w:t>
            </w:r>
            <w:r w:rsidRPr="00684F47">
              <w:t xml:space="preserve">essed </w:t>
            </w:r>
            <w:r w:rsidR="00CF0E85">
              <w:t>B</w:t>
            </w:r>
            <w:r w:rsidRPr="00684F47">
              <w:t xml:space="preserve">ody to </w:t>
            </w:r>
            <w:r w:rsidR="00CF0E85">
              <w:t>D</w:t>
            </w:r>
            <w:r w:rsidRPr="00684F47">
              <w:t xml:space="preserve">ressed </w:t>
            </w:r>
            <w:r w:rsidR="00CF0E85">
              <w:t>E</w:t>
            </w:r>
            <w:r w:rsidRPr="00684F47">
              <w:t>mbodiment. </w:t>
            </w:r>
            <w:r w:rsidRPr="00684F47">
              <w:rPr>
                <w:i/>
                <w:iCs/>
              </w:rPr>
              <w:t>Fashion Theory</w:t>
            </w:r>
            <w:r w:rsidRPr="00684F47">
              <w:t>, </w:t>
            </w:r>
            <w:r w:rsidRPr="00684F47">
              <w:rPr>
                <w:i/>
                <w:iCs/>
              </w:rPr>
              <w:t>25</w:t>
            </w:r>
            <w:r w:rsidRPr="00684F47">
              <w:t>(3), pp.367-393.</w:t>
            </w:r>
          </w:p>
          <w:p w14:paraId="627C278C" w14:textId="77777777" w:rsidR="00424C71" w:rsidRDefault="00424C71" w:rsidP="00D72C0E"/>
          <w:p w14:paraId="21BECD66" w14:textId="789B9BC5" w:rsidR="00380CFA" w:rsidRDefault="00380CFA" w:rsidP="00D72C0E">
            <w:proofErr w:type="spellStart"/>
            <w:r w:rsidRPr="00380CFA">
              <w:t>Huppatz</w:t>
            </w:r>
            <w:proofErr w:type="spellEnd"/>
            <w:r w:rsidRPr="00380CFA">
              <w:t xml:space="preserve">, D.J., 2011. Roland </w:t>
            </w:r>
            <w:r w:rsidR="00DD43DF" w:rsidRPr="00380CFA">
              <w:t>Barthes</w:t>
            </w:r>
            <w:r w:rsidRPr="00380CFA">
              <w:t xml:space="preserve">, </w:t>
            </w:r>
            <w:r w:rsidR="00AE3D76">
              <w:t>M</w:t>
            </w:r>
            <w:r w:rsidRPr="00380CFA">
              <w:t>ythologies. </w:t>
            </w:r>
            <w:r w:rsidRPr="00380CFA">
              <w:rPr>
                <w:i/>
                <w:iCs/>
              </w:rPr>
              <w:t>Design and Culture</w:t>
            </w:r>
            <w:r w:rsidRPr="00380CFA">
              <w:t>, </w:t>
            </w:r>
            <w:r w:rsidRPr="00380CFA">
              <w:rPr>
                <w:i/>
                <w:iCs/>
              </w:rPr>
              <w:t>3</w:t>
            </w:r>
            <w:r w:rsidRPr="00380CFA">
              <w:t>(1), pp.85-100.</w:t>
            </w:r>
          </w:p>
          <w:p w14:paraId="15B89374" w14:textId="77777777" w:rsidR="00424C71" w:rsidRDefault="00424C71" w:rsidP="00D72C0E">
            <w:pPr>
              <w:rPr>
                <w:lang w:val="en-US"/>
              </w:rPr>
            </w:pPr>
          </w:p>
          <w:p w14:paraId="01167350" w14:textId="5018E581" w:rsidR="00F67CE9" w:rsidRDefault="00684F47" w:rsidP="14A5FA1C">
            <w:pPr>
              <w:rPr>
                <w:lang w:val="en-US"/>
              </w:rPr>
            </w:pPr>
            <w:r w:rsidRPr="00F81B39">
              <w:t>Smith-Laing, T., 2017. </w:t>
            </w:r>
            <w:r w:rsidRPr="00F81B39">
              <w:rPr>
                <w:i/>
                <w:iCs/>
              </w:rPr>
              <w:t>An Analysis of Judith Butler's Gender Trouble</w:t>
            </w:r>
            <w:r w:rsidRPr="00F81B39">
              <w:t xml:space="preserve">. </w:t>
            </w:r>
            <w:proofErr w:type="spellStart"/>
            <w:r w:rsidRPr="00F81B39">
              <w:t>Macat</w:t>
            </w:r>
            <w:proofErr w:type="spellEnd"/>
            <w:r w:rsidRPr="00F81B39">
              <w:t xml:space="preserve"> Library.</w:t>
            </w:r>
          </w:p>
          <w:p w14:paraId="55C0884B" w14:textId="387AB54D" w:rsidR="00AD7791" w:rsidRDefault="00AD7791" w:rsidP="14A5FA1C">
            <w:pPr>
              <w:rPr>
                <w:lang w:val="en-US"/>
              </w:rPr>
            </w:pPr>
          </w:p>
          <w:tbl>
            <w:tblPr>
              <w:tblW w:w="6570" w:type="dxa"/>
              <w:tblCellMar>
                <w:left w:w="0" w:type="dxa"/>
                <w:right w:w="0" w:type="dxa"/>
              </w:tblCellMar>
              <w:tblLook w:val="04A0" w:firstRow="1" w:lastRow="0" w:firstColumn="1" w:lastColumn="0" w:noHBand="0" w:noVBand="1"/>
            </w:tblPr>
            <w:tblGrid>
              <w:gridCol w:w="6570"/>
            </w:tblGrid>
            <w:tr w:rsidR="00AD7791" w:rsidRPr="00AD7791" w14:paraId="50767786" w14:textId="77777777">
              <w:tc>
                <w:tcPr>
                  <w:tcW w:w="0" w:type="auto"/>
                  <w:vAlign w:val="center"/>
                  <w:hideMark/>
                </w:tcPr>
                <w:p w14:paraId="1BD83503" w14:textId="77777777" w:rsidR="00AD7791" w:rsidRPr="00AD7791" w:rsidRDefault="00AD7791" w:rsidP="00AD7791">
                  <w:pPr>
                    <w:spacing w:after="0" w:line="240" w:lineRule="auto"/>
                    <w:rPr>
                      <w:lang w:val="en-US"/>
                    </w:rPr>
                  </w:pPr>
                </w:p>
              </w:tc>
            </w:tr>
          </w:tbl>
          <w:p w14:paraId="3BEEA336" w14:textId="064C4EE1" w:rsidR="00F67CE9" w:rsidRPr="00EC4CD5" w:rsidRDefault="00F67CE9" w:rsidP="14A5FA1C">
            <w:pPr>
              <w:rPr>
                <w:lang w:val="en-US"/>
              </w:rPr>
            </w:pPr>
          </w:p>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41A3047C" w14:textId="77777777" w:rsidR="00AE34D0" w:rsidRDefault="00AE34D0" w:rsidP="00F67CE9">
            <w:pPr>
              <w:rPr>
                <w:color w:val="FF0000"/>
              </w:rPr>
            </w:pPr>
          </w:p>
          <w:p w14:paraId="6F7D9C69" w14:textId="2C8CBAF7" w:rsidR="00F67CE9" w:rsidRDefault="00F67CE9" w:rsidP="00F67CE9">
            <w:pPr>
              <w:pStyle w:val="ListParagraph"/>
              <w:numPr>
                <w:ilvl w:val="0"/>
                <w:numId w:val="6"/>
              </w:numPr>
              <w:rPr>
                <w:color w:val="000000" w:themeColor="text1"/>
              </w:rPr>
            </w:pPr>
            <w:r w:rsidRPr="00F67CE9">
              <w:rPr>
                <w:color w:val="000000" w:themeColor="text1"/>
              </w:rPr>
              <w:t>Slide design</w:t>
            </w:r>
            <w:r>
              <w:rPr>
                <w:color w:val="000000" w:themeColor="text1"/>
              </w:rPr>
              <w:t xml:space="preserve"> </w:t>
            </w:r>
            <w:r w:rsidR="0002531A">
              <w:rPr>
                <w:color w:val="000000" w:themeColor="text1"/>
              </w:rPr>
              <w:t>and slide standards are an area for further exploration</w:t>
            </w:r>
          </w:p>
          <w:p w14:paraId="3A36C176" w14:textId="3F9B7BF2" w:rsidR="005F4338" w:rsidRDefault="005F4338" w:rsidP="005F4338">
            <w:pPr>
              <w:pStyle w:val="ListParagraph"/>
              <w:numPr>
                <w:ilvl w:val="0"/>
                <w:numId w:val="6"/>
              </w:numPr>
              <w:rPr>
                <w:color w:val="000000" w:themeColor="text1"/>
              </w:rPr>
            </w:pPr>
            <w:r>
              <w:rPr>
                <w:color w:val="000000" w:themeColor="text1"/>
              </w:rPr>
              <w:t>Structure</w:t>
            </w:r>
          </w:p>
          <w:p w14:paraId="47CFC729" w14:textId="46050E29" w:rsidR="005F4338" w:rsidRDefault="005F4338" w:rsidP="005F4338">
            <w:pPr>
              <w:pStyle w:val="ListParagraph"/>
              <w:numPr>
                <w:ilvl w:val="0"/>
                <w:numId w:val="6"/>
              </w:numPr>
              <w:rPr>
                <w:color w:val="000000" w:themeColor="text1"/>
              </w:rPr>
            </w:pPr>
            <w:r>
              <w:rPr>
                <w:color w:val="000000" w:themeColor="text1"/>
              </w:rPr>
              <w:t>Effectiveness of Assessment strategies</w:t>
            </w:r>
          </w:p>
          <w:p w14:paraId="6B3F1463" w14:textId="27C5961E" w:rsidR="005F4338" w:rsidRDefault="005F4338" w:rsidP="005F4338">
            <w:pPr>
              <w:pStyle w:val="ListParagraph"/>
              <w:numPr>
                <w:ilvl w:val="0"/>
                <w:numId w:val="6"/>
              </w:numPr>
              <w:rPr>
                <w:color w:val="000000" w:themeColor="text1"/>
              </w:rPr>
            </w:pPr>
            <w:r>
              <w:rPr>
                <w:color w:val="000000" w:themeColor="text1"/>
              </w:rPr>
              <w:t xml:space="preserve">Effectiveness of </w:t>
            </w:r>
            <w:r w:rsidR="00221921">
              <w:rPr>
                <w:color w:val="000000" w:themeColor="text1"/>
              </w:rPr>
              <w:t>T</w:t>
            </w:r>
            <w:r>
              <w:rPr>
                <w:color w:val="000000" w:themeColor="text1"/>
              </w:rPr>
              <w:t>eaching strategies used</w:t>
            </w:r>
          </w:p>
          <w:p w14:paraId="25EFD2B4" w14:textId="251E18FE" w:rsidR="00AE34D0" w:rsidRPr="005F4338" w:rsidRDefault="005F4338" w:rsidP="008B5503">
            <w:pPr>
              <w:pStyle w:val="ListParagraph"/>
              <w:numPr>
                <w:ilvl w:val="0"/>
                <w:numId w:val="6"/>
              </w:numPr>
              <w:rPr>
                <w:color w:val="000000" w:themeColor="text1"/>
              </w:rPr>
            </w:pPr>
            <w:r>
              <w:rPr>
                <w:color w:val="000000" w:themeColor="text1"/>
              </w:rPr>
              <w:t>Lecture conclusion</w:t>
            </w:r>
          </w:p>
          <w:p w14:paraId="1BA30731" w14:textId="77777777" w:rsidR="00AE34D0" w:rsidRPr="001D3E92" w:rsidRDefault="00AE34D0" w:rsidP="008B5503">
            <w:pPr>
              <w:rPr>
                <w:color w:val="FF0000"/>
              </w:rPr>
            </w:pPr>
          </w:p>
        </w:tc>
      </w:tr>
    </w:tbl>
    <w:p w14:paraId="0E60B10F" w14:textId="62BFC1E0" w:rsidR="00AE34D0" w:rsidRDefault="00AE34D0" w:rsidP="14A5FA1C"/>
    <w:p w14:paraId="717D94E0" w14:textId="77777777" w:rsidR="008255B6" w:rsidRDefault="008255B6" w:rsidP="14A5FA1C"/>
    <w:p w14:paraId="33814B41" w14:textId="0E093701" w:rsidR="00CC6392" w:rsidRDefault="00CC6392" w:rsidP="00CC6392">
      <w:pPr>
        <w:pStyle w:val="Heading2"/>
      </w:pPr>
      <w:r>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lastRenderedPageBreak/>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29C1FD8E" w14:textId="4562AD65" w:rsidR="14A5FA1C" w:rsidRDefault="14A5FA1C" w:rsidP="14A5FA1C"/>
          <w:p w14:paraId="6CC8B8B9" w14:textId="2F5D46BA" w:rsidR="00696137" w:rsidRDefault="0068029D" w:rsidP="14A5FA1C">
            <w:r>
              <w:t xml:space="preserve">Within the resources of your lesson </w:t>
            </w:r>
            <w:proofErr w:type="gramStart"/>
            <w:r>
              <w:t>plan</w:t>
            </w:r>
            <w:proofErr w:type="gramEnd"/>
            <w:r>
              <w:t xml:space="preserve"> you do not need to outline the key readings – these would be better placed on your ppts for students to access.</w:t>
            </w:r>
          </w:p>
          <w:p w14:paraId="387984CD" w14:textId="2E3CC498" w:rsidR="00166289" w:rsidRDefault="00166289" w:rsidP="14A5FA1C">
            <w:r>
              <w:t>Try not to use understand in your lesson aim as understand is not measurable, consider Blooms Taxonomy for appropriate verbs to use here.</w:t>
            </w:r>
            <w:r w:rsidR="0083103E">
              <w:t xml:space="preserve"> Your lesson aim is suitable for the context of what you planned.</w:t>
            </w:r>
          </w:p>
          <w:p w14:paraId="25790755" w14:textId="64A82395" w:rsidR="0083103E" w:rsidRDefault="0083103E" w:rsidP="14A5FA1C">
            <w:r>
              <w:t xml:space="preserve">Your lesson </w:t>
            </w:r>
            <w:r w:rsidR="009D3705">
              <w:t>outcome</w:t>
            </w:r>
            <w:r>
              <w:t xml:space="preserve"> should be short sentences that start with ‘At the end of my </w:t>
            </w:r>
            <w:r w:rsidR="00F949CC">
              <w:t>lecture students should be able to…’</w:t>
            </w:r>
          </w:p>
          <w:p w14:paraId="065E07B5" w14:textId="70639765" w:rsidR="009D3705" w:rsidRDefault="009D3705" w:rsidP="14A5FA1C">
            <w:r>
              <w:t>These lesson outcomes do link with the lesson aim.</w:t>
            </w:r>
          </w:p>
          <w:p w14:paraId="7AEB7CF0" w14:textId="75098DF1" w:rsidR="009D3705" w:rsidRDefault="009D3705" w:rsidP="14A5FA1C">
            <w:r>
              <w:t>You have identified the previous required knowledge well.</w:t>
            </w:r>
          </w:p>
          <w:p w14:paraId="6866F89F" w14:textId="48F37424" w:rsidR="009D3705" w:rsidRDefault="009D3705" w:rsidP="14A5FA1C">
            <w:r>
              <w:t>You have identified the anticipated difficulties</w:t>
            </w:r>
            <w:r w:rsidR="006E35CB">
              <w:t xml:space="preserve">, and they are appropriate and correct for your microteach, it would have been good to reduce the volume of material, perhaps considering one aspect of the </w:t>
            </w:r>
            <w:r w:rsidR="0030470D">
              <w:t>subject rather than it in its entirety for 30 minutes.</w:t>
            </w:r>
          </w:p>
          <w:p w14:paraId="671F9F7B" w14:textId="1BB67D6D" w:rsidR="00166289" w:rsidRDefault="005227FE" w:rsidP="14A5FA1C">
            <w:r>
              <w:t xml:space="preserve">Your lesson detail section is very detailed which is very good, it might help to add slide numbers alongside each section so you know </w:t>
            </w:r>
            <w:r w:rsidR="00985D44">
              <w:t xml:space="preserve">where you should be at any given time within your lesson. There is a lot of content, both on your plan, and within your ppt for 30 minutes. </w:t>
            </w:r>
          </w:p>
          <w:p w14:paraId="0329F896" w14:textId="70B36E56" w:rsidR="0012194F" w:rsidRDefault="0012194F" w:rsidP="14A5FA1C">
            <w:r>
              <w:t xml:space="preserve">Your </w:t>
            </w:r>
            <w:r w:rsidR="00FC4B82">
              <w:t>PowerPoint</w:t>
            </w:r>
            <w:r>
              <w:t xml:space="preserve"> has a lot of information within it, consider reducing the number of points on each slide and separating them onto more, </w:t>
            </w:r>
            <w:r w:rsidR="00652A0F">
              <w:t xml:space="preserve">and try to make sure the font, colour and layout is the same in each slide, </w:t>
            </w:r>
            <w:r>
              <w:t xml:space="preserve">especially for those with ALN. The pictures you used within your </w:t>
            </w:r>
            <w:r w:rsidR="00652A0F">
              <w:t>ppt were good and appropriate and added to your teaching in class.</w:t>
            </w:r>
          </w:p>
          <w:p w14:paraId="1A845D0A" w14:textId="28B41C5B" w:rsidR="14A5FA1C" w:rsidRDefault="00652A0F" w:rsidP="00652A0F">
            <w:r>
              <w:t>Your Leaning objectives within the lesson plan did not need the references as it made it difficult to see what they were.</w:t>
            </w:r>
          </w:p>
          <w:p w14:paraId="714B467B" w14:textId="5A17B948" w:rsidR="00B97CF8" w:rsidRDefault="00B97CF8" w:rsidP="14A5FA1C"/>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11D34744" w14:textId="77777777" w:rsidR="009A37E9" w:rsidRDefault="009A37E9" w:rsidP="009A37E9">
            <w:r>
              <w:t>It is good that you went through your learning outcomes. It set students up for what to expect.</w:t>
            </w:r>
          </w:p>
          <w:p w14:paraId="3363D989" w14:textId="6DD1CF73" w:rsidR="14A5FA1C" w:rsidRDefault="0098203D" w:rsidP="14A5FA1C">
            <w:proofErr w:type="gramStart"/>
            <w:r>
              <w:t>It</w:t>
            </w:r>
            <w:proofErr w:type="gramEnd"/>
            <w:r>
              <w:t xml:space="preserve"> world have been good to introduce yourself to the group</w:t>
            </w:r>
            <w:r w:rsidR="002B1522">
              <w:t xml:space="preserve"> at the start and briefly outline what you were going to teach.</w:t>
            </w:r>
          </w:p>
          <w:p w14:paraId="09945814" w14:textId="68A18009" w:rsidR="0098203D" w:rsidRDefault="00735EF2" w:rsidP="14A5FA1C">
            <w:r>
              <w:t xml:space="preserve">You started by stating your own </w:t>
            </w:r>
            <w:proofErr w:type="gramStart"/>
            <w:r>
              <w:t>stand point</w:t>
            </w:r>
            <w:proofErr w:type="gramEnd"/>
            <w:r>
              <w:t xml:space="preserve"> in relation to what you are teaching, </w:t>
            </w:r>
            <w:r w:rsidR="009A37E9">
              <w:t>i</w:t>
            </w:r>
            <w:r w:rsidR="0098203D">
              <w:t xml:space="preserve">t would have been good to not </w:t>
            </w:r>
            <w:r w:rsidR="00AB4632">
              <w:t xml:space="preserve">discuss in terms of what you sign up to but instead </w:t>
            </w:r>
            <w:r w:rsidR="00391738">
              <w:t>what theorists say</w:t>
            </w:r>
            <w:r>
              <w:t xml:space="preserve"> – or at least give your view at the end so that students can come to their own conclusions – sometimes students agree with lecturers </w:t>
            </w:r>
            <w:r w:rsidR="00B941EE">
              <w:t>due to lack of confidence.</w:t>
            </w:r>
          </w:p>
          <w:p w14:paraId="4068E3A2" w14:textId="43EDA887" w:rsidR="00F40776" w:rsidRDefault="00B941EE" w:rsidP="14A5FA1C">
            <w:r>
              <w:t>It would have been good to engage in e</w:t>
            </w:r>
            <w:r w:rsidR="00F40776">
              <w:t xml:space="preserve">ntry level behaviour </w:t>
            </w:r>
            <w:r>
              <w:t>so that you knew what students already know.</w:t>
            </w:r>
          </w:p>
          <w:p w14:paraId="5664A23D" w14:textId="4545F7AA" w:rsidR="004708AF" w:rsidRDefault="004708AF" w:rsidP="14A5FA1C">
            <w:r>
              <w:t xml:space="preserve">You spoke quickly throughout the lesson, possibly so that you could get through everything you wanted to, </w:t>
            </w:r>
            <w:r w:rsidR="00B958D3">
              <w:t>this meant that there were times you would touch on a topic or slide, but not explore it completely, you also skipped through a lot of the images</w:t>
            </w:r>
            <w:r w:rsidR="0084200B">
              <w:t xml:space="preserve"> and slides</w:t>
            </w:r>
            <w:r w:rsidR="00B958D3">
              <w:t xml:space="preserve"> which would have supported what you were saying.</w:t>
            </w:r>
          </w:p>
          <w:p w14:paraId="1FEA6866" w14:textId="593C83AE" w:rsidR="00A00DA5" w:rsidRDefault="00A00DA5" w:rsidP="14A5FA1C">
            <w:r>
              <w:t xml:space="preserve">You asked students to think about what a 1950s man looked like and then skipped this slide very quickly – </w:t>
            </w:r>
            <w:r w:rsidR="00994432">
              <w:t xml:space="preserve">it was good you started to engage with students, but </w:t>
            </w:r>
            <w:r w:rsidR="00BB3BFA">
              <w:t xml:space="preserve">it was a bit of </w:t>
            </w:r>
            <w:r>
              <w:t xml:space="preserve">a missed opportunity </w:t>
            </w:r>
            <w:r>
              <w:lastRenderedPageBreak/>
              <w:t>to engage</w:t>
            </w:r>
            <w:r w:rsidR="00BB3BFA">
              <w:t xml:space="preserve"> fully with</w:t>
            </w:r>
            <w:r>
              <w:t xml:space="preserve"> students within your lecture and to ensure students </w:t>
            </w:r>
            <w:r w:rsidR="005163B2">
              <w:t>knew what a 1950s man would dres</w:t>
            </w:r>
            <w:r w:rsidR="005163B2" w:rsidRPr="00D85554">
              <w:t>s as</w:t>
            </w:r>
            <w:r w:rsidR="00EF2FFD" w:rsidRPr="00D85554">
              <w:t>, as it was the basis for your microteach</w:t>
            </w:r>
            <w:r w:rsidR="005163B2" w:rsidRPr="00D85554">
              <w:t>.</w:t>
            </w:r>
          </w:p>
          <w:p w14:paraId="19661C6A" w14:textId="72008EDC" w:rsidR="005163B2" w:rsidRPr="00D85554" w:rsidRDefault="005163B2" w:rsidP="14A5FA1C">
            <w:r w:rsidRPr="00D85554">
              <w:t xml:space="preserve">It would have been good to </w:t>
            </w:r>
            <w:r w:rsidR="002D204A" w:rsidRPr="00D85554">
              <w:t xml:space="preserve">define masculinity </w:t>
            </w:r>
            <w:r w:rsidR="00D85554" w:rsidRPr="00D85554">
              <w:t>for the purposes of this microteach, and specifically what it meant in context of your microteach.</w:t>
            </w:r>
          </w:p>
          <w:p w14:paraId="56F068D1" w14:textId="04CDB560" w:rsidR="006D0AB5" w:rsidRDefault="006D0AB5" w:rsidP="14A5FA1C">
            <w:r>
              <w:t>You clearly have exceptional knowledge in this field.</w:t>
            </w:r>
          </w:p>
          <w:p w14:paraId="48BB0179" w14:textId="6B3AFA3C" w:rsidR="00B97CF8" w:rsidRDefault="006D0AB5" w:rsidP="009A1198">
            <w:r>
              <w:t>It would have been good to define some of the terms you used</w:t>
            </w:r>
            <w:r w:rsidR="002D204A">
              <w:t xml:space="preserve"> – </w:t>
            </w:r>
            <w:proofErr w:type="spellStart"/>
            <w:r w:rsidR="002D204A">
              <w:t>eg</w:t>
            </w:r>
            <w:proofErr w:type="spellEnd"/>
            <w:r w:rsidR="002D204A">
              <w:t xml:space="preserve"> dandy, hunter</w:t>
            </w:r>
            <w:r w:rsidR="009A1198">
              <w:t xml:space="preserve"> as some students were googling what words meant- checking in with students would have supported them in this.</w:t>
            </w:r>
            <w:r w:rsidR="00B03CC5">
              <w:t xml:space="preserve"> </w:t>
            </w:r>
          </w:p>
          <w:p w14:paraId="0417FE7C" w14:textId="53FDFD2B" w:rsidR="00377F7A" w:rsidRDefault="00377F7A" w:rsidP="14A5FA1C">
            <w:r>
              <w:t xml:space="preserve">There were times you skipped through </w:t>
            </w:r>
            <w:proofErr w:type="gramStart"/>
            <w:r>
              <w:t>a number of</w:t>
            </w:r>
            <w:proofErr w:type="gramEnd"/>
            <w:r>
              <w:t xml:space="preserve"> slides at once, this was confusing to follow for </w:t>
            </w:r>
            <w:r w:rsidR="00EF2FFD">
              <w:t>students at times</w:t>
            </w:r>
            <w:r w:rsidR="004E1C33">
              <w:t>, this meant that there were missed opportunities to check students understanding and ask questions</w:t>
            </w:r>
          </w:p>
          <w:p w14:paraId="0E52E50A" w14:textId="7301CF89" w:rsidR="00C34CD0" w:rsidRDefault="00C34CD0" w:rsidP="14A5FA1C">
            <w:r>
              <w:t xml:space="preserve">As an introduction it would have been good to </w:t>
            </w:r>
            <w:proofErr w:type="spellStart"/>
            <w:proofErr w:type="gramStart"/>
            <w:r>
              <w:t>chose</w:t>
            </w:r>
            <w:proofErr w:type="spellEnd"/>
            <w:proofErr w:type="gramEnd"/>
            <w:r>
              <w:t xml:space="preserve"> a small amount of what you </w:t>
            </w:r>
            <w:r w:rsidR="002316B2">
              <w:t>wanted to cover before the seminar section rather than giving so much information</w:t>
            </w:r>
            <w:r w:rsidR="008416F9">
              <w:t xml:space="preserve"> – this lesson would have been paced well for a 3 hour or more lecture, not 30 minutes</w:t>
            </w:r>
            <w:r w:rsidR="00E2732C">
              <w:t>.</w:t>
            </w:r>
          </w:p>
          <w:p w14:paraId="051189CF" w14:textId="3B11BE5A" w:rsidR="14A5FA1C" w:rsidRDefault="00147B01" w:rsidP="14A5FA1C">
            <w:r>
              <w:t xml:space="preserve">It wasn’t clear what you wanted students to do within the </w:t>
            </w:r>
            <w:r w:rsidR="00FB3DA4">
              <w:t>seminar when looking at the magazines</w:t>
            </w:r>
            <w:r w:rsidR="004E1C33">
              <w:t xml:space="preserve">, but students </w:t>
            </w:r>
            <w:r w:rsidR="00B25AD1">
              <w:t>took part in the activity and were willing to try. This shows you had the respect of all the students</w:t>
            </w:r>
            <w:r w:rsidR="00FB3DA4">
              <w:t>.</w:t>
            </w:r>
          </w:p>
          <w:p w14:paraId="115F652A" w14:textId="7C406731" w:rsidR="00994432" w:rsidRDefault="00994432" w:rsidP="00994432">
            <w:r>
              <w:t>You came across as confident throughout your microteach.</w:t>
            </w:r>
          </w:p>
          <w:p w14:paraId="2BE8683C" w14:textId="097B337F" w:rsidR="00FB3BD6" w:rsidRDefault="00FB3BD6" w:rsidP="14A5FA1C">
            <w:r>
              <w:t xml:space="preserve">You discussed haute </w:t>
            </w:r>
            <w:r w:rsidR="00E3625C">
              <w:t>couture</w:t>
            </w:r>
            <w:r>
              <w:t xml:space="preserve"> and haute culture – it would have been good to </w:t>
            </w:r>
            <w:r w:rsidR="0097299D">
              <w:t>define th</w:t>
            </w:r>
            <w:r w:rsidR="00EC76DC">
              <w:t>e difference</w:t>
            </w:r>
            <w:r w:rsidR="0097299D">
              <w:t xml:space="preserve"> for students</w:t>
            </w:r>
            <w:r w:rsidR="00EC76DC">
              <w:t xml:space="preserve"> here</w:t>
            </w:r>
            <w:r w:rsidR="0097299D">
              <w:t>.</w:t>
            </w:r>
          </w:p>
          <w:p w14:paraId="7A30FF89" w14:textId="24786FD0" w:rsidR="0035459D" w:rsidRDefault="004B1403" w:rsidP="0035459D">
            <w:r>
              <w:t>Reflection work</w:t>
            </w:r>
            <w:r w:rsidR="00986837">
              <w:t>, it would have been good</w:t>
            </w:r>
            <w:r w:rsidR="000D68DE">
              <w:t xml:space="preserve"> </w:t>
            </w:r>
            <w:r w:rsidR="0035459D">
              <w:t>to go through your acronym with more explanation as to what you meant</w:t>
            </w:r>
            <w:r w:rsidR="00837925">
              <w:t xml:space="preserve"> as it would have supported students to be successful in the activity</w:t>
            </w:r>
            <w:r w:rsidR="0035459D">
              <w:t>.</w:t>
            </w:r>
          </w:p>
          <w:p w14:paraId="36923EFB" w14:textId="664B321D" w:rsidR="0035459D" w:rsidRDefault="0035459D" w:rsidP="0035459D">
            <w:r>
              <w:t>You ask if what you have said makes sense but do not wait for an answer</w:t>
            </w:r>
            <w:r w:rsidR="00331BF1">
              <w:t xml:space="preserve"> because you did not have the time for it</w:t>
            </w:r>
            <w:r>
              <w:t>.</w:t>
            </w:r>
          </w:p>
          <w:p w14:paraId="21F9B232" w14:textId="77777777" w:rsidR="00331BF1" w:rsidRDefault="00331BF1" w:rsidP="0035459D"/>
          <w:p w14:paraId="4499AFDA" w14:textId="53588ABD" w:rsidR="00331BF1" w:rsidRDefault="00331BF1" w:rsidP="0035459D">
            <w:r>
              <w:t xml:space="preserve">Thank </w:t>
            </w:r>
            <w:proofErr w:type="gramStart"/>
            <w:r>
              <w:t>you Jo</w:t>
            </w:r>
            <w:proofErr w:type="gramEnd"/>
            <w:r>
              <w:t xml:space="preserve"> for your session, it was very interesting, </w:t>
            </w:r>
            <w:r w:rsidR="00FC4B82">
              <w:t xml:space="preserve">I feel there was too much information produced for a 30 minute microteach, however, over a few hours I can see how it would be very successful. </w:t>
            </w:r>
          </w:p>
          <w:p w14:paraId="6818B535" w14:textId="77777777" w:rsidR="14A5FA1C" w:rsidRDefault="14A5FA1C" w:rsidP="14A5FA1C"/>
          <w:p w14:paraId="1D8827CD" w14:textId="2ABA8DC2" w:rsidR="00F32228" w:rsidRDefault="00F32228" w:rsidP="14A5FA1C"/>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723F4E83" w14:textId="5F51FCC4" w:rsidR="14A5FA1C" w:rsidRDefault="0030470D" w:rsidP="00D17CC6">
            <w:r>
              <w:t>You have identified and met the professional standards well within your microteach – it is clear you have been able to apply this to your plan, and you demonstrated this within your lesson too. Well done.</w:t>
            </w:r>
          </w:p>
          <w:p w14:paraId="7ABA9F32" w14:textId="37851808" w:rsidR="00B97CF8" w:rsidRDefault="00390202" w:rsidP="14A5FA1C">
            <w:r>
              <w:t xml:space="preserve">You showed very good knowledge in your topic by explaining around your </w:t>
            </w:r>
            <w:r w:rsidR="00D6476A">
              <w:t>slides</w:t>
            </w:r>
            <w:r w:rsidR="0035459D">
              <w:t xml:space="preserve"> rather than reading from your</w:t>
            </w:r>
            <w:r w:rsidR="00D17CC6">
              <w:t xml:space="preserve"> slides – you were able to skip from one topic to another fluently and quickly.</w:t>
            </w:r>
          </w:p>
          <w:p w14:paraId="46B9AB44" w14:textId="686191EA" w:rsidR="00D17CC6" w:rsidRDefault="00D17CC6" w:rsidP="14A5FA1C">
            <w:r>
              <w:t>You were able to answer questions asked well.</w:t>
            </w:r>
          </w:p>
          <w:p w14:paraId="44A71E19" w14:textId="653B5F7A" w:rsidR="14A5FA1C" w:rsidRDefault="00D17CC6" w:rsidP="005227FE">
            <w:r>
              <w:t xml:space="preserve">Your assessment strategies </w:t>
            </w:r>
            <w:r w:rsidR="00E111B0">
              <w:t xml:space="preserve">within your lesson plan </w:t>
            </w:r>
            <w:proofErr w:type="gramStart"/>
            <w:r w:rsidR="00E111B0">
              <w:t>is</w:t>
            </w:r>
            <w:proofErr w:type="gramEnd"/>
            <w:r w:rsidR="00E111B0">
              <w:t xml:space="preserve"> not</w:t>
            </w:r>
            <w:r w:rsidR="005227FE">
              <w:t xml:space="preserve"> overly</w:t>
            </w:r>
            <w:r w:rsidR="00E111B0">
              <w:t xml:space="preserve"> clear.</w:t>
            </w:r>
            <w:r w:rsidR="008943FE">
              <w:t xml:space="preserve"> It would have been good to state what assessment strategy you were using </w:t>
            </w:r>
            <w:r w:rsidR="00F61FAB">
              <w:t>to assess the students learning during the 30 minutes – how would you know that students have learnt?</w:t>
            </w:r>
            <w:r w:rsidR="005227FE">
              <w:t xml:space="preserve"> What entry level behaviour assessment would you use?</w:t>
            </w:r>
          </w:p>
          <w:p w14:paraId="3AC83E1E" w14:textId="0BF4C774" w:rsidR="14A5FA1C" w:rsidRDefault="14A5FA1C" w:rsidP="14A5FA1C"/>
        </w:tc>
      </w:tr>
    </w:tbl>
    <w:p w14:paraId="5C67DD10" w14:textId="550DFF24" w:rsidR="00B97CF8" w:rsidRDefault="00B97CF8" w:rsidP="14A5FA1C"/>
    <w:p w14:paraId="7658067A" w14:textId="77777777" w:rsidR="008255B6" w:rsidRDefault="008255B6"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8B940C0" w14:textId="5B6DF934" w:rsidR="14A5FA1C" w:rsidRDefault="14A5FA1C" w:rsidP="14A5FA1C"/>
          <w:p w14:paraId="4BEBBE17" w14:textId="24FF51A5" w:rsidR="14A5FA1C" w:rsidRDefault="00D6476A" w:rsidP="14A5FA1C">
            <w:r>
              <w:t>Consider checking understanding throughout your teaching</w:t>
            </w:r>
          </w:p>
          <w:p w14:paraId="17848FF9" w14:textId="5393F6B5" w:rsidR="00B97CF8" w:rsidRDefault="00B97CF8" w:rsidP="14A5FA1C"/>
          <w:p w14:paraId="6E6C60E2" w14:textId="393E12DB" w:rsidR="00B97CF8" w:rsidRDefault="00652A0F" w:rsidP="14A5FA1C">
            <w:r>
              <w:t xml:space="preserve">Consider </w:t>
            </w:r>
            <w:r w:rsidR="001B7039">
              <w:t xml:space="preserve">the format of your PowerPoint </w:t>
            </w:r>
          </w:p>
          <w:p w14:paraId="159223F0" w14:textId="77777777" w:rsidR="00652A0F" w:rsidRDefault="00652A0F" w:rsidP="14A5FA1C"/>
          <w:p w14:paraId="0BA85C8C" w14:textId="7847B88D" w:rsidR="00652A0F" w:rsidRDefault="00652A0F" w:rsidP="14A5FA1C">
            <w:r>
              <w:t>Continue to use your excellent knowledge and enthusiasm in your teaching.</w:t>
            </w:r>
          </w:p>
          <w:p w14:paraId="5296D6A4" w14:textId="7FB528CB" w:rsidR="00B97CF8" w:rsidRDefault="00B97CF8" w:rsidP="14A5FA1C"/>
          <w:p w14:paraId="63EADE11" w14:textId="20FA84F8" w:rsidR="00B97CF8" w:rsidRDefault="001B7039" w:rsidP="14A5FA1C">
            <w:r>
              <w:t xml:space="preserve">Consider the amount you want to teach in a </w:t>
            </w:r>
            <w:r w:rsidR="00DA2D51">
              <w:t>30-minute</w:t>
            </w:r>
            <w:r>
              <w:t xml:space="preserve"> session.</w:t>
            </w:r>
          </w:p>
          <w:p w14:paraId="0DE87A2C" w14:textId="38257453" w:rsidR="14A5FA1C" w:rsidRDefault="14A5FA1C" w:rsidP="14A5FA1C"/>
          <w:p w14:paraId="2C3FF7CA" w14:textId="0BF4C774" w:rsidR="14A5FA1C" w:rsidRDefault="14A5FA1C" w:rsidP="14A5FA1C"/>
        </w:tc>
      </w:tr>
    </w:tbl>
    <w:p w14:paraId="7B0F2BFA" w14:textId="1017228A" w:rsidR="008255B6" w:rsidRDefault="008255B6" w:rsidP="14A5FA1C"/>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w:t>
            </w:r>
            <w:proofErr w:type="gramStart"/>
            <w:r>
              <w:rPr>
                <w:b/>
                <w:bCs/>
                <w:i/>
                <w:iCs/>
              </w:rPr>
              <w:t>have to</w:t>
            </w:r>
            <w:proofErr w:type="gramEnd"/>
            <w:r>
              <w:rPr>
                <w:b/>
                <w:bCs/>
                <w:i/>
                <w:iCs/>
              </w:rPr>
              <w:t xml:space="preserve"> address the development points notes. </w:t>
            </w:r>
          </w:p>
        </w:tc>
      </w:tr>
      <w:tr w:rsidR="008255B6" w14:paraId="70902AE5" w14:textId="77777777" w:rsidTr="00F853BC">
        <w:tc>
          <w:tcPr>
            <w:tcW w:w="9015" w:type="dxa"/>
          </w:tcPr>
          <w:p w14:paraId="64843B8E" w14:textId="31B7B39F" w:rsidR="005E5EE9" w:rsidRDefault="00F72126" w:rsidP="00F853BC">
            <w:r>
              <w:t>PRACTICAL TEACHING REFLECTION</w:t>
            </w:r>
          </w:p>
          <w:p w14:paraId="4A005CB4" w14:textId="653C3968" w:rsidR="00FB30AD" w:rsidRDefault="00FB30AD" w:rsidP="00F853BC"/>
          <w:p w14:paraId="664F925E" w14:textId="0DBD9256" w:rsidR="00FB30AD" w:rsidRDefault="00861949" w:rsidP="00F853BC">
            <w:r>
              <w:t>Close to Practice Research (Zwozdiak-Myers,</w:t>
            </w:r>
            <w:proofErr w:type="gramStart"/>
            <w:r>
              <w:t>2023,p.</w:t>
            </w:r>
            <w:proofErr w:type="gramEnd"/>
            <w:r>
              <w:t>50)</w:t>
            </w:r>
            <w:r w:rsidR="00462780">
              <w:t xml:space="preserve"> </w:t>
            </w:r>
            <w:r>
              <w:t>“</w:t>
            </w:r>
            <w:r w:rsidR="00684D86" w:rsidRPr="00861949">
              <w:t>Focusses</w:t>
            </w:r>
            <w:r w:rsidRPr="00861949">
              <w:t xml:space="preserve"> on issues defined by practitioners as relevant to their own practice and involves collaboration between people whose main expertise is research, practice, or both</w:t>
            </w:r>
            <w:r>
              <w:t>”</w:t>
            </w:r>
            <w:r w:rsidRPr="00861949">
              <w:t>.</w:t>
            </w:r>
            <w:r>
              <w:t xml:space="preserve"> (Zwozdiak-Myers,</w:t>
            </w:r>
            <w:r w:rsidR="00684D86">
              <w:t>2023, p.</w:t>
            </w:r>
            <w:r>
              <w:t xml:space="preserve">50) Upon reflection of my microteach, I strongly benefited from feedback from those who had expertise in the area of teaching practice and aim to form stronger collaborative relationships with my more </w:t>
            </w:r>
            <w:proofErr w:type="gramStart"/>
            <w:r>
              <w:t>practice based</w:t>
            </w:r>
            <w:proofErr w:type="gramEnd"/>
            <w:r>
              <w:t xml:space="preserve"> peers to strengthen my own practical teaching skills. This includes closely utilising the close</w:t>
            </w:r>
            <w:r w:rsidR="00684D86">
              <w:t>-</w:t>
            </w:r>
            <w:r>
              <w:t>to</w:t>
            </w:r>
            <w:r w:rsidR="00684D86">
              <w:t>-</w:t>
            </w:r>
            <w:r>
              <w:t>practice research framework as outlined below.</w:t>
            </w:r>
            <w:r w:rsidR="00462780">
              <w:t xml:space="preserve"> This dialogical process is also mirrored in Art &amp; Design Pedagogy “</w:t>
            </w:r>
            <w:r w:rsidR="00462780" w:rsidRPr="00462780">
              <w:t>Exchanges may take place amongst peers or students at different levels of experience as well as with tutors</w:t>
            </w:r>
            <w:r w:rsidR="00462780">
              <w:t xml:space="preserve">.”  </w:t>
            </w:r>
            <w:r w:rsidR="00462780" w:rsidRPr="00462780">
              <w:t>(Orr and Shreeve, 2017, p. 94)</w:t>
            </w:r>
          </w:p>
          <w:p w14:paraId="1D89D490" w14:textId="77777777" w:rsidR="00861949" w:rsidRDefault="00861949" w:rsidP="00F853BC"/>
          <w:p w14:paraId="305F4274" w14:textId="7136D823" w:rsidR="00861949" w:rsidRDefault="00861949" w:rsidP="00F853BC">
            <w:r w:rsidRPr="00861949">
              <w:rPr>
                <w:noProof/>
              </w:rPr>
              <w:lastRenderedPageBreak/>
              <w:drawing>
                <wp:inline distT="0" distB="0" distL="0" distR="0" wp14:anchorId="600EA322" wp14:editId="498346D4">
                  <wp:extent cx="3847464" cy="3348111"/>
                  <wp:effectExtent l="0" t="0" r="1270" b="5080"/>
                  <wp:docPr id="1136204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04214" name=""/>
                          <pic:cNvPicPr/>
                        </pic:nvPicPr>
                        <pic:blipFill>
                          <a:blip r:embed="rId8"/>
                          <a:stretch>
                            <a:fillRect/>
                          </a:stretch>
                        </pic:blipFill>
                        <pic:spPr>
                          <a:xfrm>
                            <a:off x="0" y="0"/>
                            <a:ext cx="3856673" cy="3356124"/>
                          </a:xfrm>
                          <a:prstGeom prst="rect">
                            <a:avLst/>
                          </a:prstGeom>
                        </pic:spPr>
                      </pic:pic>
                    </a:graphicData>
                  </a:graphic>
                </wp:inline>
              </w:drawing>
            </w:r>
          </w:p>
          <w:p w14:paraId="4BEC68FA" w14:textId="77922BC9" w:rsidR="00861949" w:rsidRDefault="00861949" w:rsidP="00F853BC">
            <w:r>
              <w:t>Taken from (Zwozdiak-Myers,</w:t>
            </w:r>
            <w:r w:rsidR="00D22341">
              <w:t>2023, p.</w:t>
            </w:r>
            <w:r>
              <w:t>50)</w:t>
            </w:r>
          </w:p>
          <w:p w14:paraId="5A7037EE" w14:textId="77777777" w:rsidR="005E5EE9" w:rsidRPr="005E5EE9" w:rsidRDefault="005E5EE9" w:rsidP="005E5EE9">
            <w:pPr>
              <w:rPr>
                <w:lang w:val="en-US"/>
              </w:rPr>
            </w:pPr>
          </w:p>
          <w:p w14:paraId="4507213F" w14:textId="57E7C406" w:rsidR="008255B6" w:rsidRPr="005E5EE9" w:rsidRDefault="005E5EE9" w:rsidP="005E5EE9">
            <w:pPr>
              <w:rPr>
                <w:lang w:val="en-US"/>
              </w:rPr>
            </w:pPr>
            <w:r w:rsidRPr="005E5EE9">
              <w:rPr>
                <w:lang w:val="en-US"/>
              </w:rPr>
              <w:t>My first assessment strategy- to ask the student what they would imagine by a 1950s man did not allow enough time for them to think or respond to these questions or collaborate.  Nor did I as the teaching student provide clear answers to the questions.</w:t>
            </w:r>
            <w:r>
              <w:rPr>
                <w:lang w:val="en-US"/>
              </w:rPr>
              <w:t xml:space="preserve"> </w:t>
            </w:r>
            <w:r w:rsidRPr="005E5EE9">
              <w:rPr>
                <w:lang w:val="en-US"/>
              </w:rPr>
              <w:t xml:space="preserve">My second assessment opportunity was an object handling session. For the first part I got students to examine a 1950s magazine, although I could have provided clearer instructions. The second part involved students examining </w:t>
            </w:r>
            <w:r w:rsidR="00FB30AD" w:rsidRPr="005E5EE9">
              <w:rPr>
                <w:lang w:val="en-US"/>
              </w:rPr>
              <w:t>firsthand</w:t>
            </w:r>
            <w:r w:rsidRPr="005E5EE9">
              <w:rPr>
                <w:lang w:val="en-US"/>
              </w:rPr>
              <w:t xml:space="preserve"> printed examples of work by Norman Parkinson of male model Robin Tattersall. I then asked each student to identify old and new versions of masculinity in each of the images. The students appeared </w:t>
            </w:r>
            <w:r w:rsidR="00FB30AD" w:rsidRPr="005E5EE9">
              <w:rPr>
                <w:lang w:val="en-US"/>
              </w:rPr>
              <w:t>unconfident,</w:t>
            </w:r>
            <w:r w:rsidRPr="005E5EE9">
              <w:rPr>
                <w:lang w:val="en-US"/>
              </w:rPr>
              <w:t xml:space="preserve"> so I tried to reshow the slides as a reminder. Next time, I would make specific guidance slides to support students examining material. My third assessment strategy focused on </w:t>
            </w:r>
            <w:r w:rsidR="00FB30AD" w:rsidRPr="005E5EE9">
              <w:rPr>
                <w:lang w:val="en-US"/>
              </w:rPr>
              <w:t>self-exploration</w:t>
            </w:r>
            <w:r w:rsidRPr="005E5EE9">
              <w:rPr>
                <w:lang w:val="en-US"/>
              </w:rPr>
              <w:t xml:space="preserve"> and answering a question with a model answer following examples from () I did not allow enough time for this activity and students felt too unconfident with the material to answer the question. I also did not include a summative slide.</w:t>
            </w:r>
          </w:p>
          <w:p w14:paraId="3D933931" w14:textId="77777777" w:rsidR="008255B6" w:rsidRDefault="008255B6" w:rsidP="00F853BC"/>
          <w:p w14:paraId="5405D555" w14:textId="40AA08C5" w:rsidR="008255B6" w:rsidRDefault="00462780" w:rsidP="00F853BC">
            <w:r>
              <w:t>Orr and Shreeve consider that in Art&amp; Design Pedagogy “s</w:t>
            </w:r>
            <w:r w:rsidRPr="00462780">
              <w:t>tudents must learn to manage and work through ambiguity to succeed in creative practice.</w:t>
            </w:r>
            <w:r>
              <w:t xml:space="preserve">” (Orr and Shreeve, 2017, p.92) however by implementing a clearly guided inquiry structure, it can improve student confidence with the material provided. Gregson and Duncan (2020) consider a managed enquiry strategy (Gregson and Duncan, </w:t>
            </w:r>
            <w:r w:rsidR="00D22341">
              <w:t>2020, p.</w:t>
            </w:r>
            <w:r>
              <w:t>280) Which is structured through preliminaries, stimulus, thinking time, question comparison, initial inquiry, development/review and summary.</w:t>
            </w:r>
          </w:p>
          <w:p w14:paraId="4D4D273C" w14:textId="77777777" w:rsidR="00462780" w:rsidRDefault="00462780" w:rsidP="00F853BC"/>
          <w:p w14:paraId="70825734" w14:textId="1D3714A5" w:rsidR="00462780" w:rsidRDefault="00462780" w:rsidP="00F853BC">
            <w:r>
              <w:t>In a future microteach I would aim to utilise this clear structure in my lesson plan</w:t>
            </w:r>
          </w:p>
          <w:p w14:paraId="7ED5F11F" w14:textId="77777777" w:rsidR="008255B6" w:rsidRDefault="008255B6" w:rsidP="00F853BC"/>
        </w:tc>
      </w:tr>
    </w:tbl>
    <w:p w14:paraId="6294C067" w14:textId="4FB1D3EB" w:rsidR="008255B6" w:rsidRDefault="008255B6" w:rsidP="14A5FA1C"/>
    <w:sectPr w:rsidR="008255B6">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D272BC" w14:textId="77777777" w:rsidR="003B2E5B" w:rsidRDefault="003B2E5B" w:rsidP="007F0A91">
      <w:pPr>
        <w:spacing w:after="0" w:line="240" w:lineRule="auto"/>
      </w:pPr>
      <w:r>
        <w:separator/>
      </w:r>
    </w:p>
  </w:endnote>
  <w:endnote w:type="continuationSeparator" w:id="0">
    <w:p w14:paraId="611776D1" w14:textId="77777777" w:rsidR="003B2E5B" w:rsidRDefault="003B2E5B"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465ED5" w14:textId="77777777" w:rsidR="003B2E5B" w:rsidRDefault="003B2E5B" w:rsidP="007F0A91">
      <w:pPr>
        <w:spacing w:after="0" w:line="240" w:lineRule="auto"/>
      </w:pPr>
      <w:r>
        <w:separator/>
      </w:r>
    </w:p>
  </w:footnote>
  <w:footnote w:type="continuationSeparator" w:id="0">
    <w:p w14:paraId="1E4DFFC1" w14:textId="77777777" w:rsidR="003B2E5B" w:rsidRDefault="003B2E5B"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6E1986"/>
    <w:multiLevelType w:val="hybridMultilevel"/>
    <w:tmpl w:val="BB8C7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375C06"/>
    <w:multiLevelType w:val="hybridMultilevel"/>
    <w:tmpl w:val="455E9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A16FBB"/>
    <w:multiLevelType w:val="hybridMultilevel"/>
    <w:tmpl w:val="61F8C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6"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6"/>
  </w:num>
  <w:num w:numId="2" w16cid:durableId="1643851910">
    <w:abstractNumId w:val="5"/>
  </w:num>
  <w:num w:numId="3" w16cid:durableId="1752773550">
    <w:abstractNumId w:val="1"/>
  </w:num>
  <w:num w:numId="4" w16cid:durableId="1156335942">
    <w:abstractNumId w:val="3"/>
  </w:num>
  <w:num w:numId="5" w16cid:durableId="1681351602">
    <w:abstractNumId w:val="4"/>
  </w:num>
  <w:num w:numId="6" w16cid:durableId="753434599">
    <w:abstractNumId w:val="0"/>
  </w:num>
  <w:num w:numId="7" w16cid:durableId="12229825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017A2"/>
    <w:rsid w:val="00006A31"/>
    <w:rsid w:val="00013AF8"/>
    <w:rsid w:val="000224A8"/>
    <w:rsid w:val="0002531A"/>
    <w:rsid w:val="00036109"/>
    <w:rsid w:val="00045A6B"/>
    <w:rsid w:val="00066E92"/>
    <w:rsid w:val="00093581"/>
    <w:rsid w:val="00095D96"/>
    <w:rsid w:val="000A05EE"/>
    <w:rsid w:val="000D68DE"/>
    <w:rsid w:val="000F3B54"/>
    <w:rsid w:val="0010216C"/>
    <w:rsid w:val="0012194F"/>
    <w:rsid w:val="00147B01"/>
    <w:rsid w:val="0015365E"/>
    <w:rsid w:val="001652D4"/>
    <w:rsid w:val="00166289"/>
    <w:rsid w:val="001742FA"/>
    <w:rsid w:val="00187B75"/>
    <w:rsid w:val="0019021F"/>
    <w:rsid w:val="00190831"/>
    <w:rsid w:val="001B7039"/>
    <w:rsid w:val="001D3E92"/>
    <w:rsid w:val="001F7F91"/>
    <w:rsid w:val="00221921"/>
    <w:rsid w:val="00223C9C"/>
    <w:rsid w:val="00225739"/>
    <w:rsid w:val="002316B2"/>
    <w:rsid w:val="00232B47"/>
    <w:rsid w:val="002353FE"/>
    <w:rsid w:val="0026677A"/>
    <w:rsid w:val="00280BF6"/>
    <w:rsid w:val="002857E2"/>
    <w:rsid w:val="00290FE5"/>
    <w:rsid w:val="002B12E4"/>
    <w:rsid w:val="002B1522"/>
    <w:rsid w:val="002D204A"/>
    <w:rsid w:val="002E2FB5"/>
    <w:rsid w:val="0030470D"/>
    <w:rsid w:val="00331BF1"/>
    <w:rsid w:val="00341E4B"/>
    <w:rsid w:val="0035459D"/>
    <w:rsid w:val="003566F4"/>
    <w:rsid w:val="00377F7A"/>
    <w:rsid w:val="00380CFA"/>
    <w:rsid w:val="00390202"/>
    <w:rsid w:val="00391738"/>
    <w:rsid w:val="003A25FC"/>
    <w:rsid w:val="003B2E5B"/>
    <w:rsid w:val="003B692A"/>
    <w:rsid w:val="003F06C8"/>
    <w:rsid w:val="003F3812"/>
    <w:rsid w:val="00400C39"/>
    <w:rsid w:val="00424C71"/>
    <w:rsid w:val="0042595D"/>
    <w:rsid w:val="00445667"/>
    <w:rsid w:val="00462780"/>
    <w:rsid w:val="004708AF"/>
    <w:rsid w:val="00472E44"/>
    <w:rsid w:val="00483835"/>
    <w:rsid w:val="004B1403"/>
    <w:rsid w:val="004C1489"/>
    <w:rsid w:val="004E1C33"/>
    <w:rsid w:val="00500880"/>
    <w:rsid w:val="005163B2"/>
    <w:rsid w:val="005227FE"/>
    <w:rsid w:val="0054418B"/>
    <w:rsid w:val="005447A8"/>
    <w:rsid w:val="0058689A"/>
    <w:rsid w:val="005927A0"/>
    <w:rsid w:val="00593026"/>
    <w:rsid w:val="005A42EB"/>
    <w:rsid w:val="005B1DEB"/>
    <w:rsid w:val="005C16CF"/>
    <w:rsid w:val="005E5EE9"/>
    <w:rsid w:val="005F4338"/>
    <w:rsid w:val="00625B36"/>
    <w:rsid w:val="00651946"/>
    <w:rsid w:val="00652A0F"/>
    <w:rsid w:val="0068029D"/>
    <w:rsid w:val="00684D86"/>
    <w:rsid w:val="00684F47"/>
    <w:rsid w:val="00696137"/>
    <w:rsid w:val="006C1AD5"/>
    <w:rsid w:val="006C4DDB"/>
    <w:rsid w:val="006D0AB5"/>
    <w:rsid w:val="006E115C"/>
    <w:rsid w:val="006E29FC"/>
    <w:rsid w:val="006E35CB"/>
    <w:rsid w:val="006F4459"/>
    <w:rsid w:val="00734474"/>
    <w:rsid w:val="00735EF2"/>
    <w:rsid w:val="00744B6E"/>
    <w:rsid w:val="007507AF"/>
    <w:rsid w:val="00755DD1"/>
    <w:rsid w:val="00781BD9"/>
    <w:rsid w:val="007823A8"/>
    <w:rsid w:val="007A7286"/>
    <w:rsid w:val="007E7CE5"/>
    <w:rsid w:val="007F0A91"/>
    <w:rsid w:val="008025E4"/>
    <w:rsid w:val="00812306"/>
    <w:rsid w:val="008170C1"/>
    <w:rsid w:val="008255B6"/>
    <w:rsid w:val="0082785F"/>
    <w:rsid w:val="0083103E"/>
    <w:rsid w:val="00837925"/>
    <w:rsid w:val="008416F9"/>
    <w:rsid w:val="0084200B"/>
    <w:rsid w:val="00846211"/>
    <w:rsid w:val="00861949"/>
    <w:rsid w:val="00880C44"/>
    <w:rsid w:val="00885CF8"/>
    <w:rsid w:val="008943FE"/>
    <w:rsid w:val="00895F2D"/>
    <w:rsid w:val="008A036B"/>
    <w:rsid w:val="008B078D"/>
    <w:rsid w:val="008E5AD8"/>
    <w:rsid w:val="008F4374"/>
    <w:rsid w:val="008F46F2"/>
    <w:rsid w:val="00904FAE"/>
    <w:rsid w:val="00940BF0"/>
    <w:rsid w:val="0097241B"/>
    <w:rsid w:val="0097299D"/>
    <w:rsid w:val="00974D88"/>
    <w:rsid w:val="0098203D"/>
    <w:rsid w:val="009829A1"/>
    <w:rsid w:val="00985D44"/>
    <w:rsid w:val="00986837"/>
    <w:rsid w:val="00994432"/>
    <w:rsid w:val="009A1198"/>
    <w:rsid w:val="009A37E9"/>
    <w:rsid w:val="009A79B5"/>
    <w:rsid w:val="009B2C72"/>
    <w:rsid w:val="009C6F1B"/>
    <w:rsid w:val="009D3705"/>
    <w:rsid w:val="009F6DA3"/>
    <w:rsid w:val="00A00DA5"/>
    <w:rsid w:val="00A0288E"/>
    <w:rsid w:val="00A06965"/>
    <w:rsid w:val="00A06EDB"/>
    <w:rsid w:val="00AA776B"/>
    <w:rsid w:val="00AB20E0"/>
    <w:rsid w:val="00AB370D"/>
    <w:rsid w:val="00AB4632"/>
    <w:rsid w:val="00AB7817"/>
    <w:rsid w:val="00AC42D2"/>
    <w:rsid w:val="00AD7791"/>
    <w:rsid w:val="00AE279D"/>
    <w:rsid w:val="00AE34D0"/>
    <w:rsid w:val="00AE3D76"/>
    <w:rsid w:val="00AE56A5"/>
    <w:rsid w:val="00B03CC5"/>
    <w:rsid w:val="00B12A84"/>
    <w:rsid w:val="00B25AD1"/>
    <w:rsid w:val="00B63239"/>
    <w:rsid w:val="00B64C8E"/>
    <w:rsid w:val="00B941EE"/>
    <w:rsid w:val="00B958D3"/>
    <w:rsid w:val="00B97CF8"/>
    <w:rsid w:val="00BB3BFA"/>
    <w:rsid w:val="00BC1973"/>
    <w:rsid w:val="00BC4114"/>
    <w:rsid w:val="00BC6229"/>
    <w:rsid w:val="00BD2C4A"/>
    <w:rsid w:val="00BF615F"/>
    <w:rsid w:val="00C11DB0"/>
    <w:rsid w:val="00C34CD0"/>
    <w:rsid w:val="00C624B4"/>
    <w:rsid w:val="00C6C272"/>
    <w:rsid w:val="00C77916"/>
    <w:rsid w:val="00C91C52"/>
    <w:rsid w:val="00CC6392"/>
    <w:rsid w:val="00CF0E85"/>
    <w:rsid w:val="00CF4271"/>
    <w:rsid w:val="00D178C8"/>
    <w:rsid w:val="00D17CC6"/>
    <w:rsid w:val="00D22341"/>
    <w:rsid w:val="00D227D0"/>
    <w:rsid w:val="00D23A64"/>
    <w:rsid w:val="00D368E2"/>
    <w:rsid w:val="00D50F90"/>
    <w:rsid w:val="00D55856"/>
    <w:rsid w:val="00D56DEE"/>
    <w:rsid w:val="00D6083E"/>
    <w:rsid w:val="00D60C44"/>
    <w:rsid w:val="00D6476A"/>
    <w:rsid w:val="00D72C0E"/>
    <w:rsid w:val="00D85554"/>
    <w:rsid w:val="00DA2D51"/>
    <w:rsid w:val="00DC7565"/>
    <w:rsid w:val="00DD0E2E"/>
    <w:rsid w:val="00DD43DF"/>
    <w:rsid w:val="00DE41D7"/>
    <w:rsid w:val="00E03192"/>
    <w:rsid w:val="00E033E4"/>
    <w:rsid w:val="00E111B0"/>
    <w:rsid w:val="00E2732C"/>
    <w:rsid w:val="00E3625C"/>
    <w:rsid w:val="00E409E0"/>
    <w:rsid w:val="00E43FA1"/>
    <w:rsid w:val="00E55A6B"/>
    <w:rsid w:val="00EC4CD5"/>
    <w:rsid w:val="00EC76DC"/>
    <w:rsid w:val="00EF2FFD"/>
    <w:rsid w:val="00F1709C"/>
    <w:rsid w:val="00F32228"/>
    <w:rsid w:val="00F40776"/>
    <w:rsid w:val="00F61FAB"/>
    <w:rsid w:val="00F67CE9"/>
    <w:rsid w:val="00F72126"/>
    <w:rsid w:val="00F81B39"/>
    <w:rsid w:val="00F949CC"/>
    <w:rsid w:val="00FB1934"/>
    <w:rsid w:val="00FB30AD"/>
    <w:rsid w:val="00FB3BD6"/>
    <w:rsid w:val="00FB3DA4"/>
    <w:rsid w:val="00FC4B82"/>
    <w:rsid w:val="00FF36BA"/>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D60C44"/>
    <w:rPr>
      <w:color w:val="0563C1" w:themeColor="hyperlink"/>
      <w:u w:val="single"/>
    </w:rPr>
  </w:style>
  <w:style w:type="character" w:styleId="UnresolvedMention">
    <w:name w:val="Unresolved Mention"/>
    <w:basedOn w:val="DefaultParagraphFont"/>
    <w:uiPriority w:val="99"/>
    <w:semiHidden/>
    <w:unhideWhenUsed/>
    <w:rsid w:val="00D60C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234359">
      <w:bodyDiv w:val="1"/>
      <w:marLeft w:val="0"/>
      <w:marRight w:val="0"/>
      <w:marTop w:val="0"/>
      <w:marBottom w:val="0"/>
      <w:divBdr>
        <w:top w:val="none" w:sz="0" w:space="0" w:color="auto"/>
        <w:left w:val="none" w:sz="0" w:space="0" w:color="auto"/>
        <w:bottom w:val="none" w:sz="0" w:space="0" w:color="auto"/>
        <w:right w:val="none" w:sz="0" w:space="0" w:color="auto"/>
      </w:divBdr>
    </w:div>
    <w:div w:id="245459244">
      <w:bodyDiv w:val="1"/>
      <w:marLeft w:val="0"/>
      <w:marRight w:val="0"/>
      <w:marTop w:val="0"/>
      <w:marBottom w:val="0"/>
      <w:divBdr>
        <w:top w:val="none" w:sz="0" w:space="0" w:color="auto"/>
        <w:left w:val="none" w:sz="0" w:space="0" w:color="auto"/>
        <w:bottom w:val="none" w:sz="0" w:space="0" w:color="auto"/>
        <w:right w:val="none" w:sz="0" w:space="0" w:color="auto"/>
      </w:divBdr>
    </w:div>
    <w:div w:id="275406437">
      <w:bodyDiv w:val="1"/>
      <w:marLeft w:val="0"/>
      <w:marRight w:val="0"/>
      <w:marTop w:val="0"/>
      <w:marBottom w:val="0"/>
      <w:divBdr>
        <w:top w:val="none" w:sz="0" w:space="0" w:color="auto"/>
        <w:left w:val="none" w:sz="0" w:space="0" w:color="auto"/>
        <w:bottom w:val="none" w:sz="0" w:space="0" w:color="auto"/>
        <w:right w:val="none" w:sz="0" w:space="0" w:color="auto"/>
      </w:divBdr>
    </w:div>
    <w:div w:id="309100434">
      <w:bodyDiv w:val="1"/>
      <w:marLeft w:val="0"/>
      <w:marRight w:val="0"/>
      <w:marTop w:val="0"/>
      <w:marBottom w:val="0"/>
      <w:divBdr>
        <w:top w:val="none" w:sz="0" w:space="0" w:color="auto"/>
        <w:left w:val="none" w:sz="0" w:space="0" w:color="auto"/>
        <w:bottom w:val="none" w:sz="0" w:space="0" w:color="auto"/>
        <w:right w:val="none" w:sz="0" w:space="0" w:color="auto"/>
      </w:divBdr>
      <w:divsChild>
        <w:div w:id="1379284822">
          <w:marLeft w:val="0"/>
          <w:marRight w:val="0"/>
          <w:marTop w:val="0"/>
          <w:marBottom w:val="0"/>
          <w:divBdr>
            <w:top w:val="none" w:sz="0" w:space="0" w:color="auto"/>
            <w:left w:val="none" w:sz="0" w:space="0" w:color="auto"/>
            <w:bottom w:val="none" w:sz="0" w:space="0" w:color="auto"/>
            <w:right w:val="none" w:sz="0" w:space="0" w:color="auto"/>
          </w:divBdr>
        </w:div>
        <w:div w:id="2080252653">
          <w:marLeft w:val="0"/>
          <w:marRight w:val="0"/>
          <w:marTop w:val="0"/>
          <w:marBottom w:val="0"/>
          <w:divBdr>
            <w:top w:val="none" w:sz="0" w:space="0" w:color="auto"/>
            <w:left w:val="none" w:sz="0" w:space="0" w:color="auto"/>
            <w:bottom w:val="none" w:sz="0" w:space="0" w:color="auto"/>
            <w:right w:val="none" w:sz="0" w:space="0" w:color="auto"/>
          </w:divBdr>
        </w:div>
        <w:div w:id="1989819668">
          <w:marLeft w:val="0"/>
          <w:marRight w:val="0"/>
          <w:marTop w:val="0"/>
          <w:marBottom w:val="0"/>
          <w:divBdr>
            <w:top w:val="none" w:sz="0" w:space="0" w:color="auto"/>
            <w:left w:val="none" w:sz="0" w:space="0" w:color="auto"/>
            <w:bottom w:val="none" w:sz="0" w:space="0" w:color="auto"/>
            <w:right w:val="none" w:sz="0" w:space="0" w:color="auto"/>
          </w:divBdr>
        </w:div>
        <w:div w:id="999700164">
          <w:marLeft w:val="0"/>
          <w:marRight w:val="0"/>
          <w:marTop w:val="0"/>
          <w:marBottom w:val="0"/>
          <w:divBdr>
            <w:top w:val="none" w:sz="0" w:space="0" w:color="auto"/>
            <w:left w:val="none" w:sz="0" w:space="0" w:color="auto"/>
            <w:bottom w:val="none" w:sz="0" w:space="0" w:color="auto"/>
            <w:right w:val="none" w:sz="0" w:space="0" w:color="auto"/>
          </w:divBdr>
        </w:div>
      </w:divsChild>
    </w:div>
    <w:div w:id="505443978">
      <w:bodyDiv w:val="1"/>
      <w:marLeft w:val="0"/>
      <w:marRight w:val="0"/>
      <w:marTop w:val="0"/>
      <w:marBottom w:val="0"/>
      <w:divBdr>
        <w:top w:val="none" w:sz="0" w:space="0" w:color="auto"/>
        <w:left w:val="none" w:sz="0" w:space="0" w:color="auto"/>
        <w:bottom w:val="none" w:sz="0" w:space="0" w:color="auto"/>
        <w:right w:val="none" w:sz="0" w:space="0" w:color="auto"/>
      </w:divBdr>
    </w:div>
    <w:div w:id="574583372">
      <w:bodyDiv w:val="1"/>
      <w:marLeft w:val="0"/>
      <w:marRight w:val="0"/>
      <w:marTop w:val="0"/>
      <w:marBottom w:val="0"/>
      <w:divBdr>
        <w:top w:val="none" w:sz="0" w:space="0" w:color="auto"/>
        <w:left w:val="none" w:sz="0" w:space="0" w:color="auto"/>
        <w:bottom w:val="none" w:sz="0" w:space="0" w:color="auto"/>
        <w:right w:val="none" w:sz="0" w:space="0" w:color="auto"/>
      </w:divBdr>
      <w:divsChild>
        <w:div w:id="1526093717">
          <w:marLeft w:val="0"/>
          <w:marRight w:val="0"/>
          <w:marTop w:val="0"/>
          <w:marBottom w:val="0"/>
          <w:divBdr>
            <w:top w:val="none" w:sz="0" w:space="0" w:color="auto"/>
            <w:left w:val="none" w:sz="0" w:space="0" w:color="auto"/>
            <w:bottom w:val="none" w:sz="0" w:space="0" w:color="auto"/>
            <w:right w:val="none" w:sz="0" w:space="0" w:color="auto"/>
          </w:divBdr>
        </w:div>
      </w:divsChild>
    </w:div>
    <w:div w:id="614101782">
      <w:bodyDiv w:val="1"/>
      <w:marLeft w:val="0"/>
      <w:marRight w:val="0"/>
      <w:marTop w:val="0"/>
      <w:marBottom w:val="0"/>
      <w:divBdr>
        <w:top w:val="none" w:sz="0" w:space="0" w:color="auto"/>
        <w:left w:val="none" w:sz="0" w:space="0" w:color="auto"/>
        <w:bottom w:val="none" w:sz="0" w:space="0" w:color="auto"/>
        <w:right w:val="none" w:sz="0" w:space="0" w:color="auto"/>
      </w:divBdr>
      <w:divsChild>
        <w:div w:id="530726657">
          <w:marLeft w:val="0"/>
          <w:marRight w:val="0"/>
          <w:marTop w:val="0"/>
          <w:marBottom w:val="0"/>
          <w:divBdr>
            <w:top w:val="none" w:sz="0" w:space="0" w:color="auto"/>
            <w:left w:val="none" w:sz="0" w:space="0" w:color="auto"/>
            <w:bottom w:val="none" w:sz="0" w:space="0" w:color="auto"/>
            <w:right w:val="none" w:sz="0" w:space="0" w:color="auto"/>
          </w:divBdr>
        </w:div>
      </w:divsChild>
    </w:div>
    <w:div w:id="697969756">
      <w:bodyDiv w:val="1"/>
      <w:marLeft w:val="0"/>
      <w:marRight w:val="0"/>
      <w:marTop w:val="0"/>
      <w:marBottom w:val="0"/>
      <w:divBdr>
        <w:top w:val="none" w:sz="0" w:space="0" w:color="auto"/>
        <w:left w:val="none" w:sz="0" w:space="0" w:color="auto"/>
        <w:bottom w:val="none" w:sz="0" w:space="0" w:color="auto"/>
        <w:right w:val="none" w:sz="0" w:space="0" w:color="auto"/>
      </w:divBdr>
    </w:div>
    <w:div w:id="722799140">
      <w:bodyDiv w:val="1"/>
      <w:marLeft w:val="0"/>
      <w:marRight w:val="0"/>
      <w:marTop w:val="0"/>
      <w:marBottom w:val="0"/>
      <w:divBdr>
        <w:top w:val="none" w:sz="0" w:space="0" w:color="auto"/>
        <w:left w:val="none" w:sz="0" w:space="0" w:color="auto"/>
        <w:bottom w:val="none" w:sz="0" w:space="0" w:color="auto"/>
        <w:right w:val="none" w:sz="0" w:space="0" w:color="auto"/>
      </w:divBdr>
      <w:divsChild>
        <w:div w:id="65346713">
          <w:marLeft w:val="0"/>
          <w:marRight w:val="0"/>
          <w:marTop w:val="0"/>
          <w:marBottom w:val="0"/>
          <w:divBdr>
            <w:top w:val="none" w:sz="0" w:space="0" w:color="auto"/>
            <w:left w:val="none" w:sz="0" w:space="0" w:color="auto"/>
            <w:bottom w:val="none" w:sz="0" w:space="0" w:color="auto"/>
            <w:right w:val="none" w:sz="0" w:space="0" w:color="auto"/>
          </w:divBdr>
        </w:div>
      </w:divsChild>
    </w:div>
    <w:div w:id="1114129446">
      <w:bodyDiv w:val="1"/>
      <w:marLeft w:val="0"/>
      <w:marRight w:val="0"/>
      <w:marTop w:val="0"/>
      <w:marBottom w:val="0"/>
      <w:divBdr>
        <w:top w:val="none" w:sz="0" w:space="0" w:color="auto"/>
        <w:left w:val="none" w:sz="0" w:space="0" w:color="auto"/>
        <w:bottom w:val="none" w:sz="0" w:space="0" w:color="auto"/>
        <w:right w:val="none" w:sz="0" w:space="0" w:color="auto"/>
      </w:divBdr>
      <w:divsChild>
        <w:div w:id="302590160">
          <w:marLeft w:val="0"/>
          <w:marRight w:val="0"/>
          <w:marTop w:val="0"/>
          <w:marBottom w:val="0"/>
          <w:divBdr>
            <w:top w:val="none" w:sz="0" w:space="0" w:color="auto"/>
            <w:left w:val="none" w:sz="0" w:space="0" w:color="auto"/>
            <w:bottom w:val="none" w:sz="0" w:space="0" w:color="auto"/>
            <w:right w:val="none" w:sz="0" w:space="0" w:color="auto"/>
          </w:divBdr>
        </w:div>
      </w:divsChild>
    </w:div>
    <w:div w:id="1180658339">
      <w:bodyDiv w:val="1"/>
      <w:marLeft w:val="0"/>
      <w:marRight w:val="0"/>
      <w:marTop w:val="0"/>
      <w:marBottom w:val="0"/>
      <w:divBdr>
        <w:top w:val="none" w:sz="0" w:space="0" w:color="auto"/>
        <w:left w:val="none" w:sz="0" w:space="0" w:color="auto"/>
        <w:bottom w:val="none" w:sz="0" w:space="0" w:color="auto"/>
        <w:right w:val="none" w:sz="0" w:space="0" w:color="auto"/>
      </w:divBdr>
      <w:divsChild>
        <w:div w:id="2138066661">
          <w:marLeft w:val="0"/>
          <w:marRight w:val="0"/>
          <w:marTop w:val="0"/>
          <w:marBottom w:val="0"/>
          <w:divBdr>
            <w:top w:val="none" w:sz="0" w:space="0" w:color="auto"/>
            <w:left w:val="none" w:sz="0" w:space="0" w:color="auto"/>
            <w:bottom w:val="none" w:sz="0" w:space="0" w:color="auto"/>
            <w:right w:val="none" w:sz="0" w:space="0" w:color="auto"/>
          </w:divBdr>
        </w:div>
      </w:divsChild>
    </w:div>
    <w:div w:id="1208253425">
      <w:bodyDiv w:val="1"/>
      <w:marLeft w:val="0"/>
      <w:marRight w:val="0"/>
      <w:marTop w:val="0"/>
      <w:marBottom w:val="0"/>
      <w:divBdr>
        <w:top w:val="none" w:sz="0" w:space="0" w:color="auto"/>
        <w:left w:val="none" w:sz="0" w:space="0" w:color="auto"/>
        <w:bottom w:val="none" w:sz="0" w:space="0" w:color="auto"/>
        <w:right w:val="none" w:sz="0" w:space="0" w:color="auto"/>
      </w:divBdr>
    </w:div>
    <w:div w:id="1617562753">
      <w:bodyDiv w:val="1"/>
      <w:marLeft w:val="0"/>
      <w:marRight w:val="0"/>
      <w:marTop w:val="0"/>
      <w:marBottom w:val="0"/>
      <w:divBdr>
        <w:top w:val="none" w:sz="0" w:space="0" w:color="auto"/>
        <w:left w:val="none" w:sz="0" w:space="0" w:color="auto"/>
        <w:bottom w:val="none" w:sz="0" w:space="0" w:color="auto"/>
        <w:right w:val="none" w:sz="0" w:space="0" w:color="auto"/>
      </w:divBdr>
      <w:divsChild>
        <w:div w:id="1047877342">
          <w:marLeft w:val="0"/>
          <w:marRight w:val="0"/>
          <w:marTop w:val="0"/>
          <w:marBottom w:val="0"/>
          <w:divBdr>
            <w:top w:val="none" w:sz="0" w:space="0" w:color="auto"/>
            <w:left w:val="none" w:sz="0" w:space="0" w:color="auto"/>
            <w:bottom w:val="none" w:sz="0" w:space="0" w:color="auto"/>
            <w:right w:val="none" w:sz="0" w:space="0" w:color="auto"/>
          </w:divBdr>
        </w:div>
        <w:div w:id="372121727">
          <w:marLeft w:val="0"/>
          <w:marRight w:val="0"/>
          <w:marTop w:val="0"/>
          <w:marBottom w:val="0"/>
          <w:divBdr>
            <w:top w:val="none" w:sz="0" w:space="0" w:color="auto"/>
            <w:left w:val="none" w:sz="0" w:space="0" w:color="auto"/>
            <w:bottom w:val="none" w:sz="0" w:space="0" w:color="auto"/>
            <w:right w:val="none" w:sz="0" w:space="0" w:color="auto"/>
          </w:divBdr>
        </w:div>
        <w:div w:id="944534897">
          <w:marLeft w:val="0"/>
          <w:marRight w:val="0"/>
          <w:marTop w:val="0"/>
          <w:marBottom w:val="0"/>
          <w:divBdr>
            <w:top w:val="none" w:sz="0" w:space="0" w:color="auto"/>
            <w:left w:val="none" w:sz="0" w:space="0" w:color="auto"/>
            <w:bottom w:val="none" w:sz="0" w:space="0" w:color="auto"/>
            <w:right w:val="none" w:sz="0" w:space="0" w:color="auto"/>
          </w:divBdr>
        </w:div>
        <w:div w:id="300768742">
          <w:marLeft w:val="0"/>
          <w:marRight w:val="0"/>
          <w:marTop w:val="0"/>
          <w:marBottom w:val="0"/>
          <w:divBdr>
            <w:top w:val="none" w:sz="0" w:space="0" w:color="auto"/>
            <w:left w:val="none" w:sz="0" w:space="0" w:color="auto"/>
            <w:bottom w:val="none" w:sz="0" w:space="0" w:color="auto"/>
            <w:right w:val="none" w:sz="0" w:space="0" w:color="auto"/>
          </w:divBdr>
        </w:div>
      </w:divsChild>
    </w:div>
    <w:div w:id="1866822143">
      <w:bodyDiv w:val="1"/>
      <w:marLeft w:val="0"/>
      <w:marRight w:val="0"/>
      <w:marTop w:val="0"/>
      <w:marBottom w:val="0"/>
      <w:divBdr>
        <w:top w:val="none" w:sz="0" w:space="0" w:color="auto"/>
        <w:left w:val="none" w:sz="0" w:space="0" w:color="auto"/>
        <w:bottom w:val="none" w:sz="0" w:space="0" w:color="auto"/>
        <w:right w:val="none" w:sz="0" w:space="0" w:color="auto"/>
      </w:divBdr>
    </w:div>
    <w:div w:id="2032409345">
      <w:bodyDiv w:val="1"/>
      <w:marLeft w:val="0"/>
      <w:marRight w:val="0"/>
      <w:marTop w:val="0"/>
      <w:marBottom w:val="0"/>
      <w:divBdr>
        <w:top w:val="none" w:sz="0" w:space="0" w:color="auto"/>
        <w:left w:val="none" w:sz="0" w:space="0" w:color="auto"/>
        <w:bottom w:val="none" w:sz="0" w:space="0" w:color="auto"/>
        <w:right w:val="none" w:sz="0" w:space="0" w:color="auto"/>
      </w:divBdr>
      <w:divsChild>
        <w:div w:id="321928710">
          <w:marLeft w:val="0"/>
          <w:marRight w:val="0"/>
          <w:marTop w:val="0"/>
          <w:marBottom w:val="0"/>
          <w:divBdr>
            <w:top w:val="none" w:sz="0" w:space="0" w:color="auto"/>
            <w:left w:val="none" w:sz="0" w:space="0" w:color="auto"/>
            <w:bottom w:val="none" w:sz="0" w:space="0" w:color="auto"/>
            <w:right w:val="none" w:sz="0" w:space="0" w:color="auto"/>
          </w:divBdr>
        </w:div>
      </w:divsChild>
    </w:div>
    <w:div w:id="212888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2E393-589F-B641-B670-1B0C55C4E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8</Pages>
  <Words>3235</Words>
  <Characters>17507</Characters>
  <Application>Microsoft Office Word</Application>
  <DocSecurity>0</DocSecurity>
  <Lines>372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Jo Reed (2206990)</cp:lastModifiedBy>
  <cp:revision>5</cp:revision>
  <dcterms:created xsi:type="dcterms:W3CDTF">2024-12-12T21:41:00Z</dcterms:created>
  <dcterms:modified xsi:type="dcterms:W3CDTF">2024-12-13T12:53:00Z</dcterms:modified>
</cp:coreProperties>
</file>