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1908049" cy="63566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Assignment coversheet &amp; feedback form</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vertAlign w:val="baseline"/>
          <w:rtl w:val="0"/>
        </w:rPr>
        <w:t>THIS SHEET MUST BE THE FIRST PAGE OF THE ASSIGNMENT YOU ARE SUBMITTING  (DO NOT SEND AS A SEPARATE FILE)</w:t>
      </w:r>
    </w:p>
    <w:tbl>
      <w:tblPr>
        <w:tblW w:w="9637"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10"/>
        <w:gridCol w:w="461"/>
        <w:gridCol w:w="1694"/>
        <w:gridCol w:w="311"/>
        <w:gridCol w:w="1961"/>
      </w:tblGrid>
      <w:tr>
        <w:tblPrEx>
          <w:shd w:val="clear" w:color="auto" w:fill="ced7e7"/>
        </w:tblPrEx>
        <w:trPr>
          <w:trHeight w:val="454"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ced7e7"/>
        </w:tblPrEx>
        <w:trPr>
          <w:trHeight w:val="72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Reece Morris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Student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Email: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1300653@student.uwtsd.ac.uk</w:t>
            </w:r>
          </w:p>
        </w:tc>
      </w:tr>
      <w:tr>
        <w:tblPrEx>
          <w:shd w:val="clear" w:color="auto" w:fill="ced7e7"/>
        </w:tblPrEx>
        <w:trPr>
          <w:trHeight w:val="1443" w:hRule="atLeast"/>
        </w:trPr>
        <w:tc>
          <w:tcPr>
            <w:tcW w:type="dxa" w:w="5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CLAH7017</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Religious Life in the Roman Empire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c>
          <w:tcPr>
            <w:tcW w:type="dxa" w:w="24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ID number: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1300653</w:t>
            </w:r>
          </w:p>
        </w:tc>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ced7e7"/>
        </w:tblPrEx>
        <w:trPr>
          <w:trHeight w:val="979"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1000 word short analysis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6 April 2018</w:t>
            </w:r>
          </w:p>
        </w:tc>
      </w:tr>
      <w:tr>
        <w:tblPrEx>
          <w:shd w:val="clear" w:color="auto" w:fill="ced7e7"/>
        </w:tblPrEx>
        <w:trPr>
          <w:trHeight w:val="818"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This assignment is for the       1</w:t>
            </w:r>
            <w:r>
              <w:rPr>
                <w:rFonts w:ascii="Arial" w:hAnsi="Arial"/>
                <w:u w:color="000000"/>
                <w:vertAlign w:val="superscript"/>
                <w:rtl w:val="0"/>
                <w:lang w:val="en-US"/>
              </w:rPr>
              <w:t xml:space="preserve">st </w:t>
            </w:r>
            <w:r>
              <w:rPr>
                <w:rFonts w:ascii="Arial" w:hAnsi="Arial"/>
                <w:u w:color="000000"/>
                <w:rtl w:val="0"/>
                <w:lang w:val="en-US"/>
              </w:rPr>
              <w:t xml:space="preserve">    2</w:t>
            </w:r>
            <w:r>
              <w:rPr>
                <w:rFonts w:ascii="Arial" w:hAnsi="Arial"/>
                <w:u w:color="000000"/>
                <w:vertAlign w:val="superscript"/>
                <w:rtl w:val="0"/>
                <w:lang w:val="en-US"/>
              </w:rPr>
              <w:t>nd</w:t>
            </w:r>
            <w:r>
              <w:rPr>
                <w:rFonts w:ascii="Arial" w:hAnsi="Arial"/>
                <w:u w:color="000000"/>
                <w:rtl w:val="0"/>
                <w:lang w:val="en-US"/>
              </w:rPr>
              <w:t xml:space="preserve">       3</w:t>
            </w:r>
            <w:r>
              <w:rPr>
                <w:rFonts w:ascii="Arial" w:hAnsi="Arial"/>
                <w:u w:color="000000"/>
                <w:vertAlign w:val="superscript"/>
                <w:rtl w:val="0"/>
                <w:lang w:val="en-US"/>
              </w:rPr>
              <w:t>rd</w:t>
            </w:r>
            <w:r>
              <w:rPr>
                <w:rFonts w:ascii="Arial" w:hAnsi="Arial"/>
                <w:u w:color="000000"/>
                <w:rtl w:val="0"/>
                <w:lang w:val="en-US"/>
              </w:rPr>
              <w:t xml:space="preserve">        4</w:t>
            </w:r>
            <w:r>
              <w:rPr>
                <w:rFonts w:ascii="Arial" w:hAnsi="Arial"/>
                <w:u w:color="000000"/>
                <w:vertAlign w:val="superscript"/>
                <w:rtl w:val="0"/>
                <w:lang w:val="en-US"/>
              </w:rPr>
              <w:t>th</w:t>
            </w:r>
            <w:r>
              <w:rPr>
                <w:rFonts w:ascii="Arial" w:hAnsi="Arial"/>
                <w:u w:color="000000"/>
                <w:rtl w:val="0"/>
                <w:lang w:val="en-US"/>
              </w:rPr>
              <w:t xml:space="preserve">       5</w:t>
            </w:r>
            <w:r>
              <w:rPr>
                <w:rFonts w:ascii="Arial" w:hAnsi="Arial"/>
                <w:u w:color="000000"/>
                <w:vertAlign w:val="superscript"/>
                <w:rtl w:val="0"/>
                <w:lang w:val="en-US"/>
              </w:rPr>
              <w:t>th</w:t>
            </w:r>
            <w:r>
              <w:rPr>
                <w:rFonts w:ascii="Arial" w:hAnsi="Arial"/>
                <w:u w:color="000000"/>
                <w:rtl w:val="0"/>
                <w:lang w:val="en-US"/>
              </w:rPr>
              <w:t xml:space="preserve">       6</w:t>
            </w:r>
            <w:r>
              <w:rPr>
                <w:rFonts w:ascii="Arial" w:hAnsi="Arial"/>
                <w:u w:color="000000"/>
                <w:vertAlign w:val="superscript"/>
                <w:rtl w:val="0"/>
                <w:lang w:val="en-US"/>
              </w:rPr>
              <w:t>th</w:t>
            </w:r>
            <w:r>
              <w:rPr>
                <w:rFonts w:ascii="Arial" w:hAnsi="Arial"/>
                <w:u w:color="000000"/>
                <w:rtl w:val="0"/>
                <w:lang w:val="en-US"/>
              </w:rPr>
              <w:t xml:space="preserve"> </w:t>
            </w:r>
            <w:r>
              <w:rPr>
                <w:rFonts w:ascii="Arial" w:hAnsi="Arial"/>
                <w:b w:val="1"/>
                <w:bCs w:val="1"/>
                <w:u w:color="000000"/>
                <w:rtl w:val="0"/>
                <w:lang w:val="en-US"/>
              </w:rPr>
              <w:t xml:space="preserve">   </w:t>
            </w:r>
            <w:r>
              <w:rPr>
                <w:rFonts w:ascii="Arial" w:hAnsi="Arial"/>
                <w:u w:color="000000"/>
                <w:rtl w:val="0"/>
                <w:lang w:val="en-US"/>
              </w:rPr>
              <w:t>module of the degree</w:t>
            </w:r>
          </w:p>
        </w:tc>
      </w:tr>
      <w:tr>
        <w:tblPrEx>
          <w:shd w:val="clear" w:color="auto" w:fill="ced7e7"/>
        </w:tblPrEx>
        <w:trPr>
          <w:trHeight w:val="2090"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Signed</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 xml:space="preserve"> Reece Morris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 xml:space="preserve">Email submission:if you are submitting this form via email, please tick this box </w:t>
            </w:r>
            <w:r>
              <w:rPr>
                <w:rFonts w:ascii="Calibri" w:cs="Calibri" w:hAnsi="Calibri" w:eastAsia="Calibri"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(as a substitute for your signature) to confirm that you agree to the above declaration.</w:t>
            </w:r>
          </w:p>
        </w:tc>
      </w:tr>
      <w:tr>
        <w:tblPrEx>
          <w:shd w:val="clear" w:color="auto" w:fill="ced7e7"/>
        </w:tblPrEx>
        <w:trPr>
          <w:trHeight w:val="544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rtl w:val="0"/>
                <w:lang w:val="en-US"/>
              </w:rPr>
            </w:pPr>
          </w:p>
          <w:p>
            <w:pPr>
              <w:pStyle w:val="Body"/>
              <w:jc w:val="left"/>
              <w:rPr>
                <w:rFonts w:ascii="Arial" w:cs="Arial" w:hAnsi="Arial" w:eastAsia="Arial"/>
                <w:sz w:val="24"/>
                <w:szCs w:val="24"/>
                <w:u w:color="000000"/>
              </w:rPr>
            </w:pPr>
            <w:r>
              <w:rPr>
                <w:rFonts w:ascii="Arial" w:hAnsi="Arial"/>
                <w:b w:val="1"/>
                <w:bCs w:val="1"/>
                <w:sz w:val="24"/>
                <w:szCs w:val="24"/>
                <w:u w:color="000000"/>
                <w:rtl w:val="0"/>
                <w:lang w:val="en-US"/>
              </w:rPr>
              <w:t>Assignment Mark</w:t>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1</w:t>
            </w:r>
            <w:r>
              <w:rPr>
                <w:rFonts w:ascii="Arial" w:hAnsi="Arial"/>
                <w:sz w:val="20"/>
                <w:szCs w:val="20"/>
                <w:u w:color="000000"/>
                <w:vertAlign w:val="superscript"/>
                <w:rtl w:val="0"/>
                <w:lang w:val="en-US"/>
              </w:rPr>
              <w:t>st</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2</w:t>
            </w:r>
            <w:r>
              <w:rPr>
                <w:rFonts w:ascii="Arial" w:hAnsi="Arial"/>
                <w:sz w:val="20"/>
                <w:szCs w:val="20"/>
                <w:u w:color="000000"/>
                <w:vertAlign w:val="superscript"/>
                <w:rtl w:val="0"/>
                <w:lang w:val="en-US"/>
              </w:rPr>
              <w:t>nd</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s/Moderator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External Examiner</w:t>
            </w:r>
            <w:r>
              <w:rPr>
                <w:rFonts w:ascii="Arial" w:hAnsi="Arial" w:hint="default"/>
                <w:sz w:val="20"/>
                <w:szCs w:val="20"/>
                <w:u w:color="000000"/>
                <w:rtl w:val="0"/>
                <w:lang w:val="en-US"/>
              </w:rPr>
              <w:t>’</w:t>
            </w:r>
            <w:r>
              <w:rPr>
                <w:rFonts w:ascii="Arial" w:hAnsi="Arial"/>
                <w:sz w:val="20"/>
                <w:szCs w:val="20"/>
                <w:u w:color="000000"/>
                <w:rtl w:val="0"/>
                <w:lang w:val="en-US"/>
              </w:rPr>
              <w:t>s mark (if relevant)</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b w:val="1"/>
                <w:bCs w:val="1"/>
                <w:sz w:val="20"/>
                <w:szCs w:val="20"/>
                <w:u w:color="000000"/>
                <w:rtl w:val="0"/>
              </w:rPr>
            </w:pPr>
            <w:r>
              <w:rPr>
                <w:rFonts w:ascii="Arial" w:hAnsi="Arial"/>
                <w:b w:val="1"/>
                <w:bCs w:val="1"/>
                <w:sz w:val="20"/>
                <w:szCs w:val="20"/>
                <w:u w:color="000000"/>
                <w:rtl w:val="0"/>
                <w:lang w:val="en-US"/>
              </w:rPr>
              <w:t>Final Mark</w:t>
            </w:r>
          </w:p>
          <w:p>
            <w:pPr>
              <w:pStyle w:val="Body"/>
              <w:bidi w:val="0"/>
              <w:ind w:left="0" w:right="0" w:firstLine="0"/>
              <w:jc w:val="left"/>
              <w:rPr>
                <w:rFonts w:ascii="Arial" w:cs="Arial" w:hAnsi="Arial" w:eastAsia="Arial"/>
                <w:b w:val="1"/>
                <w:bCs w:val="1"/>
                <w:sz w:val="20"/>
                <w:szCs w:val="20"/>
                <w:u w:color="000000"/>
                <w:rtl w:val="0"/>
              </w:rPr>
            </w:pPr>
            <w:r>
              <w:rPr>
                <w:rFonts w:ascii="Arial" w:cs="Arial" w:hAnsi="Arial" w:eastAsia="Arial"/>
                <w:b w:val="1"/>
                <w:bCs w:val="1"/>
                <w:sz w:val="20"/>
                <w:szCs w:val="20"/>
                <w:u w:color="000000"/>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r>
          </w:p>
        </w:tc>
      </w:tr>
      <w:tr>
        <w:tblPrEx>
          <w:shd w:val="clear" w:color="auto" w:fill="ced7e7"/>
        </w:tblPrEx>
        <w:trPr>
          <w:trHeight w:val="332" w:hRule="atLeast"/>
        </w:trPr>
        <w:tc>
          <w:tcPr>
            <w:tcW w:type="dxa" w:w="73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227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192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288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rtl w:val="0"/>
              </w:rPr>
            </w:pPr>
            <w:r>
              <w:rPr>
                <w:rFonts w:ascii="Arial" w:hAnsi="Arial"/>
                <w:b w:val="1"/>
                <w:bCs w:val="1"/>
                <w:u w:color="000000"/>
                <w:rtl w:val="0"/>
                <w:lang w:val="en-US"/>
              </w:rPr>
              <w:t>External Examiner</w:t>
            </w:r>
            <w:r>
              <w:rPr>
                <w:rFonts w:ascii="Arial" w:hAnsi="Arial" w:hint="default"/>
                <w:b w:val="1"/>
                <w:bCs w:val="1"/>
                <w:u w:color="000000"/>
                <w:rtl w:val="0"/>
                <w:lang w:val="en-US"/>
              </w:rPr>
              <w:t>’</w:t>
            </w:r>
            <w:r>
              <w:rPr>
                <w:rFonts w:ascii="Arial" w:hAnsi="Arial"/>
                <w:b w:val="1"/>
                <w:bCs w:val="1"/>
                <w:u w:color="000000"/>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External Examiner</w:t>
            </w:r>
            <w:r>
              <w:rPr>
                <w:rFonts w:ascii="Arial" w:hAnsi="Arial" w:hint="default"/>
                <w:u w:color="000000"/>
                <w:rtl w:val="0"/>
                <w:lang w:val="en-US"/>
              </w:rPr>
              <w:t>’</w:t>
            </w:r>
            <w:r>
              <w:rPr>
                <w:rFonts w:ascii="Arial" w:hAnsi="Arial"/>
                <w:u w:color="000000"/>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Date:</w:t>
            </w:r>
          </w:p>
        </w:tc>
      </w:tr>
    </w:tbl>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rebuchet MS" w:cs="Trebuchet MS" w:hAnsi="Trebuchet MS" w:eastAsia="Trebuchet MS"/>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pStyle w:val="Body"/>
        <w:spacing w:line="360" w:lineRule="auto"/>
        <w:ind w:left="283" w:right="284" w:firstLine="0"/>
        <w:jc w:val="center"/>
        <w:rPr>
          <w:rFonts w:ascii="Trebuchet MS" w:cs="Trebuchet MS" w:hAnsi="Trebuchet MS" w:eastAsia="Trebuchet MS"/>
          <w:sz w:val="24"/>
          <w:szCs w:val="24"/>
          <w:u w:val="single"/>
        </w:rPr>
      </w:pPr>
    </w:p>
    <w:p>
      <w:pPr>
        <w:pStyle w:val="Body"/>
        <w:spacing w:line="360" w:lineRule="auto"/>
        <w:ind w:left="283" w:right="284" w:firstLine="0"/>
        <w:jc w:val="center"/>
        <w:rPr>
          <w:rFonts w:ascii="Trebuchet MS" w:cs="Trebuchet MS" w:hAnsi="Trebuchet MS" w:eastAsia="Trebuchet MS"/>
          <w:sz w:val="24"/>
          <w:szCs w:val="24"/>
          <w:u w:val="single"/>
        </w:rPr>
      </w:pPr>
    </w:p>
    <w:p>
      <w:pPr>
        <w:pStyle w:val="Body"/>
        <w:spacing w:line="360" w:lineRule="auto"/>
        <w:ind w:left="283" w:right="284" w:firstLine="0"/>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Short analysis: religious individualisation</w:t>
      </w:r>
    </w:p>
    <w:p>
      <w:pPr>
        <w:pStyle w:val="Body"/>
        <w:spacing w:line="360" w:lineRule="auto"/>
        <w:ind w:left="283" w:right="284" w:firstLine="0"/>
        <w:jc w:val="center"/>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term </w:t>
      </w:r>
      <w:r>
        <w:rPr>
          <w:rFonts w:ascii="Times New Roman" w:hAnsi="Times New Roman" w:hint="default"/>
          <w:sz w:val="24"/>
          <w:szCs w:val="24"/>
          <w:rtl w:val="0"/>
          <w:lang w:val="en-US"/>
        </w:rPr>
        <w:t>‘</w:t>
      </w:r>
      <w:r>
        <w:rPr>
          <w:rFonts w:ascii="Times New Roman" w:hAnsi="Times New Roman"/>
          <w:sz w:val="24"/>
          <w:szCs w:val="24"/>
          <w:rtl w:val="0"/>
          <w:lang w:val="en-US"/>
        </w:rPr>
        <w:t>religious individualisation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is often used in reference to the nature of religion in ancient Rome. This short analysis will examine whether this term can be applied to all religions in the Roman empire in the 1st</w:t>
      </w:r>
      <w:r>
        <w:rPr>
          <w:rFonts w:ascii="Times New Roman" w:hAnsi="Times New Roman" w:hint="default"/>
          <w:sz w:val="24"/>
          <w:szCs w:val="24"/>
          <w:rtl w:val="0"/>
          <w:lang w:val="en-US"/>
        </w:rPr>
        <w:t>—</w:t>
      </w:r>
      <w:r>
        <w:rPr>
          <w:rFonts w:ascii="Times New Roman" w:hAnsi="Times New Roman"/>
          <w:sz w:val="24"/>
          <w:szCs w:val="24"/>
          <w:rtl w:val="0"/>
          <w:lang w:val="en-US"/>
        </w:rPr>
        <w:t xml:space="preserve">3rd centuries AD, and if we can generalise for the empire as a whole. It will deal with both the perspectives of religions in the empire from that of the state and if the religions themselves permitted individualisation.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Traditionally, the view of religion in ancient Rome had been that individuals operated within the predefined limits of civic religion, which was financed by the dominant social groups (</w:t>
      </w:r>
      <w:r>
        <w:rPr>
          <w:rFonts w:ascii="Times New Roman" w:hAnsi="Times New Roman"/>
          <w:sz w:val="24"/>
          <w:szCs w:val="24"/>
          <w:rtl w:val="0"/>
        </w:rPr>
        <w:t>R</w:t>
      </w:r>
      <w:r>
        <w:rPr>
          <w:rFonts w:ascii="Times New Roman" w:hAnsi="Times New Roman" w:hint="default"/>
          <w:sz w:val="24"/>
          <w:szCs w:val="24"/>
          <w:rtl w:val="0"/>
        </w:rPr>
        <w:t>ü</w:t>
      </w:r>
      <w:r>
        <w:rPr>
          <w:rFonts w:ascii="Times New Roman" w:hAnsi="Times New Roman"/>
          <w:sz w:val="24"/>
          <w:szCs w:val="24"/>
          <w:rtl w:val="0"/>
        </w:rPr>
        <w:t>pke</w:t>
      </w:r>
      <w:r>
        <w:rPr>
          <w:rFonts w:ascii="Times New Roman" w:hAnsi="Times New Roman"/>
          <w:sz w:val="24"/>
          <w:szCs w:val="24"/>
          <w:rtl w:val="0"/>
          <w:lang w:val="en-US"/>
        </w:rPr>
        <w:t xml:space="preserve"> 2013: 4). However, the models of civic religion and polis religion do not fully account for the nature of religion in the Roman empire, and </w:t>
      </w:r>
      <w:r>
        <w:rPr>
          <w:rFonts w:ascii="Times New Roman" w:hAnsi="Times New Roman"/>
          <w:sz w:val="24"/>
          <w:szCs w:val="24"/>
          <w:rtl w:val="0"/>
        </w:rPr>
        <w:t>J</w:t>
      </w:r>
      <w:r>
        <w:rPr>
          <w:rFonts w:ascii="Times New Roman" w:hAnsi="Times New Roman" w:hint="default"/>
          <w:sz w:val="24"/>
          <w:szCs w:val="24"/>
          <w:rtl w:val="0"/>
          <w:lang w:val="sv-SE"/>
        </w:rPr>
        <w:t>ö</w:t>
      </w:r>
      <w:r>
        <w:rPr>
          <w:rFonts w:ascii="Times New Roman" w:hAnsi="Times New Roman"/>
          <w:sz w:val="24"/>
          <w:szCs w:val="24"/>
          <w:rtl w:val="0"/>
          <w:lang w:val="da-DK"/>
        </w:rPr>
        <w:t>rg R</w:t>
      </w:r>
      <w:r>
        <w:rPr>
          <w:rFonts w:ascii="Times New Roman" w:hAnsi="Times New Roman" w:hint="default"/>
          <w:sz w:val="24"/>
          <w:szCs w:val="24"/>
          <w:rtl w:val="0"/>
        </w:rPr>
        <w:t>ü</w:t>
      </w:r>
      <w:r>
        <w:rPr>
          <w:rFonts w:ascii="Times New Roman" w:hAnsi="Times New Roman"/>
          <w:sz w:val="24"/>
          <w:szCs w:val="24"/>
          <w:rtl w:val="0"/>
        </w:rPr>
        <w:t>pke</w:t>
      </w:r>
      <w:r>
        <w:rPr>
          <w:rFonts w:ascii="Times New Roman" w:hAnsi="Times New Roman"/>
          <w:sz w:val="24"/>
          <w:szCs w:val="24"/>
          <w:rtl w:val="0"/>
          <w:lang w:val="en-US"/>
        </w:rPr>
        <w:t xml:space="preserve"> believes that attention should be paid to the role of the individual (2013: 6). This is indeed the case: what we refer to as ancient Roman religion was not in fact a homogenous entity but a multitude of cults; the aggregate of beliefs and practices that existed amongst the people of the empire (King 2003: 185). </w:t>
      </w:r>
      <w:r>
        <w:rPr>
          <w:rFonts w:ascii="Times New Roman" w:hAnsi="Times New Roman" w:hint="default"/>
          <w:sz w:val="24"/>
          <w:szCs w:val="24"/>
          <w:rtl w:val="0"/>
        </w:rPr>
        <w:t>‘</w:t>
      </w:r>
      <w:r>
        <w:rPr>
          <w:rFonts w:ascii="Times New Roman" w:hAnsi="Times New Roman"/>
          <w:sz w:val="24"/>
          <w:szCs w:val="24"/>
          <w:rtl w:val="0"/>
          <w:lang w:val="en-US"/>
        </w:rPr>
        <w:t>Religious individualisation</w:t>
      </w:r>
      <w:r>
        <w:rPr>
          <w:rFonts w:ascii="Times New Roman" w:hAnsi="Times New Roman" w:hint="default"/>
          <w:sz w:val="24"/>
          <w:szCs w:val="24"/>
          <w:rtl w:val="0"/>
        </w:rPr>
        <w:t xml:space="preserve">’ </w:t>
      </w:r>
      <w:r>
        <w:rPr>
          <w:rFonts w:ascii="Times New Roman" w:hAnsi="Times New Roman"/>
          <w:sz w:val="24"/>
          <w:szCs w:val="24"/>
          <w:rtl w:val="0"/>
          <w:lang w:val="en-US"/>
        </w:rPr>
        <w:t xml:space="preserve">refers to the </w:t>
      </w:r>
      <w:r>
        <w:rPr>
          <w:rFonts w:ascii="Times New Roman" w:hAnsi="Times New Roman"/>
          <w:sz w:val="24"/>
          <w:szCs w:val="24"/>
          <w:rtl w:val="0"/>
          <w:lang w:val="en-US"/>
        </w:rPr>
        <w:t>concept</w:t>
      </w:r>
      <w:r>
        <w:rPr>
          <w:rFonts w:ascii="Times New Roman" w:hAnsi="Times New Roman"/>
          <w:sz w:val="24"/>
          <w:szCs w:val="24"/>
          <w:rtl w:val="0"/>
          <w:lang w:val="en-US"/>
        </w:rPr>
        <w:t xml:space="preserve"> that in the Roman empire, </w:t>
      </w:r>
      <w:r>
        <w:rPr>
          <w:rFonts w:ascii="Times New Roman" w:hAnsi="Times New Roman"/>
          <w:sz w:val="24"/>
          <w:szCs w:val="24"/>
          <w:rtl w:val="0"/>
          <w:lang w:val="en-US"/>
        </w:rPr>
        <w:t>the individual was not bound by notions of dogma to believe/worship specific deities, but were free to pick and choose instead. This has been attributed to the lack of an orthodoxy (i.e. right belief), which allowed</w:t>
      </w:r>
      <w:r>
        <w:rPr>
          <w:rFonts w:ascii="Times New Roman" w:hAnsi="Times New Roman"/>
          <w:sz w:val="24"/>
          <w:szCs w:val="24"/>
          <w:rtl w:val="0"/>
          <w:lang w:val="it-IT"/>
        </w:rPr>
        <w:t xml:space="preserve"> Romans </w:t>
      </w:r>
      <w:r>
        <w:rPr>
          <w:rFonts w:ascii="Times New Roman" w:hAnsi="Times New Roman"/>
          <w:sz w:val="24"/>
          <w:szCs w:val="24"/>
          <w:rtl w:val="0"/>
          <w:lang w:val="en-US"/>
        </w:rPr>
        <w:t>to determine</w:t>
      </w:r>
      <w:r>
        <w:rPr>
          <w:rFonts w:ascii="Times New Roman" w:hAnsi="Times New Roman"/>
          <w:sz w:val="24"/>
          <w:szCs w:val="24"/>
          <w:rtl w:val="0"/>
          <w:lang w:val="en-US"/>
        </w:rPr>
        <w:t xml:space="preserve"> which religious ideas to adopt</w:t>
      </w:r>
      <w:r>
        <w:rPr>
          <w:rFonts w:ascii="Times New Roman" w:hAnsi="Times New Roman"/>
          <w:sz w:val="24"/>
          <w:szCs w:val="24"/>
          <w:rtl w:val="0"/>
          <w:lang w:val="en-US"/>
        </w:rPr>
        <w:t>,</w:t>
      </w:r>
      <w:r>
        <w:rPr>
          <w:rFonts w:ascii="Times New Roman" w:hAnsi="Times New Roman"/>
          <w:sz w:val="24"/>
          <w:szCs w:val="24"/>
          <w:rtl w:val="0"/>
          <w:lang w:val="en-US"/>
        </w:rPr>
        <w:t xml:space="preserve"> and reject from</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their own </w:t>
      </w:r>
      <w:r>
        <w:rPr>
          <w:rFonts w:ascii="Times New Roman" w:hAnsi="Times New Roman"/>
          <w:sz w:val="24"/>
          <w:szCs w:val="24"/>
          <w:rtl w:val="0"/>
          <w:lang w:val="en-US"/>
        </w:rPr>
        <w:t xml:space="preserve">range of </w:t>
      </w:r>
      <w:r>
        <w:rPr>
          <w:rFonts w:ascii="Times New Roman" w:hAnsi="Times New Roman"/>
          <w:sz w:val="24"/>
          <w:szCs w:val="24"/>
          <w:rtl w:val="0"/>
          <w:lang w:val="en-US"/>
        </w:rPr>
        <w:t>belief</w:t>
      </w:r>
      <w:r>
        <w:rPr>
          <w:rFonts w:ascii="Times New Roman" w:hAnsi="Times New Roman"/>
          <w:sz w:val="24"/>
          <w:szCs w:val="24"/>
          <w:rtl w:val="0"/>
          <w:lang w:val="en-US"/>
        </w:rPr>
        <w:t xml:space="preserve">s </w:t>
      </w:r>
      <w:r>
        <w:rPr>
          <w:rFonts w:ascii="Times New Roman" w:hAnsi="Times New Roman"/>
          <w:sz w:val="24"/>
          <w:szCs w:val="24"/>
          <w:rtl w:val="0"/>
        </w:rPr>
        <w:t>(King 2003: 287).</w:t>
      </w:r>
      <w:r>
        <w:rPr>
          <w:rFonts w:ascii="Times New Roman" w:hAnsi="Times New Roman"/>
          <w:sz w:val="24"/>
          <w:szCs w:val="24"/>
          <w:rtl w:val="0"/>
          <w:lang w:val="en-US"/>
        </w:rPr>
        <w:t xml:space="preserve"> Orthopraxy, or right </w:t>
      </w:r>
      <w:r>
        <w:rPr>
          <w:rFonts w:ascii="Times New Roman" w:hAnsi="Times New Roman"/>
          <w:i w:val="1"/>
          <w:iCs w:val="1"/>
          <w:sz w:val="24"/>
          <w:szCs w:val="24"/>
          <w:rtl w:val="0"/>
          <w:lang w:val="en-US"/>
        </w:rPr>
        <w:t xml:space="preserve">practice </w:t>
      </w:r>
      <w:r>
        <w:rPr>
          <w:rFonts w:ascii="Times New Roman" w:hAnsi="Times New Roman"/>
          <w:sz w:val="24"/>
          <w:szCs w:val="24"/>
          <w:rtl w:val="0"/>
          <w:lang w:val="en-US"/>
        </w:rPr>
        <w:t>(i.e. correct performance of certain rituals), was a concept upon which great emphasis was placed, and the state priests of the empire encouraged conformity in those practices (King 2003: 298). A consequence of this was that people who adhered to a wide variety of individual religious notions attained a cultural unity (King 2003: 298), a unity which would no doubt have been desired by the state.</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Richard Gordon believes that the </w:t>
      </w:r>
      <w:r>
        <w:rPr>
          <w:rFonts w:ascii="Times New Roman" w:hAnsi="Times New Roman" w:hint="default"/>
          <w:sz w:val="24"/>
          <w:szCs w:val="24"/>
          <w:rtl w:val="0"/>
          <w:lang w:val="en-US"/>
        </w:rPr>
        <w:t>“</w:t>
      </w:r>
      <w:r>
        <w:rPr>
          <w:rFonts w:ascii="Times New Roman" w:hAnsi="Times New Roman"/>
          <w:sz w:val="24"/>
          <w:szCs w:val="24"/>
          <w:rtl w:val="0"/>
          <w:lang w:val="en-US"/>
        </w:rPr>
        <w:t>myriad private religious associations, of the traditional gods [</w:t>
      </w:r>
      <w:r>
        <w:rPr>
          <w:rFonts w:ascii="Times New Roman" w:hAnsi="Times New Roman" w:hint="default"/>
          <w:sz w:val="24"/>
          <w:szCs w:val="24"/>
          <w:rtl w:val="0"/>
          <w:lang w:val="en-US"/>
        </w:rPr>
        <w:t>…</w:t>
      </w:r>
      <w:r>
        <w:rPr>
          <w:rFonts w:ascii="Times New Roman" w:hAnsi="Times New Roman"/>
          <w:sz w:val="24"/>
          <w:szCs w:val="24"/>
          <w:rtl w:val="0"/>
          <w:lang w:val="en-US"/>
        </w:rPr>
        <w:t>] offered something generically similar</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(2007: 398). If we agree with this suggestion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that ultimately most Roman religious ideas, concepts, beliefs and practices were largely similar </w:t>
      </w:r>
      <w:r>
        <w:rPr>
          <w:rFonts w:ascii="Times New Roman" w:hAnsi="Times New Roman" w:hint="default"/>
          <w:sz w:val="24"/>
          <w:szCs w:val="24"/>
          <w:rtl w:val="0"/>
          <w:lang w:val="en-US"/>
        </w:rPr>
        <w:t xml:space="preserve">— </w:t>
      </w:r>
      <w:r>
        <w:rPr>
          <w:rFonts w:ascii="Times New Roman" w:hAnsi="Times New Roman"/>
          <w:sz w:val="24"/>
          <w:szCs w:val="24"/>
          <w:rtl w:val="0"/>
          <w:lang w:val="en-US"/>
        </w:rPr>
        <w:t>it becomes apparent that religious individualisation was not problematic, as long as certain observances were made, such as to the Imperial cult. The individual</w:t>
      </w:r>
      <w:r>
        <w:rPr>
          <w:rFonts w:ascii="Times New Roman" w:hAnsi="Times New Roman" w:hint="default"/>
          <w:sz w:val="24"/>
          <w:szCs w:val="24"/>
          <w:rtl w:val="0"/>
          <w:lang w:val="en-US"/>
        </w:rPr>
        <w:t>’</w:t>
      </w:r>
      <w:r>
        <w:rPr>
          <w:rFonts w:ascii="Times New Roman" w:hAnsi="Times New Roman"/>
          <w:sz w:val="24"/>
          <w:szCs w:val="24"/>
          <w:rtl w:val="0"/>
          <w:lang w:val="en-US"/>
        </w:rPr>
        <w:t xml:space="preserve">s own preferences were largely moot from the perspective of the state, as long as the aforementioned right practice was carried out. </w:t>
      </w:r>
      <w:r>
        <w:rPr>
          <w:rFonts w:ascii="Times New Roman" w:hAnsi="Times New Roman"/>
          <w:sz w:val="24"/>
          <w:szCs w:val="24"/>
          <w:rtl w:val="0"/>
          <w:lang w:val="en-US"/>
        </w:rPr>
        <w:t xml:space="preserve">As for the </w:t>
      </w:r>
      <w:r>
        <w:rPr>
          <w:rFonts w:ascii="Times New Roman" w:hAnsi="Times New Roman" w:hint="default"/>
          <w:sz w:val="24"/>
          <w:szCs w:val="24"/>
          <w:rtl w:val="0"/>
        </w:rPr>
        <w:t>‘</w:t>
      </w:r>
      <w:r>
        <w:rPr>
          <w:rFonts w:ascii="Times New Roman" w:hAnsi="Times New Roman"/>
          <w:sz w:val="24"/>
          <w:szCs w:val="24"/>
          <w:rtl w:val="0"/>
          <w:lang w:val="it-IT"/>
        </w:rPr>
        <w:t>universal</w:t>
      </w:r>
      <w:r>
        <w:rPr>
          <w:rFonts w:ascii="Times New Roman" w:hAnsi="Times New Roman" w:hint="default"/>
          <w:sz w:val="24"/>
          <w:szCs w:val="24"/>
          <w:rtl w:val="0"/>
        </w:rPr>
        <w:t xml:space="preserve">’ </w:t>
      </w:r>
      <w:r>
        <w:rPr>
          <w:rFonts w:ascii="Times New Roman" w:hAnsi="Times New Roman"/>
          <w:sz w:val="24"/>
          <w:szCs w:val="24"/>
          <w:rtl w:val="0"/>
          <w:lang w:val="en-US"/>
        </w:rPr>
        <w:t xml:space="preserve">private cults, such as that of Mithras, they offered the opportunity for worshippers to possess a distinct religious identity (Gordon 2007: 398). And when we consider the idea that there was little real variation at the core of the religions of the empire, the desire to be what may best be described as </w:t>
      </w:r>
      <w:r>
        <w:rPr>
          <w:rFonts w:ascii="Times New Roman" w:hAnsi="Times New Roman" w:hint="default"/>
          <w:sz w:val="24"/>
          <w:szCs w:val="24"/>
          <w:rtl w:val="0"/>
        </w:rPr>
        <w:t>‘</w:t>
      </w:r>
      <w:r>
        <w:rPr>
          <w:rFonts w:ascii="Times New Roman" w:hAnsi="Times New Roman"/>
          <w:sz w:val="24"/>
          <w:szCs w:val="24"/>
          <w:rtl w:val="0"/>
          <w:lang w:val="fr-FR"/>
        </w:rPr>
        <w:t>unique</w:t>
      </w:r>
      <w:r>
        <w:rPr>
          <w:rFonts w:ascii="Times New Roman" w:hAnsi="Times New Roman" w:hint="default"/>
          <w:sz w:val="24"/>
          <w:szCs w:val="24"/>
          <w:rtl w:val="0"/>
        </w:rPr>
        <w:t xml:space="preserve">’ </w:t>
      </w:r>
      <w:r>
        <w:rPr>
          <w:rFonts w:ascii="Times New Roman" w:hAnsi="Times New Roman"/>
          <w:sz w:val="24"/>
          <w:szCs w:val="24"/>
          <w:rtl w:val="0"/>
          <w:lang w:val="en-US"/>
        </w:rPr>
        <w:t>would have been facilitated by membership of an exclusive mystery cult. Nevertheless, the individual members of these cults were free to choose whether they wanted to participate in other cults.</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were some aspects of Roman religion in which the choice of the individual was limited, however, namely by requisite participation in the rituals of the Imperial cult. </w:t>
      </w:r>
      <w:r>
        <w:rPr>
          <w:rFonts w:ascii="Times New Roman" w:hAnsi="Times New Roman"/>
          <w:sz w:val="24"/>
          <w:szCs w:val="24"/>
          <w:rtl w:val="0"/>
          <w:lang w:val="en-US"/>
        </w:rPr>
        <w:t xml:space="preserve">Sacrifices to the </w:t>
      </w:r>
      <w:r>
        <w:rPr>
          <w:rFonts w:ascii="Times New Roman" w:hAnsi="Times New Roman"/>
          <w:sz w:val="24"/>
          <w:szCs w:val="24"/>
          <w:rtl w:val="0"/>
          <w:lang w:val="en-US"/>
        </w:rPr>
        <w:t>I</w:t>
      </w:r>
      <w:r>
        <w:rPr>
          <w:rFonts w:ascii="Times New Roman" w:hAnsi="Times New Roman"/>
          <w:sz w:val="24"/>
          <w:szCs w:val="24"/>
          <w:rtl w:val="0"/>
          <w:lang w:val="en-US"/>
        </w:rPr>
        <w:t>mperial cult would be made on a number of occasions</w:t>
      </w:r>
      <w:r>
        <w:rPr>
          <w:rFonts w:ascii="Times New Roman" w:hAnsi="Times New Roman"/>
          <w:sz w:val="24"/>
          <w:szCs w:val="24"/>
          <w:rtl w:val="0"/>
          <w:lang w:val="en-US"/>
        </w:rPr>
        <w:t xml:space="preserve"> in both public and private by individuals or representatives of a city or province (Price 1980: 29), and from the very start of the Imperial era being a Roman citizen necessitated performance in the cult (Andringa 2007: 91). In this sense the state ordained that the individual had to participate in this specific religious activity. Nevertheless, besides this, state dictates in individual religious preference was limited.</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When Romans encountered foreign peoples, they often assimilated and adapted their religious concepts (King 2003: 285), evidence of which is visible throughout the empire. When this was not possible, they tolerated them: virtually all the cults of the empire were tolerated and had the freedom to carry out their practices (Ames 2007: 467). Judaism is perhaps the most notable example of a religion being permitted to continue following its traditional beliefs and practices, accorded the privilege of being a </w:t>
      </w:r>
      <w:r>
        <w:rPr>
          <w:rFonts w:ascii="Times New Roman" w:hAnsi="Times New Roman"/>
          <w:i w:val="1"/>
          <w:iCs w:val="1"/>
          <w:sz w:val="24"/>
          <w:szCs w:val="24"/>
          <w:rtl w:val="0"/>
          <w:lang w:val="en-US"/>
        </w:rPr>
        <w:t xml:space="preserve">religio licita </w:t>
      </w:r>
      <w:r>
        <w:rPr>
          <w:rFonts w:ascii="Times New Roman" w:hAnsi="Times New Roman"/>
          <w:sz w:val="24"/>
          <w:szCs w:val="24"/>
          <w:rtl w:val="0"/>
        </w:rPr>
        <w:t>(Ames 2007: 467)</w:t>
      </w:r>
      <w:r>
        <w:rPr>
          <w:rFonts w:ascii="Times New Roman" w:hAnsi="Times New Roman"/>
          <w:sz w:val="24"/>
          <w:szCs w:val="24"/>
          <w:rtl w:val="0"/>
          <w:lang w:val="en-US"/>
        </w:rPr>
        <w:t xml:space="preserve">. This was not always the case, however. The fledgling faith of Christianity experienced sporadic persecution in the Roman empire, and the religion was the only one left out of the system of religious toleration (Ames 2007: 467).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terms of whether </w:t>
      </w:r>
      <w:r>
        <w:rPr>
          <w:rFonts w:ascii="Times New Roman" w:hAnsi="Times New Roman" w:hint="default"/>
          <w:sz w:val="24"/>
          <w:szCs w:val="24"/>
          <w:rtl w:val="0"/>
          <w:lang w:val="en-US"/>
        </w:rPr>
        <w:t>‘</w:t>
      </w:r>
      <w:r>
        <w:rPr>
          <w:rFonts w:ascii="Times New Roman" w:hAnsi="Times New Roman"/>
          <w:sz w:val="24"/>
          <w:szCs w:val="24"/>
          <w:rtl w:val="0"/>
          <w:lang w:val="en-US"/>
        </w:rPr>
        <w:t>religious individualisation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can be applied to all religions of the empire, we must, however, note that the two aforementioned religions of Judaism and Christianity were themselves of a nature that was in contrast to that of others in the empire: they were (and are) dogmatic and have an orthodoxy (King 2003: 283). In both religions, certain doctrines </w:t>
      </w:r>
      <w:r>
        <w:rPr>
          <w:rFonts w:ascii="Times New Roman" w:hAnsi="Times New Roman"/>
          <w:i w:val="1"/>
          <w:iCs w:val="1"/>
          <w:sz w:val="24"/>
          <w:szCs w:val="24"/>
          <w:rtl w:val="0"/>
          <w:lang w:val="en-US"/>
        </w:rPr>
        <w:t>must</w:t>
      </w:r>
      <w:r>
        <w:rPr>
          <w:rFonts w:ascii="Times New Roman" w:hAnsi="Times New Roman"/>
          <w:sz w:val="24"/>
          <w:szCs w:val="24"/>
          <w:rtl w:val="0"/>
          <w:lang w:val="en-US"/>
        </w:rPr>
        <w:t xml:space="preserve"> be followed by its adherents, including the restriction of both Jews and Christians to worship one deity alone. Religious individualisation, then, is a term inapplicable to these two religions when viewed from the perspective of their devotees. While in both religions there are variations in beliefs, and in the case of Christianity in the ancient world, multiple </w:t>
      </w:r>
      <w:r>
        <w:rPr>
          <w:rFonts w:ascii="Times New Roman" w:hAnsi="Times New Roman" w:hint="default"/>
          <w:sz w:val="24"/>
          <w:szCs w:val="24"/>
          <w:rtl w:val="0"/>
          <w:lang w:val="en-US"/>
        </w:rPr>
        <w:t>‘</w:t>
      </w:r>
      <w:r>
        <w:rPr>
          <w:rFonts w:ascii="Times New Roman" w:hAnsi="Times New Roman"/>
          <w:sz w:val="24"/>
          <w:szCs w:val="24"/>
          <w:rtl w:val="0"/>
          <w:lang w:val="en-US"/>
        </w:rPr>
        <w:t>Christianities</w:t>
      </w:r>
      <w:r>
        <w:rPr>
          <w:rFonts w:ascii="Times New Roman" w:hAnsi="Times New Roman" w:hint="default"/>
          <w:sz w:val="24"/>
          <w:szCs w:val="24"/>
          <w:rtl w:val="0"/>
          <w:lang w:val="en-US"/>
        </w:rPr>
        <w:t>’</w:t>
      </w:r>
      <w:r>
        <w:rPr>
          <w:rFonts w:ascii="Times New Roman" w:hAnsi="Times New Roman"/>
          <w:sz w:val="24"/>
          <w:szCs w:val="24"/>
          <w:rtl w:val="0"/>
          <w:lang w:val="en-US"/>
        </w:rPr>
        <w:t xml:space="preserve">, they both create barriers between beliefs by placing importance on dogmas through its orthodoxy: as such, for Christians it would be appropriate for Christians to worship Jesus, but not Apollo (King 2003: 283).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In conclusion, it is evident that the term religious individualisation is one that can be appropriately applied to the majority of the religions of the Roman empire, and we can for the most part generalise. There were, however, several exceptions, as seen in Christianity</w:t>
      </w:r>
      <w:r>
        <w:rPr>
          <w:rFonts w:ascii="Times New Roman" w:hAnsi="Times New Roman" w:hint="default"/>
          <w:sz w:val="24"/>
          <w:szCs w:val="24"/>
          <w:rtl w:val="0"/>
          <w:lang w:val="en-US"/>
        </w:rPr>
        <w:t>’</w:t>
      </w:r>
      <w:r>
        <w:rPr>
          <w:rFonts w:ascii="Times New Roman" w:hAnsi="Times New Roman"/>
          <w:sz w:val="24"/>
          <w:szCs w:val="24"/>
          <w:rtl w:val="0"/>
          <w:lang w:val="en-US"/>
        </w:rPr>
        <w:t>s dogmatic nature and its place in the empire with relation to the Roman state. In addition, there were some traditions that people were expected to participate in, such as the ceremonies for the Imperial cult. On the whole, however, the nature of religion in the empire was highly flexible, and largely up to the individual</w:t>
      </w:r>
      <w:r>
        <w:rPr>
          <w:rFonts w:ascii="Times New Roman" w:hAnsi="Times New Roman" w:hint="default"/>
          <w:sz w:val="24"/>
          <w:szCs w:val="24"/>
          <w:rtl w:val="0"/>
          <w:lang w:val="en-US"/>
        </w:rPr>
        <w:t>’</w:t>
      </w:r>
      <w:r>
        <w:rPr>
          <w:rFonts w:ascii="Times New Roman" w:hAnsi="Times New Roman"/>
          <w:sz w:val="24"/>
          <w:szCs w:val="24"/>
          <w:rtl w:val="0"/>
          <w:lang w:val="en-US"/>
        </w:rPr>
        <w:t xml:space="preserve">s own tastes in belief and practice.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Bibliography</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Ames, C. 2007. </w:t>
      </w:r>
      <w:r>
        <w:rPr>
          <w:rFonts w:ascii="Times New Roman" w:hAnsi="Times New Roman" w:hint="default"/>
          <w:sz w:val="24"/>
          <w:szCs w:val="24"/>
          <w:rtl w:val="0"/>
          <w:lang w:val="en-US"/>
        </w:rPr>
        <w:t>“</w:t>
      </w:r>
      <w:r>
        <w:rPr>
          <w:rFonts w:ascii="Times New Roman" w:hAnsi="Times New Roman"/>
          <w:sz w:val="24"/>
          <w:szCs w:val="24"/>
          <w:rtl w:val="0"/>
          <w:lang w:val="en-US"/>
        </w:rPr>
        <w:t>Roman Religion in the Vision of Tertullian</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w:t>
      </w:r>
      <w:r>
        <w:rPr>
          <w:rFonts w:ascii="Times New Roman" w:hAnsi="Times New Roman"/>
          <w:sz w:val="24"/>
          <w:szCs w:val="24"/>
          <w:rtl w:val="0"/>
        </w:rPr>
        <w:t>R</w:t>
      </w:r>
      <w:r>
        <w:rPr>
          <w:rFonts w:ascii="Times New Roman" w:hAnsi="Times New Roman" w:hint="default"/>
          <w:sz w:val="24"/>
          <w:szCs w:val="24"/>
          <w:rtl w:val="0"/>
        </w:rPr>
        <w:t>ü</w:t>
      </w:r>
      <w:r>
        <w:rPr>
          <w:rFonts w:ascii="Times New Roman" w:hAnsi="Times New Roman"/>
          <w:sz w:val="24"/>
          <w:szCs w:val="24"/>
          <w:rtl w:val="0"/>
        </w:rPr>
        <w:t>pke, J. (ed)</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A</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Companion to Roman Religion</w:t>
      </w:r>
      <w:r>
        <w:rPr>
          <w:rFonts w:ascii="Times New Roman" w:hAnsi="Times New Roman"/>
          <w:sz w:val="24"/>
          <w:szCs w:val="24"/>
          <w:rtl w:val="0"/>
          <w:lang w:val="en-US"/>
        </w:rPr>
        <w:t xml:space="preserve">. Oxford: Blackwell Publishing.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Andrigna, W. van. 2007. </w:t>
      </w:r>
      <w:r>
        <w:rPr>
          <w:rFonts w:ascii="Times New Roman" w:hAnsi="Times New Roman" w:hint="default"/>
          <w:sz w:val="24"/>
          <w:szCs w:val="24"/>
          <w:rtl w:val="0"/>
          <w:lang w:val="en-US"/>
        </w:rPr>
        <w:t>“</w:t>
      </w:r>
      <w:r>
        <w:rPr>
          <w:rFonts w:ascii="Times New Roman" w:hAnsi="Times New Roman"/>
          <w:sz w:val="24"/>
          <w:szCs w:val="24"/>
          <w:rtl w:val="0"/>
          <w:lang w:val="en-US"/>
        </w:rPr>
        <w:t>Religions and the Integration of Cities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w:t>
      </w:r>
      <w:r>
        <w:rPr>
          <w:rFonts w:ascii="Times New Roman" w:hAnsi="Times New Roman"/>
          <w:sz w:val="24"/>
          <w:szCs w:val="24"/>
          <w:rtl w:val="0"/>
        </w:rPr>
        <w:t>R</w:t>
      </w:r>
      <w:r>
        <w:rPr>
          <w:rFonts w:ascii="Times New Roman" w:hAnsi="Times New Roman" w:hint="default"/>
          <w:sz w:val="24"/>
          <w:szCs w:val="24"/>
          <w:rtl w:val="0"/>
        </w:rPr>
        <w:t>ü</w:t>
      </w:r>
      <w:r>
        <w:rPr>
          <w:rFonts w:ascii="Times New Roman" w:hAnsi="Times New Roman"/>
          <w:sz w:val="24"/>
          <w:szCs w:val="24"/>
          <w:rtl w:val="0"/>
        </w:rPr>
        <w:t>pke, J. (ed)</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A</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Companion to Roman Religion</w:t>
      </w:r>
      <w:r>
        <w:rPr>
          <w:rFonts w:ascii="Times New Roman" w:hAnsi="Times New Roman"/>
          <w:sz w:val="24"/>
          <w:szCs w:val="24"/>
          <w:rtl w:val="0"/>
          <w:lang w:val="en-US"/>
        </w:rPr>
        <w:t xml:space="preserve">. </w:t>
      </w:r>
      <w:r>
        <w:rPr>
          <w:rFonts w:ascii="Times New Roman" w:hAnsi="Times New Roman"/>
          <w:sz w:val="24"/>
          <w:szCs w:val="24"/>
          <w:rtl w:val="0"/>
          <w:lang w:val="en-US"/>
        </w:rPr>
        <w:t>Oxford: Blackwell Publishing.</w:t>
      </w:r>
    </w:p>
    <w:p>
      <w:pPr>
        <w:pStyle w:val="Body"/>
        <w:spacing w:line="360" w:lineRule="auto"/>
        <w:ind w:left="283" w:right="284" w:firstLine="0"/>
        <w:jc w:val="both"/>
        <w:rPr>
          <w:rFonts w:ascii="Times New Roman" w:cs="Times New Roman" w:hAnsi="Times New Roman" w:eastAsia="Times New Roman"/>
          <w:i w:val="1"/>
          <w:iCs w:val="1"/>
          <w:sz w:val="24"/>
          <w:szCs w:val="24"/>
        </w:rPr>
      </w:pPr>
    </w:p>
    <w:p>
      <w:pPr>
        <w:pStyle w:val="Body"/>
        <w:spacing w:line="360" w:lineRule="auto"/>
        <w:ind w:left="283" w:right="284" w:firstLine="0"/>
        <w:jc w:val="both"/>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Gordon, R. 2007 </w:t>
      </w:r>
      <w:r>
        <w:rPr>
          <w:rFonts w:ascii="Times New Roman" w:hAnsi="Times New Roman" w:hint="default"/>
          <w:sz w:val="24"/>
          <w:szCs w:val="24"/>
          <w:rtl w:val="0"/>
          <w:lang w:val="en-US"/>
        </w:rPr>
        <w:t>“</w:t>
      </w:r>
      <w:r>
        <w:rPr>
          <w:rFonts w:ascii="Times New Roman" w:hAnsi="Times New Roman"/>
          <w:sz w:val="24"/>
          <w:szCs w:val="24"/>
          <w:rtl w:val="0"/>
          <w:lang w:val="en-US"/>
        </w:rPr>
        <w:t>Institutionalised Religious Options: Mithraism</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w:t>
      </w:r>
      <w:r>
        <w:rPr>
          <w:rFonts w:ascii="Times New Roman" w:hAnsi="Times New Roman"/>
          <w:sz w:val="24"/>
          <w:szCs w:val="24"/>
          <w:rtl w:val="0"/>
        </w:rPr>
        <w:t>R</w:t>
      </w:r>
      <w:r>
        <w:rPr>
          <w:rFonts w:ascii="Times New Roman" w:hAnsi="Times New Roman" w:hint="default"/>
          <w:sz w:val="24"/>
          <w:szCs w:val="24"/>
          <w:rtl w:val="0"/>
        </w:rPr>
        <w:t>ü</w:t>
      </w:r>
      <w:r>
        <w:rPr>
          <w:rFonts w:ascii="Times New Roman" w:hAnsi="Times New Roman"/>
          <w:sz w:val="24"/>
          <w:szCs w:val="24"/>
          <w:rtl w:val="0"/>
        </w:rPr>
        <w:t>pke, J. (ed)</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A</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Companion to Roman Religion</w:t>
      </w:r>
      <w:r>
        <w:rPr>
          <w:rFonts w:ascii="Times New Roman" w:hAnsi="Times New Roman"/>
          <w:sz w:val="24"/>
          <w:szCs w:val="24"/>
          <w:rtl w:val="0"/>
          <w:lang w:val="en-US"/>
        </w:rPr>
        <w:t xml:space="preserve">.  </w:t>
      </w:r>
      <w:r>
        <w:rPr>
          <w:rFonts w:ascii="Times New Roman" w:hAnsi="Times New Roman"/>
          <w:sz w:val="24"/>
          <w:szCs w:val="24"/>
          <w:rtl w:val="0"/>
          <w:lang w:val="en-US"/>
        </w:rPr>
        <w:t>Oxford: Blackwell Publishing.</w:t>
      </w:r>
    </w:p>
    <w:p>
      <w:pPr>
        <w:pStyle w:val="Body"/>
        <w:spacing w:line="360" w:lineRule="auto"/>
        <w:ind w:left="283" w:right="284" w:firstLine="0"/>
        <w:jc w:val="both"/>
        <w:rPr>
          <w:rFonts w:ascii="Times New Roman" w:cs="Times New Roman" w:hAnsi="Times New Roman" w:eastAsia="Times New Roman"/>
          <w:i w:val="1"/>
          <w:iCs w:val="1"/>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King, C. 2003. </w:t>
      </w:r>
      <w:r>
        <w:rPr>
          <w:rFonts w:ascii="Times New Roman" w:hAnsi="Times New Roman" w:hint="default"/>
          <w:sz w:val="24"/>
          <w:szCs w:val="24"/>
          <w:rtl w:val="0"/>
          <w:lang w:val="en-US"/>
        </w:rPr>
        <w:t>“</w:t>
      </w:r>
      <w:r>
        <w:rPr>
          <w:rFonts w:ascii="Times New Roman" w:hAnsi="Times New Roman"/>
          <w:sz w:val="24"/>
          <w:szCs w:val="24"/>
          <w:rtl w:val="0"/>
          <w:lang w:val="en-US"/>
        </w:rPr>
        <w:t>The Organization of Roman Religious Beliefs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w:t>
      </w:r>
      <w:r>
        <w:rPr>
          <w:rFonts w:ascii="Times New Roman" w:hAnsi="Times New Roman"/>
          <w:sz w:val="24"/>
          <w:szCs w:val="24"/>
          <w:rtl w:val="0"/>
          <w:lang w:val="en-US"/>
        </w:rPr>
        <w:t xml:space="preserve">Classical Antiquity. Volume 22, Number 2, </w:t>
      </w:r>
      <w:r>
        <w:rPr>
          <w:rFonts w:ascii="Times New Roman" w:hAnsi="Times New Roman"/>
          <w:sz w:val="24"/>
          <w:szCs w:val="24"/>
          <w:rtl w:val="0"/>
          <w:lang w:val="en-US"/>
        </w:rPr>
        <w:t xml:space="preserve">pp. </w:t>
      </w:r>
      <w:r>
        <w:rPr>
          <w:rFonts w:ascii="Times New Roman" w:hAnsi="Times New Roman"/>
          <w:sz w:val="24"/>
          <w:szCs w:val="24"/>
          <w:rtl w:val="0"/>
        </w:rPr>
        <w:t>275</w:t>
      </w:r>
      <w:r>
        <w:rPr>
          <w:rFonts w:ascii="Times New Roman" w:hAnsi="Times New Roman" w:hint="default"/>
          <w:sz w:val="24"/>
          <w:szCs w:val="24"/>
          <w:rtl w:val="0"/>
        </w:rPr>
        <w:t>–</w:t>
      </w:r>
      <w:r>
        <w:rPr>
          <w:rFonts w:ascii="Times New Roman" w:hAnsi="Times New Roman"/>
          <w:sz w:val="24"/>
          <w:szCs w:val="24"/>
          <w:rtl w:val="0"/>
        </w:rPr>
        <w:t>312</w:t>
      </w:r>
      <w:r>
        <w:rPr>
          <w:rFonts w:ascii="Times New Roman" w:hAnsi="Times New Roman"/>
          <w:sz w:val="24"/>
          <w:szCs w:val="24"/>
          <w:rtl w:val="0"/>
          <w:lang w:val="en-US"/>
        </w:rPr>
        <w:t>.</w:t>
      </w:r>
    </w:p>
    <w:p>
      <w:pPr>
        <w:pStyle w:val="Body"/>
        <w:spacing w:line="360" w:lineRule="auto"/>
        <w:ind w:left="283" w:right="284" w:firstLine="0"/>
        <w:jc w:val="both"/>
        <w:rPr>
          <w:rFonts w:ascii="Times New Roman" w:cs="Times New Roman" w:hAnsi="Times New Roman" w:eastAsia="Times New Roman"/>
          <w:i w:val="1"/>
          <w:iCs w:val="1"/>
          <w:sz w:val="24"/>
          <w:szCs w:val="24"/>
        </w:rPr>
      </w:pPr>
    </w:p>
    <w:p>
      <w:pPr>
        <w:pStyle w:val="Body"/>
        <w:spacing w:line="360" w:lineRule="auto"/>
        <w:ind w:left="283" w:right="284" w:firstLine="0"/>
        <w:jc w:val="both"/>
        <w:rPr>
          <w:rFonts w:ascii="Times New Roman" w:cs="Times New Roman" w:hAnsi="Times New Roman" w:eastAsia="Times New Roman"/>
          <w:i w:val="1"/>
          <w:iCs w:val="1"/>
          <w:sz w:val="24"/>
          <w:szCs w:val="24"/>
        </w:rPr>
      </w:pPr>
      <w:r>
        <w:rPr>
          <w:rFonts w:ascii="Times New Roman" w:hAnsi="Times New Roman"/>
          <w:sz w:val="24"/>
          <w:szCs w:val="24"/>
          <w:rtl w:val="0"/>
          <w:lang w:val="en-US"/>
        </w:rPr>
        <w:t>R</w:t>
      </w:r>
      <w:r>
        <w:rPr>
          <w:rFonts w:ascii="Times New Roman" w:hAnsi="Times New Roman" w:hint="default"/>
          <w:sz w:val="24"/>
          <w:szCs w:val="24"/>
          <w:rtl w:val="0"/>
          <w:lang w:val="en-US"/>
        </w:rPr>
        <w:t>ü</w:t>
      </w:r>
      <w:r>
        <w:rPr>
          <w:rFonts w:ascii="Times New Roman" w:hAnsi="Times New Roman"/>
          <w:sz w:val="24"/>
          <w:szCs w:val="24"/>
          <w:rtl w:val="0"/>
          <w:lang w:val="en-US"/>
        </w:rPr>
        <w:t xml:space="preserve">pke, J. 2013. </w:t>
      </w:r>
      <w:r>
        <w:rPr>
          <w:rFonts w:ascii="Times New Roman" w:hAnsi="Times New Roman" w:hint="default"/>
          <w:sz w:val="24"/>
          <w:szCs w:val="24"/>
          <w:rtl w:val="0"/>
          <w:lang w:val="en-US"/>
        </w:rPr>
        <w:t>“</w:t>
      </w:r>
      <w:r>
        <w:rPr>
          <w:rFonts w:ascii="Times New Roman" w:hAnsi="Times New Roman"/>
          <w:sz w:val="24"/>
          <w:szCs w:val="24"/>
          <w:rtl w:val="0"/>
          <w:lang w:val="en-US"/>
        </w:rPr>
        <w:t>Individualization and Individuation as Concepts for Historical Research</w:t>
      </w:r>
      <w:r>
        <w:rPr>
          <w:rFonts w:ascii="Times New Roman" w:hAnsi="Times New Roman" w:hint="default"/>
          <w:sz w:val="24"/>
          <w:szCs w:val="24"/>
          <w:rtl w:val="0"/>
          <w:lang w:val="en-US"/>
        </w:rPr>
        <w:t xml:space="preserve">” </w:t>
      </w:r>
      <w:r>
        <w:rPr>
          <w:rFonts w:ascii="Times New Roman" w:hAnsi="Times New Roman"/>
          <w:sz w:val="24"/>
          <w:szCs w:val="24"/>
          <w:rtl w:val="0"/>
          <w:lang w:val="en-US"/>
        </w:rPr>
        <w:t>in R</w:t>
      </w:r>
      <w:r>
        <w:rPr>
          <w:rFonts w:ascii="Times New Roman" w:hAnsi="Times New Roman" w:hint="default"/>
          <w:sz w:val="24"/>
          <w:szCs w:val="24"/>
          <w:rtl w:val="0"/>
          <w:lang w:val="en-US"/>
        </w:rPr>
        <w:t>ü</w:t>
      </w:r>
      <w:r>
        <w:rPr>
          <w:rFonts w:ascii="Times New Roman" w:hAnsi="Times New Roman"/>
          <w:sz w:val="24"/>
          <w:szCs w:val="24"/>
          <w:rtl w:val="0"/>
          <w:lang w:val="en-US"/>
        </w:rPr>
        <w:t xml:space="preserve">pke, J. (ed). </w:t>
      </w:r>
      <w:r>
        <w:rPr>
          <w:rFonts w:ascii="Times New Roman" w:hAnsi="Times New Roman"/>
          <w:i w:val="1"/>
          <w:iCs w:val="1"/>
          <w:sz w:val="24"/>
          <w:szCs w:val="24"/>
          <w:rtl w:val="0"/>
          <w:lang w:val="en-US"/>
        </w:rPr>
        <w:t>The Individual in the Religions of the Ancient Mediterranean</w:t>
      </w:r>
      <w:r>
        <w:rPr>
          <w:rFonts w:ascii="Times New Roman" w:hAnsi="Times New Roman"/>
          <w:sz w:val="24"/>
          <w:szCs w:val="24"/>
          <w:rtl w:val="0"/>
          <w:lang w:val="en-US"/>
        </w:rPr>
        <w:t>. Oxford: Oxford University Press.</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pPr>
      <w:r>
        <w:rPr>
          <w:rFonts w:ascii="Times New Roman" w:hAnsi="Times New Roman"/>
          <w:sz w:val="24"/>
          <w:szCs w:val="24"/>
          <w:rtl w:val="0"/>
          <w:lang w:val="en-US"/>
        </w:rPr>
        <w:t xml:space="preserve">Price, S. R. F. </w:t>
      </w:r>
      <w:r>
        <w:rPr>
          <w:rFonts w:ascii="Times New Roman" w:hAnsi="Times New Roman"/>
          <w:sz w:val="24"/>
          <w:szCs w:val="24"/>
          <w:rtl w:val="0"/>
          <w:lang w:val="en-US"/>
        </w:rPr>
        <w:t xml:space="preserve">Between Man and God: Sacrifice in the Roman Imperial Cult </w:t>
      </w:r>
      <w:r>
        <w:rPr>
          <w:rFonts w:ascii="Times New Roman" w:hAnsi="Times New Roman"/>
          <w:sz w:val="24"/>
          <w:szCs w:val="24"/>
          <w:rtl w:val="0"/>
          <w:lang w:val="en-US"/>
        </w:rPr>
        <w:t xml:space="preserve">in </w:t>
      </w:r>
      <w:r>
        <w:rPr>
          <w:rFonts w:ascii="Times New Roman" w:hAnsi="Times New Roman"/>
          <w:i w:val="1"/>
          <w:iCs w:val="1"/>
          <w:sz w:val="24"/>
          <w:szCs w:val="24"/>
          <w:rtl w:val="0"/>
          <w:lang w:val="en-US"/>
        </w:rPr>
        <w:t>The Journal of Roman Studies</w:t>
      </w:r>
      <w:r>
        <w:rPr>
          <w:rFonts w:ascii="Times New Roman" w:hAnsi="Times New Roman"/>
          <w:sz w:val="24"/>
          <w:szCs w:val="24"/>
          <w:rtl w:val="0"/>
          <w:lang w:val="en-US"/>
        </w:rPr>
        <w:t xml:space="preserve">, </w:t>
      </w:r>
      <w:r>
        <w:rPr>
          <w:rFonts w:ascii="Times New Roman" w:hAnsi="Times New Roman"/>
          <w:sz w:val="24"/>
          <w:szCs w:val="24"/>
          <w:rtl w:val="0"/>
        </w:rPr>
        <w:t>Vol. 70 (1980), pp. 28-43</w:t>
      </w:r>
      <w:r>
        <w:rPr>
          <w:rFonts w:ascii="Times New Roman" w:hAnsi="Times New Roman"/>
          <w:sz w:val="24"/>
          <w:szCs w:val="24"/>
          <w:rtl w:val="0"/>
          <w:lang w:val="en-US"/>
        </w:rPr>
        <w:t>.</w:t>
      </w:r>
      <w:r>
        <w:rPr>
          <w:rFonts w:ascii="Times New Roman" w:cs="Times New Roman" w:hAnsi="Times New Roman" w:eastAsia="Times New Roman"/>
          <w:sz w:val="24"/>
          <w:szCs w:val="24"/>
        </w:rPr>
      </w:r>
    </w:p>
    <w:sectPr>
      <w:headerReference w:type="default" r:id="rId5"/>
      <w:footerReference w:type="default" r:id="rId6"/>
      <w:pgSz w:w="11906" w:h="16838" w:orient="portrait"/>
      <w:pgMar w:top="1417" w:right="1134" w:bottom="1417"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rPr>
      <w:tab/>
    </w:r>
    <w:r>
      <w:rPr>
        <w:rFonts w:ascii="Times New Roman" w:hAnsi="Times New Roman"/>
      </w:rPr>
      <w:fldChar w:fldCharType="begin" w:fldLock="0"/>
    </w:r>
    <w:r>
      <w:rPr>
        <w:rFonts w:ascii="Times New Roman" w:hAnsi="Times New Roman"/>
      </w:rPr>
      <w:instrText xml:space="preserve"> PAGE </w:instrText>
    </w:r>
    <w:r>
      <w:rPr>
        <w:rFonts w:ascii="Times New Roman" w:hAnsi="Times New Roman"/>
      </w:rPr>
      <w:fldChar w:fldCharType="separate" w:fldLock="0"/>
    </w:r>
    <w:r>
      <w:rPr>
        <w:rFonts w:ascii="Times New Roman" w:hAnsi="Times New Roman"/>
      </w:rPr>
      <w:t>6</w:t>
    </w:r>
    <w:r>
      <w:rPr>
        <w:rFonts w:ascii="Times New Roman" w:hAnsi="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