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D66D716" w14:textId="667CE406" w:rsidR="004338B5" w:rsidRDefault="004338B5" w:rsidP="00EC7C33">
      <w:pPr>
        <w:spacing w:line="360" w:lineRule="auto"/>
        <w:jc w:val="center"/>
        <w:rPr>
          <w:u w:val="single"/>
        </w:rPr>
      </w:pPr>
      <w:r>
        <w:rPr>
          <w:u w:val="single"/>
        </w:rPr>
        <w:t>Reference List</w:t>
      </w:r>
    </w:p>
    <w:p w14:paraId="14F115D3" w14:textId="58209638" w:rsidR="005F7038" w:rsidRDefault="00886891" w:rsidP="00EC7C33">
      <w:pPr>
        <w:spacing w:line="360" w:lineRule="auto"/>
        <w:rPr>
          <w:color w:val="1B1B1B"/>
          <w:shd w:val="clear" w:color="auto" w:fill="FFFFFF"/>
        </w:rPr>
      </w:pPr>
      <w:proofErr w:type="spellStart"/>
      <w:r>
        <w:rPr>
          <w:color w:val="1B1B1B"/>
          <w:shd w:val="clear" w:color="auto" w:fill="FFFFFF"/>
        </w:rPr>
        <w:t>Algase</w:t>
      </w:r>
      <w:proofErr w:type="spellEnd"/>
      <w:r>
        <w:rPr>
          <w:color w:val="1B1B1B"/>
          <w:shd w:val="clear" w:color="auto" w:fill="FFFFFF"/>
        </w:rPr>
        <w:t xml:space="preserve">, D., </w:t>
      </w:r>
      <w:r w:rsidR="005F7038" w:rsidRPr="005F7038">
        <w:rPr>
          <w:color w:val="1B1B1B"/>
          <w:shd w:val="clear" w:color="auto" w:fill="FFFFFF"/>
        </w:rPr>
        <w:t>Beck,</w:t>
      </w:r>
      <w:r w:rsidR="005F7038">
        <w:rPr>
          <w:color w:val="1B1B1B"/>
          <w:shd w:val="clear" w:color="auto" w:fill="FFFFFF"/>
        </w:rPr>
        <w:t xml:space="preserve"> C.,</w:t>
      </w:r>
      <w:r w:rsidR="005F7038" w:rsidRPr="005F7038">
        <w:rPr>
          <w:color w:val="1B1B1B"/>
          <w:shd w:val="clear" w:color="auto" w:fill="FFFFFF"/>
        </w:rPr>
        <w:t xml:space="preserve"> </w:t>
      </w:r>
      <w:r>
        <w:rPr>
          <w:color w:val="1B1B1B"/>
          <w:shd w:val="clear" w:color="auto" w:fill="FFFFFF"/>
        </w:rPr>
        <w:t>Doan, R., Feldman, Z., Kolanowski, A., Lambert, C., Landes, R., Richards, K. and Whall, A.</w:t>
      </w:r>
      <w:r w:rsidR="005F7038" w:rsidRPr="005F7038">
        <w:rPr>
          <w:color w:val="1B1B1B"/>
          <w:shd w:val="clear" w:color="auto" w:fill="FFFFFF"/>
        </w:rPr>
        <w:t xml:space="preserve"> </w:t>
      </w:r>
      <w:r>
        <w:rPr>
          <w:color w:val="1B1B1B"/>
          <w:shd w:val="clear" w:color="auto" w:fill="FFFFFF"/>
        </w:rPr>
        <w:t>(2011),</w:t>
      </w:r>
      <w:r w:rsidR="005F7038" w:rsidRPr="005F7038">
        <w:rPr>
          <w:color w:val="1B1B1B"/>
          <w:shd w:val="clear" w:color="auto" w:fill="FFFFFF"/>
        </w:rPr>
        <w:t xml:space="preserve"> </w:t>
      </w:r>
      <w:r>
        <w:rPr>
          <w:color w:val="1B1B1B"/>
          <w:shd w:val="clear" w:color="auto" w:fill="FFFFFF"/>
        </w:rPr>
        <w:t>‘</w:t>
      </w:r>
      <w:r w:rsidR="005F7038" w:rsidRPr="005F7038">
        <w:rPr>
          <w:color w:val="1B1B1B"/>
          <w:shd w:val="clear" w:color="auto" w:fill="FFFFFF"/>
        </w:rPr>
        <w:t xml:space="preserve">Factors Associated with Problematic Vocalizations in Nursing Home Residents </w:t>
      </w:r>
      <w:proofErr w:type="gramStart"/>
      <w:r w:rsidR="005F7038" w:rsidRPr="005F7038">
        <w:rPr>
          <w:color w:val="1B1B1B"/>
          <w:shd w:val="clear" w:color="auto" w:fill="FFFFFF"/>
        </w:rPr>
        <w:t>With</w:t>
      </w:r>
      <w:proofErr w:type="gramEnd"/>
      <w:r w:rsidR="005F7038" w:rsidRPr="005F7038">
        <w:rPr>
          <w:color w:val="1B1B1B"/>
          <w:shd w:val="clear" w:color="auto" w:fill="FFFFFF"/>
        </w:rPr>
        <w:t xml:space="preserve"> Dementia</w:t>
      </w:r>
      <w:r>
        <w:rPr>
          <w:color w:val="1B1B1B"/>
          <w:shd w:val="clear" w:color="auto" w:fill="FFFFFF"/>
        </w:rPr>
        <w:t>’</w:t>
      </w:r>
      <w:r w:rsidR="005F7038" w:rsidRPr="005F7038">
        <w:rPr>
          <w:color w:val="1B1B1B"/>
          <w:shd w:val="clear" w:color="auto" w:fill="FFFFFF"/>
        </w:rPr>
        <w:t>, </w:t>
      </w:r>
      <w:r w:rsidR="005F7038" w:rsidRPr="005F7038">
        <w:rPr>
          <w:i/>
          <w:iCs/>
          <w:color w:val="1B1B1B"/>
          <w:shd w:val="clear" w:color="auto" w:fill="FFFFFF"/>
        </w:rPr>
        <w:t>The Gerontologist</w:t>
      </w:r>
      <w:r w:rsidR="005F7038" w:rsidRPr="005F7038">
        <w:rPr>
          <w:color w:val="1B1B1B"/>
          <w:shd w:val="clear" w:color="auto" w:fill="FFFFFF"/>
        </w:rPr>
        <w:t>, 51</w:t>
      </w:r>
      <w:r>
        <w:rPr>
          <w:color w:val="1B1B1B"/>
          <w:shd w:val="clear" w:color="auto" w:fill="FFFFFF"/>
        </w:rPr>
        <w:t>(3)</w:t>
      </w:r>
      <w:r w:rsidR="005F7038" w:rsidRPr="005F7038">
        <w:rPr>
          <w:color w:val="1B1B1B"/>
          <w:shd w:val="clear" w:color="auto" w:fill="FFFFFF"/>
        </w:rPr>
        <w:t xml:space="preserve">, </w:t>
      </w:r>
      <w:r>
        <w:rPr>
          <w:color w:val="1B1B1B"/>
          <w:shd w:val="clear" w:color="auto" w:fill="FFFFFF"/>
        </w:rPr>
        <w:t xml:space="preserve">pp </w:t>
      </w:r>
      <w:r w:rsidR="005F7038" w:rsidRPr="005F7038">
        <w:rPr>
          <w:color w:val="1B1B1B"/>
          <w:shd w:val="clear" w:color="auto" w:fill="FFFFFF"/>
        </w:rPr>
        <w:t>389–405</w:t>
      </w:r>
      <w:r>
        <w:rPr>
          <w:color w:val="1B1B1B"/>
          <w:shd w:val="clear" w:color="auto" w:fill="FFFFFF"/>
        </w:rPr>
        <w:t>. Available at:</w:t>
      </w:r>
      <w:r w:rsidR="005F7038" w:rsidRPr="005F7038">
        <w:rPr>
          <w:color w:val="1B1B1B"/>
          <w:shd w:val="clear" w:color="auto" w:fill="FFFFFF"/>
        </w:rPr>
        <w:t> </w:t>
      </w:r>
      <w:r w:rsidR="00034422" w:rsidRPr="00034422">
        <w:rPr>
          <w:color w:val="1B1B1B"/>
          <w:shd w:val="clear" w:color="auto" w:fill="FFFFFF"/>
        </w:rPr>
        <w:t>https://doi.org/10.1093/geront/gnq129</w:t>
      </w:r>
    </w:p>
    <w:p w14:paraId="448D4246" w14:textId="312B8256" w:rsidR="00034422" w:rsidRPr="00034422" w:rsidRDefault="00034422" w:rsidP="00EC7C33">
      <w:pPr>
        <w:spacing w:line="360" w:lineRule="auto"/>
        <w:rPr>
          <w:color w:val="1B1B1B"/>
          <w:shd w:val="clear" w:color="auto" w:fill="FFFFFF"/>
        </w:rPr>
      </w:pPr>
      <w:r w:rsidRPr="00034422">
        <w:rPr>
          <w:color w:val="1B1B1B"/>
          <w:shd w:val="clear" w:color="auto" w:fill="FFFFFF"/>
        </w:rPr>
        <w:t>Farmer, N., Touchton-Leonard, K., &amp; Ross, A. (2018)</w:t>
      </w:r>
      <w:r>
        <w:rPr>
          <w:color w:val="1B1B1B"/>
          <w:shd w:val="clear" w:color="auto" w:fill="FFFFFF"/>
        </w:rPr>
        <w:t>,</w:t>
      </w:r>
      <w:r w:rsidRPr="00034422">
        <w:rPr>
          <w:color w:val="1B1B1B"/>
          <w:shd w:val="clear" w:color="auto" w:fill="FFFFFF"/>
        </w:rPr>
        <w:t xml:space="preserve"> </w:t>
      </w:r>
      <w:r>
        <w:rPr>
          <w:color w:val="1B1B1B"/>
          <w:shd w:val="clear" w:color="auto" w:fill="FFFFFF"/>
        </w:rPr>
        <w:t>‘</w:t>
      </w:r>
      <w:r w:rsidRPr="00034422">
        <w:rPr>
          <w:color w:val="1B1B1B"/>
          <w:shd w:val="clear" w:color="auto" w:fill="FFFFFF"/>
        </w:rPr>
        <w:t>Psychosocial Benefits of Cooking Interventions: A Systematic Review</w:t>
      </w:r>
      <w:r>
        <w:rPr>
          <w:color w:val="1B1B1B"/>
          <w:shd w:val="clear" w:color="auto" w:fill="FFFFFF"/>
        </w:rPr>
        <w:t>’,</w:t>
      </w:r>
      <w:r w:rsidRPr="00034422">
        <w:rPr>
          <w:color w:val="1B1B1B"/>
          <w:shd w:val="clear" w:color="auto" w:fill="FFFFFF"/>
        </w:rPr>
        <w:t> </w:t>
      </w:r>
      <w:r w:rsidRPr="00034422">
        <w:rPr>
          <w:i/>
          <w:iCs/>
          <w:color w:val="1B1B1B"/>
          <w:shd w:val="clear" w:color="auto" w:fill="FFFFFF"/>
        </w:rPr>
        <w:t xml:space="preserve">Health education &amp; </w:t>
      </w:r>
      <w:proofErr w:type="spellStart"/>
      <w:proofErr w:type="gramStart"/>
      <w:r w:rsidRPr="00034422">
        <w:rPr>
          <w:i/>
          <w:iCs/>
          <w:color w:val="1B1B1B"/>
          <w:shd w:val="clear" w:color="auto" w:fill="FFFFFF"/>
        </w:rPr>
        <w:t>behavior</w:t>
      </w:r>
      <w:proofErr w:type="spellEnd"/>
      <w:r w:rsidRPr="00034422">
        <w:rPr>
          <w:i/>
          <w:iCs/>
          <w:color w:val="1B1B1B"/>
          <w:shd w:val="clear" w:color="auto" w:fill="FFFFFF"/>
        </w:rPr>
        <w:t xml:space="preserve"> :</w:t>
      </w:r>
      <w:proofErr w:type="gramEnd"/>
      <w:r w:rsidRPr="00034422">
        <w:rPr>
          <w:i/>
          <w:iCs/>
          <w:color w:val="1B1B1B"/>
          <w:shd w:val="clear" w:color="auto" w:fill="FFFFFF"/>
        </w:rPr>
        <w:t xml:space="preserve"> the official publication of the Society for Public Health Education</w:t>
      </w:r>
      <w:r w:rsidRPr="00034422">
        <w:rPr>
          <w:color w:val="1B1B1B"/>
          <w:shd w:val="clear" w:color="auto" w:fill="FFFFFF"/>
        </w:rPr>
        <w:t>, </w:t>
      </w:r>
      <w:r w:rsidRPr="00034422">
        <w:rPr>
          <w:i/>
          <w:iCs/>
          <w:color w:val="1B1B1B"/>
          <w:shd w:val="clear" w:color="auto" w:fill="FFFFFF"/>
        </w:rPr>
        <w:t>45</w:t>
      </w:r>
      <w:r w:rsidRPr="00034422">
        <w:rPr>
          <w:color w:val="1B1B1B"/>
          <w:shd w:val="clear" w:color="auto" w:fill="FFFFFF"/>
        </w:rPr>
        <w:t xml:space="preserve">(2), </w:t>
      </w:r>
      <w:r>
        <w:rPr>
          <w:color w:val="1B1B1B"/>
          <w:shd w:val="clear" w:color="auto" w:fill="FFFFFF"/>
        </w:rPr>
        <w:t>pp</w:t>
      </w:r>
      <w:r w:rsidRPr="00034422">
        <w:rPr>
          <w:color w:val="1B1B1B"/>
          <w:shd w:val="clear" w:color="auto" w:fill="FFFFFF"/>
        </w:rPr>
        <w:t xml:space="preserve">167–180. </w:t>
      </w:r>
      <w:r>
        <w:rPr>
          <w:color w:val="1B1B1B"/>
          <w:shd w:val="clear" w:color="auto" w:fill="FFFFFF"/>
        </w:rPr>
        <w:t xml:space="preserve">Available at: </w:t>
      </w:r>
      <w:r w:rsidRPr="00034422">
        <w:rPr>
          <w:color w:val="1B1B1B"/>
          <w:shd w:val="clear" w:color="auto" w:fill="FFFFFF"/>
        </w:rPr>
        <w:t>https://doi.org/10.1177/1090198117736352</w:t>
      </w:r>
      <w:r>
        <w:rPr>
          <w:color w:val="1B1B1B"/>
          <w:shd w:val="clear" w:color="auto" w:fill="FFFFFF"/>
        </w:rPr>
        <w:t xml:space="preserve"> </w:t>
      </w:r>
    </w:p>
    <w:p w14:paraId="47C3325E" w14:textId="3B2C4C53" w:rsidR="004338B5" w:rsidRDefault="004338B5" w:rsidP="00EC7C33">
      <w:pPr>
        <w:spacing w:line="360" w:lineRule="auto"/>
        <w:rPr>
          <w:color w:val="1B1B1B"/>
          <w:shd w:val="clear" w:color="auto" w:fill="FFFFFF"/>
        </w:rPr>
      </w:pPr>
      <w:proofErr w:type="spellStart"/>
      <w:r w:rsidRPr="004338B5">
        <w:rPr>
          <w:color w:val="1B1B1B"/>
          <w:shd w:val="clear" w:color="auto" w:fill="FFFFFF"/>
        </w:rPr>
        <w:t>Haanes</w:t>
      </w:r>
      <w:proofErr w:type="spellEnd"/>
      <w:r w:rsidRPr="004338B5">
        <w:rPr>
          <w:color w:val="1B1B1B"/>
          <w:shd w:val="clear" w:color="auto" w:fill="FFFFFF"/>
        </w:rPr>
        <w:t xml:space="preserve"> G. G. (2023)</w:t>
      </w:r>
      <w:r>
        <w:rPr>
          <w:color w:val="1B1B1B"/>
          <w:shd w:val="clear" w:color="auto" w:fill="FFFFFF"/>
        </w:rPr>
        <w:t>,</w:t>
      </w:r>
      <w:r w:rsidRPr="004338B5">
        <w:rPr>
          <w:color w:val="1B1B1B"/>
          <w:shd w:val="clear" w:color="auto" w:fill="FFFFFF"/>
        </w:rPr>
        <w:t xml:space="preserve"> </w:t>
      </w:r>
      <w:r>
        <w:rPr>
          <w:color w:val="1B1B1B"/>
          <w:shd w:val="clear" w:color="auto" w:fill="FFFFFF"/>
        </w:rPr>
        <w:t>‘</w:t>
      </w:r>
      <w:r w:rsidRPr="004338B5">
        <w:rPr>
          <w:color w:val="1B1B1B"/>
          <w:shd w:val="clear" w:color="auto" w:fill="FFFFFF"/>
        </w:rPr>
        <w:t>Multidisciplinary Approaches and Community-Based Interventions: Adaptable Strategies for Managing Sensory Impairments in Older Adults</w:t>
      </w:r>
      <w:r>
        <w:rPr>
          <w:color w:val="1B1B1B"/>
          <w:shd w:val="clear" w:color="auto" w:fill="FFFFFF"/>
        </w:rPr>
        <w:t>’,</w:t>
      </w:r>
      <w:r w:rsidRPr="004338B5">
        <w:rPr>
          <w:color w:val="1B1B1B"/>
          <w:shd w:val="clear" w:color="auto" w:fill="FFFFFF"/>
        </w:rPr>
        <w:t> </w:t>
      </w:r>
      <w:r w:rsidRPr="004338B5">
        <w:rPr>
          <w:i/>
          <w:iCs/>
          <w:color w:val="1B1B1B"/>
          <w:shd w:val="clear" w:color="auto" w:fill="FFFFFF"/>
        </w:rPr>
        <w:t>Journal of multidisciplinary healthcare</w:t>
      </w:r>
      <w:r w:rsidRPr="004338B5">
        <w:rPr>
          <w:color w:val="1B1B1B"/>
          <w:shd w:val="clear" w:color="auto" w:fill="FFFFFF"/>
        </w:rPr>
        <w:t xml:space="preserve">, 16, </w:t>
      </w:r>
      <w:r w:rsidRPr="004338B5">
        <w:rPr>
          <w:color w:val="1B1B1B"/>
          <w:shd w:val="clear" w:color="auto" w:fill="FFFFFF"/>
        </w:rPr>
        <w:t>pp</w:t>
      </w:r>
      <w:r w:rsidRPr="004338B5">
        <w:rPr>
          <w:color w:val="1B1B1B"/>
          <w:shd w:val="clear" w:color="auto" w:fill="FFFFFF"/>
        </w:rPr>
        <w:t xml:space="preserve">2701–2705. </w:t>
      </w:r>
      <w:r w:rsidRPr="004338B5">
        <w:rPr>
          <w:color w:val="1B1B1B"/>
          <w:shd w:val="clear" w:color="auto" w:fill="FFFFFF"/>
        </w:rPr>
        <w:t xml:space="preserve">Available at: </w:t>
      </w:r>
      <w:r w:rsidRPr="004338B5">
        <w:rPr>
          <w:color w:val="1B1B1B"/>
          <w:shd w:val="clear" w:color="auto" w:fill="FFFFFF"/>
        </w:rPr>
        <w:t>https://doi.org/10.2147/JMDH.S416762</w:t>
      </w:r>
    </w:p>
    <w:p w14:paraId="14E82BF8" w14:textId="47A645C5" w:rsidR="004338B5" w:rsidRDefault="003F41BE" w:rsidP="00EC7C33">
      <w:pPr>
        <w:spacing w:line="360" w:lineRule="auto"/>
      </w:pPr>
      <w:r w:rsidRPr="003F41BE">
        <w:t>Lin</w:t>
      </w:r>
      <w:r>
        <w:t>,</w:t>
      </w:r>
      <w:r w:rsidRPr="003F41BE">
        <w:t xml:space="preserve"> F</w:t>
      </w:r>
      <w:r>
        <w:t>.</w:t>
      </w:r>
      <w:r w:rsidR="000B041A">
        <w:t xml:space="preserve"> </w:t>
      </w:r>
      <w:r w:rsidRPr="003F41BE">
        <w:t>R</w:t>
      </w:r>
      <w:r>
        <w:t>.</w:t>
      </w:r>
      <w:r w:rsidRPr="003F41BE">
        <w:t>, Yaffe</w:t>
      </w:r>
      <w:r>
        <w:t>,</w:t>
      </w:r>
      <w:r w:rsidRPr="003F41BE">
        <w:t xml:space="preserve"> K</w:t>
      </w:r>
      <w:r>
        <w:t>. and</w:t>
      </w:r>
      <w:r w:rsidRPr="003F41BE">
        <w:t> Xia</w:t>
      </w:r>
      <w:r>
        <w:t>,</w:t>
      </w:r>
      <w:r w:rsidRPr="003F41BE">
        <w:t xml:space="preserve"> J</w:t>
      </w:r>
      <w:r>
        <w:t>.</w:t>
      </w:r>
      <w:r w:rsidR="00BB73AC">
        <w:t xml:space="preserve"> </w:t>
      </w:r>
      <w:r>
        <w:t>(2013),</w:t>
      </w:r>
      <w:r w:rsidRPr="003F41BE">
        <w:t xml:space="preserve"> </w:t>
      </w:r>
      <w:r>
        <w:t>‘</w:t>
      </w:r>
      <w:r w:rsidRPr="003F41BE">
        <w:t>Hearing Loss and Cognitive Decline in Older Adults</w:t>
      </w:r>
      <w:r>
        <w:t xml:space="preserve">’, </w:t>
      </w:r>
      <w:r w:rsidRPr="003F41BE">
        <w:rPr>
          <w:i/>
          <w:iCs/>
        </w:rPr>
        <w:t>JAMA Intern Med</w:t>
      </w:r>
      <w:r>
        <w:t>,</w:t>
      </w:r>
      <w:r w:rsidRPr="003F41BE">
        <w:t> 173(4)</w:t>
      </w:r>
      <w:r>
        <w:t>, pp</w:t>
      </w:r>
      <w:r w:rsidRPr="003F41BE">
        <w:t xml:space="preserve">293–299. </w:t>
      </w:r>
      <w:r>
        <w:t xml:space="preserve">Available at: </w:t>
      </w:r>
      <w:r w:rsidR="00BB73AC" w:rsidRPr="00BB73AC">
        <w:t>https://</w:t>
      </w:r>
      <w:r w:rsidR="00BB73AC" w:rsidRPr="00BB73AC">
        <w:t>doi</w:t>
      </w:r>
      <w:r w:rsidR="00BB73AC" w:rsidRPr="00BB73AC">
        <w:t>.org/</w:t>
      </w:r>
      <w:r w:rsidR="00BB73AC" w:rsidRPr="00BB73AC">
        <w:t>10.1001/jamainternmed.2013.1868</w:t>
      </w:r>
      <w:r w:rsidR="00BB73AC">
        <w:t xml:space="preserve"> </w:t>
      </w:r>
    </w:p>
    <w:p w14:paraId="5CFCA3E4" w14:textId="16E452FC" w:rsidR="003F41BE" w:rsidRDefault="003F41BE" w:rsidP="00EC7C33">
      <w:pPr>
        <w:spacing w:line="360" w:lineRule="auto"/>
      </w:pPr>
      <w:r w:rsidRPr="003F41BE">
        <w:t xml:space="preserve">Maharani, A., Dawes, P., </w:t>
      </w:r>
      <w:proofErr w:type="spellStart"/>
      <w:r w:rsidRPr="003F41BE">
        <w:t>Nazroo</w:t>
      </w:r>
      <w:proofErr w:type="spellEnd"/>
      <w:r w:rsidRPr="003F41BE">
        <w:t>, J., Tampubolon, G</w:t>
      </w:r>
      <w:r>
        <w:t>. and</w:t>
      </w:r>
      <w:r w:rsidRPr="003F41BE">
        <w:t xml:space="preserve"> Pendleton, N. (2018), </w:t>
      </w:r>
      <w:r w:rsidR="00BB73AC">
        <w:t>‘</w:t>
      </w:r>
      <w:r w:rsidRPr="003F41BE">
        <w:t>Longitudinal Relationship Between Hearing Aid Use and Cognitive Function in Older Americans</w:t>
      </w:r>
      <w:r w:rsidR="00BB73AC">
        <w:t>’,</w:t>
      </w:r>
      <w:r w:rsidRPr="003F41BE">
        <w:t xml:space="preserve"> </w:t>
      </w:r>
      <w:r w:rsidRPr="00BB73AC">
        <w:rPr>
          <w:i/>
          <w:iCs/>
        </w:rPr>
        <w:t>J</w:t>
      </w:r>
      <w:r w:rsidR="00BB73AC">
        <w:rPr>
          <w:i/>
          <w:iCs/>
        </w:rPr>
        <w:t>ournal of the</w:t>
      </w:r>
      <w:r w:rsidRPr="00BB73AC">
        <w:rPr>
          <w:i/>
          <w:iCs/>
        </w:rPr>
        <w:t xml:space="preserve"> Am</w:t>
      </w:r>
      <w:r w:rsidR="00BB73AC">
        <w:rPr>
          <w:i/>
          <w:iCs/>
        </w:rPr>
        <w:t>erican</w:t>
      </w:r>
      <w:r w:rsidRPr="00BB73AC">
        <w:rPr>
          <w:i/>
          <w:iCs/>
        </w:rPr>
        <w:t xml:space="preserve"> Geriatr</w:t>
      </w:r>
      <w:r w:rsidR="00BB73AC">
        <w:rPr>
          <w:i/>
          <w:iCs/>
        </w:rPr>
        <w:t>ics</w:t>
      </w:r>
      <w:r w:rsidRPr="00BB73AC">
        <w:rPr>
          <w:i/>
          <w:iCs/>
        </w:rPr>
        <w:t xml:space="preserve"> Soc</w:t>
      </w:r>
      <w:r w:rsidR="00BB73AC">
        <w:rPr>
          <w:i/>
          <w:iCs/>
        </w:rPr>
        <w:t>iety</w:t>
      </w:r>
      <w:r w:rsidRPr="003F41BE">
        <w:t>, 66</w:t>
      </w:r>
      <w:r w:rsidR="00BB73AC">
        <w:t>,</w:t>
      </w:r>
      <w:r w:rsidRPr="003F41BE">
        <w:t xml:space="preserve"> </w:t>
      </w:r>
      <w:r w:rsidR="00BB73AC">
        <w:t>pp</w:t>
      </w:r>
      <w:r w:rsidRPr="003F41BE">
        <w:t>1130-1136.</w:t>
      </w:r>
      <w:r w:rsidR="00BB73AC">
        <w:t xml:space="preserve"> Available at: </w:t>
      </w:r>
      <w:r w:rsidRPr="003F41BE">
        <w:t> </w:t>
      </w:r>
      <w:r w:rsidR="00057373" w:rsidRPr="00057373">
        <w:t>https://doi.org/10.1111/jgs.15363</w:t>
      </w:r>
    </w:p>
    <w:p w14:paraId="49E88ABC" w14:textId="1072CE40" w:rsidR="00057373" w:rsidRDefault="00057373" w:rsidP="00EC7C33">
      <w:pPr>
        <w:spacing w:line="360" w:lineRule="auto"/>
      </w:pPr>
      <w:r>
        <w:t>Khan, M., Raj, M. and Silva, L. (2024), ‘</w:t>
      </w:r>
      <w:r w:rsidRPr="00057373">
        <w:t>Building an Inclusive Health Care System Requires Offering Culturally Inclusive Foods in Health Care Environments</w:t>
      </w:r>
      <w:r>
        <w:t xml:space="preserve">’, </w:t>
      </w:r>
      <w:r>
        <w:rPr>
          <w:i/>
          <w:iCs/>
        </w:rPr>
        <w:t>Journal of the Academy of Nutrition and Dietetics</w:t>
      </w:r>
      <w:r>
        <w:t>, 124(6), pp669-673. Available at:</w:t>
      </w:r>
      <w:r w:rsidRPr="00057373">
        <w:t xml:space="preserve"> </w:t>
      </w:r>
      <w:r w:rsidRPr="00057373">
        <w:t>https://doi.org/10.1016/j.jand.2023.12.013</w:t>
      </w:r>
      <w:r>
        <w:t xml:space="preserve">  </w:t>
      </w:r>
    </w:p>
    <w:p w14:paraId="364A61ED" w14:textId="5DC7737C" w:rsidR="000B041A" w:rsidRDefault="000B041A" w:rsidP="00EC7C33">
      <w:pPr>
        <w:spacing w:line="360" w:lineRule="auto"/>
      </w:pPr>
      <w:r w:rsidRPr="000B041A">
        <w:t xml:space="preserve">Sefcik, J. S., Ersek, M., </w:t>
      </w:r>
      <w:r>
        <w:t>and</w:t>
      </w:r>
      <w:r w:rsidRPr="000B041A">
        <w:t xml:space="preserve"> Cacchione, P. Z. (2020)</w:t>
      </w:r>
      <w:r>
        <w:t>,</w:t>
      </w:r>
      <w:r w:rsidRPr="000B041A">
        <w:t xml:space="preserve"> </w:t>
      </w:r>
      <w:r>
        <w:t>‘</w:t>
      </w:r>
      <w:r w:rsidRPr="000B041A">
        <w:t>Nursing home residents with advanced dementia and persistent vocalisations: Observations of surrounding context</w:t>
      </w:r>
      <w:r>
        <w:t>’,</w:t>
      </w:r>
      <w:r w:rsidRPr="000B041A">
        <w:t> </w:t>
      </w:r>
      <w:r w:rsidRPr="000B041A">
        <w:rPr>
          <w:i/>
          <w:iCs/>
        </w:rPr>
        <w:t>International journal of older people nursing</w:t>
      </w:r>
      <w:r w:rsidRPr="000B041A">
        <w:t>, </w:t>
      </w:r>
      <w:r w:rsidRPr="000B041A">
        <w:rPr>
          <w:i/>
          <w:iCs/>
        </w:rPr>
        <w:t>15</w:t>
      </w:r>
      <w:r w:rsidRPr="000B041A">
        <w:t>(4)</w:t>
      </w:r>
      <w:r>
        <w:t xml:space="preserve">. Available at: </w:t>
      </w:r>
      <w:r w:rsidRPr="000B041A">
        <w:t>https://doi.org/10.1111/opn.12322</w:t>
      </w:r>
      <w:r>
        <w:t xml:space="preserve"> </w:t>
      </w:r>
    </w:p>
    <w:p w14:paraId="05989C3E" w14:textId="77777777" w:rsidR="000B041A" w:rsidRPr="004338B5" w:rsidRDefault="000B041A" w:rsidP="003F41BE"/>
    <w:sectPr w:rsidR="000B041A" w:rsidRPr="004338B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DC0EAD"/>
    <w:multiLevelType w:val="multilevel"/>
    <w:tmpl w:val="833034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795043E3"/>
    <w:multiLevelType w:val="multilevel"/>
    <w:tmpl w:val="37425B0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593364551">
    <w:abstractNumId w:val="1"/>
  </w:num>
  <w:num w:numId="2" w16cid:durableId="184235665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38B5"/>
    <w:rsid w:val="00034422"/>
    <w:rsid w:val="00057373"/>
    <w:rsid w:val="000B041A"/>
    <w:rsid w:val="003F41BE"/>
    <w:rsid w:val="00401F5B"/>
    <w:rsid w:val="004338B5"/>
    <w:rsid w:val="005515CB"/>
    <w:rsid w:val="005F7038"/>
    <w:rsid w:val="00886891"/>
    <w:rsid w:val="00BB73AC"/>
    <w:rsid w:val="00D976E2"/>
    <w:rsid w:val="00E8658C"/>
    <w:rsid w:val="00EC7C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F9F713"/>
  <w15:chartTrackingRefBased/>
  <w15:docId w15:val="{FB42EF30-A093-486B-9BD6-027EC56ABA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338B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338B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338B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338B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338B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338B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338B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338B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338B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338B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338B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338B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338B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338B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338B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338B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338B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338B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338B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338B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338B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338B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338B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338B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338B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338B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338B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338B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338B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338B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338B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61</TotalTime>
  <Pages>1</Pages>
  <Words>286</Words>
  <Characters>1635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Gemma Hart</dc:creator>
  <cp:keywords/>
  <dc:description/>
  <cp:lastModifiedBy>Gemma Hart</cp:lastModifiedBy>
  <cp:revision>7</cp:revision>
  <dcterms:created xsi:type="dcterms:W3CDTF">2026-04-27T19:04:00Z</dcterms:created>
  <dcterms:modified xsi:type="dcterms:W3CDTF">2026-04-28T07:30:00Z</dcterms:modified>
</cp:coreProperties>
</file>