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417567" w:rsidRDefault="00417567" w:rsidP="00D9147D">
      <w:pPr>
        <w:pStyle w:val="Title"/>
        <w:jc w:val="center"/>
        <w:rPr>
          <w:b/>
          <w:sz w:val="40"/>
          <w:szCs w:val="40"/>
        </w:rPr>
      </w:pPr>
      <w:bookmarkStart w:id="0" w:name="_heading=h.gjdgxs" w:colFirst="0" w:colLast="0"/>
      <w:bookmarkEnd w:id="0"/>
    </w:p>
    <w:p w14:paraId="00000002" w14:textId="77777777" w:rsidR="00417567" w:rsidRDefault="00417567" w:rsidP="00D9147D">
      <w:pPr>
        <w:pStyle w:val="Title"/>
        <w:jc w:val="center"/>
        <w:rPr>
          <w:b/>
          <w:sz w:val="40"/>
          <w:szCs w:val="40"/>
        </w:rPr>
      </w:pPr>
      <w:bookmarkStart w:id="1" w:name="_heading=h.30j0zll" w:colFirst="0" w:colLast="0"/>
      <w:bookmarkEnd w:id="1"/>
    </w:p>
    <w:p w14:paraId="00000003" w14:textId="3D45E77F" w:rsidR="00417567" w:rsidRDefault="00D9147D" w:rsidP="00D9147D">
      <w:pPr>
        <w:pStyle w:val="Title"/>
        <w:jc w:val="center"/>
        <w:rPr>
          <w:b/>
          <w:sz w:val="40"/>
          <w:szCs w:val="40"/>
        </w:rPr>
      </w:pPr>
      <w:bookmarkStart w:id="2" w:name="_heading=h.1fob9te" w:colFirst="0" w:colLast="0"/>
      <w:bookmarkEnd w:id="2"/>
      <w:r>
        <w:rPr>
          <w:b/>
          <w:sz w:val="40"/>
          <w:szCs w:val="40"/>
        </w:rPr>
        <w:t>Module:</w:t>
      </w:r>
      <w:r w:rsidR="00000000">
        <w:rPr>
          <w:b/>
          <w:sz w:val="40"/>
          <w:szCs w:val="40"/>
        </w:rPr>
        <w:t xml:space="preserve"> Community Engagement</w:t>
      </w:r>
    </w:p>
    <w:p w14:paraId="00000004" w14:textId="6DD2C80E" w:rsidR="00417567" w:rsidRDefault="00000000" w:rsidP="00D9147D">
      <w:pPr>
        <w:jc w:val="center"/>
        <w:rPr>
          <w:b/>
          <w:sz w:val="40"/>
          <w:szCs w:val="40"/>
        </w:rPr>
      </w:pPr>
      <w:r>
        <w:rPr>
          <w:b/>
          <w:sz w:val="40"/>
          <w:szCs w:val="40"/>
        </w:rPr>
        <w:t xml:space="preserve">Module </w:t>
      </w:r>
      <w:r w:rsidR="00D9147D">
        <w:rPr>
          <w:b/>
          <w:sz w:val="40"/>
          <w:szCs w:val="40"/>
        </w:rPr>
        <w:t>code:</w:t>
      </w:r>
      <w:r>
        <w:rPr>
          <w:b/>
          <w:sz w:val="40"/>
          <w:szCs w:val="40"/>
        </w:rPr>
        <w:t xml:space="preserve"> LCBB4002</w:t>
      </w:r>
    </w:p>
    <w:p w14:paraId="00000005" w14:textId="77777777" w:rsidR="00417567" w:rsidRDefault="00000000" w:rsidP="00D9147D">
      <w:pPr>
        <w:jc w:val="center"/>
        <w:rPr>
          <w:b/>
          <w:sz w:val="40"/>
          <w:szCs w:val="40"/>
        </w:rPr>
      </w:pPr>
      <w:r>
        <w:rPr>
          <w:b/>
          <w:sz w:val="40"/>
          <w:szCs w:val="40"/>
        </w:rPr>
        <w:t>Student name: Leyla Aliyeva</w:t>
      </w:r>
    </w:p>
    <w:p w14:paraId="00000006" w14:textId="77777777" w:rsidR="00417567" w:rsidRDefault="00000000" w:rsidP="00D9147D">
      <w:pPr>
        <w:jc w:val="center"/>
        <w:rPr>
          <w:b/>
          <w:sz w:val="40"/>
          <w:szCs w:val="40"/>
        </w:rPr>
      </w:pPr>
      <w:r>
        <w:rPr>
          <w:b/>
          <w:sz w:val="40"/>
          <w:szCs w:val="40"/>
        </w:rPr>
        <w:t>Student ID: 2123647</w:t>
      </w:r>
    </w:p>
    <w:p w14:paraId="00000007" w14:textId="77777777" w:rsidR="00417567" w:rsidRDefault="00000000" w:rsidP="00D9147D">
      <w:pPr>
        <w:jc w:val="center"/>
        <w:rPr>
          <w:b/>
          <w:sz w:val="40"/>
          <w:szCs w:val="40"/>
        </w:rPr>
      </w:pPr>
      <w:r>
        <w:rPr>
          <w:b/>
          <w:sz w:val="40"/>
          <w:szCs w:val="40"/>
        </w:rPr>
        <w:t xml:space="preserve">Lecturer: Dr </w:t>
      </w:r>
      <w:proofErr w:type="spellStart"/>
      <w:r>
        <w:rPr>
          <w:b/>
          <w:sz w:val="40"/>
          <w:szCs w:val="40"/>
        </w:rPr>
        <w:t>Faizu</w:t>
      </w:r>
      <w:proofErr w:type="spellEnd"/>
      <w:r>
        <w:rPr>
          <w:b/>
          <w:sz w:val="40"/>
          <w:szCs w:val="40"/>
        </w:rPr>
        <w:t xml:space="preserve"> Edu</w:t>
      </w:r>
    </w:p>
    <w:p w14:paraId="74C6B8F0" w14:textId="77777777" w:rsidR="00D9147D" w:rsidRDefault="00D9147D" w:rsidP="00D9147D">
      <w:pPr>
        <w:pStyle w:val="Title"/>
        <w:jc w:val="center"/>
        <w:rPr>
          <w:b/>
          <w:sz w:val="40"/>
          <w:szCs w:val="40"/>
        </w:rPr>
      </w:pPr>
      <w:bookmarkStart w:id="3" w:name="_heading=h.3znysh7" w:colFirst="0" w:colLast="0"/>
      <w:bookmarkStart w:id="4" w:name="_heading=h.3dy6vkm" w:colFirst="0" w:colLast="0"/>
      <w:bookmarkEnd w:id="3"/>
      <w:bookmarkEnd w:id="4"/>
    </w:p>
    <w:p w14:paraId="0000000B" w14:textId="6658B939" w:rsidR="00417567" w:rsidRDefault="00000000" w:rsidP="00D9147D">
      <w:pPr>
        <w:pStyle w:val="Title"/>
        <w:jc w:val="center"/>
        <w:rPr>
          <w:b/>
          <w:sz w:val="40"/>
          <w:szCs w:val="40"/>
        </w:rPr>
      </w:pPr>
      <w:r>
        <w:rPr>
          <w:b/>
          <w:sz w:val="40"/>
          <w:szCs w:val="40"/>
        </w:rPr>
        <w:t>Community Engagement</w:t>
      </w:r>
    </w:p>
    <w:p w14:paraId="0000000C" w14:textId="77777777" w:rsidR="00417567" w:rsidRDefault="00000000" w:rsidP="00D9147D">
      <w:pPr>
        <w:pStyle w:val="Title"/>
        <w:jc w:val="center"/>
        <w:rPr>
          <w:b/>
          <w:sz w:val="40"/>
          <w:szCs w:val="40"/>
        </w:rPr>
      </w:pPr>
      <w:r>
        <w:rPr>
          <w:b/>
          <w:sz w:val="40"/>
          <w:szCs w:val="40"/>
        </w:rPr>
        <w:t>Essay</w:t>
      </w:r>
    </w:p>
    <w:p w14:paraId="0000000D" w14:textId="77777777" w:rsidR="00417567" w:rsidRDefault="00000000" w:rsidP="00D9147D">
      <w:r>
        <w:br w:type="page"/>
      </w:r>
    </w:p>
    <w:p w14:paraId="0000000E" w14:textId="77777777" w:rsidR="00417567" w:rsidRDefault="00000000" w:rsidP="00D9147D">
      <w:pPr>
        <w:jc w:val="center"/>
      </w:pPr>
      <w:r>
        <w:rPr>
          <w:b/>
          <w:sz w:val="28"/>
          <w:szCs w:val="28"/>
        </w:rPr>
        <w:lastRenderedPageBreak/>
        <w:t>Table of Contents</w:t>
      </w:r>
    </w:p>
    <w:sdt>
      <w:sdtPr>
        <w:id w:val="2125349041"/>
        <w:docPartObj>
          <w:docPartGallery w:val="Table of Contents"/>
          <w:docPartUnique/>
        </w:docPartObj>
      </w:sdtPr>
      <w:sdtContent>
        <w:p w14:paraId="0000000F" w14:textId="77777777" w:rsidR="00417567" w:rsidRDefault="00000000" w:rsidP="00D9147D">
          <w:pPr>
            <w:widowControl w:val="0"/>
            <w:tabs>
              <w:tab w:val="right" w:leader="dot" w:pos="12000"/>
            </w:tabs>
            <w:spacing w:before="60"/>
            <w:jc w:val="left"/>
            <w:rPr>
              <w:color w:val="000000"/>
              <w:sz w:val="22"/>
              <w:szCs w:val="22"/>
            </w:rPr>
          </w:pPr>
          <w:r>
            <w:fldChar w:fldCharType="begin"/>
          </w:r>
          <w:r>
            <w:instrText xml:space="preserve"> TOC \h \u \z \t "Heading 1,1,Heading 2,2,Heading 3,3,Heading 4,4,Heading 5,5,Heading 6,6,"</w:instrText>
          </w:r>
          <w:r>
            <w:fldChar w:fldCharType="separate"/>
          </w:r>
          <w:hyperlink w:anchor="_heading=h.1t3h5sf">
            <w:r>
              <w:rPr>
                <w:color w:val="000000"/>
              </w:rPr>
              <w:t>Introduction</w:t>
            </w:r>
            <w:r>
              <w:rPr>
                <w:color w:val="000000"/>
              </w:rPr>
              <w:tab/>
              <w:t>3</w:t>
            </w:r>
          </w:hyperlink>
        </w:p>
        <w:p w14:paraId="00000010" w14:textId="77777777" w:rsidR="00417567" w:rsidRDefault="00000000" w:rsidP="00D9147D">
          <w:pPr>
            <w:widowControl w:val="0"/>
            <w:tabs>
              <w:tab w:val="right" w:leader="dot" w:pos="12000"/>
            </w:tabs>
            <w:spacing w:before="60"/>
            <w:jc w:val="left"/>
            <w:rPr>
              <w:color w:val="000000"/>
              <w:sz w:val="22"/>
              <w:szCs w:val="22"/>
            </w:rPr>
          </w:pPr>
          <w:hyperlink w:anchor="_heading=h.6ni6rafho360">
            <w:r>
              <w:rPr>
                <w:color w:val="000000"/>
                <w:sz w:val="22"/>
                <w:szCs w:val="22"/>
              </w:rPr>
              <w:t>What is the project? What problems does the project aim to address? What are the objectives, the target stakeholders, and potential benefits?</w:t>
            </w:r>
            <w:r>
              <w:rPr>
                <w:color w:val="000000"/>
                <w:sz w:val="22"/>
                <w:szCs w:val="22"/>
              </w:rPr>
              <w:tab/>
              <w:t>3</w:t>
            </w:r>
          </w:hyperlink>
        </w:p>
        <w:p w14:paraId="00000011" w14:textId="77777777" w:rsidR="00417567" w:rsidRDefault="00000000" w:rsidP="00D9147D">
          <w:pPr>
            <w:widowControl w:val="0"/>
            <w:tabs>
              <w:tab w:val="right" w:leader="dot" w:pos="12000"/>
            </w:tabs>
            <w:spacing w:before="60"/>
            <w:jc w:val="left"/>
            <w:rPr>
              <w:color w:val="000000"/>
              <w:sz w:val="22"/>
              <w:szCs w:val="22"/>
            </w:rPr>
          </w:pPr>
          <w:hyperlink w:anchor="_heading=h.h5dx235c5pt3">
            <w:r>
              <w:rPr>
                <w:color w:val="000000"/>
                <w:sz w:val="22"/>
                <w:szCs w:val="22"/>
              </w:rPr>
              <w:t>Evaluation of How the local community conducted community engagement</w:t>
            </w:r>
            <w:r>
              <w:rPr>
                <w:color w:val="000000"/>
                <w:sz w:val="22"/>
                <w:szCs w:val="22"/>
              </w:rPr>
              <w:tab/>
              <w:t>4</w:t>
            </w:r>
          </w:hyperlink>
        </w:p>
        <w:p w14:paraId="00000012" w14:textId="77777777" w:rsidR="00417567" w:rsidRDefault="00000000" w:rsidP="00D9147D">
          <w:pPr>
            <w:widowControl w:val="0"/>
            <w:tabs>
              <w:tab w:val="right" w:leader="dot" w:pos="12000"/>
            </w:tabs>
            <w:spacing w:before="60"/>
            <w:jc w:val="left"/>
            <w:rPr>
              <w:color w:val="000000"/>
              <w:sz w:val="22"/>
              <w:szCs w:val="22"/>
            </w:rPr>
          </w:pPr>
          <w:hyperlink w:anchor="_heading=h.3rdcrjn">
            <w:r>
              <w:rPr>
                <w:color w:val="000000"/>
              </w:rPr>
              <w:t>Identify the areas they were most active in and why?</w:t>
            </w:r>
            <w:r>
              <w:rPr>
                <w:color w:val="000000"/>
              </w:rPr>
              <w:tab/>
              <w:t>4</w:t>
            </w:r>
          </w:hyperlink>
        </w:p>
        <w:p w14:paraId="00000013" w14:textId="77777777" w:rsidR="00417567" w:rsidRDefault="00000000" w:rsidP="00D9147D">
          <w:pPr>
            <w:widowControl w:val="0"/>
            <w:tabs>
              <w:tab w:val="right" w:leader="dot" w:pos="12000"/>
            </w:tabs>
            <w:spacing w:before="60"/>
            <w:jc w:val="left"/>
            <w:rPr>
              <w:color w:val="000000"/>
              <w:sz w:val="22"/>
              <w:szCs w:val="22"/>
            </w:rPr>
          </w:pPr>
          <w:hyperlink w:anchor="_heading=h.26in1rg">
            <w:r>
              <w:rPr>
                <w:color w:val="000000"/>
              </w:rPr>
              <w:t>Discuss what approaches were adopted.</w:t>
            </w:r>
            <w:r>
              <w:rPr>
                <w:color w:val="000000"/>
              </w:rPr>
              <w:tab/>
              <w:t>5</w:t>
            </w:r>
          </w:hyperlink>
        </w:p>
        <w:p w14:paraId="00000014" w14:textId="77777777" w:rsidR="00417567" w:rsidRDefault="00000000" w:rsidP="00D9147D">
          <w:pPr>
            <w:widowControl w:val="0"/>
            <w:tabs>
              <w:tab w:val="right" w:leader="dot" w:pos="12000"/>
            </w:tabs>
            <w:spacing w:before="60"/>
            <w:jc w:val="left"/>
            <w:rPr>
              <w:color w:val="000000"/>
              <w:sz w:val="22"/>
              <w:szCs w:val="22"/>
            </w:rPr>
          </w:pPr>
          <w:hyperlink w:anchor="_heading=h.lnxbz9">
            <w:r>
              <w:rPr>
                <w:color w:val="000000"/>
              </w:rPr>
              <w:t>Discuss the options to engage the community members through the planning process.</w:t>
            </w:r>
            <w:r>
              <w:rPr>
                <w:color w:val="000000"/>
              </w:rPr>
              <w:tab/>
              <w:t>6</w:t>
            </w:r>
          </w:hyperlink>
        </w:p>
        <w:p w14:paraId="00000015" w14:textId="77777777" w:rsidR="00417567" w:rsidRDefault="00000000" w:rsidP="00D9147D">
          <w:pPr>
            <w:widowControl w:val="0"/>
            <w:tabs>
              <w:tab w:val="right" w:leader="dot" w:pos="12000"/>
            </w:tabs>
            <w:spacing w:before="60"/>
            <w:jc w:val="left"/>
            <w:rPr>
              <w:color w:val="000000"/>
              <w:sz w:val="22"/>
              <w:szCs w:val="22"/>
            </w:rPr>
          </w:pPr>
          <w:hyperlink w:anchor="_heading=h.35nkun2">
            <w:r>
              <w:rPr>
                <w:color w:val="000000"/>
              </w:rPr>
              <w:t>What were the lessons learned from the project?</w:t>
            </w:r>
            <w:r>
              <w:rPr>
                <w:color w:val="000000"/>
              </w:rPr>
              <w:tab/>
              <w:t>7</w:t>
            </w:r>
          </w:hyperlink>
        </w:p>
        <w:p w14:paraId="00000016" w14:textId="77777777" w:rsidR="00417567" w:rsidRDefault="00000000" w:rsidP="00D9147D">
          <w:pPr>
            <w:widowControl w:val="0"/>
            <w:tabs>
              <w:tab w:val="right" w:leader="dot" w:pos="12000"/>
            </w:tabs>
            <w:spacing w:before="60"/>
            <w:jc w:val="left"/>
            <w:rPr>
              <w:color w:val="000000"/>
              <w:sz w:val="22"/>
              <w:szCs w:val="22"/>
            </w:rPr>
          </w:pPr>
          <w:hyperlink w:anchor="_heading=h.1ksv4uv">
            <w:r>
              <w:rPr>
                <w:color w:val="000000"/>
              </w:rPr>
              <w:t>Provide any post-project plan that was considered.</w:t>
            </w:r>
            <w:r>
              <w:rPr>
                <w:color w:val="000000"/>
              </w:rPr>
              <w:tab/>
              <w:t>8</w:t>
            </w:r>
          </w:hyperlink>
        </w:p>
        <w:p w14:paraId="00000017" w14:textId="77777777" w:rsidR="00417567" w:rsidRDefault="00000000" w:rsidP="00D9147D">
          <w:pPr>
            <w:widowControl w:val="0"/>
            <w:tabs>
              <w:tab w:val="right" w:leader="dot" w:pos="12000"/>
            </w:tabs>
            <w:spacing w:before="60"/>
            <w:jc w:val="left"/>
            <w:rPr>
              <w:color w:val="000000"/>
              <w:sz w:val="22"/>
              <w:szCs w:val="22"/>
            </w:rPr>
          </w:pPr>
          <w:hyperlink w:anchor="_heading=h.44sinio">
            <w:r>
              <w:rPr>
                <w:color w:val="000000"/>
              </w:rPr>
              <w:t>Conclusion</w:t>
            </w:r>
            <w:r>
              <w:rPr>
                <w:color w:val="000000"/>
              </w:rPr>
              <w:tab/>
              <w:t>8</w:t>
            </w:r>
          </w:hyperlink>
        </w:p>
        <w:p w14:paraId="00000018" w14:textId="77777777" w:rsidR="00417567" w:rsidRDefault="00000000" w:rsidP="00D9147D">
          <w:pPr>
            <w:widowControl w:val="0"/>
            <w:tabs>
              <w:tab w:val="right" w:leader="dot" w:pos="12000"/>
            </w:tabs>
            <w:spacing w:before="60"/>
            <w:jc w:val="left"/>
            <w:rPr>
              <w:color w:val="000000"/>
              <w:sz w:val="22"/>
              <w:szCs w:val="22"/>
            </w:rPr>
          </w:pPr>
          <w:hyperlink w:anchor="_heading=h.2jxsxqh">
            <w:r>
              <w:rPr>
                <w:color w:val="000000"/>
              </w:rPr>
              <w:t>Reference</w:t>
            </w:r>
            <w:r>
              <w:rPr>
                <w:color w:val="000000"/>
              </w:rPr>
              <w:tab/>
              <w:t>10</w:t>
            </w:r>
          </w:hyperlink>
          <w:r>
            <w:fldChar w:fldCharType="end"/>
          </w:r>
        </w:p>
      </w:sdtContent>
    </w:sdt>
    <w:p w14:paraId="00000019" w14:textId="77777777" w:rsidR="00417567" w:rsidRDefault="00000000" w:rsidP="00D9147D">
      <w:r>
        <w:br w:type="page"/>
      </w:r>
    </w:p>
    <w:p w14:paraId="0000001A" w14:textId="77777777" w:rsidR="00417567" w:rsidRDefault="00417567" w:rsidP="00D9147D"/>
    <w:p w14:paraId="0000001B" w14:textId="77777777" w:rsidR="00417567" w:rsidRDefault="00417567" w:rsidP="00D9147D"/>
    <w:p w14:paraId="0000001C" w14:textId="77777777" w:rsidR="00417567" w:rsidRDefault="00000000" w:rsidP="00D9147D">
      <w:pPr>
        <w:pStyle w:val="Heading1"/>
      </w:pPr>
      <w:bookmarkStart w:id="5" w:name="_heading=h.1t3h5sf" w:colFirst="0" w:colLast="0"/>
      <w:bookmarkEnd w:id="5"/>
      <w:r>
        <w:t>Introduction</w:t>
      </w:r>
    </w:p>
    <w:p w14:paraId="0000001D" w14:textId="77777777" w:rsidR="00417567" w:rsidRDefault="00000000" w:rsidP="00D9147D">
      <w:r>
        <w:t xml:space="preserve">Community engagement entails actively involving community members, </w:t>
      </w:r>
      <w:proofErr w:type="spellStart"/>
      <w:r>
        <w:t>organisations</w:t>
      </w:r>
      <w:proofErr w:type="spellEnd"/>
      <w:r>
        <w:t>, and stakeholders in project planning and decision-making. This participatory method empowers the community, fosters ownership, and creates sustainable answers to local concerns and goals. Community engagement makes initiatives more effective and inclusive by addressing community needs, values, and priorities (Pradhan and Ehnis, 2019).</w:t>
      </w:r>
    </w:p>
    <w:p w14:paraId="0000001E" w14:textId="77777777" w:rsidR="00417567" w:rsidRDefault="00000000" w:rsidP="00D9147D">
      <w:pPr>
        <w:pStyle w:val="Heading1"/>
      </w:pPr>
      <w:bookmarkStart w:id="6" w:name="_heading=h.6ni6rafho360" w:colFirst="0" w:colLast="0"/>
      <w:bookmarkEnd w:id="6"/>
      <w:r>
        <w:t>What is the project? What problems does the project aim to address? What are the objectives, the target stakeholders, and potential benefits?</w:t>
      </w:r>
    </w:p>
    <w:p w14:paraId="0000001F" w14:textId="77777777" w:rsidR="00417567" w:rsidRDefault="00000000" w:rsidP="00D9147D">
      <w:r>
        <w:t xml:space="preserve">The "Brixton Pound" project shows how community engagement may improve a </w:t>
      </w:r>
      <w:proofErr w:type="spellStart"/>
      <w:r>
        <w:t>neighbourhood</w:t>
      </w:r>
      <w:proofErr w:type="spellEnd"/>
      <w:r>
        <w:t xml:space="preserve">. The Brixton Pound, introduced in 2009 in Brixton, London, supported local companies and promoted economic development. The high street was </w:t>
      </w:r>
      <w:proofErr w:type="spellStart"/>
      <w:r>
        <w:t>revitalised</w:t>
      </w:r>
      <w:proofErr w:type="spellEnd"/>
      <w:r>
        <w:t>, local spending increased, and community pride and identity increased (Brixton Pound, 2023).</w:t>
      </w:r>
    </w:p>
    <w:p w14:paraId="00000020" w14:textId="77777777" w:rsidR="00417567" w:rsidRDefault="00000000" w:rsidP="00D9147D">
      <w:r>
        <w:t xml:space="preserve">This essay examines community engagement through the "Brixton Pound" project. It will describe the project, its social development issues, aims, stakeholders, and advantages. The essay will assess community engagement during project design and implementation, highlighting effective methods. The essay will also explore community engagement, project lessons, and the post-project plan to preserve community benefits. This extensive research will show how community engagement drives successful social development </w:t>
      </w:r>
      <w:proofErr w:type="spellStart"/>
      <w:r>
        <w:t>programmes</w:t>
      </w:r>
      <w:proofErr w:type="spellEnd"/>
      <w:r>
        <w:t xml:space="preserve"> and how it may be used in future community projects.</w:t>
      </w:r>
    </w:p>
    <w:p w14:paraId="00000021" w14:textId="77777777" w:rsidR="00417567" w:rsidRDefault="00000000" w:rsidP="00D9147D">
      <w:proofErr w:type="gramStart"/>
      <w:r>
        <w:rPr>
          <w:b/>
        </w:rPr>
        <w:t xml:space="preserve">Objective </w:t>
      </w:r>
      <w:r>
        <w:t>:</w:t>
      </w:r>
      <w:proofErr w:type="gramEnd"/>
      <w:r>
        <w:t xml:space="preserve"> The "Brixton Pound" initiative seeks to strengthen Brixton's local economy and sense of community by establishing a local currency, boosting patronage of small companies, and supporting sustainable growth.</w:t>
      </w:r>
    </w:p>
    <w:p w14:paraId="00000022" w14:textId="77777777" w:rsidR="00417567" w:rsidRDefault="00000000" w:rsidP="00D9147D">
      <w:r>
        <w:rPr>
          <w:b/>
        </w:rPr>
        <w:t xml:space="preserve">Stakeholders and </w:t>
      </w:r>
      <w:proofErr w:type="gramStart"/>
      <w:r>
        <w:rPr>
          <w:b/>
        </w:rPr>
        <w:t>benefits</w:t>
      </w:r>
      <w:r>
        <w:t xml:space="preserve"> :</w:t>
      </w:r>
      <w:proofErr w:type="gramEnd"/>
      <w:r>
        <w:t xml:space="preserve"> The "Brixton Pound" project's target stakeholders include nearby companies, residents, and community </w:t>
      </w:r>
      <w:proofErr w:type="spellStart"/>
      <w:r>
        <w:t>organisations</w:t>
      </w:r>
      <w:proofErr w:type="spellEnd"/>
      <w:r>
        <w:t xml:space="preserve">. An increase in consumer traffic and support for the regional economy are advantages for companies. Residents receive access to a kind of money that encourages social interaction and builds a feeling of pride and identity. Partnerships that are strengthened and sustainable development projects that are undertaken assist community </w:t>
      </w:r>
      <w:proofErr w:type="spellStart"/>
      <w:r>
        <w:t>organisations</w:t>
      </w:r>
      <w:proofErr w:type="spellEnd"/>
      <w:r>
        <w:t>, eventually increasing Brixton's economic and social resilience (Brixton Pound, 2023).</w:t>
      </w:r>
    </w:p>
    <w:p w14:paraId="00000023" w14:textId="77777777" w:rsidR="00417567" w:rsidRDefault="00417567" w:rsidP="00D9147D"/>
    <w:p w14:paraId="00000024" w14:textId="77777777" w:rsidR="00417567" w:rsidRDefault="00417567" w:rsidP="00D9147D"/>
    <w:p w14:paraId="00000025" w14:textId="77777777" w:rsidR="00417567" w:rsidRDefault="00417567" w:rsidP="00D9147D"/>
    <w:p w14:paraId="00000026" w14:textId="77777777" w:rsidR="00417567" w:rsidRDefault="00000000" w:rsidP="00D9147D">
      <w:pPr>
        <w:pStyle w:val="Heading1"/>
      </w:pPr>
      <w:bookmarkStart w:id="7" w:name="_heading=h.h5dx235c5pt3" w:colFirst="0" w:colLast="0"/>
      <w:bookmarkEnd w:id="7"/>
      <w:r>
        <w:t>Evaluation of How the local community conducted community engagement</w:t>
      </w:r>
    </w:p>
    <w:p w14:paraId="00000027" w14:textId="77777777" w:rsidR="00417567" w:rsidRDefault="00000000" w:rsidP="00D9147D">
      <w:r>
        <w:t xml:space="preserve">The 2009 "Brixton Pound" project in Brixton, London, supports local companies and promotes economic development. The Brixton Pound, a local currency, can be </w:t>
      </w:r>
      <w:proofErr w:type="spellStart"/>
      <w:r>
        <w:t>utilised</w:t>
      </w:r>
      <w:proofErr w:type="spellEnd"/>
      <w:r>
        <w:t xml:space="preserve"> at participating establishments. It boosts Brixton's high street footfall and helps local businesses.</w:t>
      </w:r>
    </w:p>
    <w:p w14:paraId="00000028" w14:textId="77777777" w:rsidR="00417567" w:rsidRDefault="00000000" w:rsidP="00D9147D">
      <w:r>
        <w:t xml:space="preserve">Community activists worried about Brixton's high street's demise started the project. They </w:t>
      </w:r>
      <w:proofErr w:type="spellStart"/>
      <w:r>
        <w:t>realised</w:t>
      </w:r>
      <w:proofErr w:type="spellEnd"/>
      <w:r>
        <w:t xml:space="preserve"> a permanent solution was needed to revive the local economy and strengthen the community. Thus, a local currency was proposed to boost local shopping and the economy.</w:t>
      </w:r>
    </w:p>
    <w:p w14:paraId="00000029" w14:textId="77777777" w:rsidR="00417567" w:rsidRDefault="00000000" w:rsidP="00D9147D">
      <w:r>
        <w:t xml:space="preserve">The Brixton Pound is governed by a board of directors and is a non-profit </w:t>
      </w:r>
      <w:proofErr w:type="spellStart"/>
      <w:r>
        <w:t>organisation</w:t>
      </w:r>
      <w:proofErr w:type="spellEnd"/>
      <w:r>
        <w:t>. Pounds sterling back the currency, which exchanges 1:1 with the national currency. This guarantees stability and community acceptance (Brixton Pound, 2023). Over 1,000 Brixton establishments accept the Brixton Pound, making it more convenient for residents.</w:t>
      </w:r>
    </w:p>
    <w:p w14:paraId="0000002A" w14:textId="77777777" w:rsidR="00417567" w:rsidRDefault="00000000" w:rsidP="00D9147D">
      <w:r>
        <w:t xml:space="preserve">Brixton's economic development, business empowerment, and community sustainability are the project's main goals. The project encourages Brixton locals to use the Brixton Pound for transactions to keep more money in the </w:t>
      </w:r>
      <w:proofErr w:type="spellStart"/>
      <w:r>
        <w:t>neighbourhood</w:t>
      </w:r>
      <w:proofErr w:type="spellEnd"/>
      <w:r>
        <w:t>. Local businesses benefit, establishing a dynamic commercial ecosystem.</w:t>
      </w:r>
    </w:p>
    <w:p w14:paraId="0000002B" w14:textId="77777777" w:rsidR="00417567" w:rsidRDefault="00000000" w:rsidP="00D9147D">
      <w:pPr>
        <w:pStyle w:val="Heading1"/>
      </w:pPr>
      <w:bookmarkStart w:id="8" w:name="_heading=h.3rdcrjn" w:colFirst="0" w:colLast="0"/>
      <w:bookmarkEnd w:id="8"/>
      <w:r>
        <w:t>Identify the areas they were most active in and why?</w:t>
      </w:r>
    </w:p>
    <w:p w14:paraId="0000002C" w14:textId="77777777" w:rsidR="00417567" w:rsidRDefault="00000000" w:rsidP="00D9147D">
      <w:r>
        <w:t xml:space="preserve">"Brixton Pound" targets residents, businesses, and community groups. Engaging these stakeholders strengthens the community. "Brixton Pound" has promise. It increased Brixton's high street footfall, benefiting local businesses. In its first year, the project created £1 million in Brixton economic activity, according to Westminster University. The project has promoted </w:t>
      </w:r>
      <w:proofErr w:type="spellStart"/>
      <w:r>
        <w:t>neighbourhood</w:t>
      </w:r>
      <w:proofErr w:type="spellEnd"/>
      <w:r>
        <w:t xml:space="preserve"> pride and investment. Brixton Pound spending benefits local lives. Social development model "Brixton Pound" Brixton has grown economically, locally, and dynamically thanks to the project. The Brixton Pound has supported inclusive and sustainable UK growth.</w:t>
      </w:r>
    </w:p>
    <w:p w14:paraId="0000002D" w14:textId="77777777" w:rsidR="00417567" w:rsidRDefault="00000000" w:rsidP="00D9147D">
      <w:r>
        <w:t xml:space="preserve">Residents, businesses, and community </w:t>
      </w:r>
      <w:proofErr w:type="spellStart"/>
      <w:r>
        <w:t>organisations</w:t>
      </w:r>
      <w:proofErr w:type="spellEnd"/>
      <w:r>
        <w:t xml:space="preserve"> participated in "Brixton Pound" community involvement. Community involvement and support ensured project success and sustainability. The project team distributed questionnaires to discover people's and companies' preferences, needs, and issues. The community's views on local money, expenditure, and </w:t>
      </w:r>
      <w:r>
        <w:lastRenderedPageBreak/>
        <w:t>economic effects were polled. Focus group talks with community and corporate leaders encouraged deeper discussions (Pradhan, and Ehnis, 2019). Open discussions and qualitative data helped the project team understand community concerns. Townhall Meetings: The Brixton Pound was introduced at town hall meetings and community forums. Public meetings allowed community participation and project transparency. The project team promoted Brixton Pound conversations on social media and community websites. Feedback and project updates were possible.</w:t>
      </w:r>
    </w:p>
    <w:p w14:paraId="0000002E" w14:textId="77777777" w:rsidR="00417567" w:rsidRDefault="00000000" w:rsidP="00D9147D">
      <w:pPr>
        <w:pStyle w:val="Heading1"/>
      </w:pPr>
      <w:bookmarkStart w:id="9" w:name="_heading=h.26in1rg" w:colFirst="0" w:colLast="0"/>
      <w:bookmarkEnd w:id="9"/>
      <w:r>
        <w:t>Discuss what approaches were adopted.</w:t>
      </w:r>
    </w:p>
    <w:p w14:paraId="0000002F" w14:textId="77777777" w:rsidR="00417567" w:rsidRDefault="00000000" w:rsidP="00D9147D">
      <w:r>
        <w:t>Community participation in the "Brixton Pound" initiative was highly successful. The project team used surveys and questionnaires to quantify client preferences and business preparedness. Focus group discussions illuminated locals' concerns, hopes, and thoughts. Qualitative data helped create the project's plans and tailor them to local stakeholders' needs (Yannis et al., 2020). Community forums and town hall meetings sparked interest in the initiative. They enhanced engagement and dedication by encouraging Brixton Pound pride. Internet use enabled constant community interaction. It fostered a sense of belonging and participation by facilitating real-time updates and responses to community questions.</w:t>
      </w:r>
    </w:p>
    <w:p w14:paraId="00000030" w14:textId="77777777" w:rsidR="00417567" w:rsidRDefault="00000000" w:rsidP="00D9147D">
      <w:r>
        <w:t>Participation and support from local companies were vital to the growth of the Brixton Pound, one of the most visible examples of active community engagement. The project's potential benefits, including increased foot traffic and consumer loyalty, were readily apparent to business owners, who were eager to become involved (</w:t>
      </w:r>
      <w:proofErr w:type="spellStart"/>
      <w:r>
        <w:t>Saarikko</w:t>
      </w:r>
      <w:proofErr w:type="spellEnd"/>
      <w:r>
        <w:t xml:space="preserve"> </w:t>
      </w:r>
      <w:r>
        <w:rPr>
          <w:i/>
        </w:rPr>
        <w:t>et al</w:t>
      </w:r>
      <w:r>
        <w:t>., 2020). Promoting and advocating for the Brixton Pound throughout the local community. They helped spread the word about the local currency throughout their social circles, which ultimately led to its success. The community had a hand in shaping the Brixton Pound's layout and amenities through shared decision-making. This group effort made sure the currency's features reflected the community's norms and tastes.</w:t>
      </w:r>
    </w:p>
    <w:p w14:paraId="00000031" w14:textId="77777777" w:rsidR="00417567" w:rsidRDefault="00000000" w:rsidP="00D9147D">
      <w:r>
        <w:t xml:space="preserve">Several important elements have contributed to the local community's enthusiastic support of the "Brixton Pound" project. Residents and businesses felt a greater feeling of pride and ownership in the project since they were involved in its creation from the start. The Brixton Pound was significant to them because it represented their commitment to bolstering the local economy (McGee, 2022). Brixton is home to an active and tightly connected community that is eager to see its local economy succeed. The Brixton Pound was conceived by and for the people of Brixton as a means to sustainably increase economic activity and employment in the </w:t>
      </w:r>
      <w:r>
        <w:lastRenderedPageBreak/>
        <w:t xml:space="preserve">area. Community Empowerment: Through the project's involvement process, community people were able to have a say in the direction the project took, make decisions, and affect the final product. By having everyone chip in, confidence in and excitement about the project were bolstered. Community members understood that using the Brixton Pound to </w:t>
      </w:r>
      <w:proofErr w:type="spellStart"/>
      <w:r>
        <w:t>patronise</w:t>
      </w:r>
      <w:proofErr w:type="spellEnd"/>
      <w:r>
        <w:t xml:space="preserve"> locally owned companies would strengthen the local economy and have positive social consequences. The project's focus on community growth and social effect also aligned with the beliefs of locals, inspiring them to get involved.</w:t>
      </w:r>
    </w:p>
    <w:p w14:paraId="00000032" w14:textId="77777777" w:rsidR="00417567" w:rsidRDefault="00000000" w:rsidP="00D9147D">
      <w:pPr>
        <w:pStyle w:val="Heading1"/>
      </w:pPr>
      <w:bookmarkStart w:id="10" w:name="_heading=h.lnxbz9" w:colFirst="0" w:colLast="0"/>
      <w:bookmarkEnd w:id="10"/>
      <w:r>
        <w:t>Discuss the options to engage the community members through the planning process.</w:t>
      </w:r>
    </w:p>
    <w:p w14:paraId="00000033" w14:textId="77777777" w:rsidR="00417567" w:rsidRDefault="00000000" w:rsidP="00D9147D">
      <w:r>
        <w:t xml:space="preserve">"Brixton Pound" involved the community in numerous ways to encourage pride and ownership. These techniques boosted community participation and project success. This project consulted community residents, business owners, nonprofits, and government officials (Carnegie Mellon University, 2021). The project was more inclusive and adaptive using this strategy. The Brixton Pound was created by community decision-making (BA, 2021). Community forums, town hall meetings, and focus group talks let citizens and companies define the project. The project team informed the community about the Brixton Pound's benefits to obtain support. They supported workshops, seminars, and public campaigns to promote the local currency's economic growth and stability. Local businesses helped the project succeed (NI Business, 2022). Talking to company owners, learning their needs, and addressing their concerns helped them adopt the Brixton Pound. Online tools: </w:t>
      </w:r>
      <w:proofErr w:type="gramStart"/>
      <w:r>
        <w:t>Social media</w:t>
      </w:r>
      <w:proofErr w:type="gramEnd"/>
      <w:r>
        <w:t xml:space="preserve"> and community websites enabled community interaction. It made project updates and real-time input easy. Project accomplishment required community support. The Brixton Pound's champions spread the word and encouraged others to use it. The Brixton Pound celebrated the </w:t>
      </w:r>
      <w:proofErr w:type="spellStart"/>
      <w:r>
        <w:t>neighbourhood's</w:t>
      </w:r>
      <w:proofErr w:type="spellEnd"/>
      <w:r>
        <w:t xml:space="preserve"> heritage and uniqueness. This technique fostered civic pride and cause dedication. "Brixton Pound" used these methods to win over residents. Community members felt respected and heard during project development through inclusive involvement and participatory decision-making (Zilli et al., 2020). Outreach and education helped community members understand and trust the approach. Collaboration ensured local companies participated in the campaign. Online platforms allow real-time feedback and involvement. Local activists promoted adoption to showcase their heritage. These methods made the "Brixton Pound" project a model for community participation in social transformation.</w:t>
      </w:r>
    </w:p>
    <w:p w14:paraId="00000034" w14:textId="77777777" w:rsidR="00417567" w:rsidRDefault="00000000" w:rsidP="00D9147D">
      <w:r>
        <w:lastRenderedPageBreak/>
        <w:t xml:space="preserve">In order to involve the locals in the "Brixton Pound" planning process, the project team hosted community workshops and focus groups. Interactive meetings allowed detailed discussions, idea-sharing, and direct problem-solving. This strategy gave participants ownership and wonderful insights from diverse views (Charmaz, 2021). Scheduling, community representation, and large data synthesis were challenges. Quantitative data was collected using surveys and questionnaires. This strategy established project-related attitudes, preferences, and </w:t>
      </w:r>
      <w:proofErr w:type="spellStart"/>
      <w:r>
        <w:t>behaviours</w:t>
      </w:r>
      <w:proofErr w:type="spellEnd"/>
      <w:r>
        <w:t xml:space="preserve"> statistically. Easy data collection and processing were offset by poor response rates and limited research. Online platforms and social media let community members engage at their convenience and reach more people. Internet technologies offered real-time feedback, project updates, and chats, increasing engagement. Maintaining respectful and inclusive internet debates was difficult. Town Hall Meetings and Community Forums: Project </w:t>
      </w:r>
      <w:proofErr w:type="spellStart"/>
      <w:r>
        <w:t>organisers</w:t>
      </w:r>
      <w:proofErr w:type="spellEnd"/>
      <w:r>
        <w:t xml:space="preserve"> and the community communicated openly. These public events allowed community people to speak out, ask concerns, and get answers. Community interaction was a plus, but balancing perspectives and resolving disputes were challenges.</w:t>
      </w:r>
    </w:p>
    <w:p w14:paraId="00000035" w14:textId="77777777" w:rsidR="00417567" w:rsidRDefault="00000000" w:rsidP="00D9147D">
      <w:pPr>
        <w:pStyle w:val="Heading1"/>
      </w:pPr>
      <w:bookmarkStart w:id="11" w:name="_heading=h.35nkun2" w:colFirst="0" w:colLast="0"/>
      <w:bookmarkEnd w:id="11"/>
      <w:r>
        <w:t>What were the lessons learned from the project?</w:t>
      </w:r>
    </w:p>
    <w:p w14:paraId="00000036" w14:textId="77777777" w:rsidR="00417567" w:rsidRDefault="00000000" w:rsidP="00D9147D">
      <w:r>
        <w:t xml:space="preserve">The "Brixton Pound" research demonstrated that intensive communication with stakeholders and community leaders increases support and ownership of a project. Diverse viewpoints and community involvement </w:t>
      </w:r>
      <w:proofErr w:type="spellStart"/>
      <w:r>
        <w:t>legitimised</w:t>
      </w:r>
      <w:proofErr w:type="spellEnd"/>
      <w:r>
        <w:t xml:space="preserve"> and boosted project participation (Bonet, </w:t>
      </w:r>
      <w:r>
        <w:rPr>
          <w:i/>
        </w:rPr>
        <w:t>et al.,</w:t>
      </w:r>
      <w:r>
        <w:t xml:space="preserve"> </w:t>
      </w:r>
      <w:proofErr w:type="gramStart"/>
      <w:r>
        <w:t>2023..</w:t>
      </w:r>
      <w:proofErr w:type="gramEnd"/>
      <w:r>
        <w:t>). Education helped the Brixton Pound succeed. Community people must understand project goals and effects. Building a narrative around the currency's benefits to local businesses and the economy promoted consumers' and businesses' buy-in. Early collaboration with local companies was necessary. Excellent collaborations and commercial issues smoothed implementation, enhancing Brixton Pound acceptance. Community Advocacy: Giving community members a say in project decisions provided them with pride. Community ambassadors promoted Brixton Pound. Celebrate Local Identity and Culture: The Brixton Pound connected the community by celebrating Brixton's identity and culture. Promoting local businesses and culture-inspired pride and loyalty. Social media and community websites allowed constant community connection. Digital technologies provided real-time updates, answered inquiries, and facilitated conversations.</w:t>
      </w:r>
    </w:p>
    <w:p w14:paraId="00000037" w14:textId="77777777" w:rsidR="00417567" w:rsidRDefault="00000000" w:rsidP="00D9147D">
      <w:r>
        <w:t xml:space="preserve">The "Brixton Pound" project modelled community engagement, stakeholder participation, and agency collaboration. The project included community people in decision-making through inclusion, openness, and open communication (Mc </w:t>
      </w:r>
      <w:proofErr w:type="spellStart"/>
      <w:r>
        <w:t>Menamin</w:t>
      </w:r>
      <w:proofErr w:type="spellEnd"/>
      <w:r>
        <w:t xml:space="preserve">, 2022). Workshops, focus groups, </w:t>
      </w:r>
      <w:r>
        <w:lastRenderedPageBreak/>
        <w:t xml:space="preserve">and town hall meetings provided important community feedback. The project relied on local businesses, community </w:t>
      </w:r>
      <w:proofErr w:type="spellStart"/>
      <w:r>
        <w:t>organisations</w:t>
      </w:r>
      <w:proofErr w:type="spellEnd"/>
      <w:r>
        <w:t>, and people. Local government authorities and financial entities helped the project's reach and impact. The initiative benefited from shared aims and resources.</w:t>
      </w:r>
    </w:p>
    <w:p w14:paraId="00000038" w14:textId="77777777" w:rsidR="00417567" w:rsidRDefault="00000000" w:rsidP="00D9147D">
      <w:r>
        <w:t xml:space="preserve">The project's social media outreach and support increased community involvement. The </w:t>
      </w:r>
      <w:proofErr w:type="spellStart"/>
      <w:r>
        <w:t>programme</w:t>
      </w:r>
      <w:proofErr w:type="spellEnd"/>
      <w:r>
        <w:t xml:space="preserve"> stressed financial literacy, local spending, and the long-term benefits of supporting local companies (HR, 2023). Inclusion, stakeholder participation, teamwork, and forward-thinking education made the "Brixton Pound" project a successful UK community-driven development model.</w:t>
      </w:r>
    </w:p>
    <w:p w14:paraId="00000039" w14:textId="77777777" w:rsidR="00417567" w:rsidRDefault="00000000" w:rsidP="00D9147D">
      <w:r>
        <w:t>Social media helped promote the "Brixton Pound" project. Facebook, Twitter, and Instagram enabled community engagement. The Brixton Pound project team used social media to spread information, update progress, and promote its benefits to local companies and the community. Following official accounts, participating in online conversations, and sharing experiences fostered community involvement.</w:t>
      </w:r>
    </w:p>
    <w:p w14:paraId="0000003A" w14:textId="77777777" w:rsidR="00417567" w:rsidRDefault="00000000" w:rsidP="00D9147D">
      <w:r>
        <w:t xml:space="preserve">Projects like the Brixton Pound require forward-thinking community education on internal and external issues affecting community development. This strategy informs the community about the project's immediate benefits and broader socio-economic, environmental, and cultural elements that can affect its long-term well-being (McAfee </w:t>
      </w:r>
      <w:r>
        <w:rPr>
          <w:i/>
        </w:rPr>
        <w:t>et al.</w:t>
      </w:r>
      <w:r>
        <w:t xml:space="preserve">, 2022). Community members must </w:t>
      </w:r>
      <w:proofErr w:type="spellStart"/>
      <w:r>
        <w:t>realise</w:t>
      </w:r>
      <w:proofErr w:type="spellEnd"/>
      <w:r>
        <w:t xml:space="preserve"> how their actions and choices affect projects like the Brixton Pound. Financial knowledge, local spending, and supporting local companies empower community members to make informed decisions that benefit their town's future. Forward-thinking promotes community ownership and resilience.</w:t>
      </w:r>
    </w:p>
    <w:p w14:paraId="0000003B" w14:textId="77777777" w:rsidR="00417567" w:rsidRDefault="00000000" w:rsidP="00D9147D">
      <w:pPr>
        <w:pStyle w:val="Heading1"/>
      </w:pPr>
      <w:bookmarkStart w:id="12" w:name="_heading=h.1ksv4uv" w:colFirst="0" w:colLast="0"/>
      <w:bookmarkEnd w:id="12"/>
      <w:r>
        <w:t>Provide any post-project plan that was considered.</w:t>
      </w:r>
    </w:p>
    <w:p w14:paraId="0000003C" w14:textId="77777777" w:rsidR="00417567" w:rsidRDefault="00000000" w:rsidP="00D9147D">
      <w:r>
        <w:t xml:space="preserve">A sustainable management and governance framework is needed beyond the "Brixton Pound" initiative to maintain its excellent results. This guarantees that the Brixton Pound remains a local currency and benefits the community. Monitoring and Evaluation: A strong monitoring and evaluation structure is essential for measuring the project's long-term impact (NI Business, 2021). Adjustments and improvements will be based on regular currency usage, company impact, and economic growth. Community Engagement: Brixton Pound success depends on community engagement. To keep community people, companies, and other stakeholders on board and ensure the project meets their needs, conversation is crucial. Expanding Local Partnerships: The post-project plan should build on the project's successful partnerships with </w:t>
      </w:r>
      <w:r>
        <w:lastRenderedPageBreak/>
        <w:t xml:space="preserve">local businesses. More businesses accepting the Brixton Pound can enhance local consumption and economy. Financial Literacy and Education </w:t>
      </w:r>
      <w:proofErr w:type="spellStart"/>
      <w:r>
        <w:t>Programmes</w:t>
      </w:r>
      <w:proofErr w:type="spellEnd"/>
      <w:r>
        <w:t xml:space="preserve">: These </w:t>
      </w:r>
      <w:proofErr w:type="spellStart"/>
      <w:r>
        <w:t>programmes</w:t>
      </w:r>
      <w:proofErr w:type="spellEnd"/>
      <w:r>
        <w:t xml:space="preserve"> will help Brixton Pound users make educated decisions. These </w:t>
      </w:r>
      <w:proofErr w:type="spellStart"/>
      <w:r>
        <w:t>programmes</w:t>
      </w:r>
      <w:proofErr w:type="spellEnd"/>
      <w:r>
        <w:t xml:space="preserve"> can help community members manage their money and currency. Integration with Local Initiatives: The Brixton Pound should be connected with existing local development initiatives and </w:t>
      </w:r>
      <w:proofErr w:type="spellStart"/>
      <w:r>
        <w:t>programmes</w:t>
      </w:r>
      <w:proofErr w:type="spellEnd"/>
      <w:r>
        <w:t xml:space="preserve"> to create synergies and </w:t>
      </w:r>
      <w:proofErr w:type="spellStart"/>
      <w:r>
        <w:t>maximise</w:t>
      </w:r>
      <w:proofErr w:type="spellEnd"/>
      <w:r>
        <w:t xml:space="preserve"> community benefit (M&amp;P, 2020). Collaboration with community </w:t>
      </w:r>
      <w:proofErr w:type="spellStart"/>
      <w:r>
        <w:t>organisations</w:t>
      </w:r>
      <w:proofErr w:type="spellEnd"/>
      <w:r>
        <w:t xml:space="preserve"> and local government can improve community cohesiveness and benefits.</w:t>
      </w:r>
    </w:p>
    <w:p w14:paraId="0000003D" w14:textId="77777777" w:rsidR="00417567" w:rsidRDefault="00000000" w:rsidP="00D9147D">
      <w:pPr>
        <w:pStyle w:val="Heading1"/>
      </w:pPr>
      <w:bookmarkStart w:id="13" w:name="_heading=h.44sinio" w:colFirst="0" w:colLast="0"/>
      <w:bookmarkEnd w:id="13"/>
      <w:r>
        <w:t>Conclusion</w:t>
      </w:r>
    </w:p>
    <w:p w14:paraId="0000003E" w14:textId="77777777" w:rsidR="00417567" w:rsidRDefault="00000000" w:rsidP="00D9147D">
      <w:r>
        <w:t xml:space="preserve">Community engagement in social improvement is demonstrated by the "Brixton Pound" project. Inclusive consultation, participatory decision-making, education, and collaboration involved the local community in project design and implementation. Community residents, companies, and </w:t>
      </w:r>
      <w:proofErr w:type="spellStart"/>
      <w:r>
        <w:t>organisations</w:t>
      </w:r>
      <w:proofErr w:type="spellEnd"/>
      <w:r>
        <w:t xml:space="preserve"> actively supported and advocated for the Brixton Pound.</w:t>
      </w:r>
    </w:p>
    <w:p w14:paraId="0000003F" w14:textId="77777777" w:rsidR="00417567" w:rsidRDefault="00000000" w:rsidP="00D9147D">
      <w:r>
        <w:t>Community engagement drives successful social development projects, according to this analysis. Projects reflect local needs and beliefs when community members participate in decision-making. Community participation empowers individuals, fosters inclusivity, and strengthens community identity, resulting in more lasting and impactful outcomes.</w:t>
      </w:r>
    </w:p>
    <w:p w14:paraId="00000040" w14:textId="77777777" w:rsidR="00417567" w:rsidRDefault="00000000" w:rsidP="00D9147D">
      <w:r>
        <w:t>The "Brixton Pound" initiative improved the community. The project has strengthened Brixton's community by supporting local companies, encouraging economic growth, and highlighting its unique personality. This project taught us about inclusivity, teamwork, and education, which can inform future community development projects.</w:t>
      </w:r>
    </w:p>
    <w:p w14:paraId="00000041" w14:textId="77777777" w:rsidR="00417567" w:rsidRDefault="00000000" w:rsidP="00D9147D">
      <w:r>
        <w:t>The "Brixton Pound" project shows how community engagement may change lives. Community-driven projects are crucial to thriving local communities and sustainable social development. Projects can create permanent, meaningful change by actively incorporating community members. The Brixton Pound inspired future community development projects by showing that empowering communities via engagement is the key to vibrant and resilient societies.</w:t>
      </w:r>
    </w:p>
    <w:p w14:paraId="00000042" w14:textId="77777777" w:rsidR="00417567" w:rsidRDefault="00417567" w:rsidP="00D9147D"/>
    <w:p w14:paraId="00000043" w14:textId="77777777" w:rsidR="00417567" w:rsidRDefault="00417567" w:rsidP="00D9147D"/>
    <w:p w14:paraId="00000044" w14:textId="77777777" w:rsidR="00417567" w:rsidRDefault="00000000" w:rsidP="00D9147D">
      <w:pPr>
        <w:rPr>
          <w:shd w:val="clear" w:color="auto" w:fill="F4CCCC"/>
        </w:rPr>
      </w:pPr>
      <w:r>
        <w:br w:type="page"/>
      </w:r>
    </w:p>
    <w:p w14:paraId="00000045" w14:textId="77777777" w:rsidR="00417567" w:rsidRDefault="00000000" w:rsidP="00D9147D">
      <w:pPr>
        <w:pStyle w:val="Heading1"/>
      </w:pPr>
      <w:bookmarkStart w:id="14" w:name="_heading=h.2jxsxqh" w:colFirst="0" w:colLast="0"/>
      <w:bookmarkEnd w:id="14"/>
      <w:r>
        <w:lastRenderedPageBreak/>
        <w:t xml:space="preserve">Reference </w:t>
      </w:r>
    </w:p>
    <w:p w14:paraId="00000046" w14:textId="77777777" w:rsidR="00417567" w:rsidRDefault="00000000" w:rsidP="00D9147D">
      <w:pPr>
        <w:spacing w:before="240" w:after="240"/>
        <w:rPr>
          <w:color w:val="222222"/>
        </w:rPr>
      </w:pPr>
      <w:r>
        <w:rPr>
          <w:color w:val="222222"/>
        </w:rPr>
        <w:t>BA, 2021, “</w:t>
      </w:r>
      <w:r>
        <w:rPr>
          <w:i/>
          <w:color w:val="222222"/>
        </w:rPr>
        <w:t xml:space="preserve">Brixton Pound </w:t>
      </w:r>
      <w:proofErr w:type="gramStart"/>
      <w:r>
        <w:rPr>
          <w:i/>
          <w:color w:val="222222"/>
        </w:rPr>
        <w:t>The</w:t>
      </w:r>
      <w:proofErr w:type="gramEnd"/>
      <w:r>
        <w:rPr>
          <w:i/>
          <w:color w:val="222222"/>
        </w:rPr>
        <w:t xml:space="preserve"> local currency with its own cash machine</w:t>
      </w:r>
      <w:r>
        <w:rPr>
          <w:color w:val="222222"/>
        </w:rPr>
        <w:t>”, Available at: https://businessadvice.co.uk/business-development/sales-marketing/brixton-pound-the-local-currency-with-its-own-cash-machine/ [Accessed on 17th July 2023]</w:t>
      </w:r>
    </w:p>
    <w:p w14:paraId="00000047" w14:textId="77777777" w:rsidR="00417567" w:rsidRDefault="00000000" w:rsidP="00D9147D">
      <w:pPr>
        <w:spacing w:before="240" w:after="240"/>
        <w:rPr>
          <w:color w:val="222222"/>
        </w:rPr>
      </w:pPr>
      <w:r>
        <w:rPr>
          <w:color w:val="222222"/>
        </w:rPr>
        <w:t>Brixton Pound, 2023, “</w:t>
      </w:r>
      <w:r>
        <w:rPr>
          <w:i/>
          <w:color w:val="222222"/>
        </w:rPr>
        <w:t>Welcome to the future of money. Again.</w:t>
      </w:r>
      <w:r>
        <w:rPr>
          <w:color w:val="222222"/>
        </w:rPr>
        <w:t xml:space="preserve">”, Available at: </w:t>
      </w:r>
      <w:hyperlink r:id="rId8">
        <w:r>
          <w:rPr>
            <w:color w:val="1155CC"/>
            <w:u w:val="single"/>
          </w:rPr>
          <w:t>https://brixtonpound.org/</w:t>
        </w:r>
      </w:hyperlink>
      <w:r>
        <w:rPr>
          <w:color w:val="222222"/>
        </w:rPr>
        <w:t xml:space="preserve"> [Accessed on 18th July 2023]</w:t>
      </w:r>
    </w:p>
    <w:p w14:paraId="00000048" w14:textId="77777777" w:rsidR="00417567" w:rsidRDefault="00000000" w:rsidP="00D9147D">
      <w:pPr>
        <w:spacing w:before="240" w:after="240"/>
      </w:pPr>
      <w:r>
        <w:rPr>
          <w:color w:val="222222"/>
        </w:rPr>
        <w:t xml:space="preserve">Bonet, L., Calvano, G. and Fernández </w:t>
      </w:r>
      <w:proofErr w:type="spellStart"/>
      <w:r>
        <w:rPr>
          <w:color w:val="222222"/>
        </w:rPr>
        <w:t>Compañ</w:t>
      </w:r>
      <w:proofErr w:type="spellEnd"/>
      <w:r>
        <w:rPr>
          <w:color w:val="222222"/>
        </w:rPr>
        <w:t xml:space="preserve">, P., 2023. Exogenous and endogenous factors affecting the social impact of cultural projects: the case of Barcelona ecosystem. </w:t>
      </w:r>
      <w:r>
        <w:rPr>
          <w:i/>
        </w:rPr>
        <w:t>City, Territory and Architecture</w:t>
      </w:r>
      <w:r>
        <w:t xml:space="preserve">, </w:t>
      </w:r>
      <w:r>
        <w:rPr>
          <w:i/>
        </w:rPr>
        <w:t>10</w:t>
      </w:r>
      <w:r>
        <w:t>(1), pp.1-17.</w:t>
      </w:r>
    </w:p>
    <w:p w14:paraId="00000049" w14:textId="77777777" w:rsidR="00417567" w:rsidRDefault="00000000" w:rsidP="00D9147D">
      <w:pPr>
        <w:spacing w:before="240" w:after="240"/>
        <w:rPr>
          <w:color w:val="222222"/>
        </w:rPr>
      </w:pPr>
      <w:r>
        <w:rPr>
          <w:color w:val="222222"/>
        </w:rPr>
        <w:t>Carnegie Mellon University, 2021, “</w:t>
      </w:r>
      <w:r>
        <w:rPr>
          <w:i/>
          <w:color w:val="222222"/>
        </w:rPr>
        <w:t>2. Organizing for Project Management</w:t>
      </w:r>
      <w:r>
        <w:rPr>
          <w:color w:val="222222"/>
        </w:rPr>
        <w:t xml:space="preserve">”, Available at: </w:t>
      </w:r>
      <w:hyperlink r:id="rId9">
        <w:r>
          <w:rPr>
            <w:color w:val="1155CC"/>
            <w:u w:val="single"/>
          </w:rPr>
          <w:t>https://www.cmu.edu/cee/projects/PMbook/02_Organizing_For_Project_Management.html</w:t>
        </w:r>
      </w:hyperlink>
      <w:r>
        <w:rPr>
          <w:color w:val="222222"/>
        </w:rPr>
        <w:t xml:space="preserve"> [Accessed on 18th July 2023]</w:t>
      </w:r>
    </w:p>
    <w:p w14:paraId="0000004A" w14:textId="77777777" w:rsidR="00417567" w:rsidRDefault="00000000" w:rsidP="00D9147D">
      <w:pPr>
        <w:spacing w:before="240" w:after="240"/>
      </w:pPr>
      <w:r>
        <w:rPr>
          <w:color w:val="222222"/>
        </w:rPr>
        <w:t xml:space="preserve">Charmaz, K., 2021. The genesis, grounds, and growth of constructivist grounded theory. </w:t>
      </w:r>
      <w:r>
        <w:rPr>
          <w:i/>
        </w:rPr>
        <w:t>Developing grounded theory: The second generation revisited</w:t>
      </w:r>
      <w:r>
        <w:t>, pp.153-187.</w:t>
      </w:r>
    </w:p>
    <w:p w14:paraId="0000004B" w14:textId="77777777" w:rsidR="00417567" w:rsidRDefault="00000000" w:rsidP="00D9147D">
      <w:pPr>
        <w:spacing w:before="240" w:after="240"/>
        <w:rPr>
          <w:color w:val="222222"/>
        </w:rPr>
      </w:pPr>
      <w:r>
        <w:rPr>
          <w:color w:val="222222"/>
        </w:rPr>
        <w:t>HR, 2023, “</w:t>
      </w:r>
      <w:r>
        <w:rPr>
          <w:i/>
          <w:color w:val="222222"/>
        </w:rPr>
        <w:t>Cost-of-Living Crisis: The Benefits of Supporting Local and How to Make an Impact</w:t>
      </w:r>
      <w:r>
        <w:rPr>
          <w:color w:val="222222"/>
        </w:rPr>
        <w:t xml:space="preserve">”, Available at: </w:t>
      </w:r>
      <w:hyperlink r:id="rId10">
        <w:r>
          <w:rPr>
            <w:color w:val="1155CC"/>
            <w:u w:val="single"/>
          </w:rPr>
          <w:t>https://hrnews.co.uk/cost-of-living-crisis-the-benefits-of-supporting-local-and-how-to-make-an-impact/amp/</w:t>
        </w:r>
      </w:hyperlink>
      <w:r>
        <w:rPr>
          <w:color w:val="222222"/>
        </w:rPr>
        <w:t xml:space="preserve"> [Accessed on 18th July 2023]</w:t>
      </w:r>
    </w:p>
    <w:p w14:paraId="0000004C" w14:textId="77777777" w:rsidR="00417567" w:rsidRDefault="00000000" w:rsidP="00D9147D">
      <w:pPr>
        <w:spacing w:before="240" w:after="240"/>
      </w:pPr>
      <w:r>
        <w:rPr>
          <w:color w:val="222222"/>
        </w:rPr>
        <w:t xml:space="preserve">Mc </w:t>
      </w:r>
      <w:proofErr w:type="spellStart"/>
      <w:r>
        <w:rPr>
          <w:color w:val="222222"/>
        </w:rPr>
        <w:t>Menamin</w:t>
      </w:r>
      <w:proofErr w:type="spellEnd"/>
      <w:r>
        <w:rPr>
          <w:color w:val="222222"/>
        </w:rPr>
        <w:t xml:space="preserve">, R., Isaksen, J., Manning, M. and Tierney, E., 2022. Distinctions and blurred boundaries between qualitative approaches and public and patient involvement (PPI) in research. </w:t>
      </w:r>
      <w:r>
        <w:rPr>
          <w:i/>
        </w:rPr>
        <w:t>International Journal of Speech-Language Pathology</w:t>
      </w:r>
      <w:r>
        <w:t xml:space="preserve">, </w:t>
      </w:r>
      <w:r>
        <w:rPr>
          <w:i/>
        </w:rPr>
        <w:t>24</w:t>
      </w:r>
      <w:r>
        <w:t>(5), pp.515-526.</w:t>
      </w:r>
    </w:p>
    <w:p w14:paraId="0000004D" w14:textId="77777777" w:rsidR="00417567" w:rsidRDefault="00000000" w:rsidP="00D9147D">
      <w:pPr>
        <w:spacing w:before="240" w:after="240"/>
      </w:pPr>
      <w:r>
        <w:rPr>
          <w:color w:val="222222"/>
        </w:rPr>
        <w:t xml:space="preserve">McAfee, D., Drew, G. and Connell, S.D., 2022. Recentering the role of marine restoration science to bolster community stewardship. </w:t>
      </w:r>
      <w:r>
        <w:rPr>
          <w:i/>
        </w:rPr>
        <w:t>Earth System Governance</w:t>
      </w:r>
      <w:r>
        <w:t xml:space="preserve">, </w:t>
      </w:r>
      <w:r>
        <w:rPr>
          <w:i/>
        </w:rPr>
        <w:t>13</w:t>
      </w:r>
      <w:r>
        <w:t>, p.100149.</w:t>
      </w:r>
    </w:p>
    <w:p w14:paraId="0000004E" w14:textId="77777777" w:rsidR="00417567" w:rsidRDefault="00000000" w:rsidP="00D9147D">
      <w:pPr>
        <w:spacing w:before="240" w:after="240"/>
        <w:rPr>
          <w:color w:val="222222"/>
        </w:rPr>
      </w:pPr>
      <w:r>
        <w:rPr>
          <w:color w:val="222222"/>
        </w:rPr>
        <w:t xml:space="preserve">McGee, H., 2022. </w:t>
      </w:r>
      <w:proofErr w:type="spellStart"/>
      <w:r>
        <w:rPr>
          <w:color w:val="222222"/>
        </w:rPr>
        <w:t>Democratising</w:t>
      </w:r>
      <w:proofErr w:type="spellEnd"/>
      <w:r>
        <w:rPr>
          <w:color w:val="222222"/>
        </w:rPr>
        <w:t xml:space="preserve"> the high street: London’s new commons for fairer local economies.</w:t>
      </w:r>
    </w:p>
    <w:p w14:paraId="0000004F" w14:textId="77777777" w:rsidR="00417567" w:rsidRDefault="00000000" w:rsidP="00D9147D">
      <w:pPr>
        <w:spacing w:before="240" w:after="240"/>
        <w:rPr>
          <w:color w:val="222222"/>
        </w:rPr>
      </w:pPr>
      <w:r>
        <w:rPr>
          <w:color w:val="222222"/>
        </w:rPr>
        <w:t>M&amp;P, 2020, “</w:t>
      </w:r>
      <w:r>
        <w:rPr>
          <w:i/>
          <w:color w:val="222222"/>
        </w:rPr>
        <w:t>In the Community: Brixton Pound</w:t>
      </w:r>
      <w:r>
        <w:rPr>
          <w:color w:val="222222"/>
        </w:rPr>
        <w:t xml:space="preserve">”, Available at: </w:t>
      </w:r>
      <w:hyperlink r:id="rId11">
        <w:r>
          <w:rPr>
            <w:color w:val="1155CC"/>
            <w:u w:val="single"/>
          </w:rPr>
          <w:t>https://www.marshandparsons.co.uk/blog/in-the-community-brixton-pound/</w:t>
        </w:r>
      </w:hyperlink>
      <w:r>
        <w:rPr>
          <w:color w:val="222222"/>
        </w:rPr>
        <w:t xml:space="preserve"> [Accessed on 18th July 2023]</w:t>
      </w:r>
    </w:p>
    <w:p w14:paraId="00000050" w14:textId="77777777" w:rsidR="00417567" w:rsidRDefault="00000000" w:rsidP="00D9147D">
      <w:pPr>
        <w:spacing w:before="240" w:after="240"/>
        <w:rPr>
          <w:color w:val="222222"/>
        </w:rPr>
      </w:pPr>
      <w:r>
        <w:rPr>
          <w:color w:val="222222"/>
        </w:rPr>
        <w:lastRenderedPageBreak/>
        <w:t>NI Business, 2021, “</w:t>
      </w:r>
      <w:r>
        <w:rPr>
          <w:i/>
          <w:color w:val="222222"/>
        </w:rPr>
        <w:t>Ten top tips to improve your financial management</w:t>
      </w:r>
      <w:r>
        <w:rPr>
          <w:color w:val="222222"/>
        </w:rPr>
        <w:t>”, Available at: https://www.nibusinessinfo.co.uk/content/ten-top-tips-improve-your-financial-management [Accessed on 17th July 2023]</w:t>
      </w:r>
    </w:p>
    <w:p w14:paraId="00000051" w14:textId="77777777" w:rsidR="00417567" w:rsidRDefault="00000000" w:rsidP="00D9147D">
      <w:pPr>
        <w:spacing w:before="240" w:after="240"/>
        <w:rPr>
          <w:color w:val="222222"/>
        </w:rPr>
      </w:pPr>
      <w:r>
        <w:rPr>
          <w:color w:val="222222"/>
        </w:rPr>
        <w:t>NI Business, 2022, “</w:t>
      </w:r>
      <w:r>
        <w:rPr>
          <w:i/>
          <w:color w:val="222222"/>
        </w:rPr>
        <w:t>Project management</w:t>
      </w:r>
      <w:r>
        <w:rPr>
          <w:color w:val="222222"/>
        </w:rPr>
        <w:t xml:space="preserve">”, Available at: </w:t>
      </w:r>
      <w:hyperlink r:id="rId12">
        <w:r>
          <w:rPr>
            <w:color w:val="1155CC"/>
            <w:u w:val="single"/>
          </w:rPr>
          <w:t>https://www.nibusinessinfo.co.uk/content/advantages-project-management</w:t>
        </w:r>
      </w:hyperlink>
      <w:r>
        <w:rPr>
          <w:color w:val="222222"/>
        </w:rPr>
        <w:t xml:space="preserve"> [Accessed on 18th July 2023]</w:t>
      </w:r>
    </w:p>
    <w:p w14:paraId="00000052" w14:textId="77777777" w:rsidR="00417567" w:rsidRDefault="00000000" w:rsidP="00D9147D">
      <w:pPr>
        <w:spacing w:before="240" w:after="240"/>
        <w:rPr>
          <w:color w:val="222222"/>
        </w:rPr>
      </w:pPr>
      <w:r>
        <w:rPr>
          <w:color w:val="222222"/>
        </w:rPr>
        <w:t>Pradhan, S. and Ehnis, C., 2019. Towards a Digital Platform to Support/Enhance Community-based Tourism in Developing Countries-Findings from Nepal.</w:t>
      </w:r>
    </w:p>
    <w:p w14:paraId="00000053" w14:textId="77777777" w:rsidR="00417567" w:rsidRDefault="00000000" w:rsidP="00D9147D">
      <w:pPr>
        <w:spacing w:before="240" w:after="240"/>
      </w:pPr>
      <w:proofErr w:type="spellStart"/>
      <w:r>
        <w:rPr>
          <w:color w:val="222222"/>
        </w:rPr>
        <w:t>Saarikko</w:t>
      </w:r>
      <w:proofErr w:type="spellEnd"/>
      <w:r>
        <w:rPr>
          <w:color w:val="222222"/>
        </w:rPr>
        <w:t xml:space="preserve">, T., Westergren, U.H. and Blomquist, T., 2020. Digital transformation: Five recommendations for the digitally conscious firm. </w:t>
      </w:r>
      <w:r>
        <w:rPr>
          <w:i/>
        </w:rPr>
        <w:t>Business Horizons</w:t>
      </w:r>
      <w:r>
        <w:t xml:space="preserve">, </w:t>
      </w:r>
      <w:r>
        <w:rPr>
          <w:i/>
        </w:rPr>
        <w:t>63</w:t>
      </w:r>
      <w:r>
        <w:t>(6), pp.825-839.</w:t>
      </w:r>
    </w:p>
    <w:p w14:paraId="00000054" w14:textId="77777777" w:rsidR="00417567" w:rsidRDefault="00000000" w:rsidP="00D9147D">
      <w:pPr>
        <w:spacing w:before="240" w:after="240"/>
      </w:pPr>
      <w:r>
        <w:rPr>
          <w:color w:val="222222"/>
        </w:rPr>
        <w:t xml:space="preserve">Yannis, G., </w:t>
      </w:r>
      <w:proofErr w:type="spellStart"/>
      <w:r>
        <w:rPr>
          <w:color w:val="222222"/>
        </w:rPr>
        <w:t>Kopsacheili</w:t>
      </w:r>
      <w:proofErr w:type="spellEnd"/>
      <w:r>
        <w:rPr>
          <w:color w:val="222222"/>
        </w:rPr>
        <w:t xml:space="preserve">, A., </w:t>
      </w:r>
      <w:proofErr w:type="spellStart"/>
      <w:r>
        <w:rPr>
          <w:color w:val="222222"/>
        </w:rPr>
        <w:t>Dragomanovits</w:t>
      </w:r>
      <w:proofErr w:type="spellEnd"/>
      <w:r>
        <w:rPr>
          <w:color w:val="222222"/>
        </w:rPr>
        <w:t xml:space="preserve">, A. and Petraki, V., 2020. State-of-the-art review on multi-criteria decision-making in the transport sector. </w:t>
      </w:r>
      <w:r>
        <w:rPr>
          <w:i/>
        </w:rPr>
        <w:t>Journal of traffic and transportation engineering (English edition)</w:t>
      </w:r>
      <w:r>
        <w:t xml:space="preserve">, </w:t>
      </w:r>
      <w:r>
        <w:rPr>
          <w:i/>
        </w:rPr>
        <w:t>7</w:t>
      </w:r>
      <w:r>
        <w:t>(4), pp.413-431.</w:t>
      </w:r>
    </w:p>
    <w:p w14:paraId="00000055" w14:textId="77777777" w:rsidR="00417567" w:rsidRDefault="00000000" w:rsidP="00D9147D">
      <w:pPr>
        <w:spacing w:before="240" w:after="240"/>
      </w:pPr>
      <w:r>
        <w:rPr>
          <w:color w:val="222222"/>
        </w:rPr>
        <w:t xml:space="preserve">Zilli, C., Parsons, S. and </w:t>
      </w:r>
      <w:proofErr w:type="spellStart"/>
      <w:r>
        <w:rPr>
          <w:color w:val="222222"/>
        </w:rPr>
        <w:t>Kovshoff</w:t>
      </w:r>
      <w:proofErr w:type="spellEnd"/>
      <w:r>
        <w:rPr>
          <w:color w:val="222222"/>
        </w:rPr>
        <w:t xml:space="preserve">, H., 2020. Keys to engagement: A case study exploring the participation of autistic pupils in educational decision‐making at school. </w:t>
      </w:r>
      <w:r>
        <w:rPr>
          <w:i/>
        </w:rPr>
        <w:t>British Journal of Educational Psychology</w:t>
      </w:r>
      <w:r>
        <w:t xml:space="preserve">, </w:t>
      </w:r>
      <w:r>
        <w:rPr>
          <w:i/>
        </w:rPr>
        <w:t>90</w:t>
      </w:r>
      <w:r>
        <w:t>(3), pp.770-789.</w:t>
      </w:r>
    </w:p>
    <w:p w14:paraId="00000056" w14:textId="77777777" w:rsidR="00417567" w:rsidRDefault="00417567" w:rsidP="00D9147D"/>
    <w:sectPr w:rsidR="00417567" w:rsidSect="00D9147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4AD8C" w14:textId="77777777" w:rsidR="00966776" w:rsidRDefault="00966776">
      <w:pPr>
        <w:spacing w:line="240" w:lineRule="auto"/>
      </w:pPr>
      <w:r>
        <w:separator/>
      </w:r>
    </w:p>
  </w:endnote>
  <w:endnote w:type="continuationSeparator" w:id="0">
    <w:p w14:paraId="32166932" w14:textId="77777777" w:rsidR="00966776" w:rsidRDefault="009667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A" w14:textId="77777777" w:rsidR="00417567" w:rsidRDefault="00417567">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453728"/>
      <w:docPartObj>
        <w:docPartGallery w:val="Page Numbers (Bottom of Page)"/>
        <w:docPartUnique/>
      </w:docPartObj>
    </w:sdtPr>
    <w:sdtEndPr>
      <w:rPr>
        <w:noProof/>
      </w:rPr>
    </w:sdtEndPr>
    <w:sdtContent>
      <w:p w14:paraId="3AD75D49" w14:textId="0EA4974E" w:rsidR="00D9147D" w:rsidRDefault="00D914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5C" w14:textId="77777777" w:rsidR="00417567" w:rsidRDefault="00417567">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B" w14:textId="77777777" w:rsidR="00417567" w:rsidRDefault="0041756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83E6C" w14:textId="77777777" w:rsidR="00966776" w:rsidRDefault="00966776">
      <w:pPr>
        <w:spacing w:line="240" w:lineRule="auto"/>
      </w:pPr>
      <w:r>
        <w:separator/>
      </w:r>
    </w:p>
  </w:footnote>
  <w:footnote w:type="continuationSeparator" w:id="0">
    <w:p w14:paraId="37FC7E7B" w14:textId="77777777" w:rsidR="00966776" w:rsidRDefault="0096677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8" w14:textId="77777777" w:rsidR="00417567" w:rsidRDefault="00417567">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7" w14:textId="77777777" w:rsidR="00417567" w:rsidRDefault="00417567">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9" w14:textId="77777777" w:rsidR="00417567" w:rsidRDefault="00417567">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567"/>
    <w:rsid w:val="00417567"/>
    <w:rsid w:val="00966776"/>
    <w:rsid w:val="00D9147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04D23"/>
  <w15:docId w15:val="{0C88F841-C90E-4809-B061-7F51B30BC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86305"/>
    <w:pPr>
      <w:tabs>
        <w:tab w:val="center" w:pos="4680"/>
        <w:tab w:val="right" w:pos="9360"/>
      </w:tabs>
      <w:spacing w:line="240" w:lineRule="auto"/>
    </w:pPr>
  </w:style>
  <w:style w:type="character" w:customStyle="1" w:styleId="HeaderChar">
    <w:name w:val="Header Char"/>
    <w:basedOn w:val="DefaultParagraphFont"/>
    <w:link w:val="Header"/>
    <w:uiPriority w:val="99"/>
    <w:rsid w:val="00B86305"/>
  </w:style>
  <w:style w:type="paragraph" w:styleId="Footer">
    <w:name w:val="footer"/>
    <w:basedOn w:val="Normal"/>
    <w:link w:val="FooterChar"/>
    <w:uiPriority w:val="99"/>
    <w:unhideWhenUsed/>
    <w:rsid w:val="00B86305"/>
    <w:pPr>
      <w:tabs>
        <w:tab w:val="center" w:pos="4680"/>
        <w:tab w:val="right" w:pos="9360"/>
      </w:tabs>
      <w:spacing w:line="240" w:lineRule="auto"/>
    </w:pPr>
  </w:style>
  <w:style w:type="character" w:customStyle="1" w:styleId="FooterChar">
    <w:name w:val="Footer Char"/>
    <w:basedOn w:val="DefaultParagraphFont"/>
    <w:link w:val="Footer"/>
    <w:uiPriority w:val="99"/>
    <w:rsid w:val="00B86305"/>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874FE2"/>
    <w:pPr>
      <w:spacing w:after="100"/>
    </w:pPr>
  </w:style>
  <w:style w:type="character" w:styleId="Hyperlink">
    <w:name w:val="Hyperlink"/>
    <w:basedOn w:val="DefaultParagraphFont"/>
    <w:uiPriority w:val="99"/>
    <w:unhideWhenUsed/>
    <w:rsid w:val="00874F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rixtonpound.org/"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businessinfo.co.uk/content/advantages-project-management"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shandparsons.co.uk/blog/in-the-community-brixton-pound/"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hrnews.co.uk/cost-of-living-crisis-the-benefits-of-supporting-local-and-how-to-make-an-impact/amp/"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mu.edu/cee/projects/PMbook/02_Organizing_For_Project_Management.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oDHx4n6yKdl09AZ82aXZQIqMsg==">CgMxLjAyCGguZ2pkZ3hzMgloLjMwajB6bGwyCWguMWZvYjl0ZTIJaC4zem55c2g3MgloLjJldDkycDAyCGgudHlqY3d0MgloLjNkeTZ2a20yCWguMXQzaDVzZjIOaC42bmk2cmFmaG8zNjAyDmguaDVkeDIzNWM1cHQzMgloLjNyZGNyam4yCWguMjZpbjFyZzIIaC5sbnhiejkyCWguMzVua3VuMjIJaC4xa3N2NHV2MgloLjQ0c2luaW8yCWguMmp4c3hxaDgAciExVXd3N3RfR2VWMmxvWmIxOXhyVWQtY1NpVGpGZlR5QW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66374EC-74F5-46E4-9A70-25DD0F9B4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3277</Words>
  <Characters>18683</Characters>
  <Application>Microsoft Office Word</Application>
  <DocSecurity>0</DocSecurity>
  <Lines>155</Lines>
  <Paragraphs>43</Paragraphs>
  <ScaleCrop>false</ScaleCrop>
  <Company/>
  <LinksUpToDate>false</LinksUpToDate>
  <CharactersWithSpaces>21917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Pankaj Debnath</cp:lastModifiedBy>
  <cp:revision>2</cp:revision>
  <dcterms:created xsi:type="dcterms:W3CDTF">2023-07-30T21:58:00Z</dcterms:created>
  <dcterms:modified xsi:type="dcterms:W3CDTF">2023-08-02T17:56:00Z</dcterms:modified>
</cp:coreProperties>
</file>