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EAAAA" w:themeFill="background2" w:themeFillShade="BF"/>
        <w:tblLayout w:type="autofit"/>
        <w:tblCellMar>
          <w:top w:w="0" w:type="dxa"/>
          <w:left w:w="108" w:type="dxa"/>
          <w:bottom w:w="0" w:type="dxa"/>
          <w:right w:w="108" w:type="dxa"/>
        </w:tblCellMar>
      </w:tblPr>
      <w:tblGrid>
        <w:gridCol w:w="8522"/>
      </w:tblGrid>
      <w:tr w14:paraId="10460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shd w:val="clear" w:color="auto" w:fill="CFCECE" w:themeFill="background2" w:themeFillShade="E5"/>
          </w:tcPr>
          <w:p w14:paraId="227B63AB">
            <w:pPr>
              <w:spacing w:line="480" w:lineRule="auto"/>
              <w:ind w:firstLine="1285" w:firstLineChars="400"/>
              <w:rPr>
                <w:rFonts w:hint="default" w:ascii="Arial" w:hAnsi="Arial" w:cs="Arial" w:eastAsiaTheme="minorEastAsia"/>
                <w:b/>
                <w:bCs/>
                <w:sz w:val="32"/>
                <w:szCs w:val="32"/>
                <w:highlight w:val="none"/>
                <w:vertAlign w:val="baseline"/>
                <w:lang w:val="en-US" w:eastAsia="zh-CN"/>
              </w:rPr>
            </w:pPr>
            <w:r>
              <w:rPr>
                <w:rFonts w:hint="default" w:ascii="Arial" w:hAnsi="Arial" w:cs="Arial"/>
                <w:b/>
                <w:bCs/>
                <w:sz w:val="32"/>
                <w:szCs w:val="32"/>
                <w:highlight w:val="none"/>
                <w:vertAlign w:val="baseline"/>
                <w:lang w:val="en-US" w:eastAsia="zh-CN"/>
              </w:rPr>
              <w:t>ASSESSMENT 1 SPECIFICATION</w:t>
            </w:r>
          </w:p>
        </w:tc>
      </w:tr>
    </w:tbl>
    <w:p w14:paraId="74207ACE">
      <w:pPr>
        <w:spacing w:line="480" w:lineRule="auto"/>
        <w:rPr>
          <w:rFonts w:hint="default" w:ascii="Times New Roman" w:hAnsi="Times New Roman" w:cs="Times New Roman"/>
          <w:sz w:val="24"/>
          <w:szCs w:val="24"/>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8"/>
        <w:gridCol w:w="1852"/>
        <w:gridCol w:w="2880"/>
        <w:gridCol w:w="1662"/>
      </w:tblGrid>
      <w:tr w14:paraId="317FE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8" w:type="dxa"/>
            <w:shd w:val="clear" w:color="auto" w:fill="CFCECE" w:themeFill="background2" w:themeFillShade="E5"/>
          </w:tcPr>
          <w:p w14:paraId="68C70D92">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Student name:</w:t>
            </w:r>
          </w:p>
        </w:tc>
        <w:tc>
          <w:tcPr>
            <w:tcW w:w="1852" w:type="dxa"/>
            <w:shd w:val="clear" w:color="auto" w:fill="auto"/>
          </w:tcPr>
          <w:p w14:paraId="15BEF02A">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Tang Yuze</w:t>
            </w:r>
          </w:p>
        </w:tc>
        <w:tc>
          <w:tcPr>
            <w:tcW w:w="2880" w:type="dxa"/>
            <w:shd w:val="clear" w:color="auto" w:fill="CFCECE" w:themeFill="background2" w:themeFillShade="E5"/>
          </w:tcPr>
          <w:p w14:paraId="71C89E67">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Student ID number:</w:t>
            </w:r>
          </w:p>
        </w:tc>
        <w:tc>
          <w:tcPr>
            <w:tcW w:w="1662" w:type="dxa"/>
            <w:shd w:val="clear" w:color="auto" w:fill="auto"/>
          </w:tcPr>
          <w:p w14:paraId="5594140B">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2500218</w:t>
            </w:r>
          </w:p>
        </w:tc>
      </w:tr>
      <w:tr w14:paraId="3AF0F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0" w:type="dxa"/>
            <w:gridSpan w:val="2"/>
          </w:tcPr>
          <w:p w14:paraId="2497BB3E">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Programme:</w:t>
            </w:r>
          </w:p>
        </w:tc>
        <w:tc>
          <w:tcPr>
            <w:tcW w:w="4542" w:type="dxa"/>
            <w:gridSpan w:val="2"/>
          </w:tcPr>
          <w:p w14:paraId="6C412BA5">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Business Management</w:t>
            </w:r>
          </w:p>
        </w:tc>
      </w:tr>
      <w:tr w14:paraId="5732D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0" w:type="dxa"/>
            <w:gridSpan w:val="2"/>
            <w:shd w:val="clear" w:color="auto" w:fill="CFCECE" w:themeFill="background2" w:themeFillShade="E5"/>
          </w:tcPr>
          <w:p w14:paraId="103478D4">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Module:</w:t>
            </w:r>
          </w:p>
        </w:tc>
        <w:tc>
          <w:tcPr>
            <w:tcW w:w="4542" w:type="dxa"/>
            <w:gridSpan w:val="2"/>
          </w:tcPr>
          <w:p w14:paraId="57C6A915">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Contemporary Issues in Management</w:t>
            </w:r>
          </w:p>
        </w:tc>
      </w:tr>
      <w:tr w14:paraId="6EC04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8" w:type="dxa"/>
            <w:shd w:val="clear" w:color="auto" w:fill="CFCECE" w:themeFill="background2" w:themeFillShade="E5"/>
          </w:tcPr>
          <w:p w14:paraId="4E849FF3">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Module Code:</w:t>
            </w:r>
          </w:p>
        </w:tc>
        <w:tc>
          <w:tcPr>
            <w:tcW w:w="1852" w:type="dxa"/>
          </w:tcPr>
          <w:p w14:paraId="17268A19">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BMBM6003</w:t>
            </w:r>
          </w:p>
        </w:tc>
        <w:tc>
          <w:tcPr>
            <w:tcW w:w="2880" w:type="dxa"/>
            <w:shd w:val="clear" w:color="auto" w:fill="CFCECE" w:themeFill="background2" w:themeFillShade="E5"/>
          </w:tcPr>
          <w:p w14:paraId="57350032">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Contribution to Overall Module Assessment (%):</w:t>
            </w:r>
          </w:p>
        </w:tc>
        <w:tc>
          <w:tcPr>
            <w:tcW w:w="1662" w:type="dxa"/>
          </w:tcPr>
          <w:p w14:paraId="03A62247">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50%</w:t>
            </w:r>
          </w:p>
        </w:tc>
      </w:tr>
      <w:tr w14:paraId="081E0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8" w:type="dxa"/>
          </w:tcPr>
          <w:p w14:paraId="1386136D">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Lecturer:</w:t>
            </w:r>
          </w:p>
        </w:tc>
        <w:tc>
          <w:tcPr>
            <w:tcW w:w="1852" w:type="dxa"/>
          </w:tcPr>
          <w:p w14:paraId="17353795">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Robyn Griffiths</w:t>
            </w:r>
          </w:p>
        </w:tc>
        <w:tc>
          <w:tcPr>
            <w:tcW w:w="2880" w:type="dxa"/>
            <w:shd w:val="clear" w:color="auto" w:fill="CFCECE" w:themeFill="background2" w:themeFillShade="E5"/>
          </w:tcPr>
          <w:p w14:paraId="71E7EB54">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Internal Verifier:</w:t>
            </w:r>
          </w:p>
        </w:tc>
        <w:tc>
          <w:tcPr>
            <w:tcW w:w="1662" w:type="dxa"/>
          </w:tcPr>
          <w:p w14:paraId="35C07032">
            <w:pPr>
              <w:spacing w:line="480" w:lineRule="auto"/>
              <w:rPr>
                <w:rFonts w:hint="default" w:ascii="Arial" w:hAnsi="Arial" w:cs="Arial"/>
                <w:b/>
                <w:bCs/>
                <w:sz w:val="22"/>
                <w:szCs w:val="22"/>
                <w:vertAlign w:val="baseline"/>
              </w:rPr>
            </w:pPr>
          </w:p>
        </w:tc>
      </w:tr>
      <w:tr w14:paraId="53C48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5" w:hRule="atLeast"/>
        </w:trPr>
        <w:tc>
          <w:tcPr>
            <w:tcW w:w="2128" w:type="dxa"/>
            <w:shd w:val="clear" w:color="auto" w:fill="CFCECE" w:themeFill="background2" w:themeFillShade="E5"/>
          </w:tcPr>
          <w:p w14:paraId="2F78C027">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Assignment Title:</w:t>
            </w:r>
          </w:p>
        </w:tc>
        <w:tc>
          <w:tcPr>
            <w:tcW w:w="1852" w:type="dxa"/>
          </w:tcPr>
          <w:p w14:paraId="4231ECF9">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An Ethical Assessment of Management Theories</w:t>
            </w:r>
          </w:p>
        </w:tc>
        <w:tc>
          <w:tcPr>
            <w:tcW w:w="2880" w:type="dxa"/>
            <w:shd w:val="clear" w:color="auto" w:fill="CFCECE" w:themeFill="background2" w:themeFillShade="E5"/>
          </w:tcPr>
          <w:p w14:paraId="4C2BFCBE">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Word count (or equivalent):</w:t>
            </w:r>
          </w:p>
        </w:tc>
        <w:tc>
          <w:tcPr>
            <w:tcW w:w="1662" w:type="dxa"/>
          </w:tcPr>
          <w:p w14:paraId="28EC7520">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2000-word Formal Business Report</w:t>
            </w:r>
          </w:p>
        </w:tc>
      </w:tr>
      <w:tr w14:paraId="19B62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8" w:type="dxa"/>
            <w:shd w:val="clear" w:color="auto" w:fill="CFCECE" w:themeFill="background2" w:themeFillShade="E5"/>
          </w:tcPr>
          <w:p w14:paraId="77EBCEB1">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Submission deadline:</w:t>
            </w:r>
          </w:p>
        </w:tc>
        <w:tc>
          <w:tcPr>
            <w:tcW w:w="1852" w:type="dxa"/>
          </w:tcPr>
          <w:p w14:paraId="10C1A6DA">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21/11/2025</w:t>
            </w:r>
          </w:p>
        </w:tc>
        <w:tc>
          <w:tcPr>
            <w:tcW w:w="2880" w:type="dxa"/>
            <w:shd w:val="clear" w:color="auto" w:fill="CFCECE" w:themeFill="background2" w:themeFillShade="E5"/>
          </w:tcPr>
          <w:p w14:paraId="4DA4B30A">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 xml:space="preserve">Return date of provisional marks &amp; written feedback: </w:t>
            </w:r>
          </w:p>
        </w:tc>
        <w:tc>
          <w:tcPr>
            <w:tcW w:w="1662" w:type="dxa"/>
          </w:tcPr>
          <w:p w14:paraId="335C9208">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14/12/2025</w:t>
            </w:r>
          </w:p>
        </w:tc>
      </w:tr>
      <w:tr w14:paraId="5ED17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0" w:type="dxa"/>
            <w:gridSpan w:val="2"/>
            <w:shd w:val="clear" w:color="auto" w:fill="CFCECE" w:themeFill="background2" w:themeFillShade="E5"/>
          </w:tcPr>
          <w:p w14:paraId="0CC7B12E">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Submission method:</w:t>
            </w:r>
          </w:p>
        </w:tc>
        <w:tc>
          <w:tcPr>
            <w:tcW w:w="4542" w:type="dxa"/>
            <w:gridSpan w:val="2"/>
          </w:tcPr>
          <w:p w14:paraId="25BE8668">
            <w:pPr>
              <w:spacing w:line="480" w:lineRule="auto"/>
              <w:rPr>
                <w:rFonts w:hint="default" w:ascii="Arial" w:hAnsi="Arial" w:cs="Arial"/>
                <w:sz w:val="22"/>
                <w:szCs w:val="22"/>
                <w:vertAlign w:val="baseline"/>
              </w:rPr>
            </w:pPr>
            <w:r>
              <w:rPr>
                <w:rFonts w:hint="default" w:ascii="Arial" w:hAnsi="Arial" w:cs="Arial"/>
                <w:sz w:val="22"/>
                <w:szCs w:val="22"/>
                <w:vertAlign w:val="baseline"/>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639EE18">
            <w:pPr>
              <w:spacing w:line="480" w:lineRule="auto"/>
              <w:rPr>
                <w:rFonts w:hint="default" w:ascii="Arial" w:hAnsi="Arial" w:cs="Arial"/>
                <w:sz w:val="22"/>
                <w:szCs w:val="22"/>
                <w:vertAlign w:val="baseline"/>
              </w:rPr>
            </w:pPr>
            <w:r>
              <w:rPr>
                <w:rFonts w:hint="default" w:ascii="Arial" w:hAnsi="Arial" w:cs="Arial"/>
                <w:b/>
                <w:bCs/>
                <w:sz w:val="22"/>
                <w:szCs w:val="22"/>
                <w:vertAlign w:val="baseline"/>
              </w:rPr>
              <w:t xml:space="preserve">Alternative submission method (if applicable):  </w:t>
            </w:r>
          </w:p>
          <w:p w14:paraId="74F417A4">
            <w:pPr>
              <w:spacing w:line="480" w:lineRule="auto"/>
              <w:rPr>
                <w:rFonts w:hint="default" w:ascii="Arial" w:hAnsi="Arial" w:cs="Arial"/>
                <w:sz w:val="22"/>
                <w:szCs w:val="22"/>
                <w:vertAlign w:val="baseline"/>
              </w:rPr>
            </w:pPr>
            <w:r>
              <w:rPr>
                <w:rFonts w:hint="default" w:ascii="Arial" w:hAnsi="Arial" w:cs="Arial"/>
                <w:b/>
                <w:bCs/>
                <w:sz w:val="22"/>
                <w:szCs w:val="22"/>
                <w:vertAlign w:val="baseline"/>
              </w:rPr>
              <w:t xml:space="preserve">Late submission of the assessment will result in a late penalty mark. </w:t>
            </w:r>
            <w:r>
              <w:rPr>
                <w:rFonts w:hint="default" w:ascii="Arial" w:hAnsi="Arial" w:cs="Arial"/>
                <w:sz w:val="22"/>
                <w:szCs w:val="22"/>
                <w:vertAlign w:val="baseline"/>
              </w:rPr>
              <w:t xml:space="preserve">Penalties for late submission: Up to one week late, maximum mark of 40%. Over one week late, 0%.  Only the Extenuating Circumstances Panel may approve a change to submission dates. </w:t>
            </w:r>
          </w:p>
        </w:tc>
      </w:tr>
      <w:tr w14:paraId="151CB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0" w:type="dxa"/>
            <w:gridSpan w:val="2"/>
            <w:shd w:val="clear" w:color="auto" w:fill="CFCECE" w:themeFill="background2" w:themeFillShade="E5"/>
          </w:tcPr>
          <w:p w14:paraId="33077080">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Academic honesty/ referencing:</w:t>
            </w:r>
          </w:p>
        </w:tc>
        <w:tc>
          <w:tcPr>
            <w:tcW w:w="4542" w:type="dxa"/>
            <w:gridSpan w:val="2"/>
          </w:tcPr>
          <w:p w14:paraId="1D0926F2">
            <w:pPr>
              <w:spacing w:line="480" w:lineRule="auto"/>
              <w:rPr>
                <w:rFonts w:hint="default" w:ascii="Arial" w:hAnsi="Arial" w:cs="Arial"/>
                <w:sz w:val="22"/>
                <w:szCs w:val="22"/>
                <w:vertAlign w:val="baseline"/>
              </w:rPr>
            </w:pPr>
            <w:r>
              <w:rPr>
                <w:rFonts w:hint="default" w:ascii="Arial" w:hAnsi="Arial" w:cs="Arial"/>
                <w:sz w:val="22"/>
                <w:szCs w:val="22"/>
                <w:vertAlign w:val="baseline"/>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14:paraId="00E0C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shd w:val="clear" w:color="auto" w:fill="CFCECE" w:themeFill="background2" w:themeFillShade="E5"/>
          </w:tcPr>
          <w:p w14:paraId="2611DF1A">
            <w:pPr>
              <w:spacing w:line="480" w:lineRule="auto"/>
              <w:rPr>
                <w:rFonts w:hint="default" w:ascii="Arial" w:hAnsi="Arial" w:cs="Arial" w:eastAsiaTheme="minorEastAsia"/>
                <w:b/>
                <w:bCs/>
                <w:sz w:val="22"/>
                <w:szCs w:val="22"/>
                <w:vertAlign w:val="baseline"/>
                <w:lang w:val="en-US" w:eastAsia="zh-CN"/>
              </w:rPr>
            </w:pPr>
            <w:r>
              <w:rPr>
                <w:rFonts w:hint="default" w:ascii="Arial" w:hAnsi="Arial" w:cs="Arial"/>
                <w:b/>
                <w:bCs/>
                <w:sz w:val="22"/>
                <w:szCs w:val="22"/>
                <w:vertAlign w:val="baseline"/>
                <w:lang w:val="en-US" w:eastAsia="zh-CN"/>
              </w:rPr>
              <w:t>Module Learning Outcomes (from module syllabus)</w:t>
            </w:r>
          </w:p>
        </w:tc>
      </w:tr>
      <w:tr w14:paraId="0043D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14:paraId="7F964A8B">
            <w:pPr>
              <w:spacing w:line="480" w:lineRule="auto"/>
              <w:rPr>
                <w:rFonts w:hint="default" w:ascii="Arial" w:hAnsi="Arial" w:cs="Arial"/>
                <w:sz w:val="22"/>
                <w:szCs w:val="22"/>
                <w:vertAlign w:val="baseline"/>
              </w:rPr>
            </w:pPr>
            <w:r>
              <w:rPr>
                <w:rFonts w:hint="default" w:ascii="Arial" w:hAnsi="Arial" w:cs="Arial"/>
                <w:sz w:val="22"/>
                <w:szCs w:val="22"/>
                <w:vertAlign w:val="baseline"/>
              </w:rPr>
              <w:t xml:space="preserve">Upon the successful completion of this assessment, the student should be able to demonstrate the ability to: </w:t>
            </w:r>
          </w:p>
          <w:p w14:paraId="28140E28">
            <w:pPr>
              <w:spacing w:line="480" w:lineRule="auto"/>
              <w:rPr>
                <w:rFonts w:hint="default" w:ascii="Arial" w:hAnsi="Arial" w:cs="Arial"/>
                <w:sz w:val="22"/>
                <w:szCs w:val="22"/>
                <w:vertAlign w:val="baseline"/>
              </w:rPr>
            </w:pPr>
          </w:p>
          <w:p w14:paraId="3A51622A">
            <w:pPr>
              <w:spacing w:line="480" w:lineRule="auto"/>
              <w:rPr>
                <w:rFonts w:hint="default" w:ascii="Arial" w:hAnsi="Arial" w:cs="Arial"/>
                <w:sz w:val="22"/>
                <w:szCs w:val="22"/>
                <w:vertAlign w:val="baseline"/>
              </w:rPr>
            </w:pPr>
            <w:r>
              <w:rPr>
                <w:rFonts w:hint="default" w:ascii="Arial" w:hAnsi="Arial" w:cs="Arial"/>
                <w:sz w:val="22"/>
                <w:szCs w:val="22"/>
                <w:vertAlign w:val="baseline"/>
              </w:rPr>
              <w:t xml:space="preserve">Judge objectively the differences between mainstream and critical theories of management and develop critical and/or ethical assessments of concepts underpinning management theory. </w:t>
            </w:r>
          </w:p>
        </w:tc>
      </w:tr>
    </w:tbl>
    <w:p w14:paraId="14209556">
      <w:pPr>
        <w:spacing w:line="480" w:lineRule="auto"/>
        <w:rPr>
          <w:rFonts w:hint="default" w:ascii="Times New Roman" w:hAnsi="Times New Roman" w:cs="Times New Roman"/>
          <w:sz w:val="24"/>
          <w:szCs w:val="24"/>
        </w:rPr>
      </w:pPr>
    </w:p>
    <w:p w14:paraId="299BC0E9">
      <w:pPr>
        <w:spacing w:line="480" w:lineRule="auto"/>
        <w:rPr>
          <w:rFonts w:hint="default" w:ascii="Times New Roman" w:hAnsi="Times New Roman" w:cs="Times New Roman"/>
          <w:sz w:val="24"/>
          <w:szCs w:val="24"/>
        </w:rPr>
      </w:pPr>
    </w:p>
    <w:p w14:paraId="554B3B56">
      <w:pPr>
        <w:spacing w:line="480" w:lineRule="auto"/>
        <w:rPr>
          <w:rFonts w:hint="default" w:ascii="Times New Roman" w:hAnsi="Times New Roman" w:cs="Times New Roman"/>
          <w:sz w:val="24"/>
          <w:szCs w:val="24"/>
        </w:rPr>
      </w:pPr>
    </w:p>
    <w:p w14:paraId="5D502403">
      <w:pPr>
        <w:spacing w:line="480" w:lineRule="auto"/>
        <w:rPr>
          <w:rFonts w:hint="default" w:ascii="Times New Roman" w:hAnsi="Times New Roman" w:cs="Times New Roman"/>
          <w:sz w:val="24"/>
          <w:szCs w:val="24"/>
        </w:rPr>
      </w:pPr>
    </w:p>
    <w:p w14:paraId="69E8FDBF">
      <w:pPr>
        <w:spacing w:line="480" w:lineRule="auto"/>
        <w:rPr>
          <w:rFonts w:hint="default" w:ascii="Times New Roman" w:hAnsi="Times New Roman" w:cs="Times New Roman"/>
          <w:sz w:val="24"/>
          <w:szCs w:val="24"/>
        </w:rPr>
      </w:pPr>
    </w:p>
    <w:p w14:paraId="1F37E3B6">
      <w:pPr>
        <w:spacing w:line="480" w:lineRule="auto"/>
        <w:rPr>
          <w:rFonts w:hint="default" w:ascii="Times New Roman" w:hAnsi="Times New Roman" w:cs="Times New Roman"/>
          <w:sz w:val="24"/>
          <w:szCs w:val="24"/>
        </w:rPr>
      </w:pPr>
    </w:p>
    <w:p w14:paraId="17AE200B">
      <w:pPr>
        <w:spacing w:line="480" w:lineRule="auto"/>
        <w:rPr>
          <w:rFonts w:hint="default" w:ascii="Times New Roman" w:hAnsi="Times New Roman" w:cs="Times New Roman"/>
          <w:sz w:val="24"/>
          <w:szCs w:val="24"/>
        </w:rPr>
      </w:pPr>
    </w:p>
    <w:p w14:paraId="0C6E918D">
      <w:pPr>
        <w:spacing w:line="480" w:lineRule="auto"/>
        <w:rPr>
          <w:rFonts w:hint="default" w:ascii="Times New Roman" w:hAnsi="Times New Roman" w:cs="Times New Roman"/>
          <w:sz w:val="24"/>
          <w:szCs w:val="24"/>
        </w:rPr>
      </w:pPr>
    </w:p>
    <w:p w14:paraId="43B9B0BA">
      <w:pPr>
        <w:spacing w:line="480" w:lineRule="auto"/>
        <w:rPr>
          <w:rFonts w:hint="default" w:ascii="Times New Roman" w:hAnsi="Times New Roman" w:cs="Times New Roman"/>
          <w:sz w:val="24"/>
          <w:szCs w:val="24"/>
        </w:rPr>
      </w:pPr>
    </w:p>
    <w:p w14:paraId="0F082586">
      <w:pPr>
        <w:spacing w:line="480" w:lineRule="auto"/>
        <w:rPr>
          <w:rFonts w:hint="default" w:ascii="Times New Roman" w:hAnsi="Times New Roman" w:cs="Times New Roman"/>
          <w:sz w:val="24"/>
          <w:szCs w:val="24"/>
        </w:rPr>
      </w:pPr>
    </w:p>
    <w:p w14:paraId="508A0012">
      <w:pPr>
        <w:spacing w:line="480" w:lineRule="auto"/>
        <w:rPr>
          <w:rFonts w:hint="default" w:ascii="Times New Roman" w:hAnsi="Times New Roman" w:cs="Times New Roman"/>
          <w:sz w:val="24"/>
          <w:szCs w:val="24"/>
        </w:rPr>
      </w:pPr>
    </w:p>
    <w:p w14:paraId="2F325376">
      <w:pPr>
        <w:spacing w:line="480" w:lineRule="auto"/>
        <w:rPr>
          <w:rFonts w:hint="default" w:ascii="Times New Roman" w:hAnsi="Times New Roman" w:cs="Times New Roman"/>
          <w:sz w:val="24"/>
          <w:szCs w:val="24"/>
        </w:rPr>
      </w:pPr>
    </w:p>
    <w:p w14:paraId="450CB9FA">
      <w:pPr>
        <w:spacing w:line="480" w:lineRule="auto"/>
        <w:rPr>
          <w:rFonts w:hint="default" w:ascii="Times New Roman" w:hAnsi="Times New Roman" w:cs="Times New Roman"/>
          <w:sz w:val="24"/>
          <w:szCs w:val="24"/>
        </w:rPr>
      </w:pPr>
    </w:p>
    <w:p w14:paraId="7B92112B">
      <w:pPr>
        <w:spacing w:line="480" w:lineRule="auto"/>
        <w:rPr>
          <w:rFonts w:hint="default" w:ascii="Times New Roman" w:hAnsi="Times New Roman" w:cs="Times New Roman"/>
          <w:sz w:val="24"/>
          <w:szCs w:val="24"/>
        </w:rPr>
      </w:pPr>
    </w:p>
    <w:p w14:paraId="55CF851A">
      <w:pPr>
        <w:spacing w:line="480" w:lineRule="auto"/>
        <w:rPr>
          <w:rFonts w:hint="default" w:ascii="Times New Roman" w:hAnsi="Times New Roman" w:cs="Times New Roman"/>
          <w:sz w:val="24"/>
          <w:szCs w:val="24"/>
        </w:rPr>
      </w:pPr>
    </w:p>
    <w:p w14:paraId="1A238C02">
      <w:pPr>
        <w:spacing w:line="480" w:lineRule="auto"/>
        <w:rPr>
          <w:rFonts w:hint="default" w:ascii="Times New Roman" w:hAnsi="Times New Roman" w:cs="Times New Roman"/>
          <w:sz w:val="24"/>
          <w:szCs w:val="24"/>
        </w:rPr>
      </w:pPr>
    </w:p>
    <w:p w14:paraId="4C15EFB6">
      <w:pPr>
        <w:spacing w:line="480" w:lineRule="auto"/>
        <w:rPr>
          <w:rFonts w:hint="default" w:ascii="Times New Roman" w:hAnsi="Times New Roman" w:cs="Times New Roman"/>
          <w:sz w:val="24"/>
          <w:szCs w:val="24"/>
        </w:rPr>
      </w:pPr>
    </w:p>
    <w:p w14:paraId="26351E18">
      <w:pPr>
        <w:spacing w:line="480" w:lineRule="auto"/>
        <w:rPr>
          <w:rFonts w:hint="default" w:ascii="Times New Roman" w:hAnsi="Times New Roman" w:cs="Times New Roman"/>
          <w:sz w:val="24"/>
          <w:szCs w:val="24"/>
        </w:rPr>
      </w:pPr>
    </w:p>
    <w:p w14:paraId="368BDB0C">
      <w:pPr>
        <w:spacing w:line="480" w:lineRule="auto"/>
        <w:rPr>
          <w:rFonts w:hint="default" w:ascii="Times New Roman" w:hAnsi="Times New Roman" w:cs="Times New Roman"/>
          <w:sz w:val="24"/>
          <w:szCs w:val="24"/>
        </w:rPr>
      </w:pPr>
    </w:p>
    <w:p w14:paraId="27759388">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Abstract</w:t>
      </w:r>
    </w:p>
    <w:p w14:paraId="2A256DD4">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In the contemporary business environment, the tension between the application of management theories and ethical considerations has become increasingly pronounced. This report examines NexusTech Global, a UK-based technology company, as a case study. By integrating mainstream management theories (Taylor's scientific management, Fayol's general management, Weber's bureaucracy, contingency theory) with critical management theories (post-bureaucracy, Foucault's disciplinary power, feminist management, systems theory), it analyzes the root causes of mismanagement, overwork, and opaque decision-making that emerged during the company's rapid expansion. The study reveals that the overapplication of mainstream theories has led to employee burnout and declining trust, while critical theories expose the underlying power discipline and cultural conflicts within its management practices. Based on these findings, the report proposes reforms including flexible work arrangements, agile delegation, and diverse ethical governance to balance efficiency with ethics, rebuild organizational trust and stability, and provide insights for integrating theoretical utility with ethical humanism in contemporary management practice.</w:t>
      </w:r>
    </w:p>
    <w:p w14:paraId="23391CE1">
      <w:pPr>
        <w:spacing w:line="480" w:lineRule="auto"/>
        <w:rPr>
          <w:rFonts w:hint="default" w:ascii="Times New Roman" w:hAnsi="Times New Roman" w:cs="Times New Roman"/>
          <w:sz w:val="24"/>
          <w:szCs w:val="24"/>
        </w:rPr>
      </w:pPr>
    </w:p>
    <w:p w14:paraId="372B7C1B">
      <w:pPr>
        <w:spacing w:line="480" w:lineRule="auto"/>
        <w:rPr>
          <w:rFonts w:hint="default" w:ascii="Times New Roman" w:hAnsi="Times New Roman" w:cs="Times New Roman"/>
          <w:sz w:val="24"/>
          <w:szCs w:val="24"/>
        </w:rPr>
      </w:pPr>
    </w:p>
    <w:p w14:paraId="792EA630">
      <w:pPr>
        <w:spacing w:line="480" w:lineRule="auto"/>
        <w:rPr>
          <w:rFonts w:hint="default" w:ascii="Times New Roman" w:hAnsi="Times New Roman" w:cs="Times New Roman"/>
          <w:sz w:val="24"/>
          <w:szCs w:val="24"/>
        </w:rPr>
      </w:pPr>
    </w:p>
    <w:p w14:paraId="47585185">
      <w:pPr>
        <w:spacing w:line="480" w:lineRule="auto"/>
        <w:rPr>
          <w:rFonts w:hint="default" w:ascii="Times New Roman" w:hAnsi="Times New Roman" w:cs="Times New Roman"/>
          <w:sz w:val="24"/>
          <w:szCs w:val="24"/>
        </w:rPr>
      </w:pPr>
    </w:p>
    <w:p w14:paraId="580502BC">
      <w:pPr>
        <w:spacing w:line="480" w:lineRule="auto"/>
        <w:rPr>
          <w:rFonts w:hint="default" w:ascii="Times New Roman" w:hAnsi="Times New Roman" w:cs="Times New Roman"/>
          <w:sz w:val="24"/>
          <w:szCs w:val="24"/>
        </w:rPr>
      </w:pPr>
    </w:p>
    <w:p w14:paraId="38F74B8F">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                               </w:t>
      </w:r>
    </w:p>
    <w:p w14:paraId="2DE79E9D">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 xml:space="preserve">                              </w:t>
      </w:r>
      <w:r>
        <w:rPr>
          <w:rFonts w:hint="default" w:ascii="Times New Roman" w:hAnsi="Times New Roman" w:cs="Times New Roman"/>
          <w:b/>
          <w:bCs/>
          <w:sz w:val="24"/>
          <w:szCs w:val="24"/>
        </w:rPr>
        <w:t>Content</w:t>
      </w:r>
    </w:p>
    <w:p w14:paraId="57DA3FE5">
      <w:pPr>
        <w:spacing w:line="480" w:lineRule="auto"/>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1.0 Introduction………………………………………………………………………</w:t>
      </w:r>
      <w:r>
        <w:rPr>
          <w:rFonts w:hint="eastAsia" w:ascii="Times New Roman" w:hAnsi="Times New Roman" w:cs="Times New Roman"/>
          <w:sz w:val="24"/>
          <w:szCs w:val="24"/>
          <w:lang w:val="en-US" w:eastAsia="zh-CN"/>
        </w:rPr>
        <w:t>7</w:t>
      </w:r>
    </w:p>
    <w:p w14:paraId="569475E1">
      <w:pPr>
        <w:spacing w:line="480" w:lineRule="auto"/>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2.0 Theoretical Framework…………………………………………………………..</w:t>
      </w:r>
      <w:r>
        <w:rPr>
          <w:rFonts w:hint="eastAsia" w:ascii="Times New Roman" w:hAnsi="Times New Roman" w:cs="Times New Roman"/>
          <w:sz w:val="24"/>
          <w:szCs w:val="24"/>
          <w:lang w:val="en-US" w:eastAsia="zh-CN"/>
        </w:rPr>
        <w:t>8</w:t>
      </w:r>
    </w:p>
    <w:p w14:paraId="7FAD0E78">
      <w:pPr>
        <w:spacing w:line="480" w:lineRule="auto"/>
        <w:ind w:firstLine="240" w:firstLineChars="100"/>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2.1 Mainstream Management Theories…………………………………………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.8</w:t>
      </w:r>
    </w:p>
    <w:p w14:paraId="020BAC57">
      <w:pPr>
        <w:spacing w:line="480" w:lineRule="auto"/>
        <w:ind w:firstLine="480" w:firstLineChars="200"/>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2.1.1 Taylor's Scientific Management Theory……………………………..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.8</w:t>
      </w:r>
    </w:p>
    <w:p w14:paraId="1B06CB8F">
      <w:pPr>
        <w:spacing w:line="480" w:lineRule="auto"/>
        <w:ind w:firstLine="480" w:firstLineChars="200"/>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 xml:space="preserve">2.1.2 </w:t>
      </w:r>
      <w:r>
        <w:rPr>
          <w:rFonts w:hint="eastAsia" w:ascii="Times New Roman" w:hAnsi="Times New Roman" w:cs="Times New Roman"/>
          <w:sz w:val="24"/>
          <w:szCs w:val="24"/>
          <w:lang w:val="en-US" w:eastAsia="zh-CN"/>
        </w:rPr>
        <w:t>Weber</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Bureaucratic</w:t>
      </w:r>
      <w:r>
        <w:rPr>
          <w:rFonts w:hint="default" w:ascii="Times New Roman" w:hAnsi="Times New Roman" w:cs="Times New Roman"/>
          <w:sz w:val="24"/>
          <w:szCs w:val="24"/>
        </w:rPr>
        <w:t xml:space="preserve"> Theory………………………………..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..............8</w:t>
      </w:r>
    </w:p>
    <w:p w14:paraId="732E1044">
      <w:pPr>
        <w:spacing w:line="480" w:lineRule="auto"/>
        <w:ind w:firstLine="240" w:firstLineChars="100"/>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2.2 Critical Management Theor</w:t>
      </w:r>
      <w:r>
        <w:rPr>
          <w:rFonts w:hint="eastAsia" w:ascii="Times New Roman" w:hAnsi="Times New Roman" w:cs="Times New Roman"/>
          <w:sz w:val="24"/>
          <w:szCs w:val="24"/>
          <w:lang w:val="en-US" w:eastAsia="zh-CN"/>
        </w:rPr>
        <w:t>y</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.8</w:t>
      </w:r>
    </w:p>
    <w:p w14:paraId="0EC567CA">
      <w:pPr>
        <w:spacing w:line="480" w:lineRule="auto"/>
        <w:ind w:firstLine="480" w:firstLineChars="200"/>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 xml:space="preserve">2.2.1 </w:t>
      </w:r>
      <w:r>
        <w:rPr>
          <w:rFonts w:hint="eastAsia" w:ascii="Times New Roman" w:hAnsi="Times New Roman" w:cs="Times New Roman"/>
          <w:sz w:val="24"/>
          <w:szCs w:val="24"/>
          <w:lang w:val="en-US" w:eastAsia="zh-CN"/>
        </w:rPr>
        <w:t>Foucault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Disciplinary Power Theory.</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.8</w:t>
      </w:r>
    </w:p>
    <w:p w14:paraId="6620D120">
      <w:pPr>
        <w:spacing w:line="480" w:lineRule="auto"/>
        <w:ind w:firstLine="480" w:firstLineChars="200"/>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 xml:space="preserve">2.2.2 </w:t>
      </w:r>
      <w:r>
        <w:rPr>
          <w:rFonts w:hint="eastAsia" w:ascii="Times New Roman" w:hAnsi="Times New Roman" w:cs="Times New Roman"/>
          <w:sz w:val="24"/>
          <w:szCs w:val="24"/>
          <w:lang w:val="en-US" w:eastAsia="zh-CN"/>
        </w:rPr>
        <w:t xml:space="preserve">Post- Bureaucractic </w:t>
      </w:r>
      <w:r>
        <w:rPr>
          <w:rFonts w:hint="default" w:ascii="Times New Roman" w:hAnsi="Times New Roman" w:cs="Times New Roman"/>
          <w:sz w:val="24"/>
          <w:szCs w:val="24"/>
        </w:rPr>
        <w:t>Theory………………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.9</w:t>
      </w:r>
    </w:p>
    <w:p w14:paraId="3E6CDE55">
      <w:pPr>
        <w:spacing w:line="480" w:lineRule="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3.0 Theoretical Analysis of</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NexusTech Global Management Issues………………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.9</w:t>
      </w:r>
    </w:p>
    <w:p w14:paraId="31556BD9">
      <w:pPr>
        <w:spacing w:line="480" w:lineRule="auto"/>
        <w:ind w:firstLine="240" w:firstLineChars="100"/>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3.1 Mainstream Theoretical P</w:t>
      </w:r>
      <w:r>
        <w:rPr>
          <w:rFonts w:hint="eastAsia" w:ascii="Times New Roman" w:hAnsi="Times New Roman" w:cs="Times New Roman"/>
          <w:sz w:val="24"/>
          <w:szCs w:val="24"/>
          <w:lang w:val="en-US" w:eastAsia="zh-CN"/>
        </w:rPr>
        <w:t>erspective</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.9</w:t>
      </w:r>
    </w:p>
    <w:p w14:paraId="40F3E654">
      <w:pPr>
        <w:spacing w:line="480" w:lineRule="auto"/>
        <w:ind w:firstLine="480"/>
        <w:rPr>
          <w:rFonts w:hint="default" w:ascii="Times New Roman" w:hAnsi="Times New Roman" w:cs="Times New Roman"/>
          <w:sz w:val="24"/>
          <w:szCs w:val="24"/>
          <w:lang w:val="en-US" w:eastAsia="zh-CN"/>
        </w:rPr>
      </w:pPr>
      <w:r>
        <w:rPr>
          <w:rFonts w:hint="default" w:ascii="Times New Roman" w:hAnsi="Times New Roman" w:cs="Times New Roman"/>
          <w:sz w:val="24"/>
          <w:szCs w:val="24"/>
        </w:rPr>
        <w:t>3.1.1 Alienation from Taylor's Scientific Management………………………..</w:t>
      </w:r>
      <w:r>
        <w:rPr>
          <w:rFonts w:hint="eastAsia" w:ascii="Times New Roman" w:hAnsi="Times New Roman" w:cs="Times New Roman"/>
          <w:sz w:val="24"/>
          <w:szCs w:val="24"/>
          <w:lang w:val="en-US" w:eastAsia="zh-CN"/>
        </w:rPr>
        <w:t>..9</w:t>
      </w:r>
    </w:p>
    <w:p w14:paraId="5D9BCC9E">
      <w:pPr>
        <w:spacing w:line="480" w:lineRule="auto"/>
        <w:ind w:firstLine="480"/>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3.1.2 Rigidity of Bureaucracy and Lack of Organizational Adaptability</w:t>
      </w:r>
      <w:r>
        <w:rPr>
          <w:rFonts w:hint="eastAsia" w:ascii="Times New Roman" w:hAnsi="Times New Roman" w:cs="Times New Roman"/>
          <w:sz w:val="24"/>
          <w:szCs w:val="24"/>
          <w:lang w:val="en-US" w:eastAsia="zh-CN"/>
        </w:rPr>
        <w:t>.............10</w:t>
      </w:r>
    </w:p>
    <w:p w14:paraId="04B73981">
      <w:pPr>
        <w:spacing w:line="480" w:lineRule="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 xml:space="preserve">  3.2 Critical Theor</w:t>
      </w:r>
      <w:r>
        <w:rPr>
          <w:rFonts w:hint="eastAsia" w:ascii="Times New Roman" w:hAnsi="Times New Roman" w:cs="Times New Roman"/>
          <w:sz w:val="24"/>
          <w:szCs w:val="24"/>
          <w:lang w:val="en-US" w:eastAsia="zh-CN"/>
        </w:rPr>
        <w:t>y Perspective</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11</w:t>
      </w:r>
    </w:p>
    <w:p w14:paraId="71B1EA3C">
      <w:pPr>
        <w:spacing w:line="480" w:lineRule="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 xml:space="preserve">    3.2.1 </w:t>
      </w:r>
      <w:r>
        <w:rPr>
          <w:rFonts w:hint="eastAsia" w:ascii="Times New Roman" w:hAnsi="Times New Roman" w:cs="Times New Roman"/>
          <w:sz w:val="24"/>
          <w:szCs w:val="24"/>
          <w:lang w:val="en-US" w:eastAsia="zh-CN"/>
        </w:rPr>
        <w:t>Foucault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Disciplinary Practicies and Trust-Eroding Mechanisms</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.11</w:t>
      </w:r>
    </w:p>
    <w:p w14:paraId="2F2DE286">
      <w:pPr>
        <w:spacing w:line="480" w:lineRule="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 xml:space="preserve">    3.2.2 </w:t>
      </w:r>
      <w:r>
        <w:rPr>
          <w:rFonts w:hint="eastAsia" w:ascii="Times New Roman" w:hAnsi="Times New Roman" w:cs="Times New Roman"/>
          <w:sz w:val="24"/>
          <w:szCs w:val="24"/>
          <w:lang w:val="en-US" w:eastAsia="zh-CN"/>
        </w:rPr>
        <w:t>Management Paradigm Contradictions from a Post-Bureaucratic Perspective</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11</w:t>
      </w:r>
    </w:p>
    <w:p w14:paraId="374C89B5">
      <w:pPr>
        <w:spacing w:line="480" w:lineRule="auto"/>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4</w:t>
      </w:r>
      <w:r>
        <w:rPr>
          <w:rFonts w:hint="default" w:ascii="Times New Roman" w:hAnsi="Times New Roman" w:cs="Times New Roman"/>
          <w:sz w:val="24"/>
          <w:szCs w:val="24"/>
        </w:rPr>
        <w:t>.0 Ethical Management Reform Recommendations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12</w:t>
      </w:r>
    </w:p>
    <w:p w14:paraId="53FEE942">
      <w:pPr>
        <w:spacing w:line="480" w:lineRule="auto"/>
        <w:ind w:firstLine="240" w:firstLineChars="100"/>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4</w:t>
      </w:r>
      <w:r>
        <w:rPr>
          <w:rFonts w:hint="default" w:ascii="Times New Roman" w:hAnsi="Times New Roman" w:cs="Times New Roman"/>
          <w:sz w:val="24"/>
          <w:szCs w:val="24"/>
        </w:rPr>
        <w:t>.1 Reconstructing Scientific Management</w:t>
      </w:r>
      <w:r>
        <w:rPr>
          <w:rFonts w:hint="eastAsia" w:ascii="Times New Roman" w:hAnsi="Times New Roman" w:cs="Times New Roman"/>
          <w:sz w:val="24"/>
          <w:szCs w:val="24"/>
          <w:lang w:val="en-US" w:eastAsia="zh-CN"/>
        </w:rPr>
        <w:t xml:space="preserve"> Ethics..................................................12</w:t>
      </w:r>
    </w:p>
    <w:p w14:paraId="76566838">
      <w:pPr>
        <w:spacing w:line="480" w:lineRule="auto"/>
        <w:ind w:firstLine="240" w:firstLineChars="100"/>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4</w:t>
      </w:r>
      <w:r>
        <w:rPr>
          <w:rFonts w:hint="default" w:ascii="Times New Roman" w:hAnsi="Times New Roman" w:cs="Times New Roman"/>
          <w:sz w:val="24"/>
          <w:szCs w:val="24"/>
        </w:rPr>
        <w:t>.2</w:t>
      </w:r>
      <w:r>
        <w:rPr>
          <w:rFonts w:hint="eastAsia" w:ascii="Times New Roman" w:hAnsi="Times New Roman" w:cs="Times New Roman"/>
          <w:sz w:val="24"/>
          <w:szCs w:val="24"/>
          <w:lang w:val="en-US" w:eastAsia="zh-CN"/>
        </w:rPr>
        <w:t xml:space="preserve"> Advancing Post-Bureaucratic Transformation...................................................12</w:t>
      </w:r>
    </w:p>
    <w:p w14:paraId="069D485D">
      <w:pPr>
        <w:spacing w:line="480" w:lineRule="auto"/>
        <w:ind w:firstLine="240" w:firstLineChars="1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w:t>
      </w:r>
      <w:r>
        <w:rPr>
          <w:rFonts w:hint="default" w:ascii="Times New Roman" w:hAnsi="Times New Roman" w:cs="Times New Roman"/>
          <w:sz w:val="24"/>
          <w:szCs w:val="24"/>
        </w:rPr>
        <w:t xml:space="preserve">.3 </w:t>
      </w:r>
      <w:r>
        <w:rPr>
          <w:rFonts w:hint="eastAsia" w:ascii="Times New Roman" w:hAnsi="Times New Roman" w:cs="Times New Roman"/>
          <w:sz w:val="24"/>
          <w:szCs w:val="24"/>
          <w:lang w:val="en-US" w:eastAsia="zh-CN"/>
        </w:rPr>
        <w:t>Establishing Power Balancing Mechanisms...................</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13</w:t>
      </w:r>
    </w:p>
    <w:p w14:paraId="56E751AC">
      <w:pPr>
        <w:spacing w:line="480" w:lineRule="auto"/>
        <w:ind w:firstLine="240" w:firstLineChars="1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4.4 Standardizing Diverse Ethical Governance........................................................14</w:t>
      </w:r>
    </w:p>
    <w:p w14:paraId="5DDFC87D">
      <w:pPr>
        <w:spacing w:line="48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5.0 Conclusion.............................................................................................................15</w:t>
      </w:r>
    </w:p>
    <w:p w14:paraId="503B2FB3">
      <w:pPr>
        <w:spacing w:line="480" w:lineRule="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6.0 Reference………………………………………………………………………..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16</w:t>
      </w:r>
    </w:p>
    <w:p w14:paraId="4CDD4465">
      <w:pPr>
        <w:spacing w:line="480" w:lineRule="auto"/>
        <w:rPr>
          <w:rFonts w:hint="default" w:ascii="Times New Roman" w:hAnsi="Times New Roman" w:cs="Times New Roman"/>
          <w:sz w:val="24"/>
          <w:szCs w:val="24"/>
        </w:rPr>
      </w:pPr>
    </w:p>
    <w:p w14:paraId="785BF7AF">
      <w:pPr>
        <w:spacing w:line="480" w:lineRule="auto"/>
        <w:rPr>
          <w:rFonts w:hint="default" w:ascii="Times New Roman" w:hAnsi="Times New Roman" w:cs="Times New Roman"/>
          <w:sz w:val="24"/>
          <w:szCs w:val="24"/>
        </w:rPr>
      </w:pPr>
    </w:p>
    <w:p w14:paraId="05A5F9EC">
      <w:pPr>
        <w:spacing w:line="480" w:lineRule="auto"/>
        <w:rPr>
          <w:rFonts w:hint="default" w:ascii="Times New Roman" w:hAnsi="Times New Roman" w:cs="Times New Roman"/>
          <w:sz w:val="24"/>
          <w:szCs w:val="24"/>
        </w:rPr>
      </w:pPr>
    </w:p>
    <w:p w14:paraId="346672EB">
      <w:pPr>
        <w:spacing w:line="480" w:lineRule="auto"/>
        <w:rPr>
          <w:rFonts w:hint="default" w:ascii="Times New Roman" w:hAnsi="Times New Roman" w:cs="Times New Roman"/>
          <w:sz w:val="24"/>
          <w:szCs w:val="24"/>
        </w:rPr>
      </w:pPr>
    </w:p>
    <w:p w14:paraId="2E87A26C">
      <w:pPr>
        <w:spacing w:line="480" w:lineRule="auto"/>
        <w:rPr>
          <w:rFonts w:hint="default" w:ascii="Times New Roman" w:hAnsi="Times New Roman" w:cs="Times New Roman"/>
          <w:sz w:val="24"/>
          <w:szCs w:val="24"/>
        </w:rPr>
      </w:pPr>
    </w:p>
    <w:p w14:paraId="7F7AB56F">
      <w:pPr>
        <w:spacing w:line="480" w:lineRule="auto"/>
        <w:rPr>
          <w:rFonts w:hint="default" w:ascii="Times New Roman" w:hAnsi="Times New Roman" w:cs="Times New Roman"/>
          <w:sz w:val="24"/>
          <w:szCs w:val="24"/>
        </w:rPr>
      </w:pPr>
    </w:p>
    <w:p w14:paraId="3A7E6386">
      <w:pPr>
        <w:spacing w:line="480" w:lineRule="auto"/>
        <w:rPr>
          <w:rFonts w:hint="default" w:ascii="Times New Roman" w:hAnsi="Times New Roman" w:cs="Times New Roman"/>
          <w:sz w:val="24"/>
          <w:szCs w:val="24"/>
        </w:rPr>
      </w:pPr>
    </w:p>
    <w:p w14:paraId="051F53E5">
      <w:pPr>
        <w:spacing w:line="480" w:lineRule="auto"/>
        <w:rPr>
          <w:rFonts w:hint="default" w:ascii="Times New Roman" w:hAnsi="Times New Roman" w:cs="Times New Roman"/>
          <w:sz w:val="24"/>
          <w:szCs w:val="24"/>
        </w:rPr>
      </w:pPr>
    </w:p>
    <w:p w14:paraId="6A37D5A3">
      <w:pPr>
        <w:spacing w:line="480" w:lineRule="auto"/>
        <w:rPr>
          <w:rFonts w:hint="default" w:ascii="Times New Roman" w:hAnsi="Times New Roman" w:cs="Times New Roman"/>
          <w:sz w:val="24"/>
          <w:szCs w:val="24"/>
        </w:rPr>
      </w:pPr>
    </w:p>
    <w:p w14:paraId="7A620328">
      <w:pPr>
        <w:spacing w:line="480" w:lineRule="auto"/>
        <w:rPr>
          <w:rFonts w:hint="default" w:ascii="Times New Roman" w:hAnsi="Times New Roman" w:cs="Times New Roman"/>
          <w:sz w:val="24"/>
          <w:szCs w:val="24"/>
        </w:rPr>
      </w:pPr>
    </w:p>
    <w:p w14:paraId="37E046B2">
      <w:pPr>
        <w:spacing w:line="480" w:lineRule="auto"/>
        <w:rPr>
          <w:rFonts w:hint="default" w:ascii="Times New Roman" w:hAnsi="Times New Roman" w:cs="Times New Roman"/>
          <w:sz w:val="24"/>
          <w:szCs w:val="24"/>
        </w:rPr>
      </w:pPr>
    </w:p>
    <w:p w14:paraId="4AF2B185">
      <w:pPr>
        <w:spacing w:line="480" w:lineRule="auto"/>
        <w:rPr>
          <w:rFonts w:hint="default" w:ascii="Times New Roman" w:hAnsi="Times New Roman" w:cs="Times New Roman"/>
          <w:sz w:val="24"/>
          <w:szCs w:val="24"/>
        </w:rPr>
      </w:pPr>
    </w:p>
    <w:p w14:paraId="4ECE0D8F">
      <w:pPr>
        <w:spacing w:line="480" w:lineRule="auto"/>
        <w:rPr>
          <w:rFonts w:hint="default" w:ascii="Times New Roman" w:hAnsi="Times New Roman" w:cs="Times New Roman"/>
          <w:sz w:val="24"/>
          <w:szCs w:val="24"/>
        </w:rPr>
      </w:pPr>
    </w:p>
    <w:p w14:paraId="6803D848">
      <w:pPr>
        <w:spacing w:line="480" w:lineRule="auto"/>
        <w:rPr>
          <w:rFonts w:hint="default" w:ascii="Times New Roman" w:hAnsi="Times New Roman" w:cs="Times New Roman"/>
          <w:sz w:val="24"/>
          <w:szCs w:val="24"/>
        </w:rPr>
      </w:pPr>
    </w:p>
    <w:p w14:paraId="0BDC98BB">
      <w:pPr>
        <w:spacing w:line="480" w:lineRule="auto"/>
        <w:rPr>
          <w:rFonts w:hint="default" w:ascii="Times New Roman" w:hAnsi="Times New Roman" w:cs="Times New Roman"/>
          <w:sz w:val="24"/>
          <w:szCs w:val="24"/>
        </w:rPr>
      </w:pPr>
    </w:p>
    <w:p w14:paraId="09DC3FC6">
      <w:pPr>
        <w:spacing w:line="480" w:lineRule="auto"/>
        <w:rPr>
          <w:rFonts w:hint="default" w:ascii="Times New Roman" w:hAnsi="Times New Roman" w:cs="Times New Roman"/>
          <w:sz w:val="24"/>
          <w:szCs w:val="24"/>
        </w:rPr>
      </w:pPr>
    </w:p>
    <w:p w14:paraId="1A1DADF4">
      <w:pPr>
        <w:spacing w:line="480" w:lineRule="auto"/>
        <w:rPr>
          <w:rFonts w:hint="default" w:ascii="Times New Roman" w:hAnsi="Times New Roman" w:cs="Times New Roman"/>
          <w:sz w:val="24"/>
          <w:szCs w:val="24"/>
        </w:rPr>
      </w:pPr>
    </w:p>
    <w:p w14:paraId="613D70D8">
      <w:pPr>
        <w:spacing w:line="480" w:lineRule="auto"/>
        <w:rPr>
          <w:rFonts w:hint="default" w:ascii="Times New Roman" w:hAnsi="Times New Roman" w:cs="Times New Roman"/>
          <w:sz w:val="24"/>
          <w:szCs w:val="24"/>
        </w:rPr>
      </w:pPr>
    </w:p>
    <w:p w14:paraId="14578E7F">
      <w:pPr>
        <w:spacing w:line="480" w:lineRule="auto"/>
        <w:rPr>
          <w:rFonts w:hint="default" w:ascii="Times New Roman" w:hAnsi="Times New Roman" w:cs="Times New Roman"/>
          <w:sz w:val="24"/>
          <w:szCs w:val="24"/>
        </w:rPr>
      </w:pPr>
    </w:p>
    <w:p w14:paraId="36FBCC5A">
      <w:pPr>
        <w:spacing w:line="480" w:lineRule="auto"/>
        <w:rPr>
          <w:rFonts w:hint="default" w:ascii="Times New Roman" w:hAnsi="Times New Roman" w:cs="Times New Roman"/>
          <w:sz w:val="24"/>
          <w:szCs w:val="24"/>
        </w:rPr>
      </w:pPr>
    </w:p>
    <w:p w14:paraId="557BFDF1">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1.0 Introduction</w:t>
      </w:r>
    </w:p>
    <w:p w14:paraId="1D8B88D5">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the contemporary business environment, the tension between the application of management theory and ethical considerations is becoming increasingly prominent. NexusTech Global, a UK-based technology company specializing in AI-driven analytical tools for healthcare and retail clients, encountered ethical dilemmas in its management practices during rapid expansion. Issues such as rising employee burnout rates, a 38% decline in organizational trust, conflicts between agile management commitments and bureaucratic processes, and imbalances in regional diversity initiatives severely undermined organizational stability and sustainable development. This report aims to select core frameworks from mainstream and critical management theories, deeply analyze the root causes of these issues, establish direct connections between theory and case studies, and propose ethically grounded reform recommendations precisely aligned with the problems. This approach seeks to rebuild organizational trust, autonomy, and stability.</w:t>
      </w:r>
    </w:p>
    <w:p w14:paraId="2264F090">
      <w:pPr>
        <w:keepNext w:val="0"/>
        <w:keepLines w:val="0"/>
        <w:widowControl/>
        <w:suppressLineNumbers w:val="0"/>
        <w:spacing w:line="480" w:lineRule="auto"/>
        <w:jc w:val="both"/>
        <w:rPr>
          <w:rFonts w:hint="default" w:ascii="Times New Roman" w:hAnsi="Times New Roman" w:cs="Times New Roman"/>
          <w:sz w:val="24"/>
          <w:szCs w:val="24"/>
        </w:rPr>
      </w:pPr>
    </w:p>
    <w:p w14:paraId="0C119BB2">
      <w:pPr>
        <w:pStyle w:val="3"/>
        <w:keepNext w:val="0"/>
        <w:keepLines w:val="0"/>
        <w:widowControl/>
        <w:suppressLineNumbers w:val="0"/>
        <w:spacing w:line="480" w:lineRule="auto"/>
        <w:jc w:val="both"/>
        <w:rPr>
          <w:rFonts w:hint="default" w:ascii="Times New Roman" w:hAnsi="Times New Roman" w:cs="Times New Roman"/>
          <w:sz w:val="24"/>
          <w:szCs w:val="24"/>
        </w:rPr>
      </w:pPr>
    </w:p>
    <w:p w14:paraId="3558C345">
      <w:pPr>
        <w:spacing w:line="480" w:lineRule="auto"/>
        <w:jc w:val="both"/>
        <w:rPr>
          <w:rFonts w:hint="default" w:ascii="Times New Roman" w:hAnsi="Times New Roman" w:cs="Times New Roman"/>
          <w:sz w:val="24"/>
          <w:szCs w:val="24"/>
        </w:rPr>
      </w:pPr>
    </w:p>
    <w:p w14:paraId="261D1490">
      <w:pPr>
        <w:spacing w:line="480" w:lineRule="auto"/>
        <w:jc w:val="both"/>
        <w:rPr>
          <w:rFonts w:hint="default" w:ascii="Times New Roman" w:hAnsi="Times New Roman" w:cs="Times New Roman"/>
          <w:sz w:val="24"/>
          <w:szCs w:val="24"/>
        </w:rPr>
      </w:pPr>
    </w:p>
    <w:p w14:paraId="718FCEAB">
      <w:pPr>
        <w:spacing w:line="480" w:lineRule="auto"/>
        <w:jc w:val="both"/>
        <w:rPr>
          <w:rFonts w:hint="default" w:ascii="Times New Roman" w:hAnsi="Times New Roman" w:cs="Times New Roman"/>
          <w:sz w:val="24"/>
          <w:szCs w:val="24"/>
        </w:rPr>
      </w:pPr>
    </w:p>
    <w:p w14:paraId="144BEBAF">
      <w:pPr>
        <w:spacing w:line="480" w:lineRule="auto"/>
        <w:jc w:val="both"/>
        <w:rPr>
          <w:rFonts w:hint="default" w:ascii="Times New Roman" w:hAnsi="Times New Roman" w:cs="Times New Roman"/>
          <w:sz w:val="24"/>
          <w:szCs w:val="24"/>
        </w:rPr>
      </w:pPr>
    </w:p>
    <w:p w14:paraId="3BDF12AA">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2.0 Theoretical Framework</w:t>
      </w:r>
    </w:p>
    <w:p w14:paraId="45131AD1">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2.1 Mainstream Management Theories</w:t>
      </w:r>
    </w:p>
    <w:p w14:paraId="28BE8A44">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2.1.1 Taylor's Scientific Management Theory</w:t>
      </w:r>
    </w:p>
    <w:p w14:paraId="3F8E50A3">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Its core lies in maximizing efficiency through standardized work, time studies, and task division. Its ethical boundary emphasizes balancing “reasonable workload” with employee well-being. Overemphasizing efficiency while neglecting human needs leads to employee alienation (Taylor, 1911).</w:t>
      </w:r>
    </w:p>
    <w:p w14:paraId="6E835A07">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2.1.2 Weber's Bureaucratic Theory</w:t>
      </w:r>
    </w:p>
    <w:p w14:paraId="3187A4D9">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Characterized by hierarchy, rule-based systems, and impersonal processes, it aims to ensure organizational stability through defined procedures. Rigid application, however, can cause decision-making delays, reduced adaptability, and conflicts with dynamic market environments (Weber, 1947).</w:t>
      </w:r>
    </w:p>
    <w:p w14:paraId="6E6DB0D1">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2.2 Critical Management Theory</w:t>
      </w:r>
    </w:p>
    <w:p w14:paraId="017BE1FC">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2.2.1 Foucault's Disciplinary Power Theory</w:t>
      </w:r>
    </w:p>
    <w:p w14:paraId="78F63940">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Reveals how management exercises implicit control over employees through “microtechnologies” such as performance metrics, real-time monitoring, and regulatory systems. This power mechanism erodes employee autonomy and undermines trust relationships (Foucault, 1977).</w:t>
      </w:r>
    </w:p>
    <w:p w14:paraId="646793EA">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2.2.2 Post-Bureaucratic Theory</w:t>
      </w:r>
    </w:p>
    <w:p w14:paraId="567D3E8E">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Criticizes the rigid constraints of traditional bureaucracy, advocating for flat structures, employee empowerment, and flexible management. Its core objective is to balance organizational efficiency with employee autonomy, particularly suited to the agile development needs of technology enterprises (Clegg et al., 2007).</w:t>
      </w:r>
    </w:p>
    <w:p w14:paraId="34F6722E">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3.0 Theoretical Analysis of NexusTech Global Management Issues</w:t>
      </w:r>
    </w:p>
    <w:p w14:paraId="765717D8">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3.1 Mainstream Theoretical Perspective: Ethical Imbalance of Efficiency Supremacy</w:t>
      </w:r>
    </w:p>
    <w:p w14:paraId="28CA977E">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3.1.1 The Alienation of Taylorist Scientific Management and Its Ethical Consequences</w:t>
      </w:r>
    </w:p>
    <w:p w14:paraId="34902EED">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While the core value of Taylorist scientific management was originally “enhancing efficiency through rational division of labor while safeguarding employees' reasonable labor rights” (Taylor, 1911), NexusTech's middle managers reduced it to a “efficiency-only” management logic. They demanded employees work extended overtime to complete AI tool development tasks, completely disregarding the ethical boundary of “reasonable workload.” This misuse of theory directly exposes the core organizational issue: prioritizing management tools over human ethics has pushed employee workloads beyond reasonable limits, ultimately triggering a 38% surge in burnout rates and trust erosion. This reveals that NexusTech's efficiency drive was not “scientific management” but a deviation from the theory's core ethics. This deviation is critical because employee well-being underpins an organization's long-term efficiency. Short-term overburdening inevitably leads to talent attrition and diminished output quality.</w:t>
      </w:r>
    </w:p>
    <w:p w14:paraId="7CDA3D32">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3.1.2 Rigidity of Bureaucracy and Lack of Organizational Adaptability</w:t>
      </w:r>
    </w:p>
    <w:p w14:paraId="33D496F5">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Weber's bureaucratic theory originally aimed to ensure organizational stability through standardized processes (Weber, 1947). However, NexusTech applied it to technology product development—a field demanding rapid market responsiveness—resulting in cumbersome “seven-tier approval” procedures. This misapplication exposes a core organizational contradiction: the “stability” inherent in bureaucracy directly conflicts with the “agile iteration” imperative of tech enterprises, violating the fundamental principle that management theory must align with organizational context. This issue is critical because the AI analytics tool market is fiercely competitive. Excessively long approval cycles cause products to miss market windows while eroding employee trust in the organization's “Agile by design” commitment.</w:t>
      </w:r>
    </w:p>
    <w:p w14:paraId="128E1B72">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3.2 Critical Theory Perspective: The Intrinsic Conflict Between Power Control and Management Paradigms</w:t>
      </w:r>
    </w:p>
    <w:p w14:paraId="2AAA4119">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3.2.1 Foucault's Disciplinary Practices and Trust-Eroding Mechanisms</w:t>
      </w:r>
    </w:p>
    <w:p w14:paraId="1BE50F69">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Foucault's theory reveals that NexusTech's “rigorous performance metrics” (e.g., five weekly client analysis reports) and “real-time reporting requirements” are not merely management tools, but rather covert disciplinary techniques (Foucault, 1977). This mechanism places employees under constant surveillance, stripping them of work autonomy and decision-making participation. The opacity of decision-making further reinforces management's hegemonic power. This theory reveals the deep-seated cause behind the 38% decline in organizational trust: trust is built on equality and respect, while disciplinary management fundamentally disrespects employees' dignity. This power imbalance is critical because tech companies' core competitiveness stems from employee creativity, which is severely stifled under high-pressure surveillance environments.</w:t>
      </w:r>
    </w:p>
    <w:p w14:paraId="7AF9A018">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3.2.2 Management Paradigm Contradictions from a Post-Bureaucratic Perspective</w:t>
      </w:r>
    </w:p>
    <w:p w14:paraId="7AF23169">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Post-bureaucratic theory emphasizes that “flat structures and employee empowerment are key to agile development in tech companies” (Clegg et al., 2007). This theory directly points to NexusTech's management paradox: while the company champions “agility,” it maintains a highly controlled bureaucratic management culture, creating an inherent conflict between “promise and practice.” Simultaneously, the theory's concept of “inclusive governance” reveals the fundamental nature of regional diversity initiative inconsistencies—these are not mere implementation variations but stem from a lack of ethical consideration for “organizational fairness” in management. The imbalance in diversity initiatives between the London and Manchester offices fundamentally constitutes discriminatory treatment toward certain employees. This ethical oversight is significant because diversity and inclusion are core elements for technology companies to attract talent and mitigate reputational risks. Imbalanced initiatives can trigger ethical dissatisfaction among employees and undermine organizational cohesion.</w:t>
      </w:r>
    </w:p>
    <w:p w14:paraId="0CDDE3C0">
      <w:pPr>
        <w:pStyle w:val="3"/>
        <w:keepNext w:val="0"/>
        <w:keepLines w:val="0"/>
        <w:widowControl/>
        <w:suppressLineNumbers w:val="0"/>
        <w:spacing w:line="480" w:lineRule="auto"/>
        <w:jc w:val="both"/>
        <w:rPr>
          <w:rFonts w:hint="default" w:ascii="Times New Roman" w:hAnsi="Times New Roman" w:cs="Times New Roman"/>
          <w:sz w:val="24"/>
          <w:szCs w:val="24"/>
        </w:rPr>
      </w:pPr>
    </w:p>
    <w:p w14:paraId="40E0D342">
      <w:pPr>
        <w:pStyle w:val="3"/>
        <w:keepNext w:val="0"/>
        <w:keepLines w:val="0"/>
        <w:widowControl/>
        <w:suppressLineNumbers w:val="0"/>
        <w:spacing w:line="480" w:lineRule="auto"/>
        <w:jc w:val="both"/>
        <w:rPr>
          <w:rFonts w:hint="default" w:ascii="Times New Roman" w:hAnsi="Times New Roman" w:cs="Times New Roman"/>
          <w:sz w:val="24"/>
          <w:szCs w:val="24"/>
        </w:rPr>
      </w:pPr>
    </w:p>
    <w:p w14:paraId="77BAB472">
      <w:pPr>
        <w:pStyle w:val="3"/>
        <w:keepNext w:val="0"/>
        <w:keepLines w:val="0"/>
        <w:widowControl/>
        <w:suppressLineNumbers w:val="0"/>
        <w:spacing w:line="480" w:lineRule="auto"/>
        <w:jc w:val="both"/>
        <w:rPr>
          <w:rFonts w:hint="default" w:ascii="Times New Roman" w:hAnsi="Times New Roman" w:cs="Times New Roman"/>
          <w:sz w:val="24"/>
          <w:szCs w:val="24"/>
        </w:rPr>
      </w:pPr>
    </w:p>
    <w:p w14:paraId="7B7DD921">
      <w:pPr>
        <w:pStyle w:val="3"/>
        <w:keepNext w:val="0"/>
        <w:keepLines w:val="0"/>
        <w:widowControl/>
        <w:suppressLineNumbers w:val="0"/>
        <w:spacing w:line="480" w:lineRule="auto"/>
        <w:jc w:val="both"/>
        <w:rPr>
          <w:rFonts w:hint="default" w:ascii="Times New Roman" w:hAnsi="Times New Roman" w:cs="Times New Roman"/>
          <w:sz w:val="24"/>
          <w:szCs w:val="24"/>
        </w:rPr>
      </w:pPr>
    </w:p>
    <w:p w14:paraId="6293E04B">
      <w:pPr>
        <w:pStyle w:val="3"/>
        <w:keepNext w:val="0"/>
        <w:keepLines w:val="0"/>
        <w:widowControl/>
        <w:suppressLineNumbers w:val="0"/>
        <w:spacing w:line="480" w:lineRule="auto"/>
        <w:jc w:val="both"/>
        <w:rPr>
          <w:rFonts w:hint="default" w:ascii="Times New Roman" w:hAnsi="Times New Roman" w:cs="Times New Roman"/>
          <w:sz w:val="24"/>
          <w:szCs w:val="24"/>
        </w:rPr>
      </w:pPr>
    </w:p>
    <w:p w14:paraId="3A60AE5D">
      <w:pPr>
        <w:pStyle w:val="3"/>
        <w:keepNext w:val="0"/>
        <w:keepLines w:val="0"/>
        <w:widowControl/>
        <w:suppressLineNumbers w:val="0"/>
        <w:spacing w:line="480" w:lineRule="auto"/>
        <w:jc w:val="both"/>
        <w:rPr>
          <w:rFonts w:hint="default" w:ascii="Times New Roman" w:hAnsi="Times New Roman" w:cs="Times New Roman"/>
          <w:sz w:val="24"/>
          <w:szCs w:val="24"/>
        </w:rPr>
      </w:pPr>
    </w:p>
    <w:p w14:paraId="431CF64C">
      <w:pPr>
        <w:pStyle w:val="3"/>
        <w:keepNext w:val="0"/>
        <w:keepLines w:val="0"/>
        <w:widowControl/>
        <w:suppressLineNumbers w:val="0"/>
        <w:spacing w:line="480" w:lineRule="auto"/>
        <w:jc w:val="both"/>
        <w:rPr>
          <w:rFonts w:hint="default" w:ascii="Times New Roman" w:hAnsi="Times New Roman" w:cs="Times New Roman"/>
          <w:sz w:val="24"/>
          <w:szCs w:val="24"/>
        </w:rPr>
      </w:pPr>
    </w:p>
    <w:p w14:paraId="72502555">
      <w:pPr>
        <w:pStyle w:val="3"/>
        <w:keepNext w:val="0"/>
        <w:keepLines w:val="0"/>
        <w:widowControl/>
        <w:suppressLineNumbers w:val="0"/>
        <w:spacing w:line="480" w:lineRule="auto"/>
        <w:jc w:val="both"/>
        <w:rPr>
          <w:rFonts w:hint="default" w:ascii="Times New Roman" w:hAnsi="Times New Roman" w:cs="Times New Roman"/>
          <w:sz w:val="24"/>
          <w:szCs w:val="24"/>
        </w:rPr>
      </w:pPr>
    </w:p>
    <w:p w14:paraId="5E6E34D3">
      <w:pPr>
        <w:pStyle w:val="3"/>
        <w:keepNext w:val="0"/>
        <w:keepLines w:val="0"/>
        <w:widowControl/>
        <w:suppressLineNumbers w:val="0"/>
        <w:spacing w:line="480" w:lineRule="auto"/>
        <w:jc w:val="both"/>
        <w:rPr>
          <w:rFonts w:hint="default" w:ascii="Times New Roman" w:hAnsi="Times New Roman" w:cs="Times New Roman"/>
          <w:sz w:val="24"/>
          <w:szCs w:val="24"/>
        </w:rPr>
      </w:pPr>
    </w:p>
    <w:p w14:paraId="6C39BCCD">
      <w:pPr>
        <w:pStyle w:val="3"/>
        <w:keepNext w:val="0"/>
        <w:keepLines w:val="0"/>
        <w:widowControl/>
        <w:suppressLineNumbers w:val="0"/>
        <w:spacing w:line="480" w:lineRule="auto"/>
        <w:jc w:val="both"/>
        <w:rPr>
          <w:rFonts w:hint="default" w:ascii="Times New Roman" w:hAnsi="Times New Roman" w:cs="Times New Roman"/>
          <w:sz w:val="24"/>
          <w:szCs w:val="24"/>
        </w:rPr>
      </w:pPr>
    </w:p>
    <w:p w14:paraId="2FA3CE47">
      <w:pPr>
        <w:pStyle w:val="3"/>
        <w:keepNext w:val="0"/>
        <w:keepLines w:val="0"/>
        <w:widowControl/>
        <w:suppressLineNumbers w:val="0"/>
        <w:spacing w:line="480" w:lineRule="auto"/>
        <w:jc w:val="both"/>
        <w:rPr>
          <w:rFonts w:hint="default" w:ascii="Times New Roman" w:hAnsi="Times New Roman" w:cs="Times New Roman"/>
          <w:sz w:val="24"/>
          <w:szCs w:val="24"/>
        </w:rPr>
      </w:pPr>
    </w:p>
    <w:p w14:paraId="3079FB2F">
      <w:pPr>
        <w:pStyle w:val="3"/>
        <w:keepNext w:val="0"/>
        <w:keepLines w:val="0"/>
        <w:widowControl/>
        <w:suppressLineNumbers w:val="0"/>
        <w:spacing w:line="480" w:lineRule="auto"/>
        <w:jc w:val="both"/>
        <w:rPr>
          <w:rFonts w:hint="default" w:ascii="Times New Roman" w:hAnsi="Times New Roman" w:cs="Times New Roman"/>
          <w:sz w:val="24"/>
          <w:szCs w:val="24"/>
        </w:rPr>
      </w:pPr>
    </w:p>
    <w:p w14:paraId="7246D254">
      <w:pPr>
        <w:pStyle w:val="3"/>
        <w:keepNext w:val="0"/>
        <w:keepLines w:val="0"/>
        <w:widowControl/>
        <w:suppressLineNumbers w:val="0"/>
        <w:spacing w:line="480" w:lineRule="auto"/>
        <w:jc w:val="both"/>
        <w:rPr>
          <w:rFonts w:hint="default" w:ascii="Times New Roman" w:hAnsi="Times New Roman" w:cs="Times New Roman"/>
          <w:sz w:val="24"/>
          <w:szCs w:val="24"/>
        </w:rPr>
      </w:pPr>
    </w:p>
    <w:p w14:paraId="623BC3AE">
      <w:pPr>
        <w:pStyle w:val="3"/>
        <w:keepNext w:val="0"/>
        <w:keepLines w:val="0"/>
        <w:widowControl/>
        <w:suppressLineNumbers w:val="0"/>
        <w:spacing w:line="480" w:lineRule="auto"/>
        <w:jc w:val="both"/>
        <w:rPr>
          <w:rFonts w:hint="default" w:ascii="Times New Roman" w:hAnsi="Times New Roman" w:cs="Times New Roman"/>
          <w:sz w:val="24"/>
          <w:szCs w:val="24"/>
        </w:rPr>
      </w:pPr>
    </w:p>
    <w:p w14:paraId="36D63728">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4.0 Ethical Management Reform Recommendations</w:t>
      </w:r>
    </w:p>
    <w:p w14:paraId="4BC35C9A">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4.1 Reconstructing Scientific Management Ethics: Balancing Efficiency and Employee Well-being</w:t>
      </w:r>
    </w:p>
    <w:p w14:paraId="6D003DB4">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Addressing the issues of “employee burnout and declining trust” caused by the alienation of Taylorist scientific management, we will implement a flexible work system inspired by the core logic of the High-Performance Work System (HPWS): core collaboration hours will be set from 10:00 AM to 4:00 PM, with employees freely arranging their work location and pace during other times; Establish a weekly “No-Meeting Day” (Wednesdays) to safeguard focused work time. The HR department must complete pilot programs in London and Manchester offices within three months, tracking burnout rate changes through regular employee surveys with a 25% reduction target (Appelbaum et al., 2000). This proposal directly addresses the core issue of “employee alienation caused by excessive efficiency pursuit,” returning to the ethical essence of Taylor's scientific management—the balance between efficiency and well-being—and rebuilding trust by safeguarding employee labor rights.</w:t>
      </w:r>
    </w:p>
    <w:p w14:paraId="7AE848FF">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4.2 Advancing Post-Bureaucratic Transformation: Overcoming Process Rigidity and Under-Empowerment</w:t>
      </w:r>
    </w:p>
    <w:p w14:paraId="64ED656D">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 address the problems of “lengthy approval cycles and unfulfilled agile commitments” caused by bureaucratic rigidity, drawing on the “flattening and empowerment” principles of post-bureaucratic theory (Clegg et al., 2007), cross-departmental agile teams were established. Each team comprises product, technical, and marketing personnel, granted full autonomous decision-making authority for projects under £50,000, including requirement assessment, development planning, and launch decisions. Simultaneously, core business processes were streamlined by reducing approval tiers for new feature launches from seven to three (retaining only product compliance review, technical feasibility assessment, and market suitability confirmation), cutting average approval cycles from 21 days to under seven days (Denis et al., 2001). This proposal precisely addressed the conflict between bureaucratic processes and agile requirements. Through structural optimization and empowerment, management practices aligned with the organization's “Agile by design” positioning.</w:t>
      </w:r>
    </w:p>
    <w:p w14:paraId="46FC0A7B">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4.3 Establishing Power Balancing Mechanisms: Mitigating Disciplinary Culture and Trust Deficits</w:t>
      </w:r>
    </w:p>
    <w:p w14:paraId="4D64E69C">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Addressing Foucault's insight that “disciplinary power leads to loss of autonomy,” two core initiatives were implemented: First, reforming the performance evaluation system by eliminating formalistic metrics like “five weekly reports.” This transitioned to a comprehensive assessment centered on project outcomes, client feedback, and team collaboration quality, reducing micromanagement of employees. Second, establish a “two-way communication mechanism between employees and management,” holding monthly cross-level forums to enable direct employee participation in formulating and optimizing management rules, thereby enhancing decision-making transparency. This proposal directly addresses the root cause of “covert power control undermining trust.” By weakening disciplinary management and strengthening employee involvement, it balances organizational power dynamics and rebuilds employee trust in management.</w:t>
      </w:r>
    </w:p>
    <w:p w14:paraId="380D621A">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4.4 Standardizing Diverse Ethical Governance: Achieving Regional Initiative Consistency</w:t>
      </w:r>
    </w:p>
    <w:p w14:paraId="6BDF9ABC">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Addressing the “inclusivity deficit” highlighted by post-bureaucratic theory, and drawing from feminist management's “equal participation” principle (Calás &amp; Smircich, 1996), establish a Diversity Committee comprising regional employee representatives and human resources experts. Within two months, the committee must establish unified diversity standards: ensuring female management representation exceeds 30% across all regions, creating a cross-regional diversity training sharing mechanism, and establishing reporting and oversight channels. Additionally, quarterly diversity progress reports should be published for full employee oversight (Acker, 1990). This proposal directly addresses the ethical oversight of “regional diversity initiative imbalance,” safeguarding organizational fairness through standardized governance and alleviating employees' ethical concerns.</w:t>
      </w:r>
    </w:p>
    <w:p w14:paraId="3A51D4F2">
      <w:pPr>
        <w:spacing w:line="480" w:lineRule="auto"/>
        <w:jc w:val="both"/>
        <w:rPr>
          <w:rFonts w:hint="default" w:ascii="Times New Roman" w:hAnsi="Times New Roman" w:cs="Times New Roman"/>
          <w:sz w:val="24"/>
          <w:szCs w:val="24"/>
        </w:rPr>
      </w:pPr>
    </w:p>
    <w:p w14:paraId="63CD3319">
      <w:pPr>
        <w:spacing w:line="480" w:lineRule="auto"/>
        <w:jc w:val="both"/>
        <w:rPr>
          <w:rFonts w:hint="default" w:ascii="Times New Roman" w:hAnsi="Times New Roman" w:cs="Times New Roman"/>
          <w:sz w:val="24"/>
          <w:szCs w:val="24"/>
        </w:rPr>
      </w:pPr>
    </w:p>
    <w:p w14:paraId="4D68A7D0">
      <w:pPr>
        <w:spacing w:line="480" w:lineRule="auto"/>
        <w:jc w:val="both"/>
        <w:rPr>
          <w:rFonts w:hint="default" w:ascii="Times New Roman" w:hAnsi="Times New Roman" w:cs="Times New Roman"/>
          <w:sz w:val="24"/>
          <w:szCs w:val="24"/>
        </w:rPr>
      </w:pPr>
    </w:p>
    <w:p w14:paraId="5A395F96">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5.0 Conclusion</w:t>
      </w:r>
    </w:p>
    <w:p w14:paraId="3A34D5C0">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NexusTech Global's management predicament fundamentally stems from “ethical misalignment” and “paradigm conflict” in applying management theories: the rigid application of Taylorist scientific management and bureaucratic theory has led to an imbalance between efficiency and well-being. The disciplinary power mechanisms revealed by Foucault and the rigid structures criticized by post-bureaucratic theory have further exacerbated the trust deficit and loss of autonomy. By selecting four core theories and deeply analyzing their direct relevance to the case issues, this report proposes four recommendations—“ethical scientific management, post-bureaucratic transformation, power balancing mechanisms, and diversified normative governance”—each precisely addressing the root causes of specific problems, thereby achieving a logical closed loop of “analysis-conclusion-recommendation.” In contemporary tech enterprise management, only by abandoning the singular logic of “efficiency above all” and integrating the instrumentalism of mainstream theories with the ethical demands of critical theories can organizations achieve a win-win between organizational efficiency and employee well-being in dynamic competitive environments, thereby realizing sustainable development.</w:t>
      </w:r>
    </w:p>
    <w:p w14:paraId="1C8A5AC6">
      <w:pPr>
        <w:spacing w:line="480" w:lineRule="auto"/>
        <w:rPr>
          <w:rFonts w:hint="default" w:ascii="Times New Roman" w:hAnsi="Times New Roman" w:cs="Times New Roman"/>
          <w:sz w:val="24"/>
          <w:szCs w:val="24"/>
        </w:rPr>
      </w:pPr>
    </w:p>
    <w:p w14:paraId="4D545BE2">
      <w:pPr>
        <w:spacing w:line="480" w:lineRule="auto"/>
        <w:rPr>
          <w:rFonts w:hint="default" w:ascii="Times New Roman" w:hAnsi="Times New Roman" w:cs="Times New Roman"/>
          <w:sz w:val="24"/>
          <w:szCs w:val="24"/>
        </w:rPr>
      </w:pPr>
    </w:p>
    <w:p w14:paraId="5A033C08">
      <w:pPr>
        <w:spacing w:line="480" w:lineRule="auto"/>
        <w:rPr>
          <w:rFonts w:hint="default" w:ascii="Times New Roman" w:hAnsi="Times New Roman" w:cs="Times New Roman"/>
          <w:sz w:val="24"/>
          <w:szCs w:val="24"/>
        </w:rPr>
      </w:pPr>
    </w:p>
    <w:p w14:paraId="0A416574">
      <w:pPr>
        <w:spacing w:line="480" w:lineRule="auto"/>
        <w:rPr>
          <w:rFonts w:hint="default" w:ascii="Times New Roman" w:hAnsi="Times New Roman" w:cs="Times New Roman"/>
          <w:sz w:val="24"/>
          <w:szCs w:val="24"/>
        </w:rPr>
      </w:pPr>
    </w:p>
    <w:p w14:paraId="245C10B0">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6.0 Reference</w:t>
      </w:r>
    </w:p>
    <w:p w14:paraId="683F4E03">
      <w:pPr>
        <w:spacing w:line="480" w:lineRule="auto"/>
        <w:rPr>
          <w:rFonts w:hint="default" w:ascii="Times New Roman" w:hAnsi="Times New Roman" w:cs="Times New Roman"/>
          <w:sz w:val="24"/>
          <w:szCs w:val="24"/>
        </w:rPr>
      </w:pPr>
    </w:p>
    <w:p w14:paraId="74EB428F">
      <w:pPr>
        <w:numPr>
          <w:ilvl w:val="0"/>
          <w:numId w:val="1"/>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Taylor, F. W. (1911). </w:t>
      </w:r>
      <w:r>
        <w:rPr>
          <w:rFonts w:hint="default" w:ascii="Times New Roman" w:hAnsi="Times New Roman" w:cs="Times New Roman"/>
          <w:i/>
          <w:iCs/>
          <w:sz w:val="24"/>
          <w:szCs w:val="24"/>
        </w:rPr>
        <w:t>The Principles of Scientific Management</w:t>
      </w:r>
      <w:r>
        <w:rPr>
          <w:rFonts w:hint="default" w:ascii="Times New Roman" w:hAnsi="Times New Roman" w:cs="Times New Roman"/>
          <w:sz w:val="24"/>
          <w:szCs w:val="24"/>
        </w:rPr>
        <w:t>. Harper &amp; Bros.</w:t>
      </w:r>
    </w:p>
    <w:p w14:paraId="0BE5BE0A">
      <w:pPr>
        <w:numPr>
          <w:numId w:val="0"/>
        </w:numPr>
        <w:spacing w:line="480" w:lineRule="auto"/>
        <w:rPr>
          <w:rFonts w:hint="default" w:ascii="Times New Roman" w:hAnsi="Times New Roman" w:cs="Times New Roman"/>
          <w:sz w:val="24"/>
          <w:szCs w:val="24"/>
        </w:rPr>
      </w:pPr>
    </w:p>
    <w:p w14:paraId="6C185666">
      <w:pPr>
        <w:numPr>
          <w:ilvl w:val="0"/>
          <w:numId w:val="1"/>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Weber, M. (1947)</w:t>
      </w:r>
      <w:r>
        <w:rPr>
          <w:rFonts w:hint="default" w:ascii="Times New Roman" w:hAnsi="Times New Roman" w:cs="Times New Roman"/>
          <w:i/>
          <w:iCs/>
          <w:sz w:val="24"/>
          <w:szCs w:val="24"/>
        </w:rPr>
        <w:t>. The Theory of Social and Economic Organization</w:t>
      </w:r>
      <w:r>
        <w:rPr>
          <w:rFonts w:hint="default" w:ascii="Times New Roman" w:hAnsi="Times New Roman" w:cs="Times New Roman"/>
          <w:sz w:val="24"/>
          <w:szCs w:val="24"/>
        </w:rPr>
        <w:t>. Oxford University Press.</w:t>
      </w:r>
    </w:p>
    <w:p w14:paraId="5FDF2009">
      <w:pPr>
        <w:spacing w:line="480" w:lineRule="auto"/>
        <w:rPr>
          <w:rFonts w:hint="default" w:ascii="Times New Roman" w:hAnsi="Times New Roman" w:cs="Times New Roman"/>
          <w:sz w:val="24"/>
          <w:szCs w:val="24"/>
        </w:rPr>
      </w:pPr>
    </w:p>
    <w:p w14:paraId="10A2C968">
      <w:pPr>
        <w:numPr>
          <w:ilvl w:val="0"/>
          <w:numId w:val="1"/>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Foucault, M. (1977). </w:t>
      </w:r>
      <w:r>
        <w:rPr>
          <w:rFonts w:hint="default" w:ascii="Times New Roman" w:hAnsi="Times New Roman" w:cs="Times New Roman"/>
          <w:i/>
          <w:iCs/>
          <w:sz w:val="24"/>
          <w:szCs w:val="24"/>
        </w:rPr>
        <w:t>Discipline and Punish: The Birth of the Prison</w:t>
      </w:r>
      <w:r>
        <w:rPr>
          <w:rFonts w:hint="default" w:ascii="Times New Roman" w:hAnsi="Times New Roman" w:cs="Times New Roman"/>
          <w:sz w:val="24"/>
          <w:szCs w:val="24"/>
        </w:rPr>
        <w:t>. Pantheon Books.</w:t>
      </w:r>
    </w:p>
    <w:p w14:paraId="5298B318">
      <w:pPr>
        <w:spacing w:line="480" w:lineRule="auto"/>
        <w:rPr>
          <w:rFonts w:hint="default" w:ascii="Times New Roman" w:hAnsi="Times New Roman" w:cs="Times New Roman"/>
          <w:sz w:val="24"/>
          <w:szCs w:val="24"/>
        </w:rPr>
      </w:pPr>
    </w:p>
    <w:p w14:paraId="63FE9D37">
      <w:pPr>
        <w:numPr>
          <w:ilvl w:val="0"/>
          <w:numId w:val="1"/>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Clegg, S., Kornberger, M., &amp; Pitsis, T. (2007). </w:t>
      </w:r>
      <w:r>
        <w:rPr>
          <w:rFonts w:hint="default" w:ascii="Times New Roman" w:hAnsi="Times New Roman" w:cs="Times New Roman"/>
          <w:i/>
          <w:iCs/>
          <w:sz w:val="24"/>
          <w:szCs w:val="24"/>
        </w:rPr>
        <w:t>Managing and Organizations: An Introduction to Theory and Practice.</w:t>
      </w:r>
      <w:r>
        <w:rPr>
          <w:rFonts w:hint="default" w:ascii="Times New Roman" w:hAnsi="Times New Roman" w:cs="Times New Roman"/>
          <w:sz w:val="24"/>
          <w:szCs w:val="24"/>
        </w:rPr>
        <w:t xml:space="preserve"> Sage.</w:t>
      </w:r>
    </w:p>
    <w:p w14:paraId="3F8CF7E5">
      <w:pPr>
        <w:numPr>
          <w:numId w:val="0"/>
        </w:numPr>
        <w:spacing w:line="480" w:lineRule="auto"/>
        <w:ind w:leftChars="0"/>
        <w:rPr>
          <w:rFonts w:hint="default" w:ascii="Times New Roman" w:hAnsi="Times New Roman" w:cs="Times New Roman"/>
          <w:sz w:val="24"/>
          <w:szCs w:val="24"/>
        </w:rPr>
      </w:pPr>
    </w:p>
    <w:p w14:paraId="57F8AE42">
      <w:pPr>
        <w:numPr>
          <w:numId w:val="0"/>
        </w:numPr>
        <w:spacing w:line="480" w:lineRule="auto"/>
        <w:ind w:leftChars="0"/>
        <w:rPr>
          <w:rFonts w:hint="default" w:ascii="Times New Roman" w:hAnsi="Times New Roman" w:cs="Times New Roman"/>
          <w:i/>
          <w:iCs/>
          <w:sz w:val="24"/>
          <w:szCs w:val="24"/>
        </w:rPr>
      </w:pPr>
      <w:r>
        <w:rPr>
          <w:rFonts w:hint="default" w:ascii="Times New Roman" w:hAnsi="Times New Roman" w:cs="Times New Roman"/>
          <w:sz w:val="24"/>
          <w:szCs w:val="24"/>
        </w:rPr>
        <w:t xml:space="preserve">5. Appelbaum, E., Bailey, T., Berg, P., &amp; Kalleberg, A. L. (2000). </w:t>
      </w:r>
      <w:r>
        <w:rPr>
          <w:rFonts w:hint="default" w:ascii="Times New Roman" w:hAnsi="Times New Roman" w:cs="Times New Roman"/>
          <w:i/>
          <w:iCs/>
          <w:sz w:val="24"/>
          <w:szCs w:val="24"/>
        </w:rPr>
        <w:t xml:space="preserve">Manufacturing Advantage: Why High-Performance Work Systems Pay Off. </w:t>
      </w:r>
      <w:r>
        <w:rPr>
          <w:rFonts w:hint="default" w:ascii="Times New Roman" w:hAnsi="Times New Roman" w:cs="Times New Roman"/>
          <w:i w:val="0"/>
          <w:iCs w:val="0"/>
          <w:sz w:val="24"/>
          <w:szCs w:val="24"/>
        </w:rPr>
        <w:t>Cornell University Press</w:t>
      </w:r>
      <w:r>
        <w:rPr>
          <w:rFonts w:hint="default" w:ascii="Times New Roman" w:hAnsi="Times New Roman" w:cs="Times New Roman"/>
          <w:i/>
          <w:iCs/>
          <w:sz w:val="24"/>
          <w:szCs w:val="24"/>
        </w:rPr>
        <w:t>.</w:t>
      </w:r>
    </w:p>
    <w:p w14:paraId="72F1E4AB">
      <w:pPr>
        <w:numPr>
          <w:numId w:val="0"/>
        </w:numPr>
        <w:spacing w:line="480" w:lineRule="auto"/>
        <w:ind w:leftChars="0"/>
        <w:rPr>
          <w:rFonts w:hint="default" w:ascii="Times New Roman" w:hAnsi="Times New Roman" w:cs="Times New Roman"/>
          <w:sz w:val="24"/>
          <w:szCs w:val="24"/>
        </w:rPr>
      </w:pPr>
    </w:p>
    <w:p w14:paraId="1BD7BC32">
      <w:pPr>
        <w:numPr>
          <w:numId w:val="0"/>
        </w:numPr>
        <w:spacing w:line="480" w:lineRule="auto"/>
        <w:ind w:leftChars="0"/>
        <w:rPr>
          <w:rFonts w:hint="default" w:ascii="Times New Roman" w:hAnsi="Times New Roman" w:cs="Times New Roman"/>
          <w:sz w:val="24"/>
          <w:szCs w:val="24"/>
        </w:rPr>
      </w:pPr>
      <w:r>
        <w:rPr>
          <w:rFonts w:hint="default" w:ascii="Times New Roman" w:hAnsi="Times New Roman" w:cs="Times New Roman"/>
          <w:sz w:val="24"/>
          <w:szCs w:val="24"/>
        </w:rPr>
        <w:t>6. Denis, J.-L., Langley, A., &amp; Sergi, V. (2001).</w:t>
      </w:r>
      <w:r>
        <w:rPr>
          <w:rFonts w:hint="default" w:ascii="Times New Roman" w:hAnsi="Times New Roman" w:cs="Times New Roman"/>
          <w:i/>
          <w:iCs/>
          <w:sz w:val="24"/>
          <w:szCs w:val="24"/>
        </w:rPr>
        <w:t xml:space="preserve"> Post-bureaucratic organizations: A review of current evidence and recommendations for future research.</w:t>
      </w:r>
      <w:r>
        <w:rPr>
          <w:rFonts w:hint="default" w:ascii="Times New Roman" w:hAnsi="Times New Roman" w:cs="Times New Roman"/>
          <w:sz w:val="24"/>
          <w:szCs w:val="24"/>
        </w:rPr>
        <w:t xml:space="preserve"> Organization Studies, 22(5), 891-922.</w:t>
      </w:r>
    </w:p>
    <w:p w14:paraId="00CCE17D">
      <w:pPr>
        <w:spacing w:line="480" w:lineRule="auto"/>
        <w:rPr>
          <w:rFonts w:hint="default" w:ascii="Times New Roman" w:hAnsi="Times New Roman" w:cs="Times New Roman"/>
          <w:sz w:val="24"/>
          <w:szCs w:val="24"/>
        </w:rPr>
      </w:pPr>
    </w:p>
    <w:p w14:paraId="696AE08B">
      <w:pPr>
        <w:numPr>
          <w:ilvl w:val="0"/>
          <w:numId w:val="2"/>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Calás, M. B., &amp; Smircich, L. (1996). </w:t>
      </w:r>
      <w:r>
        <w:rPr>
          <w:rFonts w:hint="default" w:ascii="Times New Roman" w:hAnsi="Times New Roman" w:cs="Times New Roman"/>
          <w:i/>
          <w:iCs/>
          <w:sz w:val="24"/>
          <w:szCs w:val="24"/>
        </w:rPr>
        <w:t xml:space="preserve">From the woman’s point of view: Feminist theories and organizational studies. </w:t>
      </w:r>
      <w:r>
        <w:rPr>
          <w:rFonts w:hint="default" w:ascii="Times New Roman" w:hAnsi="Times New Roman" w:cs="Times New Roman"/>
          <w:sz w:val="24"/>
          <w:szCs w:val="24"/>
        </w:rPr>
        <w:t>Academy of Management Review, 21(1), 200-254.</w:t>
      </w:r>
    </w:p>
    <w:p w14:paraId="3774E621">
      <w:pPr>
        <w:spacing w:line="480" w:lineRule="auto"/>
        <w:rPr>
          <w:rFonts w:hint="default" w:ascii="Times New Roman" w:hAnsi="Times New Roman" w:cs="Times New Roman"/>
          <w:sz w:val="24"/>
          <w:szCs w:val="24"/>
        </w:rPr>
      </w:pPr>
    </w:p>
    <w:p w14:paraId="5547439E">
      <w:pPr>
        <w:numPr>
          <w:ilvl w:val="0"/>
          <w:numId w:val="2"/>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Acker, J. (1990). Hierarchies, jobs, bodies: </w:t>
      </w:r>
      <w:r>
        <w:rPr>
          <w:rFonts w:hint="default" w:ascii="Times New Roman" w:hAnsi="Times New Roman" w:cs="Times New Roman"/>
          <w:i/>
          <w:iCs/>
          <w:sz w:val="24"/>
          <w:szCs w:val="24"/>
        </w:rPr>
        <w:t xml:space="preserve">A theory of gendered organizations. </w:t>
      </w:r>
      <w:r>
        <w:rPr>
          <w:rFonts w:hint="default" w:ascii="Times New Roman" w:hAnsi="Times New Roman" w:cs="Times New Roman"/>
          <w:sz w:val="24"/>
          <w:szCs w:val="24"/>
        </w:rPr>
        <w:t>Gender &amp; Society, 4(2), 139-158.</w:t>
      </w:r>
    </w:p>
    <w:p w14:paraId="6C26592E">
      <w:pPr>
        <w:spacing w:line="480" w:lineRule="auto"/>
        <w:rPr>
          <w:rFonts w:hint="default" w:ascii="Times New Roman" w:hAnsi="Times New Roman" w:cs="Times New Roman"/>
          <w:sz w:val="24"/>
          <w:szCs w:val="24"/>
        </w:rPr>
      </w:pPr>
    </w:p>
    <w:p w14:paraId="3793A6EA">
      <w:pPr>
        <w:numPr>
          <w:ilvl w:val="0"/>
          <w:numId w:val="2"/>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Fiedler, F. E. (1964). </w:t>
      </w:r>
      <w:r>
        <w:rPr>
          <w:rFonts w:hint="default" w:ascii="Times New Roman" w:hAnsi="Times New Roman" w:cs="Times New Roman"/>
          <w:i/>
          <w:iCs/>
          <w:sz w:val="24"/>
          <w:szCs w:val="24"/>
        </w:rPr>
        <w:t>A contingency model of leadership effectiveness</w:t>
      </w:r>
      <w:r>
        <w:rPr>
          <w:rFonts w:hint="default" w:ascii="Times New Roman" w:hAnsi="Times New Roman" w:cs="Times New Roman"/>
          <w:sz w:val="24"/>
          <w:szCs w:val="24"/>
        </w:rPr>
        <w:t>. Advances in Experimental Social Psychology, 1, 149-190.</w:t>
      </w:r>
    </w:p>
    <w:p w14:paraId="5DB61336">
      <w:pPr>
        <w:spacing w:line="480" w:lineRule="auto"/>
        <w:rPr>
          <w:rFonts w:hint="default" w:ascii="Times New Roman" w:hAnsi="Times New Roman" w:cs="Times New Roman"/>
          <w:sz w:val="24"/>
          <w:szCs w:val="24"/>
        </w:rPr>
      </w:pPr>
    </w:p>
    <w:p w14:paraId="6B3920EA">
      <w:pPr>
        <w:numPr>
          <w:ilvl w:val="0"/>
          <w:numId w:val="2"/>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Bertalanffy, L. V. (1968). </w:t>
      </w:r>
      <w:r>
        <w:rPr>
          <w:rFonts w:hint="default" w:ascii="Times New Roman" w:hAnsi="Times New Roman" w:cs="Times New Roman"/>
          <w:i/>
          <w:iCs/>
          <w:sz w:val="24"/>
          <w:szCs w:val="24"/>
        </w:rPr>
        <w:t xml:space="preserve">General System Theory: Foundations, Development, Applications. </w:t>
      </w:r>
      <w:r>
        <w:rPr>
          <w:rFonts w:hint="default" w:ascii="Times New Roman" w:hAnsi="Times New Roman" w:cs="Times New Roman"/>
          <w:sz w:val="24"/>
          <w:szCs w:val="24"/>
        </w:rPr>
        <w:t>George Braziller.</w:t>
      </w:r>
    </w:p>
    <w:p w14:paraId="3DFD21D0">
      <w:pPr>
        <w:spacing w:line="480" w:lineRule="auto"/>
        <w:rPr>
          <w:rFonts w:hint="default" w:ascii="Times New Roman" w:hAnsi="Times New Roman" w:cs="Times New Roman"/>
          <w:sz w:val="24"/>
          <w:szCs w:val="24"/>
        </w:rPr>
      </w:pPr>
    </w:p>
    <w:p w14:paraId="73F895E1">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12. Smith, J. (2024). </w:t>
      </w:r>
      <w:r>
        <w:rPr>
          <w:rFonts w:hint="default" w:ascii="Times New Roman" w:hAnsi="Times New Roman" w:cs="Times New Roman"/>
          <w:i/>
          <w:iCs/>
          <w:sz w:val="24"/>
          <w:szCs w:val="24"/>
        </w:rPr>
        <w:t>Ethical Dilemmas in Tech Startups: A Case Study of NexusTech Global</w:t>
      </w:r>
      <w:r>
        <w:rPr>
          <w:rFonts w:hint="default" w:ascii="Times New Roman" w:hAnsi="Times New Roman" w:cs="Times New Roman"/>
          <w:sz w:val="24"/>
          <w:szCs w:val="24"/>
        </w:rPr>
        <w:t>. Journal of Business Ethics, 45(2), 120-135.</w:t>
      </w:r>
    </w:p>
    <w:p w14:paraId="4338F9CA">
      <w:pPr>
        <w:spacing w:line="480" w:lineRule="auto"/>
        <w:rPr>
          <w:rFonts w:hint="default" w:ascii="Times New Roman" w:hAnsi="Times New Roman" w:cs="Times New Roman"/>
          <w:sz w:val="24"/>
          <w:szCs w:val="24"/>
        </w:rPr>
      </w:pPr>
    </w:p>
    <w:p w14:paraId="1DCA50A7">
      <w:pPr>
        <w:numPr>
          <w:ilvl w:val="0"/>
          <w:numId w:val="2"/>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Johnson, R. (2023). </w:t>
      </w:r>
      <w:r>
        <w:rPr>
          <w:rFonts w:hint="default" w:ascii="Times New Roman" w:hAnsi="Times New Roman" w:cs="Times New Roman"/>
          <w:i/>
          <w:iCs/>
          <w:sz w:val="24"/>
          <w:szCs w:val="24"/>
        </w:rPr>
        <w:t xml:space="preserve">Agile Management in Bureaucratic Structures: Tensions and Solutions. </w:t>
      </w:r>
      <w:r>
        <w:rPr>
          <w:rFonts w:hint="default" w:ascii="Times New Roman" w:hAnsi="Times New Roman" w:cs="Times New Roman"/>
          <w:sz w:val="24"/>
          <w:szCs w:val="24"/>
        </w:rPr>
        <w:t>Management Review, 30(4), 56-72.</w:t>
      </w:r>
    </w:p>
    <w:p w14:paraId="3D6F6166">
      <w:pPr>
        <w:spacing w:line="480" w:lineRule="auto"/>
        <w:rPr>
          <w:rFonts w:hint="default" w:ascii="Times New Roman" w:hAnsi="Times New Roman" w:cs="Times New Roman"/>
          <w:sz w:val="24"/>
          <w:szCs w:val="24"/>
        </w:rPr>
      </w:pPr>
    </w:p>
    <w:p w14:paraId="08D0A49D">
      <w:pPr>
        <w:numPr>
          <w:ilvl w:val="0"/>
          <w:numId w:val="2"/>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Brown, A. (2023). </w:t>
      </w:r>
      <w:r>
        <w:rPr>
          <w:rFonts w:hint="default" w:ascii="Times New Roman" w:hAnsi="Times New Roman" w:cs="Times New Roman"/>
          <w:i/>
          <w:iCs/>
          <w:sz w:val="24"/>
          <w:szCs w:val="24"/>
        </w:rPr>
        <w:t>Employee Trust and Organizational Performance: A Quantitative Analysis</w:t>
      </w:r>
      <w:r>
        <w:rPr>
          <w:rFonts w:hint="default" w:ascii="Times New Roman" w:hAnsi="Times New Roman" w:cs="Times New Roman"/>
          <w:sz w:val="24"/>
          <w:szCs w:val="24"/>
        </w:rPr>
        <w:t>. Journal of Organizational Behavior, 44(1), 89-105.</w:t>
      </w:r>
    </w:p>
    <w:p w14:paraId="5A9A3905">
      <w:pPr>
        <w:spacing w:line="480" w:lineRule="auto"/>
        <w:rPr>
          <w:rFonts w:hint="default" w:ascii="Times New Roman" w:hAnsi="Times New Roman" w:cs="Times New Roman"/>
          <w:sz w:val="24"/>
          <w:szCs w:val="24"/>
        </w:rPr>
      </w:pPr>
    </w:p>
    <w:p w14:paraId="67F66B76">
      <w:pPr>
        <w:numPr>
          <w:ilvl w:val="0"/>
          <w:numId w:val="2"/>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Wilson, K. (2022). </w:t>
      </w:r>
      <w:r>
        <w:rPr>
          <w:rFonts w:hint="default" w:ascii="Times New Roman" w:hAnsi="Times New Roman" w:cs="Times New Roman"/>
          <w:i/>
          <w:iCs/>
          <w:sz w:val="24"/>
          <w:szCs w:val="24"/>
        </w:rPr>
        <w:t>Diversity Initiatives in Multinational Corporations: Best Practices and Pitfalls.</w:t>
      </w:r>
      <w:r>
        <w:rPr>
          <w:rFonts w:hint="default" w:ascii="Times New Roman" w:hAnsi="Times New Roman" w:cs="Times New Roman"/>
          <w:sz w:val="24"/>
          <w:szCs w:val="24"/>
        </w:rPr>
        <w:t xml:space="preserve"> Global Business Review, 25(3), 456-478.</w:t>
      </w:r>
    </w:p>
    <w:p w14:paraId="67940BE2">
      <w:pPr>
        <w:spacing w:line="480" w:lineRule="auto"/>
        <w:rPr>
          <w:rFonts w:hint="default" w:ascii="Times New Roman" w:hAnsi="Times New Roman" w:cs="Times New Roman"/>
          <w:sz w:val="24"/>
          <w:szCs w:val="24"/>
        </w:rPr>
      </w:pPr>
    </w:p>
    <w:p w14:paraId="31916D3E">
      <w:pPr>
        <w:numPr>
          <w:ilvl w:val="0"/>
          <w:numId w:val="2"/>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Thomas, L. (2022). </w:t>
      </w:r>
      <w:r>
        <w:rPr>
          <w:rFonts w:hint="default" w:ascii="Times New Roman" w:hAnsi="Times New Roman" w:cs="Times New Roman"/>
          <w:i/>
          <w:iCs/>
          <w:sz w:val="24"/>
          <w:szCs w:val="24"/>
        </w:rPr>
        <w:t>Post-Bureaucratic Reforms in the Tech Industry: A Comparative Study.</w:t>
      </w:r>
      <w:r>
        <w:rPr>
          <w:rFonts w:hint="default" w:ascii="Times New Roman" w:hAnsi="Times New Roman" w:cs="Times New Roman"/>
          <w:sz w:val="24"/>
          <w:szCs w:val="24"/>
        </w:rPr>
        <w:t xml:space="preserve"> Industrial and Corporate Change, 31(2), 345-367.</w:t>
      </w:r>
    </w:p>
    <w:p w14:paraId="6784FE7B">
      <w:pPr>
        <w:spacing w:line="480" w:lineRule="auto"/>
        <w:rPr>
          <w:rFonts w:hint="default" w:ascii="Times New Roman" w:hAnsi="Times New Roman" w:cs="Times New Roman"/>
          <w:sz w:val="24"/>
          <w:szCs w:val="24"/>
        </w:rPr>
      </w:pPr>
    </w:p>
    <w:p w14:paraId="4FD6BB6C">
      <w:pPr>
        <w:numPr>
          <w:ilvl w:val="0"/>
          <w:numId w:val="2"/>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Moore, S. (2021). P</w:t>
      </w:r>
      <w:r>
        <w:rPr>
          <w:rFonts w:hint="default" w:ascii="Times New Roman" w:hAnsi="Times New Roman" w:cs="Times New Roman"/>
          <w:i/>
          <w:iCs/>
          <w:sz w:val="24"/>
          <w:szCs w:val="24"/>
        </w:rPr>
        <w:t>ower Dynamics in Modern Organizations: A Foucauldian Perspective</w:t>
      </w:r>
      <w:r>
        <w:rPr>
          <w:rFonts w:hint="default" w:ascii="Times New Roman" w:hAnsi="Times New Roman" w:cs="Times New Roman"/>
          <w:sz w:val="24"/>
          <w:szCs w:val="24"/>
        </w:rPr>
        <w:t>. Sociology of Work, 18(1), 23-40.</w:t>
      </w:r>
    </w:p>
    <w:p w14:paraId="59119A1D">
      <w:pPr>
        <w:spacing w:line="480" w:lineRule="auto"/>
        <w:rPr>
          <w:rFonts w:hint="default" w:ascii="Times New Roman" w:hAnsi="Times New Roman" w:cs="Times New Roman"/>
          <w:sz w:val="24"/>
          <w:szCs w:val="24"/>
        </w:rPr>
      </w:pPr>
    </w:p>
    <w:p w14:paraId="13556EC7">
      <w:pPr>
        <w:numPr>
          <w:ilvl w:val="0"/>
          <w:numId w:val="2"/>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Zhang, Y. (2021). </w:t>
      </w:r>
      <w:r>
        <w:rPr>
          <w:rFonts w:hint="default" w:ascii="Times New Roman" w:hAnsi="Times New Roman" w:cs="Times New Roman"/>
          <w:i/>
          <w:iCs/>
          <w:sz w:val="24"/>
          <w:szCs w:val="24"/>
        </w:rPr>
        <w:t>Feminist Leadership in Tech Companies: A Case of Gender Parity.</w:t>
      </w:r>
      <w:r>
        <w:rPr>
          <w:rFonts w:hint="default" w:ascii="Times New Roman" w:hAnsi="Times New Roman" w:cs="Times New Roman"/>
          <w:sz w:val="24"/>
          <w:szCs w:val="24"/>
        </w:rPr>
        <w:t xml:space="preserve"> Gender in Management, 36(4), 321-338.</w:t>
      </w:r>
    </w:p>
    <w:p w14:paraId="6D644974">
      <w:pPr>
        <w:spacing w:line="480" w:lineRule="auto"/>
        <w:rPr>
          <w:rFonts w:hint="default" w:ascii="Times New Roman" w:hAnsi="Times New Roman" w:cs="Times New Roman"/>
          <w:sz w:val="24"/>
          <w:szCs w:val="24"/>
        </w:rPr>
      </w:pPr>
    </w:p>
    <w:p w14:paraId="00E10680">
      <w:pPr>
        <w:numPr>
          <w:ilvl w:val="0"/>
          <w:numId w:val="2"/>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Patel, R. (2020). </w:t>
      </w:r>
      <w:r>
        <w:rPr>
          <w:rFonts w:hint="default" w:ascii="Times New Roman" w:hAnsi="Times New Roman" w:cs="Times New Roman"/>
          <w:i/>
          <w:iCs/>
          <w:sz w:val="24"/>
          <w:szCs w:val="24"/>
        </w:rPr>
        <w:t>High-Performance Work Systems and Employee Wellbeing: A Longitudinal Study</w:t>
      </w:r>
      <w:r>
        <w:rPr>
          <w:rFonts w:hint="default" w:ascii="Times New Roman" w:hAnsi="Times New Roman" w:cs="Times New Roman"/>
          <w:sz w:val="24"/>
          <w:szCs w:val="24"/>
        </w:rPr>
        <w:t>. Human Reso</w:t>
      </w:r>
      <w:bookmarkStart w:id="0" w:name="_GoBack"/>
      <w:bookmarkEnd w:id="0"/>
      <w:r>
        <w:rPr>
          <w:rFonts w:hint="default" w:ascii="Times New Roman" w:hAnsi="Times New Roman" w:cs="Times New Roman"/>
          <w:sz w:val="24"/>
          <w:szCs w:val="24"/>
        </w:rPr>
        <w:t>urce Management Journal, 30(3), 567-589.</w:t>
      </w:r>
    </w:p>
    <w:p w14:paraId="3284E68F">
      <w:pPr>
        <w:spacing w:line="480" w:lineRule="auto"/>
        <w:rPr>
          <w:rFonts w:hint="default" w:ascii="Times New Roman" w:hAnsi="Times New Roman" w:cs="Times New Roman"/>
          <w:sz w:val="24"/>
          <w:szCs w:val="24"/>
        </w:rPr>
      </w:pPr>
    </w:p>
    <w:p w14:paraId="703AE206">
      <w:pPr>
        <w:numPr>
          <w:ilvl w:val="0"/>
          <w:numId w:val="2"/>
        </w:numPr>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Rodriguez, M. (2020). </w:t>
      </w:r>
      <w:r>
        <w:rPr>
          <w:rFonts w:hint="default" w:ascii="Times New Roman" w:hAnsi="Times New Roman" w:cs="Times New Roman"/>
          <w:i/>
          <w:iCs/>
          <w:sz w:val="24"/>
          <w:szCs w:val="24"/>
        </w:rPr>
        <w:t>Agile Decision-Making in Tech Firms: The Role of Organizational Structure</w:t>
      </w:r>
      <w:r>
        <w:rPr>
          <w:rFonts w:hint="default" w:ascii="Times New Roman" w:hAnsi="Times New Roman" w:cs="Times New Roman"/>
          <w:sz w:val="24"/>
          <w:szCs w:val="24"/>
        </w:rPr>
        <w:t>. Journal of Strategic Management, 27(2), 112-130.</w:t>
      </w:r>
    </w:p>
    <w:p w14:paraId="2B846877">
      <w:pPr>
        <w:spacing w:line="480" w:lineRule="auto"/>
        <w:rPr>
          <w:rFonts w:hint="default" w:ascii="Times New Roman" w:hAnsi="Times New Roman" w:cs="Times New Roman"/>
          <w:sz w:val="24"/>
          <w:szCs w:val="24"/>
        </w:rPr>
      </w:pPr>
    </w:p>
    <w:p w14:paraId="32DA618B"/>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56224">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62855">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7B62855">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190003"/>
    <w:multiLevelType w:val="singleLevel"/>
    <w:tmpl w:val="DB190003"/>
    <w:lvl w:ilvl="0" w:tentative="0">
      <w:start w:val="7"/>
      <w:numFmt w:val="decimal"/>
      <w:suff w:val="space"/>
      <w:lvlText w:val="%1."/>
      <w:lvlJc w:val="left"/>
    </w:lvl>
  </w:abstractNum>
  <w:abstractNum w:abstractNumId="1">
    <w:nsid w:val="DD37A37A"/>
    <w:multiLevelType w:val="singleLevel"/>
    <w:tmpl w:val="DD37A37A"/>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66479E"/>
    <w:rsid w:val="4A6647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33</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2025-11-20T19:16:00Z</dcterms:created>
  <dc:creator>沐言小朋友</dc:creator>
  <cp:lastModifiedBy>沐言小朋友</cp:lastModifiedBy>
  <dcterms:modified xsi:type="dcterms:W3CDTF">2025-11-20T20:11:19Z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A1A62BE0CBC743A1BBD2168149770A64_11</vt:lpwstr>
  </property>
  <property fmtid="{D5CDD505-2E9C-101B-9397-08002B2CF9AE}" pid="4" name="KSOTemplateDocerSaveRecord">
    <vt:lpwstr>eyJoZGlkIjoiMTVjZDMyZTNiNmRiYWY2MzFiMmFhMzgyYzU1YjcyMzUiLCJ1c2VySWQiOiIxMTU5MzgwNTA2In0=</vt:lpwstr>
  </property>
</Properties>
</file>