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79402" w14:textId="77777777" w:rsidR="0025750F" w:rsidRPr="00A85BFE" w:rsidRDefault="0013681A" w:rsidP="0025750F">
      <w:pPr>
        <w:pStyle w:val="Header"/>
        <w:jc w:val="right"/>
        <w:rPr>
          <w:b/>
          <w:sz w:val="28"/>
          <w:szCs w:val="28"/>
        </w:rPr>
      </w:pPr>
      <w:r>
        <w:t xml:space="preserve"> </w:t>
      </w:r>
      <w:r w:rsidR="0025750F" w:rsidRPr="00A406E5">
        <w:rPr>
          <w:noProof/>
        </w:rPr>
        <w:drawing>
          <wp:anchor distT="0" distB="0" distL="114300" distR="114300" simplePos="0" relativeHeight="251659264" behindDoc="0" locked="0" layoutInCell="1" allowOverlap="1" wp14:anchorId="20C93417" wp14:editId="61E016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5750F">
        <w:t xml:space="preserve"> </w:t>
      </w:r>
      <w:r w:rsidR="0025750F">
        <w:br w:type="textWrapping" w:clear="all"/>
      </w:r>
      <w:r w:rsidR="0025750F" w:rsidRPr="00A85BFE">
        <w:rPr>
          <w:b/>
          <w:sz w:val="28"/>
          <w:szCs w:val="28"/>
        </w:rPr>
        <w:t xml:space="preserve">APPENDIX </w:t>
      </w:r>
      <w:r w:rsidR="0025750F" w:rsidRPr="00E61D43">
        <w:rPr>
          <w:b/>
          <w:sz w:val="28"/>
          <w:szCs w:val="28"/>
        </w:rPr>
        <w:t>GA36d</w:t>
      </w:r>
    </w:p>
    <w:p w14:paraId="5E48EC14" w14:textId="77777777" w:rsidR="0025750F" w:rsidRDefault="0025750F" w:rsidP="0025750F">
      <w:pPr>
        <w:rPr>
          <w:b/>
          <w:i/>
          <w:sz w:val="32"/>
        </w:rPr>
      </w:pPr>
    </w:p>
    <w:p w14:paraId="2E95B361" w14:textId="77777777" w:rsidR="0025750F" w:rsidRDefault="0025750F" w:rsidP="0025750F">
      <w:pPr>
        <w:jc w:val="center"/>
        <w:rPr>
          <w:b/>
          <w:i/>
          <w:sz w:val="32"/>
        </w:rPr>
      </w:pPr>
    </w:p>
    <w:tbl>
      <w:tblPr>
        <w:tblW w:w="82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08"/>
        <w:gridCol w:w="6242"/>
      </w:tblGrid>
      <w:tr w:rsidR="00CD7CA7" w:rsidRPr="00A406E5" w14:paraId="4C126947" w14:textId="77777777" w:rsidTr="00CD7CA7">
        <w:trPr>
          <w:trHeight w:val="750"/>
        </w:trPr>
        <w:tc>
          <w:tcPr>
            <w:tcW w:w="2008" w:type="dxa"/>
            <w:shd w:val="clear" w:color="auto" w:fill="D9D9D9" w:themeFill="background1" w:themeFillShade="D9"/>
            <w:vAlign w:val="center"/>
          </w:tcPr>
          <w:p w14:paraId="400F4A3C" w14:textId="77777777" w:rsidR="00CD7CA7" w:rsidRPr="00A406E5" w:rsidRDefault="00CD7CA7" w:rsidP="004807F7">
            <w:pPr>
              <w:spacing w:before="120" w:after="120"/>
              <w:rPr>
                <w:b/>
                <w:sz w:val="22"/>
                <w:szCs w:val="22"/>
              </w:rPr>
            </w:pPr>
            <w:r w:rsidRPr="00A406E5">
              <w:rPr>
                <w:b/>
                <w:sz w:val="22"/>
                <w:szCs w:val="22"/>
              </w:rPr>
              <w:t>Student name:</w:t>
            </w:r>
          </w:p>
        </w:tc>
        <w:tc>
          <w:tcPr>
            <w:tcW w:w="6242" w:type="dxa"/>
            <w:vAlign w:val="center"/>
          </w:tcPr>
          <w:p w14:paraId="259FA9E7" w14:textId="26ED2D70" w:rsidR="00CD7CA7" w:rsidRPr="00A406E5" w:rsidRDefault="00CD7CA7" w:rsidP="004807F7">
            <w:pPr>
              <w:spacing w:before="120" w:after="120"/>
              <w:rPr>
                <w:b/>
                <w:sz w:val="22"/>
                <w:szCs w:val="22"/>
              </w:rPr>
            </w:pPr>
            <w:r>
              <w:rPr>
                <w:b/>
                <w:sz w:val="22"/>
                <w:szCs w:val="22"/>
              </w:rPr>
              <w:t xml:space="preserve">MD SAMSOJJAMAN SIYAM </w:t>
            </w:r>
          </w:p>
        </w:tc>
      </w:tr>
      <w:tr w:rsidR="00CD7CA7" w:rsidRPr="00A406E5" w14:paraId="69F466B3" w14:textId="77777777" w:rsidTr="00CD7CA7">
        <w:trPr>
          <w:trHeight w:val="490"/>
        </w:trPr>
        <w:tc>
          <w:tcPr>
            <w:tcW w:w="2008" w:type="dxa"/>
            <w:shd w:val="clear" w:color="auto" w:fill="D9D9D9" w:themeFill="background1" w:themeFillShade="D9"/>
            <w:vAlign w:val="center"/>
          </w:tcPr>
          <w:p w14:paraId="4AE5951B" w14:textId="7A90C708" w:rsidR="00CD7CA7" w:rsidRPr="00A406E5" w:rsidRDefault="00CD7CA7" w:rsidP="004807F7">
            <w:pPr>
              <w:spacing w:before="120" w:after="120"/>
              <w:rPr>
                <w:b/>
                <w:sz w:val="22"/>
                <w:szCs w:val="22"/>
              </w:rPr>
            </w:pPr>
            <w:r w:rsidRPr="00A406E5">
              <w:rPr>
                <w:b/>
                <w:sz w:val="22"/>
                <w:szCs w:val="22"/>
              </w:rPr>
              <w:t>Student ID number:</w:t>
            </w:r>
          </w:p>
        </w:tc>
        <w:tc>
          <w:tcPr>
            <w:tcW w:w="6242" w:type="dxa"/>
            <w:vAlign w:val="center"/>
          </w:tcPr>
          <w:p w14:paraId="649602C0" w14:textId="7D5AA500" w:rsidR="00CD7CA7" w:rsidRPr="002D1F6E" w:rsidRDefault="00CD7CA7" w:rsidP="004807F7">
            <w:pPr>
              <w:spacing w:before="120" w:after="120"/>
              <w:rPr>
                <w:b/>
                <w:bCs/>
                <w:sz w:val="22"/>
                <w:szCs w:val="22"/>
              </w:rPr>
            </w:pPr>
            <w:r>
              <w:rPr>
                <w:b/>
                <w:sz w:val="22"/>
                <w:szCs w:val="22"/>
              </w:rPr>
              <w:t>2520477</w:t>
            </w:r>
          </w:p>
        </w:tc>
      </w:tr>
      <w:tr w:rsidR="0025750F" w:rsidRPr="00A406E5" w14:paraId="01364902" w14:textId="77777777" w:rsidTr="00CD7CA7">
        <w:trPr>
          <w:trHeight w:val="490"/>
        </w:trPr>
        <w:tc>
          <w:tcPr>
            <w:tcW w:w="2008" w:type="dxa"/>
            <w:shd w:val="clear" w:color="auto" w:fill="D9D9D9" w:themeFill="background1" w:themeFillShade="D9"/>
            <w:vAlign w:val="center"/>
          </w:tcPr>
          <w:p w14:paraId="795DA627" w14:textId="77777777" w:rsidR="0025750F" w:rsidRPr="00A406E5" w:rsidRDefault="0025750F" w:rsidP="004807F7">
            <w:pPr>
              <w:spacing w:before="120" w:after="120"/>
              <w:rPr>
                <w:b/>
                <w:sz w:val="22"/>
                <w:szCs w:val="22"/>
              </w:rPr>
            </w:pPr>
            <w:r w:rsidRPr="00A406E5">
              <w:rPr>
                <w:b/>
                <w:sz w:val="22"/>
                <w:szCs w:val="22"/>
              </w:rPr>
              <w:t>Programme:</w:t>
            </w:r>
          </w:p>
        </w:tc>
        <w:tc>
          <w:tcPr>
            <w:tcW w:w="6242" w:type="dxa"/>
            <w:vAlign w:val="center"/>
          </w:tcPr>
          <w:p w14:paraId="18BC0C73" w14:textId="77777777" w:rsidR="0025750F" w:rsidRPr="00A406E5" w:rsidRDefault="0025750F" w:rsidP="004807F7">
            <w:pPr>
              <w:spacing w:before="120" w:after="120"/>
              <w:rPr>
                <w:b/>
                <w:sz w:val="22"/>
                <w:szCs w:val="22"/>
              </w:rPr>
            </w:pPr>
            <w:r w:rsidRPr="002D1F6E">
              <w:rPr>
                <w:b/>
                <w:bCs/>
                <w:sz w:val="22"/>
                <w:szCs w:val="22"/>
              </w:rPr>
              <w:t>Master of Business Administration</w:t>
            </w:r>
          </w:p>
        </w:tc>
      </w:tr>
      <w:tr w:rsidR="0025750F" w:rsidRPr="00A406E5" w14:paraId="76A92149" w14:textId="77777777" w:rsidTr="00CD7CA7">
        <w:trPr>
          <w:trHeight w:val="490"/>
        </w:trPr>
        <w:tc>
          <w:tcPr>
            <w:tcW w:w="2008" w:type="dxa"/>
            <w:shd w:val="clear" w:color="auto" w:fill="D9D9D9" w:themeFill="background1" w:themeFillShade="D9"/>
            <w:vAlign w:val="center"/>
          </w:tcPr>
          <w:p w14:paraId="1A9B922B" w14:textId="77777777" w:rsidR="0025750F" w:rsidRPr="00A406E5" w:rsidRDefault="0025750F" w:rsidP="004807F7">
            <w:pPr>
              <w:spacing w:before="120" w:after="120"/>
              <w:rPr>
                <w:b/>
                <w:sz w:val="22"/>
                <w:szCs w:val="22"/>
              </w:rPr>
            </w:pPr>
            <w:r w:rsidRPr="00A406E5">
              <w:rPr>
                <w:b/>
                <w:sz w:val="22"/>
                <w:szCs w:val="22"/>
              </w:rPr>
              <w:t>Module:</w:t>
            </w:r>
          </w:p>
        </w:tc>
        <w:tc>
          <w:tcPr>
            <w:tcW w:w="6242" w:type="dxa"/>
            <w:vAlign w:val="center"/>
          </w:tcPr>
          <w:p w14:paraId="5D433730" w14:textId="77777777" w:rsidR="0025750F" w:rsidRPr="00A406E5" w:rsidRDefault="0025750F" w:rsidP="004807F7">
            <w:pPr>
              <w:spacing w:before="120" w:after="120"/>
              <w:rPr>
                <w:b/>
                <w:sz w:val="22"/>
                <w:szCs w:val="22"/>
              </w:rPr>
            </w:pPr>
            <w:r w:rsidRPr="002D1F6E">
              <w:rPr>
                <w:b/>
                <w:bCs/>
                <w:sz w:val="22"/>
                <w:szCs w:val="22"/>
              </w:rPr>
              <w:t>Marketing Management</w:t>
            </w:r>
          </w:p>
        </w:tc>
      </w:tr>
      <w:tr w:rsidR="0025750F" w:rsidRPr="00A406E5" w14:paraId="1465B4D3" w14:textId="77777777" w:rsidTr="00CD7CA7">
        <w:trPr>
          <w:trHeight w:val="490"/>
        </w:trPr>
        <w:tc>
          <w:tcPr>
            <w:tcW w:w="2008" w:type="dxa"/>
            <w:shd w:val="clear" w:color="auto" w:fill="D9D9D9" w:themeFill="background1" w:themeFillShade="D9"/>
            <w:vAlign w:val="center"/>
          </w:tcPr>
          <w:p w14:paraId="516EE4CE" w14:textId="77777777" w:rsidR="0025750F" w:rsidRPr="00A406E5" w:rsidRDefault="0025750F" w:rsidP="004807F7">
            <w:pPr>
              <w:spacing w:before="120" w:after="120"/>
              <w:rPr>
                <w:b/>
                <w:sz w:val="22"/>
                <w:szCs w:val="22"/>
              </w:rPr>
            </w:pPr>
            <w:r w:rsidRPr="00A406E5">
              <w:rPr>
                <w:b/>
                <w:sz w:val="22"/>
                <w:szCs w:val="22"/>
              </w:rPr>
              <w:t>Module code:</w:t>
            </w:r>
          </w:p>
        </w:tc>
        <w:tc>
          <w:tcPr>
            <w:tcW w:w="6242" w:type="dxa"/>
            <w:vAlign w:val="center"/>
          </w:tcPr>
          <w:p w14:paraId="264C9345" w14:textId="77777777" w:rsidR="0025750F" w:rsidRPr="00A406E5" w:rsidRDefault="0025750F" w:rsidP="004807F7">
            <w:pPr>
              <w:spacing w:before="120" w:after="120"/>
              <w:rPr>
                <w:b/>
                <w:sz w:val="22"/>
                <w:szCs w:val="22"/>
              </w:rPr>
            </w:pPr>
            <w:r w:rsidRPr="002D1F6E">
              <w:rPr>
                <w:b/>
                <w:bCs/>
                <w:sz w:val="22"/>
                <w:szCs w:val="22"/>
              </w:rPr>
              <w:t>LCMB7024</w:t>
            </w:r>
          </w:p>
        </w:tc>
      </w:tr>
      <w:tr w:rsidR="00CD7CA7" w:rsidRPr="00A406E5" w14:paraId="6A3C1D89" w14:textId="77777777" w:rsidTr="00CD7CA7">
        <w:trPr>
          <w:trHeight w:val="1120"/>
        </w:trPr>
        <w:tc>
          <w:tcPr>
            <w:tcW w:w="2008" w:type="dxa"/>
            <w:shd w:val="clear" w:color="auto" w:fill="D9D9D9" w:themeFill="background1" w:themeFillShade="D9"/>
            <w:vAlign w:val="center"/>
          </w:tcPr>
          <w:p w14:paraId="1CD6CB69" w14:textId="77777777" w:rsidR="00CD7CA7" w:rsidRPr="00A406E5" w:rsidRDefault="00CD7CA7" w:rsidP="004807F7">
            <w:pPr>
              <w:spacing w:before="120" w:after="120"/>
              <w:rPr>
                <w:b/>
                <w:sz w:val="22"/>
                <w:szCs w:val="22"/>
              </w:rPr>
            </w:pPr>
            <w:r w:rsidRPr="00A406E5">
              <w:rPr>
                <w:b/>
                <w:sz w:val="22"/>
                <w:szCs w:val="22"/>
              </w:rPr>
              <w:t>Lecturer:</w:t>
            </w:r>
          </w:p>
        </w:tc>
        <w:tc>
          <w:tcPr>
            <w:tcW w:w="6242" w:type="dxa"/>
            <w:vAlign w:val="center"/>
          </w:tcPr>
          <w:p w14:paraId="77463CEE" w14:textId="77777777" w:rsidR="00CD7CA7" w:rsidRDefault="00CD7CA7" w:rsidP="004807F7">
            <w:pPr>
              <w:spacing w:before="120" w:after="120"/>
              <w:rPr>
                <w:b/>
                <w:sz w:val="22"/>
                <w:szCs w:val="22"/>
              </w:rPr>
            </w:pPr>
            <w:r>
              <w:rPr>
                <w:b/>
                <w:sz w:val="22"/>
                <w:szCs w:val="22"/>
              </w:rPr>
              <w:t>Laila Maazouz</w:t>
            </w:r>
          </w:p>
          <w:p w14:paraId="5C9C62BB" w14:textId="77777777" w:rsidR="00CD7CA7" w:rsidRPr="00A406E5" w:rsidRDefault="00CD7CA7" w:rsidP="004807F7">
            <w:pPr>
              <w:spacing w:before="120" w:after="120"/>
              <w:rPr>
                <w:b/>
                <w:sz w:val="22"/>
                <w:szCs w:val="22"/>
              </w:rPr>
            </w:pPr>
            <w:r>
              <w:rPr>
                <w:b/>
                <w:sz w:val="22"/>
                <w:szCs w:val="22"/>
              </w:rPr>
              <w:t xml:space="preserve">Taonga Kaonga </w:t>
            </w:r>
            <w:proofErr w:type="spellStart"/>
            <w:r>
              <w:rPr>
                <w:b/>
                <w:sz w:val="22"/>
                <w:szCs w:val="22"/>
              </w:rPr>
              <w:t>Sobere-Snithers</w:t>
            </w:r>
            <w:proofErr w:type="spellEnd"/>
          </w:p>
        </w:tc>
      </w:tr>
      <w:tr w:rsidR="00CD7CA7" w:rsidRPr="00A406E5" w14:paraId="40E4A568" w14:textId="77777777" w:rsidTr="00CD7CA7">
        <w:trPr>
          <w:trHeight w:val="481"/>
        </w:trPr>
        <w:tc>
          <w:tcPr>
            <w:tcW w:w="2008" w:type="dxa"/>
            <w:shd w:val="clear" w:color="auto" w:fill="D9D9D9" w:themeFill="background1" w:themeFillShade="D9"/>
            <w:vAlign w:val="center"/>
          </w:tcPr>
          <w:p w14:paraId="1F45FAA5" w14:textId="77777777" w:rsidR="00CD7CA7" w:rsidRPr="00A406E5" w:rsidRDefault="00CD7CA7" w:rsidP="004807F7">
            <w:pPr>
              <w:spacing w:before="120" w:after="120"/>
              <w:rPr>
                <w:b/>
                <w:sz w:val="22"/>
                <w:szCs w:val="22"/>
              </w:rPr>
            </w:pPr>
            <w:r w:rsidRPr="00A406E5">
              <w:rPr>
                <w:b/>
                <w:sz w:val="22"/>
                <w:szCs w:val="22"/>
              </w:rPr>
              <w:t>Assignment Title:</w:t>
            </w:r>
          </w:p>
        </w:tc>
        <w:tc>
          <w:tcPr>
            <w:tcW w:w="6242" w:type="dxa"/>
            <w:vAlign w:val="center"/>
          </w:tcPr>
          <w:p w14:paraId="472F71F6" w14:textId="783A9E05" w:rsidR="00CD7CA7" w:rsidRPr="0025750F" w:rsidRDefault="00CD7CA7" w:rsidP="0025750F">
            <w:pPr>
              <w:spacing w:before="120" w:after="120"/>
              <w:rPr>
                <w:b/>
                <w:bCs/>
                <w:sz w:val="22"/>
                <w:szCs w:val="22"/>
              </w:rPr>
            </w:pPr>
            <w:r w:rsidRPr="0025750F">
              <w:rPr>
                <w:b/>
                <w:bCs/>
                <w:sz w:val="22"/>
                <w:szCs w:val="22"/>
              </w:rPr>
              <w:t>Marketing Environment Analysis for Pioneers and Followers</w:t>
            </w:r>
          </w:p>
        </w:tc>
      </w:tr>
      <w:tr w:rsidR="00CD7CA7" w:rsidRPr="00A406E5" w14:paraId="00EEF6E4" w14:textId="77777777" w:rsidTr="00CD7CA7">
        <w:trPr>
          <w:trHeight w:val="490"/>
        </w:trPr>
        <w:tc>
          <w:tcPr>
            <w:tcW w:w="2008" w:type="dxa"/>
            <w:shd w:val="clear" w:color="auto" w:fill="D9D9D9" w:themeFill="background1" w:themeFillShade="D9"/>
            <w:vAlign w:val="center"/>
          </w:tcPr>
          <w:p w14:paraId="1EAA698A" w14:textId="3D7F68A5" w:rsidR="00CD7CA7" w:rsidRPr="00A406E5" w:rsidRDefault="00CD7CA7" w:rsidP="004807F7">
            <w:pPr>
              <w:spacing w:before="120" w:after="120"/>
              <w:rPr>
                <w:b/>
                <w:sz w:val="22"/>
                <w:szCs w:val="22"/>
              </w:rPr>
            </w:pPr>
            <w:r w:rsidRPr="00A406E5">
              <w:rPr>
                <w:b/>
                <w:sz w:val="22"/>
                <w:szCs w:val="22"/>
              </w:rPr>
              <w:t xml:space="preserve">Submission </w:t>
            </w:r>
            <w:r>
              <w:rPr>
                <w:b/>
                <w:sz w:val="22"/>
                <w:szCs w:val="22"/>
              </w:rPr>
              <w:t xml:space="preserve">date </w:t>
            </w:r>
          </w:p>
        </w:tc>
        <w:tc>
          <w:tcPr>
            <w:tcW w:w="6242" w:type="dxa"/>
            <w:vAlign w:val="center"/>
          </w:tcPr>
          <w:p w14:paraId="3637FA27" w14:textId="41C693E1" w:rsidR="00C563DB" w:rsidRPr="0066353E" w:rsidRDefault="00C563DB" w:rsidP="004807F7">
            <w:pPr>
              <w:spacing w:before="120" w:after="120"/>
              <w:rPr>
                <w:b/>
                <w:bCs/>
                <w:color w:val="000000" w:themeColor="text1"/>
                <w:sz w:val="22"/>
                <w:szCs w:val="22"/>
              </w:rPr>
            </w:pPr>
            <w:r>
              <w:rPr>
                <w:b/>
                <w:bCs/>
                <w:color w:val="000000" w:themeColor="text1"/>
                <w:sz w:val="22"/>
                <w:szCs w:val="22"/>
              </w:rPr>
              <w:t xml:space="preserve">26/02/2026 </w:t>
            </w:r>
          </w:p>
        </w:tc>
      </w:tr>
      <w:tr w:rsidR="00CD7CA7" w:rsidRPr="00A406E5" w14:paraId="783195D7" w14:textId="77777777" w:rsidTr="00CD7CA7">
        <w:trPr>
          <w:trHeight w:val="490"/>
        </w:trPr>
        <w:tc>
          <w:tcPr>
            <w:tcW w:w="2008" w:type="dxa"/>
            <w:shd w:val="clear" w:color="auto" w:fill="D9D9D9" w:themeFill="background1" w:themeFillShade="D9"/>
            <w:vAlign w:val="center"/>
          </w:tcPr>
          <w:p w14:paraId="10181145" w14:textId="6F7F68CA" w:rsidR="00CD7CA7" w:rsidRPr="00A406E5" w:rsidRDefault="00CD7CA7" w:rsidP="00CD7CA7">
            <w:pPr>
              <w:spacing w:before="120" w:after="120"/>
              <w:rPr>
                <w:b/>
                <w:sz w:val="22"/>
                <w:szCs w:val="22"/>
              </w:rPr>
            </w:pPr>
            <w:r w:rsidRPr="00A406E5">
              <w:rPr>
                <w:b/>
                <w:sz w:val="22"/>
                <w:szCs w:val="22"/>
              </w:rPr>
              <w:t>Internal Verifier:</w:t>
            </w:r>
          </w:p>
        </w:tc>
        <w:tc>
          <w:tcPr>
            <w:tcW w:w="6242" w:type="dxa"/>
            <w:vAlign w:val="center"/>
          </w:tcPr>
          <w:p w14:paraId="4B84B6C6" w14:textId="77777777" w:rsidR="00CD7CA7" w:rsidRDefault="00CD7CA7" w:rsidP="00CD7CA7">
            <w:pPr>
              <w:spacing w:before="120" w:after="120"/>
              <w:rPr>
                <w:b/>
                <w:bCs/>
                <w:sz w:val="22"/>
                <w:szCs w:val="22"/>
              </w:rPr>
            </w:pPr>
            <w:r w:rsidRPr="00823021">
              <w:rPr>
                <w:b/>
                <w:bCs/>
                <w:sz w:val="22"/>
                <w:szCs w:val="22"/>
              </w:rPr>
              <w:t>Vasilios Tavlaridis</w:t>
            </w:r>
          </w:p>
          <w:p w14:paraId="065B50A6" w14:textId="3D64B47A" w:rsidR="00CD7CA7" w:rsidRPr="0066353E" w:rsidRDefault="00CD7CA7" w:rsidP="00CD7CA7">
            <w:pPr>
              <w:spacing w:before="120" w:after="120"/>
              <w:rPr>
                <w:b/>
                <w:bCs/>
                <w:color w:val="000000" w:themeColor="text1"/>
                <w:sz w:val="22"/>
                <w:szCs w:val="22"/>
              </w:rPr>
            </w:pPr>
            <w:r w:rsidRPr="00823021">
              <w:rPr>
                <w:b/>
                <w:bCs/>
                <w:sz w:val="22"/>
                <w:szCs w:val="22"/>
              </w:rPr>
              <w:t>Hoang Nguyen</w:t>
            </w:r>
          </w:p>
        </w:tc>
      </w:tr>
      <w:tr w:rsidR="00CD7CA7" w:rsidRPr="00A406E5" w14:paraId="4A4A6FA9" w14:textId="77777777" w:rsidTr="00CD7CA7">
        <w:trPr>
          <w:trHeight w:val="490"/>
        </w:trPr>
        <w:tc>
          <w:tcPr>
            <w:tcW w:w="2008" w:type="dxa"/>
            <w:shd w:val="clear" w:color="auto" w:fill="D9D9D9" w:themeFill="background1" w:themeFillShade="D9"/>
            <w:vAlign w:val="center"/>
          </w:tcPr>
          <w:p w14:paraId="1A964ADB" w14:textId="74C06DF8" w:rsidR="00CD7CA7" w:rsidRPr="00A406E5" w:rsidRDefault="00CD7CA7" w:rsidP="00CD7CA7">
            <w:pPr>
              <w:spacing w:before="120" w:after="120"/>
              <w:rPr>
                <w:b/>
                <w:sz w:val="22"/>
                <w:szCs w:val="22"/>
              </w:rPr>
            </w:pPr>
            <w:r>
              <w:rPr>
                <w:b/>
                <w:sz w:val="22"/>
                <w:szCs w:val="22"/>
              </w:rPr>
              <w:t>Word count</w:t>
            </w:r>
          </w:p>
        </w:tc>
        <w:tc>
          <w:tcPr>
            <w:tcW w:w="6242" w:type="dxa"/>
            <w:vAlign w:val="center"/>
          </w:tcPr>
          <w:p w14:paraId="12C27D37" w14:textId="386D56DE" w:rsidR="00CD7CA7" w:rsidRPr="0066353E" w:rsidRDefault="00CD7CA7" w:rsidP="00CD7CA7">
            <w:pPr>
              <w:spacing w:before="120" w:after="120"/>
              <w:rPr>
                <w:b/>
                <w:bCs/>
                <w:color w:val="000000" w:themeColor="text1"/>
                <w:sz w:val="22"/>
                <w:szCs w:val="22"/>
              </w:rPr>
            </w:pPr>
            <w:r w:rsidRPr="00020ED1">
              <w:rPr>
                <w:b/>
                <w:bCs/>
                <w:sz w:val="22"/>
                <w:szCs w:val="22"/>
              </w:rPr>
              <w:t>2,5</w:t>
            </w:r>
            <w:r>
              <w:rPr>
                <w:b/>
                <w:bCs/>
                <w:sz w:val="22"/>
                <w:szCs w:val="22"/>
              </w:rPr>
              <w:t>06</w:t>
            </w:r>
          </w:p>
        </w:tc>
      </w:tr>
    </w:tbl>
    <w:p w14:paraId="4593E98F" w14:textId="6A8238C8" w:rsidR="00CD02AE" w:rsidRDefault="00CD02AE">
      <w:pPr>
        <w:spacing w:after="200" w:line="360" w:lineRule="auto"/>
      </w:pPr>
    </w:p>
    <w:p w14:paraId="399198E5" w14:textId="77777777" w:rsidR="00551DD8" w:rsidRDefault="00551DD8">
      <w:pPr>
        <w:spacing w:after="120"/>
        <w:jc w:val="center"/>
      </w:pPr>
    </w:p>
    <w:p w14:paraId="15430E43" w14:textId="77777777" w:rsidR="00551DD8" w:rsidRDefault="00551DD8">
      <w:pPr>
        <w:spacing w:after="120"/>
        <w:jc w:val="center"/>
      </w:pPr>
    </w:p>
    <w:p w14:paraId="7708AFA3" w14:textId="77777777" w:rsidR="00551DD8" w:rsidRDefault="00551DD8">
      <w:pPr>
        <w:spacing w:after="120"/>
        <w:jc w:val="center"/>
      </w:pPr>
    </w:p>
    <w:p w14:paraId="76ED6EEC" w14:textId="77777777" w:rsidR="00551DD8" w:rsidRDefault="00551DD8">
      <w:pPr>
        <w:spacing w:after="120"/>
        <w:jc w:val="center"/>
      </w:pPr>
    </w:p>
    <w:p w14:paraId="514ED413" w14:textId="77777777" w:rsidR="00C563DB" w:rsidRDefault="00C563DB">
      <w:pPr>
        <w:spacing w:after="120"/>
        <w:jc w:val="center"/>
      </w:pPr>
    </w:p>
    <w:p w14:paraId="7AD0DBC2" w14:textId="77777777" w:rsidR="00C563DB" w:rsidRDefault="00C563DB">
      <w:pPr>
        <w:spacing w:after="120"/>
        <w:jc w:val="center"/>
      </w:pPr>
    </w:p>
    <w:p w14:paraId="3E3091AA" w14:textId="77777777" w:rsidR="00C563DB" w:rsidRDefault="00C563DB">
      <w:pPr>
        <w:spacing w:after="120"/>
        <w:jc w:val="center"/>
      </w:pPr>
    </w:p>
    <w:p w14:paraId="04773771" w14:textId="77777777" w:rsidR="00C563DB" w:rsidRDefault="00C563DB">
      <w:pPr>
        <w:spacing w:after="120"/>
        <w:jc w:val="center"/>
      </w:pPr>
    </w:p>
    <w:p w14:paraId="699630AB" w14:textId="77777777" w:rsidR="00C563DB" w:rsidRDefault="00C563DB">
      <w:pPr>
        <w:spacing w:after="120"/>
        <w:jc w:val="center"/>
      </w:pPr>
    </w:p>
    <w:p w14:paraId="63C22C12" w14:textId="77777777" w:rsidR="00551DD8" w:rsidRDefault="00551DD8">
      <w:pPr>
        <w:spacing w:after="120"/>
        <w:jc w:val="center"/>
      </w:pPr>
    </w:p>
    <w:p w14:paraId="44483712" w14:textId="77777777" w:rsidR="00551DD8" w:rsidRDefault="00551DD8">
      <w:pPr>
        <w:spacing w:after="120"/>
        <w:jc w:val="center"/>
      </w:pPr>
    </w:p>
    <w:p w14:paraId="4B17DF04" w14:textId="77777777" w:rsidR="00C563DB" w:rsidRDefault="00C563DB" w:rsidP="004C7CA1">
      <w:pPr>
        <w:spacing w:after="200" w:line="360" w:lineRule="auto"/>
        <w:rPr>
          <w:b/>
          <w:bCs/>
        </w:rPr>
      </w:pPr>
    </w:p>
    <w:p w14:paraId="641D708A" w14:textId="77777777" w:rsidR="00C563DB" w:rsidRDefault="00C563DB" w:rsidP="004C7CA1">
      <w:pPr>
        <w:spacing w:after="200" w:line="360" w:lineRule="auto"/>
        <w:rPr>
          <w:b/>
          <w:bCs/>
        </w:rPr>
      </w:pPr>
    </w:p>
    <w:p w14:paraId="57371D21" w14:textId="77777777" w:rsidR="00C563DB" w:rsidRDefault="00C563DB" w:rsidP="004C7CA1">
      <w:pPr>
        <w:spacing w:after="200" w:line="360" w:lineRule="auto"/>
        <w:rPr>
          <w:b/>
          <w:bCs/>
        </w:rPr>
      </w:pPr>
    </w:p>
    <w:p w14:paraId="6262DB76" w14:textId="77777777" w:rsidR="00C563DB" w:rsidRDefault="00C563DB" w:rsidP="004C7CA1">
      <w:pPr>
        <w:spacing w:after="200" w:line="360" w:lineRule="auto"/>
        <w:rPr>
          <w:b/>
          <w:bCs/>
        </w:rPr>
      </w:pPr>
    </w:p>
    <w:p w14:paraId="56F42628" w14:textId="78655460" w:rsidR="004C7CA1" w:rsidRDefault="004C7CA1" w:rsidP="004C7CA1">
      <w:pPr>
        <w:spacing w:after="200" w:line="360" w:lineRule="auto"/>
        <w:rPr>
          <w:b/>
          <w:bCs/>
        </w:rPr>
      </w:pPr>
      <w:r w:rsidRPr="004C7CA1">
        <w:rPr>
          <w:b/>
          <w:bCs/>
        </w:rPr>
        <w:t>TABLE OF CONTEN</w:t>
      </w:r>
      <w:r>
        <w:rPr>
          <w:b/>
          <w:bCs/>
        </w:rPr>
        <w:t>T</w:t>
      </w:r>
    </w:p>
    <w:p w14:paraId="0F4D3D38" w14:textId="2B8A0DAD" w:rsidR="004C7CA1" w:rsidRPr="004C7CA1" w:rsidRDefault="004C7CA1" w:rsidP="004C7CA1">
      <w:pPr>
        <w:spacing w:after="200" w:line="360" w:lineRule="auto"/>
      </w:pPr>
      <w:r w:rsidRPr="004C7CA1">
        <w:rPr>
          <w:b/>
          <w:bCs/>
        </w:rPr>
        <w:t>1. Introduction</w:t>
      </w:r>
      <w:r w:rsidR="00152293">
        <w:rPr>
          <w:b/>
          <w:bCs/>
        </w:rPr>
        <w:t xml:space="preserve"> </w:t>
      </w:r>
      <w:r w:rsidRPr="004C7CA1">
        <w:rPr>
          <w:b/>
          <w:bCs/>
        </w:rPr>
        <w:t>................................................................................................ </w:t>
      </w:r>
      <w:r w:rsidR="001B7166">
        <w:rPr>
          <w:b/>
          <w:bCs/>
        </w:rPr>
        <w:t>3</w:t>
      </w:r>
    </w:p>
    <w:p w14:paraId="295B9D63" w14:textId="05DB08EB" w:rsidR="004C7CA1" w:rsidRPr="004C7CA1" w:rsidRDefault="004C7CA1" w:rsidP="004C7CA1">
      <w:pPr>
        <w:spacing w:after="200" w:line="360" w:lineRule="auto"/>
        <w:rPr>
          <w:b/>
          <w:bCs/>
        </w:rPr>
      </w:pPr>
      <w:r w:rsidRPr="004C7CA1">
        <w:rPr>
          <w:b/>
          <w:bCs/>
        </w:rPr>
        <w:t>2.  Macro Marketing Environment Analysis .........................</w:t>
      </w:r>
      <w:r w:rsidR="00152293">
        <w:rPr>
          <w:b/>
          <w:bCs/>
        </w:rPr>
        <w:t xml:space="preserve">........................ </w:t>
      </w:r>
      <w:r w:rsidR="001B7166">
        <w:rPr>
          <w:b/>
          <w:bCs/>
        </w:rPr>
        <w:t>3</w:t>
      </w:r>
    </w:p>
    <w:p w14:paraId="4602C27E" w14:textId="7B1F62A1" w:rsidR="004C7CA1" w:rsidRPr="004C7CA1" w:rsidRDefault="004C7CA1" w:rsidP="004C7CA1">
      <w:pPr>
        <w:pStyle w:val="Heading2"/>
        <w:rPr>
          <w:sz w:val="24"/>
          <w:szCs w:val="24"/>
        </w:rPr>
      </w:pPr>
      <w:r w:rsidRPr="004C7CA1">
        <w:rPr>
          <w:sz w:val="24"/>
          <w:szCs w:val="24"/>
        </w:rPr>
        <w:t>2.1 Organisation Profiles: Tesla and BMW</w:t>
      </w:r>
      <w:r w:rsidR="00152293">
        <w:rPr>
          <w:sz w:val="24"/>
          <w:szCs w:val="24"/>
        </w:rPr>
        <w:t xml:space="preserve"> …………………………………… </w:t>
      </w:r>
      <w:r w:rsidR="001B7166">
        <w:rPr>
          <w:sz w:val="24"/>
          <w:szCs w:val="24"/>
        </w:rPr>
        <w:t>3</w:t>
      </w:r>
    </w:p>
    <w:p w14:paraId="4F2D9F4C" w14:textId="6C9BE9EA" w:rsidR="004C7CA1" w:rsidRPr="004C7CA1" w:rsidRDefault="004C7CA1" w:rsidP="004C7CA1">
      <w:pPr>
        <w:pStyle w:val="Heading2"/>
        <w:rPr>
          <w:sz w:val="24"/>
          <w:szCs w:val="24"/>
        </w:rPr>
      </w:pPr>
      <w:r w:rsidRPr="004C7CA1">
        <w:rPr>
          <w:sz w:val="24"/>
          <w:szCs w:val="24"/>
        </w:rPr>
        <w:t>2.2 Macro-Environmental Factor 1: Technological Advancement</w:t>
      </w:r>
      <w:r w:rsidR="00152293">
        <w:rPr>
          <w:sz w:val="24"/>
          <w:szCs w:val="24"/>
        </w:rPr>
        <w:t xml:space="preserve"> ……</w:t>
      </w:r>
      <w:proofErr w:type="gramStart"/>
      <w:r w:rsidR="00152293">
        <w:rPr>
          <w:sz w:val="24"/>
          <w:szCs w:val="24"/>
        </w:rPr>
        <w:t>…..</w:t>
      </w:r>
      <w:proofErr w:type="gramEnd"/>
      <w:r w:rsidR="00152293">
        <w:rPr>
          <w:sz w:val="24"/>
          <w:szCs w:val="24"/>
        </w:rPr>
        <w:t xml:space="preserve"> </w:t>
      </w:r>
      <w:r w:rsidR="001B7166">
        <w:rPr>
          <w:sz w:val="24"/>
          <w:szCs w:val="24"/>
        </w:rPr>
        <w:t>4</w:t>
      </w:r>
    </w:p>
    <w:p w14:paraId="048B6056" w14:textId="53C2A6EB" w:rsidR="004C7CA1" w:rsidRPr="004C7CA1" w:rsidRDefault="004C7CA1" w:rsidP="004C7CA1">
      <w:pPr>
        <w:pStyle w:val="Heading2"/>
        <w:rPr>
          <w:sz w:val="24"/>
          <w:szCs w:val="24"/>
        </w:rPr>
      </w:pPr>
      <w:r w:rsidRPr="004C7CA1">
        <w:rPr>
          <w:sz w:val="24"/>
          <w:szCs w:val="24"/>
        </w:rPr>
        <w:t>2.3 Macro-Environmental Factor 2: Regulatory and Political Forces</w:t>
      </w:r>
      <w:r w:rsidR="00152293">
        <w:rPr>
          <w:sz w:val="24"/>
          <w:szCs w:val="24"/>
        </w:rPr>
        <w:t xml:space="preserve"> ……. </w:t>
      </w:r>
      <w:r w:rsidR="001B7166">
        <w:rPr>
          <w:sz w:val="24"/>
          <w:szCs w:val="24"/>
        </w:rPr>
        <w:t>5</w:t>
      </w:r>
    </w:p>
    <w:p w14:paraId="3C74208A" w14:textId="72A3F311" w:rsidR="004C7CA1" w:rsidRPr="004C7CA1" w:rsidRDefault="004C7CA1" w:rsidP="004C7CA1">
      <w:pPr>
        <w:pStyle w:val="Heading1"/>
        <w:rPr>
          <w:sz w:val="24"/>
          <w:szCs w:val="24"/>
        </w:rPr>
      </w:pPr>
      <w:r w:rsidRPr="004C7CA1">
        <w:rPr>
          <w:sz w:val="24"/>
          <w:szCs w:val="24"/>
        </w:rPr>
        <w:t>3. Strategic Responses and Competitive Advantage</w:t>
      </w:r>
      <w:r w:rsidR="00152293">
        <w:rPr>
          <w:sz w:val="24"/>
          <w:szCs w:val="24"/>
        </w:rPr>
        <w:t xml:space="preserve"> ……………………</w:t>
      </w:r>
      <w:proofErr w:type="gramStart"/>
      <w:r w:rsidR="00152293">
        <w:rPr>
          <w:sz w:val="24"/>
          <w:szCs w:val="24"/>
        </w:rPr>
        <w:t>…..</w:t>
      </w:r>
      <w:proofErr w:type="gramEnd"/>
      <w:r w:rsidR="00152293">
        <w:rPr>
          <w:sz w:val="24"/>
          <w:szCs w:val="24"/>
        </w:rPr>
        <w:t xml:space="preserve"> </w:t>
      </w:r>
      <w:r w:rsidR="001B7166">
        <w:rPr>
          <w:sz w:val="24"/>
          <w:szCs w:val="24"/>
        </w:rPr>
        <w:t>6</w:t>
      </w:r>
    </w:p>
    <w:p w14:paraId="57CE9C71" w14:textId="18E93F25" w:rsidR="004C7CA1" w:rsidRPr="004C7CA1" w:rsidRDefault="004C7CA1" w:rsidP="004C7CA1">
      <w:pPr>
        <w:pStyle w:val="Heading2"/>
        <w:rPr>
          <w:sz w:val="24"/>
          <w:szCs w:val="24"/>
        </w:rPr>
      </w:pPr>
      <w:r w:rsidRPr="004C7CA1">
        <w:rPr>
          <w:sz w:val="24"/>
          <w:szCs w:val="24"/>
        </w:rPr>
        <w:t>3.</w:t>
      </w:r>
      <w:r w:rsidR="00152293">
        <w:rPr>
          <w:sz w:val="24"/>
          <w:szCs w:val="24"/>
        </w:rPr>
        <w:t>1</w:t>
      </w:r>
      <w:r w:rsidRPr="004C7CA1">
        <w:rPr>
          <w:sz w:val="24"/>
          <w:szCs w:val="24"/>
        </w:rPr>
        <w:t xml:space="preserve"> Tesla's Strategic Response</w:t>
      </w:r>
      <w:r w:rsidR="00152293">
        <w:rPr>
          <w:sz w:val="24"/>
          <w:szCs w:val="24"/>
        </w:rPr>
        <w:t xml:space="preserve"> ………………………………………………</w:t>
      </w:r>
      <w:proofErr w:type="gramStart"/>
      <w:r w:rsidR="00152293">
        <w:rPr>
          <w:sz w:val="24"/>
          <w:szCs w:val="24"/>
        </w:rPr>
        <w:t>…..</w:t>
      </w:r>
      <w:proofErr w:type="gramEnd"/>
      <w:r w:rsidR="00152293">
        <w:rPr>
          <w:sz w:val="24"/>
          <w:szCs w:val="24"/>
        </w:rPr>
        <w:t xml:space="preserve"> </w:t>
      </w:r>
      <w:r w:rsidR="001B7166">
        <w:rPr>
          <w:sz w:val="24"/>
          <w:szCs w:val="24"/>
        </w:rPr>
        <w:t>6</w:t>
      </w:r>
    </w:p>
    <w:p w14:paraId="713AC8AF" w14:textId="688D72D8" w:rsidR="004C7CA1" w:rsidRPr="004C7CA1" w:rsidRDefault="004C7CA1" w:rsidP="004C7CA1">
      <w:pPr>
        <w:pStyle w:val="Heading2"/>
        <w:rPr>
          <w:sz w:val="24"/>
          <w:szCs w:val="24"/>
        </w:rPr>
      </w:pPr>
      <w:r w:rsidRPr="004C7CA1">
        <w:rPr>
          <w:sz w:val="24"/>
          <w:szCs w:val="24"/>
        </w:rPr>
        <w:t>3.</w:t>
      </w:r>
      <w:r w:rsidR="00152293">
        <w:rPr>
          <w:sz w:val="24"/>
          <w:szCs w:val="24"/>
        </w:rPr>
        <w:t>2</w:t>
      </w:r>
      <w:r w:rsidRPr="004C7CA1">
        <w:rPr>
          <w:sz w:val="24"/>
          <w:szCs w:val="24"/>
        </w:rPr>
        <w:t xml:space="preserve"> BMW's Strategic Response</w:t>
      </w:r>
      <w:r w:rsidR="00152293">
        <w:rPr>
          <w:sz w:val="24"/>
          <w:szCs w:val="24"/>
        </w:rPr>
        <w:t xml:space="preserve"> ………………………………………………</w:t>
      </w:r>
      <w:proofErr w:type="gramStart"/>
      <w:r w:rsidR="00152293">
        <w:rPr>
          <w:sz w:val="24"/>
          <w:szCs w:val="24"/>
        </w:rPr>
        <w:t>…..</w:t>
      </w:r>
      <w:proofErr w:type="gramEnd"/>
      <w:r w:rsidR="00152293">
        <w:rPr>
          <w:sz w:val="24"/>
          <w:szCs w:val="24"/>
        </w:rPr>
        <w:t xml:space="preserve"> </w:t>
      </w:r>
      <w:r w:rsidR="001B7166">
        <w:rPr>
          <w:sz w:val="24"/>
          <w:szCs w:val="24"/>
        </w:rPr>
        <w:t>8</w:t>
      </w:r>
    </w:p>
    <w:p w14:paraId="4F5924EB" w14:textId="6F9A0FD3" w:rsidR="004C7CA1" w:rsidRPr="004C7CA1" w:rsidRDefault="004C7CA1" w:rsidP="004C7CA1">
      <w:pPr>
        <w:pStyle w:val="Heading2"/>
        <w:rPr>
          <w:sz w:val="24"/>
          <w:szCs w:val="24"/>
        </w:rPr>
      </w:pPr>
      <w:r w:rsidRPr="004C7CA1">
        <w:rPr>
          <w:sz w:val="24"/>
          <w:szCs w:val="24"/>
        </w:rPr>
        <w:t>3.</w:t>
      </w:r>
      <w:r w:rsidR="00152293">
        <w:rPr>
          <w:sz w:val="24"/>
          <w:szCs w:val="24"/>
        </w:rPr>
        <w:t>3</w:t>
      </w:r>
      <w:r w:rsidRPr="004C7CA1">
        <w:rPr>
          <w:sz w:val="24"/>
          <w:szCs w:val="24"/>
        </w:rPr>
        <w:t xml:space="preserve"> Comparative Assessment</w:t>
      </w:r>
      <w:r w:rsidR="00152293">
        <w:rPr>
          <w:sz w:val="24"/>
          <w:szCs w:val="24"/>
        </w:rPr>
        <w:t xml:space="preserve"> ……………………………………………………. </w:t>
      </w:r>
      <w:r w:rsidR="001B7166">
        <w:rPr>
          <w:sz w:val="24"/>
          <w:szCs w:val="24"/>
        </w:rPr>
        <w:t>9</w:t>
      </w:r>
    </w:p>
    <w:p w14:paraId="18E7002B" w14:textId="22907A06" w:rsidR="004C7CA1" w:rsidRPr="004C7CA1" w:rsidRDefault="004C7CA1" w:rsidP="004C7CA1">
      <w:pPr>
        <w:pStyle w:val="Heading1"/>
        <w:rPr>
          <w:sz w:val="24"/>
          <w:szCs w:val="24"/>
        </w:rPr>
      </w:pPr>
      <w:r w:rsidRPr="004C7CA1">
        <w:rPr>
          <w:sz w:val="24"/>
          <w:szCs w:val="24"/>
        </w:rPr>
        <w:t>4. Conclusion</w:t>
      </w:r>
      <w:r w:rsidR="00152293">
        <w:rPr>
          <w:sz w:val="24"/>
          <w:szCs w:val="24"/>
        </w:rPr>
        <w:t xml:space="preserve"> ……………………………………………………………………</w:t>
      </w:r>
      <w:proofErr w:type="gramStart"/>
      <w:r w:rsidR="00152293">
        <w:rPr>
          <w:sz w:val="24"/>
          <w:szCs w:val="24"/>
        </w:rPr>
        <w:t>…..</w:t>
      </w:r>
      <w:proofErr w:type="gramEnd"/>
      <w:r w:rsidR="00152293">
        <w:rPr>
          <w:sz w:val="24"/>
          <w:szCs w:val="24"/>
        </w:rPr>
        <w:t xml:space="preserve"> </w:t>
      </w:r>
      <w:r w:rsidR="001B7166">
        <w:rPr>
          <w:sz w:val="24"/>
          <w:szCs w:val="24"/>
        </w:rPr>
        <w:t>10</w:t>
      </w:r>
    </w:p>
    <w:p w14:paraId="1A1F5A79" w14:textId="491A4903" w:rsidR="004C7CA1" w:rsidRDefault="004C7CA1" w:rsidP="004C7CA1">
      <w:pPr>
        <w:pStyle w:val="Heading1"/>
      </w:pPr>
      <w:r w:rsidRPr="004C7CA1">
        <w:rPr>
          <w:sz w:val="24"/>
          <w:szCs w:val="24"/>
        </w:rPr>
        <w:t>5. References</w:t>
      </w:r>
      <w:r w:rsidR="00152293">
        <w:rPr>
          <w:sz w:val="24"/>
          <w:szCs w:val="24"/>
        </w:rPr>
        <w:t xml:space="preserve"> ……………………………………………………………………</w:t>
      </w:r>
      <w:proofErr w:type="gramStart"/>
      <w:r w:rsidR="00152293">
        <w:rPr>
          <w:sz w:val="24"/>
          <w:szCs w:val="24"/>
        </w:rPr>
        <w:t>…..</w:t>
      </w:r>
      <w:proofErr w:type="gramEnd"/>
      <w:r w:rsidR="00152293">
        <w:rPr>
          <w:sz w:val="24"/>
          <w:szCs w:val="24"/>
        </w:rPr>
        <w:t xml:space="preserve"> </w:t>
      </w:r>
      <w:r w:rsidR="001B7166">
        <w:rPr>
          <w:sz w:val="24"/>
          <w:szCs w:val="24"/>
        </w:rPr>
        <w:t>11</w:t>
      </w:r>
    </w:p>
    <w:p w14:paraId="3AB1ABB1" w14:textId="3FDE9AD7" w:rsidR="004C7CA1" w:rsidRPr="004C7CA1" w:rsidRDefault="004C7CA1" w:rsidP="004C7CA1">
      <w:pPr>
        <w:tabs>
          <w:tab w:val="left" w:pos="1385"/>
        </w:tabs>
        <w:spacing w:after="200" w:line="360" w:lineRule="auto"/>
      </w:pPr>
    </w:p>
    <w:p w14:paraId="5E5F4F62" w14:textId="77777777" w:rsidR="00CD02AE" w:rsidRDefault="00CD02AE">
      <w:pPr>
        <w:spacing w:after="200" w:line="360" w:lineRule="auto"/>
      </w:pPr>
    </w:p>
    <w:p w14:paraId="5E2607D6" w14:textId="77777777" w:rsidR="00CD7CA7" w:rsidRDefault="00CD7CA7">
      <w:pPr>
        <w:spacing w:after="200" w:line="360" w:lineRule="auto"/>
      </w:pPr>
    </w:p>
    <w:p w14:paraId="5FC9E7DD" w14:textId="77777777" w:rsidR="00CD7CA7" w:rsidRDefault="00CD7CA7">
      <w:pPr>
        <w:spacing w:after="200" w:line="360" w:lineRule="auto"/>
      </w:pPr>
    </w:p>
    <w:p w14:paraId="702F600C" w14:textId="77777777" w:rsidR="00CD7CA7" w:rsidRDefault="00CD7CA7">
      <w:pPr>
        <w:spacing w:after="200" w:line="360" w:lineRule="auto"/>
      </w:pPr>
    </w:p>
    <w:p w14:paraId="4E813D38" w14:textId="77777777" w:rsidR="00CD7CA7" w:rsidRDefault="00CD7CA7">
      <w:pPr>
        <w:spacing w:after="200" w:line="360" w:lineRule="auto"/>
      </w:pPr>
    </w:p>
    <w:p w14:paraId="27F1B9B9" w14:textId="77777777" w:rsidR="00CD7CA7" w:rsidRDefault="00CD7CA7">
      <w:pPr>
        <w:spacing w:after="200" w:line="360" w:lineRule="auto"/>
      </w:pPr>
    </w:p>
    <w:p w14:paraId="57876B55" w14:textId="77777777" w:rsidR="00CD7CA7" w:rsidRDefault="00CD7CA7">
      <w:pPr>
        <w:spacing w:after="200" w:line="360" w:lineRule="auto"/>
      </w:pPr>
    </w:p>
    <w:p w14:paraId="4A4E8B64" w14:textId="77777777" w:rsidR="00CD7CA7" w:rsidRDefault="00CD7CA7">
      <w:pPr>
        <w:spacing w:after="200" w:line="360" w:lineRule="auto"/>
      </w:pPr>
    </w:p>
    <w:p w14:paraId="20E79C9E" w14:textId="77777777" w:rsidR="00CD7CA7" w:rsidRDefault="00CD7CA7">
      <w:pPr>
        <w:spacing w:after="200" w:line="360" w:lineRule="auto"/>
      </w:pPr>
    </w:p>
    <w:p w14:paraId="09755C4A" w14:textId="77777777" w:rsidR="00CD02AE" w:rsidRDefault="00000000">
      <w:pPr>
        <w:pStyle w:val="Heading1"/>
      </w:pPr>
      <w:r>
        <w:t>1. Introduction</w:t>
      </w:r>
    </w:p>
    <w:p w14:paraId="766235C2" w14:textId="1AA7B233" w:rsidR="00CD02AE" w:rsidRPr="00237BEA" w:rsidRDefault="00000000" w:rsidP="00237BEA">
      <w:pPr>
        <w:spacing w:after="200" w:line="360" w:lineRule="auto"/>
        <w:jc w:val="both"/>
      </w:pPr>
      <w:r w:rsidRPr="00237BEA">
        <w:t>Understanding the macro marketing environment is one of the most important aspects of strategic marketing management. Organisations do not operate in isolation they</w:t>
      </w:r>
      <w:r w:rsidR="00B904AD" w:rsidRPr="00237BEA">
        <w:t>,</w:t>
      </w:r>
      <w:r w:rsidRPr="00237BEA">
        <w:t xml:space="preserve"> are constantly shaped by forces that exist beyond their direct control. These forces can either create opportunities or pose significant threats, depending on how well a company understands and responds to them. This essay examines two organisations operating in the global electric vehicle (EV) industry Tesla Inc., as the pioneering organisation, and BMW Group, as the follower. Two key macroenvironmental factors technological advancement and regulatory</w:t>
      </w:r>
      <w:r w:rsidR="00BC044E" w:rsidRPr="00237BEA">
        <w:t xml:space="preserve"> / </w:t>
      </w:r>
      <w:r w:rsidRPr="00237BEA">
        <w:t>political forces are analysed using the PESTLE</w:t>
      </w:r>
      <w:r w:rsidR="00DB5B34" w:rsidRPr="00237BEA">
        <w:t xml:space="preserve"> (political, economic, socio-cultural, technological, environmental and legal forces)</w:t>
      </w:r>
      <w:r w:rsidRPr="00237BEA">
        <w:t xml:space="preserve"> framework to assess how each factor has influenced the competitive positions of both organisations. Building on this analysis, the essay evaluates how Tesla and BMW have responded strategically by applying Porter's Generic Strategies (Porter, 1980) and Ansoff's Growth Matrix (Ansoff, 1957) to explain how each organisation seeks to maintain or strengthen its competitive advantage in a rapidly evolving market.</w:t>
      </w:r>
    </w:p>
    <w:p w14:paraId="30B53A21" w14:textId="46C771A3" w:rsidR="00CD02AE" w:rsidRPr="00237BEA" w:rsidRDefault="00000000" w:rsidP="00237BEA">
      <w:pPr>
        <w:pStyle w:val="Heading1"/>
        <w:spacing w:line="360" w:lineRule="auto"/>
        <w:jc w:val="both"/>
        <w:rPr>
          <w:sz w:val="24"/>
          <w:szCs w:val="24"/>
        </w:rPr>
      </w:pPr>
      <w:r w:rsidRPr="00237BEA">
        <w:rPr>
          <w:sz w:val="24"/>
          <w:szCs w:val="24"/>
        </w:rPr>
        <w:t>2. Macro Marketing Environment Analysis</w:t>
      </w:r>
    </w:p>
    <w:p w14:paraId="3383D822" w14:textId="77777777" w:rsidR="00CD02AE" w:rsidRPr="00237BEA" w:rsidRDefault="00000000" w:rsidP="00237BEA">
      <w:pPr>
        <w:pStyle w:val="Heading2"/>
        <w:spacing w:line="360" w:lineRule="auto"/>
        <w:jc w:val="both"/>
        <w:rPr>
          <w:sz w:val="24"/>
          <w:szCs w:val="24"/>
        </w:rPr>
      </w:pPr>
      <w:r w:rsidRPr="00237BEA">
        <w:rPr>
          <w:sz w:val="24"/>
          <w:szCs w:val="24"/>
        </w:rPr>
        <w:t>2.1 Organisation Profiles: Tesla and BMW</w:t>
      </w:r>
    </w:p>
    <w:p w14:paraId="64076984" w14:textId="39E7A564" w:rsidR="00CD02AE" w:rsidRPr="00237BEA" w:rsidRDefault="00000000" w:rsidP="00237BEA">
      <w:pPr>
        <w:spacing w:after="200" w:line="360" w:lineRule="auto"/>
        <w:jc w:val="both"/>
      </w:pPr>
      <w:r w:rsidRPr="00237BEA">
        <w:t>Tesla Inc. was founded in 2003 and is widely recognised as the pioneer of mass</w:t>
      </w:r>
      <w:r w:rsidR="00BC044E" w:rsidRPr="00237BEA">
        <w:t xml:space="preserve"> </w:t>
      </w:r>
      <w:r w:rsidRPr="00237BEA">
        <w:t>market battery</w:t>
      </w:r>
      <w:r w:rsidR="00BC044E" w:rsidRPr="00237BEA">
        <w:t xml:space="preserve"> </w:t>
      </w:r>
      <w:r w:rsidRPr="00237BEA">
        <w:t>electric vehicles. It disrupted the traditional automobile industry by combining advanced software, battery technology, and direct</w:t>
      </w:r>
      <w:r w:rsidR="00BC044E" w:rsidRPr="00237BEA">
        <w:t xml:space="preserve"> </w:t>
      </w:r>
      <w:r w:rsidRPr="00237BEA">
        <w:t>to</w:t>
      </w:r>
      <w:r w:rsidR="00BC044E" w:rsidRPr="00237BEA">
        <w:t xml:space="preserve"> </w:t>
      </w:r>
      <w:r w:rsidRPr="00237BEA">
        <w:t>consumer sales models. BMW, on the other hand, is a long</w:t>
      </w:r>
      <w:r w:rsidR="00BC044E" w:rsidRPr="00237BEA">
        <w:t xml:space="preserve"> </w:t>
      </w:r>
      <w:r w:rsidRPr="00237BEA">
        <w:t>established German premium automaker that entered the EV market as a follower, launching its '</w:t>
      </w:r>
      <w:proofErr w:type="spellStart"/>
      <w:r w:rsidRPr="00237BEA">
        <w:t>i</w:t>
      </w:r>
      <w:proofErr w:type="spellEnd"/>
      <w:r w:rsidRPr="00237BEA">
        <w:t>' sub</w:t>
      </w:r>
      <w:r w:rsidR="00F10EF0" w:rsidRPr="00237BEA">
        <w:t xml:space="preserve"> </w:t>
      </w:r>
      <w:r w:rsidRPr="00237BEA">
        <w:t>brand in 2013. While BMW had greater brand heritage and manufacturing capacity, Tesla had the advantage of being first to market with a compelling all</w:t>
      </w:r>
      <w:r w:rsidR="00F10EF0" w:rsidRPr="00237BEA">
        <w:t xml:space="preserve"> </w:t>
      </w:r>
      <w:r w:rsidRPr="00237BEA">
        <w:t xml:space="preserve">electric offering aimed at mainstream consumers (Bohnsack, </w:t>
      </w:r>
      <w:proofErr w:type="spellStart"/>
      <w:r w:rsidRPr="00237BEA">
        <w:t>Pinkse</w:t>
      </w:r>
      <w:proofErr w:type="spellEnd"/>
      <w:r w:rsidRPr="00237BEA">
        <w:t xml:space="preserve"> and Kolk, 2014).</w:t>
      </w:r>
    </w:p>
    <w:p w14:paraId="0B67CCA4" w14:textId="77777777" w:rsidR="00CD02AE" w:rsidRDefault="00000000" w:rsidP="00237BEA">
      <w:pPr>
        <w:spacing w:after="200" w:line="360" w:lineRule="auto"/>
        <w:jc w:val="both"/>
      </w:pPr>
      <w:r w:rsidRPr="00237BEA">
        <w:lastRenderedPageBreak/>
        <w:t>Both companies now compete in the premium EV segment, yet their market positions, resources, and strategic approaches differ considerably. These differences make them an insightful pair through which to examine how external macro forces shape competitive positioning.</w:t>
      </w:r>
    </w:p>
    <w:p w14:paraId="41F98310" w14:textId="77777777" w:rsidR="00237BEA" w:rsidRPr="00237BEA" w:rsidRDefault="00237BEA" w:rsidP="00237BEA">
      <w:pPr>
        <w:spacing w:after="200" w:line="360" w:lineRule="auto"/>
        <w:jc w:val="both"/>
      </w:pPr>
    </w:p>
    <w:p w14:paraId="28226155" w14:textId="77777777" w:rsidR="00CD02AE" w:rsidRPr="00237BEA" w:rsidRDefault="00000000" w:rsidP="00237BEA">
      <w:pPr>
        <w:pStyle w:val="Heading2"/>
        <w:spacing w:line="360" w:lineRule="auto"/>
        <w:jc w:val="both"/>
        <w:rPr>
          <w:color w:val="auto"/>
          <w:sz w:val="24"/>
          <w:szCs w:val="24"/>
        </w:rPr>
      </w:pPr>
      <w:r w:rsidRPr="00237BEA">
        <w:rPr>
          <w:color w:val="auto"/>
          <w:sz w:val="24"/>
          <w:szCs w:val="24"/>
        </w:rPr>
        <w:t>2.2 Macro-Environmental Factor 1: Technological Advancement</w:t>
      </w:r>
    </w:p>
    <w:p w14:paraId="7954AB03" w14:textId="3A96197B" w:rsidR="00E852EC" w:rsidRPr="00237BEA" w:rsidRDefault="00E852EC" w:rsidP="00237BEA">
      <w:pPr>
        <w:pStyle w:val="Heading2"/>
        <w:spacing w:line="360" w:lineRule="auto"/>
        <w:jc w:val="both"/>
        <w:rPr>
          <w:b w:val="0"/>
          <w:bCs w:val="0"/>
          <w:sz w:val="24"/>
          <w:szCs w:val="24"/>
        </w:rPr>
      </w:pPr>
      <w:r w:rsidRPr="00237BEA">
        <w:rPr>
          <w:b w:val="0"/>
          <w:bCs w:val="0"/>
          <w:color w:val="auto"/>
          <w:sz w:val="24"/>
          <w:szCs w:val="24"/>
        </w:rPr>
        <w:t xml:space="preserve">Rapid advances in battery technology, artificial intelligence, autonomous driving systems, and connected vehicle platforms have fundamentally reshaped consumer expectations and the </w:t>
      </w:r>
      <w:proofErr w:type="gramStart"/>
      <w:r w:rsidRPr="00237BEA">
        <w:rPr>
          <w:b w:val="0"/>
          <w:bCs w:val="0"/>
          <w:color w:val="auto"/>
          <w:sz w:val="24"/>
          <w:szCs w:val="24"/>
        </w:rPr>
        <w:t>manner in which</w:t>
      </w:r>
      <w:proofErr w:type="gramEnd"/>
      <w:r w:rsidRPr="00237BEA">
        <w:rPr>
          <w:b w:val="0"/>
          <w:bCs w:val="0"/>
          <w:color w:val="auto"/>
          <w:sz w:val="24"/>
          <w:szCs w:val="24"/>
        </w:rPr>
        <w:t xml:space="preserve"> automotive manufacturers design and deliver vehicles </w:t>
      </w:r>
      <w:r w:rsidR="00B044A3" w:rsidRPr="00237BEA">
        <w:rPr>
          <w:b w:val="0"/>
          <w:bCs w:val="0"/>
          <w:sz w:val="24"/>
          <w:szCs w:val="24"/>
        </w:rPr>
        <w:t>(Teece, 2010)</w:t>
      </w:r>
      <w:r w:rsidR="00B044A3" w:rsidRPr="00237BEA">
        <w:rPr>
          <w:b w:val="0"/>
          <w:bCs w:val="0"/>
          <w:sz w:val="24"/>
          <w:szCs w:val="24"/>
        </w:rPr>
        <w:t xml:space="preserve">. </w:t>
      </w:r>
      <w:r w:rsidRPr="00237BEA">
        <w:rPr>
          <w:b w:val="0"/>
          <w:bCs w:val="0"/>
          <w:color w:val="auto"/>
          <w:sz w:val="24"/>
          <w:szCs w:val="24"/>
        </w:rPr>
        <w:t xml:space="preserve">Within this evolving landscape, it is also necessary to consider the “path to corporate responsibility” articulated by </w:t>
      </w:r>
      <w:proofErr w:type="spellStart"/>
      <w:r w:rsidRPr="00237BEA">
        <w:rPr>
          <w:b w:val="0"/>
          <w:bCs w:val="0"/>
          <w:color w:val="auto"/>
          <w:sz w:val="24"/>
          <w:szCs w:val="24"/>
        </w:rPr>
        <w:t>Zadek</w:t>
      </w:r>
      <w:proofErr w:type="spellEnd"/>
      <w:r w:rsidRPr="00237BEA">
        <w:rPr>
          <w:b w:val="0"/>
          <w:bCs w:val="0"/>
          <w:color w:val="auto"/>
          <w:sz w:val="24"/>
          <w:szCs w:val="24"/>
        </w:rPr>
        <w:t xml:space="preserve"> (2004, cited in Bohnsack et al., 2020), which emphasises the growing strategic importance of sustainability. Increasingly, automobile manufacturers recognise that their long-term competitiveness depends on their ability to deliver environmentally sustainable mobility solutions (Bohnsack et al., 2020). For both Tesla and BMW, therefore, technological advancement represents a dual dynamic, generating significant opportunities while simultaneously intensifying competitive pressures.</w:t>
      </w:r>
    </w:p>
    <w:p w14:paraId="403185B4" w14:textId="24C8EEEB" w:rsidR="00E852EC" w:rsidRPr="00237BEA" w:rsidRDefault="00E852EC" w:rsidP="00237BEA">
      <w:pPr>
        <w:pStyle w:val="Heading2"/>
        <w:spacing w:line="360" w:lineRule="auto"/>
        <w:jc w:val="both"/>
        <w:rPr>
          <w:b w:val="0"/>
          <w:bCs w:val="0"/>
          <w:color w:val="auto"/>
          <w:sz w:val="24"/>
          <w:szCs w:val="24"/>
        </w:rPr>
      </w:pPr>
      <w:r w:rsidRPr="00237BEA">
        <w:rPr>
          <w:b w:val="0"/>
          <w:bCs w:val="0"/>
          <w:color w:val="auto"/>
          <w:sz w:val="24"/>
          <w:szCs w:val="24"/>
        </w:rPr>
        <w:t xml:space="preserve">For Tesla, technological innovation has constituted the primary source of competitive advantage. The firm has invested heavily in proprietary battery technology, most notably through its Gigafactory network, enabling it to reduce cost per kilowatt-hour at a faster rate than many competitors. </w:t>
      </w:r>
      <w:proofErr w:type="spellStart"/>
      <w:r w:rsidRPr="00237BEA">
        <w:rPr>
          <w:b w:val="0"/>
          <w:bCs w:val="0"/>
          <w:color w:val="auto"/>
          <w:sz w:val="24"/>
          <w:szCs w:val="24"/>
        </w:rPr>
        <w:t>BloombergNEF</w:t>
      </w:r>
      <w:proofErr w:type="spellEnd"/>
      <w:r w:rsidRPr="00237BEA">
        <w:rPr>
          <w:b w:val="0"/>
          <w:bCs w:val="0"/>
          <w:color w:val="auto"/>
          <w:sz w:val="24"/>
          <w:szCs w:val="24"/>
        </w:rPr>
        <w:t xml:space="preserve"> (2023) reports that lithium-ion battery pack costs declined by approximately 90% between 2010 and 2023, a trajectory that Tesla actively accelerated through vertical integration and production scale-up. In addition, Tesla’s over-the-air (OTA) software update capability allows continuous post-purchase enhancement of vehicle functionality without requiring dealership visits, a model largely unprecedented within traditional automotive manufacturing. This approach exemplifies what Chesbrough (2010) conceptualises as an open innovation loop, whereby real-time user data feeds directly back into product development. Consequently, Tesla not only strengthens customer lock-in and loyalty but also reinforces its premium, technology-led brand positioning.</w:t>
      </w:r>
    </w:p>
    <w:p w14:paraId="23AB95E2" w14:textId="0C704FB0" w:rsidR="00E852EC" w:rsidRPr="00237BEA" w:rsidRDefault="00E852EC" w:rsidP="00237BEA">
      <w:pPr>
        <w:pStyle w:val="Heading2"/>
        <w:spacing w:line="360" w:lineRule="auto"/>
        <w:jc w:val="both"/>
        <w:rPr>
          <w:b w:val="0"/>
          <w:bCs w:val="0"/>
          <w:color w:val="auto"/>
          <w:sz w:val="24"/>
          <w:szCs w:val="24"/>
        </w:rPr>
      </w:pPr>
      <w:r w:rsidRPr="00237BEA">
        <w:rPr>
          <w:b w:val="0"/>
          <w:bCs w:val="0"/>
          <w:color w:val="auto"/>
          <w:sz w:val="24"/>
          <w:szCs w:val="24"/>
        </w:rPr>
        <w:lastRenderedPageBreak/>
        <w:t xml:space="preserve">For BMW, by contrast, technological advancement has produced a more ambivalent strategic position. As a fast follower rather than a first mover, BMW has been required to respond to capabilities already established by Tesla. Although models such as the i3 and the later </w:t>
      </w:r>
      <w:proofErr w:type="spellStart"/>
      <w:r w:rsidRPr="00237BEA">
        <w:rPr>
          <w:b w:val="0"/>
          <w:bCs w:val="0"/>
          <w:color w:val="auto"/>
          <w:sz w:val="24"/>
          <w:szCs w:val="24"/>
        </w:rPr>
        <w:t>iX</w:t>
      </w:r>
      <w:proofErr w:type="spellEnd"/>
      <w:r w:rsidRPr="00237BEA">
        <w:rPr>
          <w:b w:val="0"/>
          <w:bCs w:val="0"/>
          <w:color w:val="auto"/>
          <w:sz w:val="24"/>
          <w:szCs w:val="24"/>
        </w:rPr>
        <w:t xml:space="preserve"> incorporated advanced materials and digital features, the firm has faced criticism for the comparatively slow transition to dedicated battery electric vehicle (BEV) platforms relative to Tesla’s purpose-built EV architecture (Bohnsack, </w:t>
      </w:r>
      <w:proofErr w:type="spellStart"/>
      <w:r w:rsidRPr="00237BEA">
        <w:rPr>
          <w:b w:val="0"/>
          <w:bCs w:val="0"/>
          <w:color w:val="auto"/>
          <w:sz w:val="24"/>
          <w:szCs w:val="24"/>
        </w:rPr>
        <w:t>Pinkse</w:t>
      </w:r>
      <w:proofErr w:type="spellEnd"/>
      <w:r w:rsidRPr="00237BEA">
        <w:rPr>
          <w:b w:val="0"/>
          <w:bCs w:val="0"/>
          <w:color w:val="auto"/>
          <w:sz w:val="24"/>
          <w:szCs w:val="24"/>
        </w:rPr>
        <w:t xml:space="preserve"> and Kolk, 2014). Nevertheless, BMW retains important differentiated capabilities, particularly its established expertise in lightweight engineering, including the use of carbon fibre reinforced plastic (CFRP). The principal threat facing BMW relates to the accelerating pace of innovation across the sector. As Tesla and emerging Chinese </w:t>
      </w:r>
      <w:r w:rsidR="00B044A3" w:rsidRPr="00237BEA">
        <w:rPr>
          <w:b w:val="0"/>
          <w:bCs w:val="0"/>
          <w:color w:val="auto"/>
          <w:sz w:val="24"/>
          <w:szCs w:val="24"/>
        </w:rPr>
        <w:t>manufacturers, notably</w:t>
      </w:r>
      <w:r w:rsidRPr="00237BEA">
        <w:rPr>
          <w:b w:val="0"/>
          <w:bCs w:val="0"/>
          <w:color w:val="auto"/>
          <w:sz w:val="24"/>
          <w:szCs w:val="24"/>
        </w:rPr>
        <w:t xml:space="preserve"> BYD and </w:t>
      </w:r>
      <w:proofErr w:type="gramStart"/>
      <w:r w:rsidRPr="00237BEA">
        <w:rPr>
          <w:b w:val="0"/>
          <w:bCs w:val="0"/>
          <w:color w:val="auto"/>
          <w:sz w:val="24"/>
          <w:szCs w:val="24"/>
        </w:rPr>
        <w:t>NIO,  continue</w:t>
      </w:r>
      <w:proofErr w:type="gramEnd"/>
      <w:r w:rsidRPr="00237BEA">
        <w:rPr>
          <w:b w:val="0"/>
          <w:bCs w:val="0"/>
          <w:color w:val="auto"/>
          <w:sz w:val="24"/>
          <w:szCs w:val="24"/>
        </w:rPr>
        <w:t xml:space="preserve"> to compress development cycles and scale electric mobility technologies, BMW risks being strategically repositioned as technologically reactive despite its strong engineering heritage (KPMG, 2023).</w:t>
      </w:r>
    </w:p>
    <w:p w14:paraId="2643F9A9" w14:textId="77777777" w:rsidR="00CD02AE" w:rsidRPr="00237BEA" w:rsidRDefault="00000000" w:rsidP="00237BEA">
      <w:pPr>
        <w:pStyle w:val="Heading2"/>
        <w:spacing w:line="360" w:lineRule="auto"/>
        <w:jc w:val="both"/>
        <w:rPr>
          <w:color w:val="auto"/>
          <w:sz w:val="24"/>
          <w:szCs w:val="24"/>
        </w:rPr>
      </w:pPr>
      <w:r w:rsidRPr="00237BEA">
        <w:rPr>
          <w:color w:val="auto"/>
          <w:sz w:val="24"/>
          <w:szCs w:val="24"/>
        </w:rPr>
        <w:t>2.3 Macro-Environmental Factor 2: Regulatory and Political Forces</w:t>
      </w:r>
    </w:p>
    <w:p w14:paraId="18B21A5E" w14:textId="77777777" w:rsidR="00660580" w:rsidRPr="00237BEA" w:rsidRDefault="005949E9" w:rsidP="00237BEA">
      <w:pPr>
        <w:spacing w:after="200" w:line="360" w:lineRule="auto"/>
        <w:jc w:val="both"/>
      </w:pPr>
      <w:r w:rsidRPr="005949E9">
        <w:t xml:space="preserve">Government policy has been a major influence in shaping the industry, especially by limiting the use of internal combustion engine (ICE) vehicles to speed up the adoption of electric vehicles (EVs). The European Union's announcement that it would ban the sale of new ICE vehicles by 2035 is one of the biggest regulatory changes the auto industry has seen in decades. The European Commission (2023) says that this change is meant to make transport policy fit better with larger goals for reducing carbon emissions. </w:t>
      </w:r>
      <w:r w:rsidRPr="005949E9">
        <w:br/>
        <w:t>This regulatory path gives Tesla a structural edge. The company's business model of only making electric vehicles fits well with government emissions goals and the larger shift to sustainable energy. This puts it in a better position than older manufacturers. As a result, established car companies like BMW have sped up their plans to make their cars electric so that they can stay in line with new rules and stay competitive.</w:t>
      </w:r>
      <w:r w:rsidRPr="005949E9">
        <w:br/>
        <w:t>But the rules and regulations are becoming more challenged. The European Commission has had a lot of pressure from the sector, especially from German manufacturers, which has led to calls to make the original 2035 mandate less strict</w:t>
      </w:r>
      <w:r w:rsidR="00B044A3" w:rsidRPr="00237BEA">
        <w:t xml:space="preserve"> </w:t>
      </w:r>
      <w:r w:rsidR="00B044A3" w:rsidRPr="00237BEA">
        <w:t>(Leggett, 2025)</w:t>
      </w:r>
      <w:r w:rsidR="00B044A3" w:rsidRPr="00237BEA">
        <w:t xml:space="preserve">. </w:t>
      </w:r>
      <w:r w:rsidRPr="005949E9">
        <w:t xml:space="preserve">The European Automobile Manufacturers' Association (ACEA, 2024) says that there isn't enough demand for electric vehicles right now and that strict </w:t>
      </w:r>
      <w:r w:rsidRPr="005949E9">
        <w:lastRenderedPageBreak/>
        <w:t>targets might lead to manufacturers having to pay billions of euros in fines. This made the European Commission</w:t>
      </w:r>
      <w:r w:rsidRPr="00237BEA">
        <w:t xml:space="preserve"> </w:t>
      </w:r>
      <w:r w:rsidRPr="005949E9">
        <w:t>change</w:t>
      </w:r>
      <w:r w:rsidRPr="00237BEA">
        <w:t xml:space="preserve"> </w:t>
      </w:r>
      <w:r w:rsidRPr="005949E9">
        <w:t xml:space="preserve">its position. </w:t>
      </w:r>
      <w:r w:rsidRPr="005949E9">
        <w:br/>
      </w:r>
      <w:r w:rsidRPr="005949E9">
        <w:br/>
        <w:t>In the UK, there is also a political realignment going on. The UK government said in September 2023 that it would push back its own ICE phase-out from 2030 to 2035 because of worries about the cost of living and the competitiveness of British businesses</w:t>
      </w:r>
      <w:r w:rsidR="00660580" w:rsidRPr="00237BEA">
        <w:t xml:space="preserve"> </w:t>
      </w:r>
      <w:r w:rsidR="00660580" w:rsidRPr="00237BEA">
        <w:t>(GOV.UK, 2023)</w:t>
      </w:r>
      <w:r w:rsidR="00660580" w:rsidRPr="00237BEA">
        <w:t xml:space="preserve">. </w:t>
      </w:r>
      <w:r w:rsidRPr="005949E9">
        <w:t xml:space="preserve"> Even though it was framed as a domestic business decision, BMW and other European incumbents have been putting a lot of pressure on policymakers, which has changed the overall policy environment and made regulations less strict in important countries over time. </w:t>
      </w:r>
      <w:proofErr w:type="gramStart"/>
      <w:r w:rsidRPr="005949E9">
        <w:t>All of</w:t>
      </w:r>
      <w:proofErr w:type="gramEnd"/>
      <w:r w:rsidRPr="005949E9">
        <w:t xml:space="preserve"> these factors show that even while the rules are very favourable for EV specialists like Tesla, ongoing political negotiations and resistance from the sector continue to affect the speed and predictability of the transition.</w:t>
      </w:r>
      <w:r w:rsidR="00660580" w:rsidRPr="00237BEA">
        <w:t xml:space="preserve"> </w:t>
      </w:r>
      <w:r w:rsidR="00660580" w:rsidRPr="00237BEA">
        <w:t>Regulatory forces have, therefore, forced BMW into a faster strategic pivot than it might have otherwise chosen, creating short term operational complexity while potentially opening long term market opportunities in the growing EV segment.</w:t>
      </w:r>
    </w:p>
    <w:p w14:paraId="1FD53268" w14:textId="370C0C8B" w:rsidR="00CD02AE" w:rsidRPr="00237BEA" w:rsidRDefault="00660580" w:rsidP="00237BEA">
      <w:pPr>
        <w:spacing w:after="200" w:line="360" w:lineRule="auto"/>
        <w:jc w:val="both"/>
      </w:pPr>
      <w:r w:rsidRPr="00237BEA">
        <w:t>The contrasting ways in which regulatory forces affect Tesla and BMW reflect a broader pattern for pioneers, supportive regulation can entrench competitive advantage, while for followers, the same regulation creates urgency to transform established business models.</w:t>
      </w:r>
    </w:p>
    <w:p w14:paraId="50FB7607" w14:textId="6FB6BD4E" w:rsidR="00CD02AE" w:rsidRPr="00237BEA" w:rsidRDefault="00000000" w:rsidP="00237BEA">
      <w:pPr>
        <w:pStyle w:val="Heading1"/>
        <w:spacing w:line="360" w:lineRule="auto"/>
        <w:jc w:val="both"/>
        <w:rPr>
          <w:sz w:val="24"/>
          <w:szCs w:val="24"/>
        </w:rPr>
      </w:pPr>
      <w:r w:rsidRPr="00237BEA">
        <w:rPr>
          <w:sz w:val="24"/>
          <w:szCs w:val="24"/>
        </w:rPr>
        <w:t>3. Strategic Responses and Competitive Advantage</w:t>
      </w:r>
    </w:p>
    <w:p w14:paraId="6E8FA364" w14:textId="2922BADD" w:rsidR="00CD02AE" w:rsidRPr="00237BEA" w:rsidRDefault="00000000" w:rsidP="00237BEA">
      <w:pPr>
        <w:pStyle w:val="Heading2"/>
        <w:spacing w:line="360" w:lineRule="auto"/>
        <w:jc w:val="both"/>
        <w:rPr>
          <w:sz w:val="24"/>
          <w:szCs w:val="24"/>
        </w:rPr>
      </w:pPr>
      <w:r w:rsidRPr="00237BEA">
        <w:rPr>
          <w:sz w:val="24"/>
          <w:szCs w:val="24"/>
        </w:rPr>
        <w:t>3.</w:t>
      </w:r>
      <w:r w:rsidR="00996AAE" w:rsidRPr="00237BEA">
        <w:rPr>
          <w:sz w:val="24"/>
          <w:szCs w:val="24"/>
        </w:rPr>
        <w:t>1</w:t>
      </w:r>
      <w:r w:rsidRPr="00237BEA">
        <w:rPr>
          <w:sz w:val="24"/>
          <w:szCs w:val="24"/>
        </w:rPr>
        <w:t xml:space="preserve"> Tesla's Strategic Response</w:t>
      </w:r>
    </w:p>
    <w:p w14:paraId="4D240194" w14:textId="77777777" w:rsidR="00152293" w:rsidRDefault="00427FD4" w:rsidP="00237BEA">
      <w:pPr>
        <w:pStyle w:val="Heading2"/>
        <w:spacing w:line="360" w:lineRule="auto"/>
        <w:jc w:val="both"/>
      </w:pPr>
      <w:r w:rsidRPr="00427FD4">
        <w:rPr>
          <w:b w:val="0"/>
          <w:bCs w:val="0"/>
          <w:sz w:val="24"/>
          <w:szCs w:val="24"/>
        </w:rPr>
        <w:t>Michael Porter (1980) defines difference as the best way to understand Tesla's overall competitive strategy. Tesla has established its brand around technological innovation, sustainability credentials, and a unique direct-to-consumer retail approach, rather than just competing on price. Compared to other electric vehicles (EVs), the company's cars are always seen as aspirational items with better range, more advanced software, and a stronger brand name.</w:t>
      </w:r>
      <w:r w:rsidRPr="00427FD4">
        <w:rPr>
          <w:b w:val="0"/>
          <w:bCs w:val="0"/>
          <w:sz w:val="24"/>
          <w:szCs w:val="24"/>
        </w:rPr>
        <w:br/>
      </w:r>
      <w:r w:rsidRPr="00427FD4">
        <w:rPr>
          <w:b w:val="0"/>
          <w:bCs w:val="0"/>
          <w:sz w:val="24"/>
          <w:szCs w:val="24"/>
        </w:rPr>
        <w:br/>
        <w:t xml:space="preserve">But as of early 2026, Tesla is competing in a market that is getting </w:t>
      </w:r>
      <w:proofErr w:type="gramStart"/>
      <w:r w:rsidRPr="00427FD4">
        <w:rPr>
          <w:b w:val="0"/>
          <w:bCs w:val="0"/>
          <w:sz w:val="24"/>
          <w:szCs w:val="24"/>
        </w:rPr>
        <w:t>more and more</w:t>
      </w:r>
      <w:proofErr w:type="gramEnd"/>
      <w:r w:rsidRPr="00427FD4">
        <w:rPr>
          <w:b w:val="0"/>
          <w:bCs w:val="0"/>
          <w:sz w:val="24"/>
          <w:szCs w:val="24"/>
        </w:rPr>
        <w:t xml:space="preserve"> complex. The company's core electric car sector is facing more competition and lower </w:t>
      </w:r>
      <w:r w:rsidRPr="00427FD4">
        <w:rPr>
          <w:b w:val="0"/>
          <w:bCs w:val="0"/>
          <w:sz w:val="24"/>
          <w:szCs w:val="24"/>
        </w:rPr>
        <w:lastRenderedPageBreak/>
        <w:t xml:space="preserve">profit margins. At the same time, it is transferring its strategic focus to the software, energy, and robotics divisions, which have greater profit margins, </w:t>
      </w:r>
      <w:proofErr w:type="gramStart"/>
      <w:r w:rsidRPr="00427FD4">
        <w:rPr>
          <w:b w:val="0"/>
          <w:bCs w:val="0"/>
          <w:sz w:val="24"/>
          <w:szCs w:val="24"/>
        </w:rPr>
        <w:t>in order to</w:t>
      </w:r>
      <w:proofErr w:type="gramEnd"/>
      <w:r w:rsidRPr="00427FD4">
        <w:rPr>
          <w:b w:val="0"/>
          <w:bCs w:val="0"/>
          <w:sz w:val="24"/>
          <w:szCs w:val="24"/>
        </w:rPr>
        <w:t xml:space="preserve"> maintain its industry-leading profitability. Tesla's automotive gross margins have shrunk, but its overall financial health is being helped by other business units, especially its energy section, which has greater margins than the vehicle division (Liu, Boothman and Graham, 2025)</w:t>
      </w:r>
      <w:r w:rsidRPr="00427FD4">
        <w:rPr>
          <w:b w:val="0"/>
          <w:bCs w:val="0"/>
          <w:sz w:val="24"/>
          <w:szCs w:val="24"/>
        </w:rPr>
        <w:br/>
      </w:r>
      <w:r w:rsidRPr="00427FD4">
        <w:rPr>
          <w:b w:val="0"/>
          <w:bCs w:val="0"/>
          <w:sz w:val="24"/>
          <w:szCs w:val="24"/>
        </w:rPr>
        <w:br/>
        <w:t xml:space="preserve">Graham and Brungard's (2022) research underscores the significance of aligning customer preferences for the extensive adoption of plug-in electric vehicles (PEVs). Early adopters are usually wealthy and care about the environment, while most middle-class buyers care more about how affordable and useful a product is. These insights all point to the strategic struggle Tesla confronts between keeping its premium distinctiveness and making its products more accessible to the </w:t>
      </w:r>
      <w:proofErr w:type="gramStart"/>
      <w:r w:rsidRPr="00427FD4">
        <w:rPr>
          <w:b w:val="0"/>
          <w:bCs w:val="0"/>
          <w:sz w:val="24"/>
          <w:szCs w:val="24"/>
        </w:rPr>
        <w:t>general public</w:t>
      </w:r>
      <w:proofErr w:type="gramEnd"/>
      <w:r w:rsidRPr="00427FD4">
        <w:rPr>
          <w:b w:val="0"/>
          <w:bCs w:val="0"/>
          <w:sz w:val="24"/>
          <w:szCs w:val="24"/>
        </w:rPr>
        <w:t>.</w:t>
      </w:r>
      <w:r w:rsidRPr="00427FD4">
        <w:rPr>
          <w:b w:val="0"/>
          <w:bCs w:val="0"/>
          <w:sz w:val="24"/>
          <w:szCs w:val="24"/>
        </w:rPr>
        <w:br/>
      </w:r>
      <w:r w:rsidRPr="00427FD4">
        <w:rPr>
          <w:b w:val="0"/>
          <w:bCs w:val="0"/>
          <w:sz w:val="24"/>
          <w:szCs w:val="24"/>
        </w:rPr>
        <w:br/>
        <w:t xml:space="preserve">Igor Ansoff's Growth Matrix (1957) shows that Tesla's strategic position is that it is trying to grow in </w:t>
      </w:r>
      <w:proofErr w:type="gramStart"/>
      <w:r w:rsidRPr="00427FD4">
        <w:rPr>
          <w:b w:val="0"/>
          <w:bCs w:val="0"/>
          <w:sz w:val="24"/>
          <w:szCs w:val="24"/>
        </w:rPr>
        <w:t>many different ways</w:t>
      </w:r>
      <w:proofErr w:type="gramEnd"/>
      <w:r w:rsidRPr="00427FD4">
        <w:rPr>
          <w:b w:val="0"/>
          <w:bCs w:val="0"/>
          <w:sz w:val="24"/>
          <w:szCs w:val="24"/>
        </w:rPr>
        <w:t xml:space="preserve"> at the same time. Tesla has been lowering the prices of its existing models, especially the Model 3 and Model Y, to get more people to buy them. This has helped the company gain market share in the mass-market EV category in the US, Europe, and China. </w:t>
      </w:r>
      <w:r w:rsidR="004F41F6" w:rsidRPr="00237BEA">
        <w:rPr>
          <w:b w:val="0"/>
          <w:bCs w:val="0"/>
          <w:sz w:val="24"/>
          <w:szCs w:val="24"/>
        </w:rPr>
        <w:t xml:space="preserve">Simultaneously, the corporation has engaged in product development by introducing new platforms such as the </w:t>
      </w:r>
      <w:proofErr w:type="spellStart"/>
      <w:r w:rsidR="004F41F6" w:rsidRPr="00237BEA">
        <w:rPr>
          <w:b w:val="0"/>
          <w:bCs w:val="0"/>
          <w:sz w:val="24"/>
          <w:szCs w:val="24"/>
        </w:rPr>
        <w:t>Cybertruck</w:t>
      </w:r>
      <w:proofErr w:type="spellEnd"/>
      <w:r w:rsidR="004F41F6" w:rsidRPr="00237BEA">
        <w:rPr>
          <w:b w:val="0"/>
          <w:bCs w:val="0"/>
          <w:sz w:val="24"/>
          <w:szCs w:val="24"/>
        </w:rPr>
        <w:t xml:space="preserve"> and the </w:t>
      </w:r>
      <w:r w:rsidR="004F41F6" w:rsidRPr="00152293">
        <w:rPr>
          <w:b w:val="0"/>
          <w:bCs w:val="0"/>
          <w:sz w:val="24"/>
          <w:szCs w:val="24"/>
        </w:rPr>
        <w:t xml:space="preserve">Semi, targeting areas previously outside its main industry. </w:t>
      </w:r>
      <w:r w:rsidR="00152293" w:rsidRPr="00152293">
        <w:rPr>
          <w:b w:val="0"/>
          <w:bCs w:val="0"/>
          <w:sz w:val="24"/>
          <w:szCs w:val="24"/>
        </w:rPr>
        <w:t>However, it cannot be driven legally on public roads because it does not meet European safety requirements, which restricts its sale</w:t>
      </w:r>
      <w:r w:rsidR="00152293" w:rsidRPr="00152293">
        <w:rPr>
          <w:b w:val="0"/>
          <w:bCs w:val="0"/>
          <w:sz w:val="24"/>
          <w:szCs w:val="24"/>
        </w:rPr>
        <w:t xml:space="preserve"> </w:t>
      </w:r>
      <w:r w:rsidR="00152293" w:rsidRPr="00152293">
        <w:rPr>
          <w:b w:val="0"/>
          <w:bCs w:val="0"/>
          <w:sz w:val="24"/>
          <w:szCs w:val="24"/>
        </w:rPr>
        <w:t>(you, 2023)</w:t>
      </w:r>
      <w:r w:rsidR="00152293">
        <w:rPr>
          <w:b w:val="0"/>
          <w:bCs w:val="0"/>
          <w:sz w:val="24"/>
          <w:szCs w:val="24"/>
        </w:rPr>
        <w:t>.</w:t>
      </w:r>
    </w:p>
    <w:p w14:paraId="406D1FB5" w14:textId="4BCB3102" w:rsidR="00427FD4" w:rsidRPr="00427FD4" w:rsidRDefault="00427FD4" w:rsidP="00237BEA">
      <w:pPr>
        <w:pStyle w:val="Heading2"/>
        <w:spacing w:line="360" w:lineRule="auto"/>
        <w:jc w:val="both"/>
      </w:pPr>
      <w:r w:rsidRPr="00427FD4">
        <w:rPr>
          <w:b w:val="0"/>
          <w:bCs w:val="0"/>
          <w:sz w:val="24"/>
          <w:szCs w:val="24"/>
        </w:rPr>
        <w:br/>
        <w:t xml:space="preserve">Tesla has also diversified its business by creating an energy ecosystem that includes the Powerwall residential battery and Megapack, which stores energy on a vast scale. These products </w:t>
      </w:r>
      <w:proofErr w:type="gramStart"/>
      <w:r w:rsidRPr="00427FD4">
        <w:rPr>
          <w:b w:val="0"/>
          <w:bCs w:val="0"/>
          <w:sz w:val="24"/>
          <w:szCs w:val="24"/>
        </w:rPr>
        <w:t>open up</w:t>
      </w:r>
      <w:proofErr w:type="gramEnd"/>
      <w:r w:rsidRPr="00427FD4">
        <w:rPr>
          <w:b w:val="0"/>
          <w:bCs w:val="0"/>
          <w:sz w:val="24"/>
          <w:szCs w:val="24"/>
        </w:rPr>
        <w:t xml:space="preserve"> new markets for Tesla, such energy infrastructure, which means the company doesn't have to rely on just one source of income (Teece, 2010). This broad strategy shows how Tesla uses its technological skills in related areas to keep growing as the EV industry matures.</w:t>
      </w:r>
      <w:r w:rsidRPr="00427FD4">
        <w:rPr>
          <w:b w:val="0"/>
          <w:bCs w:val="0"/>
          <w:sz w:val="24"/>
          <w:szCs w:val="24"/>
        </w:rPr>
        <w:br/>
      </w:r>
      <w:r w:rsidRPr="00427FD4">
        <w:rPr>
          <w:b w:val="0"/>
          <w:bCs w:val="0"/>
          <w:sz w:val="24"/>
          <w:szCs w:val="24"/>
        </w:rPr>
        <w:br/>
        <w:t xml:space="preserve">When looked at along with the macro-environmental factors discussed in Task 1, Tesla's strategic choices show that the company is trying to take advantage of </w:t>
      </w:r>
      <w:r w:rsidRPr="00427FD4">
        <w:rPr>
          <w:b w:val="0"/>
          <w:bCs w:val="0"/>
          <w:sz w:val="24"/>
          <w:szCs w:val="24"/>
        </w:rPr>
        <w:lastRenderedPageBreak/>
        <w:t>favourable regulatory conditions while still being the leader in technology. Continued investment in battery innovation and worldwide manufacturing scale strengthens structural obstacles to imitation that support long-term competitive advantage (Porter, 1980).</w:t>
      </w:r>
    </w:p>
    <w:p w14:paraId="41D2887F" w14:textId="77777777" w:rsidR="00427FD4" w:rsidRPr="00237BEA" w:rsidRDefault="00427FD4" w:rsidP="00237BEA">
      <w:pPr>
        <w:pStyle w:val="Heading2"/>
        <w:spacing w:line="360" w:lineRule="auto"/>
        <w:jc w:val="both"/>
        <w:rPr>
          <w:sz w:val="24"/>
          <w:szCs w:val="24"/>
        </w:rPr>
      </w:pPr>
    </w:p>
    <w:p w14:paraId="3CE2ABCB" w14:textId="77777777" w:rsidR="00427FD4" w:rsidRPr="00237BEA" w:rsidRDefault="00427FD4" w:rsidP="00237BEA">
      <w:pPr>
        <w:pStyle w:val="Heading2"/>
        <w:spacing w:line="360" w:lineRule="auto"/>
        <w:jc w:val="both"/>
        <w:rPr>
          <w:sz w:val="24"/>
          <w:szCs w:val="24"/>
        </w:rPr>
      </w:pPr>
    </w:p>
    <w:p w14:paraId="1ACD2774" w14:textId="02D1A34F" w:rsidR="00CD02AE" w:rsidRPr="00237BEA" w:rsidRDefault="00000000" w:rsidP="00237BEA">
      <w:pPr>
        <w:pStyle w:val="Heading2"/>
        <w:spacing w:line="360" w:lineRule="auto"/>
        <w:jc w:val="both"/>
        <w:rPr>
          <w:sz w:val="24"/>
          <w:szCs w:val="24"/>
        </w:rPr>
      </w:pPr>
      <w:r w:rsidRPr="00237BEA">
        <w:rPr>
          <w:sz w:val="24"/>
          <w:szCs w:val="24"/>
        </w:rPr>
        <w:t>3.</w:t>
      </w:r>
      <w:r w:rsidR="00996AAE" w:rsidRPr="00237BEA">
        <w:rPr>
          <w:sz w:val="24"/>
          <w:szCs w:val="24"/>
        </w:rPr>
        <w:t>2</w:t>
      </w:r>
      <w:r w:rsidRPr="00237BEA">
        <w:rPr>
          <w:sz w:val="24"/>
          <w:szCs w:val="24"/>
        </w:rPr>
        <w:t xml:space="preserve"> BMW's Strategic Response</w:t>
      </w:r>
    </w:p>
    <w:p w14:paraId="725EA8EC" w14:textId="1C25CEA3" w:rsidR="00DC621B" w:rsidRPr="00DC621B" w:rsidRDefault="00DC621B" w:rsidP="00237BEA">
      <w:pPr>
        <w:pStyle w:val="Heading2"/>
        <w:spacing w:line="360" w:lineRule="auto"/>
        <w:jc w:val="both"/>
        <w:rPr>
          <w:sz w:val="24"/>
          <w:szCs w:val="24"/>
        </w:rPr>
      </w:pPr>
      <w:r w:rsidRPr="00DC621B">
        <w:rPr>
          <w:b w:val="0"/>
          <w:bCs w:val="0"/>
          <w:sz w:val="24"/>
          <w:szCs w:val="24"/>
        </w:rPr>
        <w:t>BMW's strategic situation is more complicated than Tesla's because it is moving from a very successful ICE company to an EV-first future while still trying to keep its market share in both sectors. Using Porter's Generic Strategies as a guide, BMW is still following a differentiation strategy based on its long history as a luxury brand, high-quality engineering, and the driving experience that have distinguished the company for more than a century. But</w:t>
      </w:r>
      <w:r w:rsidRPr="00237BEA">
        <w:rPr>
          <w:b w:val="0"/>
          <w:bCs w:val="0"/>
          <w:sz w:val="24"/>
          <w:szCs w:val="24"/>
        </w:rPr>
        <w:t xml:space="preserve"> </w:t>
      </w:r>
      <w:r w:rsidRPr="00237BEA">
        <w:rPr>
          <w:b w:val="0"/>
          <w:bCs w:val="0"/>
          <w:sz w:val="24"/>
          <w:szCs w:val="24"/>
        </w:rPr>
        <w:t xml:space="preserve">(Oxford College of Marketing </w:t>
      </w:r>
      <w:r w:rsidRPr="00237BEA">
        <w:rPr>
          <w:b w:val="0"/>
          <w:bCs w:val="0"/>
          <w:sz w:val="24"/>
          <w:szCs w:val="24"/>
        </w:rPr>
        <w:t>(</w:t>
      </w:r>
      <w:r w:rsidRPr="00237BEA">
        <w:rPr>
          <w:b w:val="0"/>
          <w:bCs w:val="0"/>
          <w:sz w:val="24"/>
          <w:szCs w:val="24"/>
        </w:rPr>
        <w:t>2023)</w:t>
      </w:r>
      <w:r w:rsidRPr="00237BEA">
        <w:rPr>
          <w:b w:val="0"/>
          <w:bCs w:val="0"/>
          <w:sz w:val="24"/>
          <w:szCs w:val="24"/>
        </w:rPr>
        <w:t xml:space="preserve"> </w:t>
      </w:r>
      <w:r w:rsidRPr="00DC621B">
        <w:rPr>
          <w:b w:val="0"/>
          <w:bCs w:val="0"/>
          <w:sz w:val="24"/>
          <w:szCs w:val="24"/>
        </w:rPr>
        <w:t xml:space="preserve">point out, existing differentiators are at danger because new competitors might make old differentiating traits less valuable as customer preferences change. This is exactly the problem that BMW is dealing with as software and connection become </w:t>
      </w:r>
      <w:proofErr w:type="gramStart"/>
      <w:r w:rsidRPr="00DC621B">
        <w:rPr>
          <w:b w:val="0"/>
          <w:bCs w:val="0"/>
          <w:sz w:val="24"/>
          <w:szCs w:val="24"/>
        </w:rPr>
        <w:t>more and more</w:t>
      </w:r>
      <w:proofErr w:type="gramEnd"/>
      <w:r w:rsidRPr="00DC621B">
        <w:rPr>
          <w:b w:val="0"/>
          <w:bCs w:val="0"/>
          <w:sz w:val="24"/>
          <w:szCs w:val="24"/>
        </w:rPr>
        <w:t xml:space="preserve"> important in how people judge the quality of cars. </w:t>
      </w:r>
      <w:r w:rsidRPr="00DC621B">
        <w:rPr>
          <w:b w:val="0"/>
          <w:bCs w:val="0"/>
          <w:sz w:val="24"/>
          <w:szCs w:val="24"/>
        </w:rPr>
        <w:br/>
        <w:t>When you use Ansoff's Growth Matrix to look at BMW's strategy response, it shows that they put a lot of attention on developing new products. The "Neue Klasse" platform is a specialised next-generation EV architecture that BMW is investing in. This is the biggest product development project the company has done recently. BMW Group said that the Neue Klasse platform will support a new generation of cars starting in 2025. These cars will have far better range, charging speed, and digital features. This is a direct response to the threat that Tesla's purpose-built electric vehicle design poses to BMW's business. It shows that BMW wants to close the technology gap with the market leader.</w:t>
      </w:r>
      <w:r w:rsidRPr="00DC621B">
        <w:rPr>
          <w:b w:val="0"/>
          <w:bCs w:val="0"/>
          <w:sz w:val="24"/>
          <w:szCs w:val="24"/>
        </w:rPr>
        <w:br/>
        <w:t xml:space="preserve">BMW has also worked to grow its business by selling more electric vehicles, especially China, which is the biggest market for electric vehicles in the world (IEA, 2025). In 2022, BMW sold more than 400,000 electric cars in China. This shows how important this market is to the company's expansion plans (BMW Group, 2023). In China, BMW </w:t>
      </w:r>
      <w:proofErr w:type="gramStart"/>
      <w:r w:rsidRPr="00DC621B">
        <w:rPr>
          <w:b w:val="0"/>
          <w:bCs w:val="0"/>
          <w:sz w:val="24"/>
          <w:szCs w:val="24"/>
        </w:rPr>
        <w:t>has to</w:t>
      </w:r>
      <w:proofErr w:type="gramEnd"/>
      <w:r w:rsidRPr="00DC621B">
        <w:rPr>
          <w:b w:val="0"/>
          <w:bCs w:val="0"/>
          <w:sz w:val="24"/>
          <w:szCs w:val="24"/>
        </w:rPr>
        <w:t xml:space="preserve"> compete with not only Tesla but also local companies like BYD and NIO, who </w:t>
      </w:r>
      <w:r w:rsidRPr="00DC621B">
        <w:rPr>
          <w:b w:val="0"/>
          <w:bCs w:val="0"/>
          <w:sz w:val="24"/>
          <w:szCs w:val="24"/>
        </w:rPr>
        <w:lastRenderedPageBreak/>
        <w:t xml:space="preserve">have cheaper costs and a better understanding of the local market (KPMG, 2023). To respond, BMW has localised its operations by teaming up with Chinese manufacturers and changing the features of its products to better meet the needs of Chinese consumers. This is a type of market development that combines regional growth with product adaption. </w:t>
      </w:r>
      <w:r w:rsidRPr="00DC621B">
        <w:rPr>
          <w:b w:val="0"/>
          <w:bCs w:val="0"/>
          <w:sz w:val="24"/>
          <w:szCs w:val="24"/>
        </w:rPr>
        <w:br/>
      </w:r>
      <w:r w:rsidRPr="00DC621B">
        <w:rPr>
          <w:b w:val="0"/>
          <w:bCs w:val="0"/>
          <w:sz w:val="24"/>
          <w:szCs w:val="24"/>
        </w:rPr>
        <w:br/>
        <w:t xml:space="preserve">BMW has not yet made any major moves into related areas like energy storage or renewable energy, unlike Tesla. This shows that BMW's present shift to electric vehicles is expensive and that the company has decided to stay focused on its core automotive skills. Oxford College of Marketing (2023) says that diversification is the </w:t>
      </w:r>
      <w:proofErr w:type="gramStart"/>
      <w:r w:rsidRPr="00DC621B">
        <w:rPr>
          <w:b w:val="0"/>
          <w:bCs w:val="0"/>
          <w:sz w:val="24"/>
          <w:szCs w:val="24"/>
        </w:rPr>
        <w:t>most risky</w:t>
      </w:r>
      <w:proofErr w:type="gramEnd"/>
      <w:r w:rsidRPr="00DC621B">
        <w:rPr>
          <w:b w:val="0"/>
          <w:bCs w:val="0"/>
          <w:sz w:val="24"/>
          <w:szCs w:val="24"/>
        </w:rPr>
        <w:t xml:space="preserve"> of all the Ansoff quadrant strategies. For BMW, it may be better to stay focused on making great cars while managing the switch from ICE to EV in the short to medium term.</w:t>
      </w:r>
    </w:p>
    <w:p w14:paraId="447EF033" w14:textId="2B76B2D4" w:rsidR="00CD02AE" w:rsidRPr="00237BEA" w:rsidRDefault="00000000" w:rsidP="00237BEA">
      <w:pPr>
        <w:pStyle w:val="Heading2"/>
        <w:spacing w:line="360" w:lineRule="auto"/>
        <w:jc w:val="both"/>
        <w:rPr>
          <w:sz w:val="24"/>
          <w:szCs w:val="24"/>
        </w:rPr>
      </w:pPr>
      <w:r w:rsidRPr="00237BEA">
        <w:rPr>
          <w:sz w:val="24"/>
          <w:szCs w:val="24"/>
        </w:rPr>
        <w:t>3.</w:t>
      </w:r>
      <w:r w:rsidR="00996AAE" w:rsidRPr="00237BEA">
        <w:rPr>
          <w:sz w:val="24"/>
          <w:szCs w:val="24"/>
        </w:rPr>
        <w:t>3</w:t>
      </w:r>
      <w:r w:rsidRPr="00237BEA">
        <w:rPr>
          <w:sz w:val="24"/>
          <w:szCs w:val="24"/>
        </w:rPr>
        <w:t xml:space="preserve"> Comparative Assessment</w:t>
      </w:r>
    </w:p>
    <w:p w14:paraId="54D1AB38" w14:textId="5268C772" w:rsidR="00CD02AE" w:rsidRPr="00237BEA" w:rsidRDefault="00000000" w:rsidP="00237BEA">
      <w:pPr>
        <w:spacing w:after="200" w:line="360" w:lineRule="auto"/>
        <w:jc w:val="both"/>
      </w:pPr>
      <w:r w:rsidRPr="00237BEA">
        <w:t>Comparing the two organisations, it is evident that Tesla's pioneering position has afforded it greater strategic freedom and flexibility. By establishing technological standards early, Tesla has shaped the competitive landscape in ways that force followers like BMW to respond rather than lead. This dynamic is consistent with the literature on first</w:t>
      </w:r>
      <w:r w:rsidR="000D2932" w:rsidRPr="00237BEA">
        <w:t xml:space="preserve"> </w:t>
      </w:r>
      <w:r w:rsidRPr="00237BEA">
        <w:t>mover advantages, which suggests that pioneers can build durable competitive advantages through learning effects, customer loyalty, and intellectual property accumulation (Lieberman and Montgomery, 1988).</w:t>
      </w:r>
    </w:p>
    <w:p w14:paraId="0AA26341" w14:textId="67FE38C0" w:rsidR="00CD02AE" w:rsidRPr="00237BEA" w:rsidRDefault="00000000" w:rsidP="00237BEA">
      <w:pPr>
        <w:spacing w:after="200" w:line="360" w:lineRule="auto"/>
        <w:jc w:val="both"/>
      </w:pPr>
      <w:r w:rsidRPr="00237BEA">
        <w:t>However, Tesla's position is not without vulnerabilities. As the EV market matures and regulation continues to favour electrification globally, more established automakers with large manufacturing bases and strong brand loyalty including BMW are likely to capture a growing share of EV demand. BMW's ability to leverage its existing customer relationships, dealer networks, and engineering reputation gives it advantages in segments where brand heritage matters. Equally, BMW's scale enables it to amortise the cost of EV platform development across a larger volume of vehicles, potentially allowing it to reduce prices and improve margins over time.</w:t>
      </w:r>
    </w:p>
    <w:p w14:paraId="12C67B46" w14:textId="7A2F3549" w:rsidR="00CD02AE" w:rsidRDefault="00000000" w:rsidP="00237BEA">
      <w:pPr>
        <w:spacing w:after="200" w:line="360" w:lineRule="auto"/>
        <w:jc w:val="both"/>
      </w:pPr>
      <w:r w:rsidRPr="00237BEA">
        <w:t xml:space="preserve">Both companies demonstrate that there is no single formula for success in a rapidly transforming industry. Tesla has succeeded by moving fast and accepting higher risk, while BMW has chosen a more measured transition that seeks to preserve existing </w:t>
      </w:r>
      <w:r w:rsidRPr="00237BEA">
        <w:lastRenderedPageBreak/>
        <w:t>profit pools while building new EV capabilities. The macro</w:t>
      </w:r>
      <w:r w:rsidR="000D2932" w:rsidRPr="00237BEA">
        <w:t xml:space="preserve"> </w:t>
      </w:r>
      <w:r w:rsidRPr="00237BEA">
        <w:t>environmental forces technology and regulation have accelerated this transformation for both, but they experience these forces differently based on their heritage, resources, and market positions.</w:t>
      </w:r>
    </w:p>
    <w:p w14:paraId="312E1EB2" w14:textId="77777777" w:rsidR="00237BEA" w:rsidRDefault="00237BEA" w:rsidP="00237BEA">
      <w:pPr>
        <w:spacing w:after="200" w:line="360" w:lineRule="auto"/>
        <w:jc w:val="both"/>
      </w:pPr>
    </w:p>
    <w:p w14:paraId="5FC1794B" w14:textId="77777777" w:rsidR="00237BEA" w:rsidRPr="00237BEA" w:rsidRDefault="00237BEA" w:rsidP="00237BEA">
      <w:pPr>
        <w:spacing w:after="200" w:line="360" w:lineRule="auto"/>
        <w:jc w:val="both"/>
      </w:pPr>
    </w:p>
    <w:p w14:paraId="6373EAEB" w14:textId="77777777" w:rsidR="00CD02AE" w:rsidRPr="00237BEA" w:rsidRDefault="00000000" w:rsidP="00237BEA">
      <w:pPr>
        <w:pStyle w:val="Heading1"/>
        <w:spacing w:line="360" w:lineRule="auto"/>
        <w:jc w:val="both"/>
        <w:rPr>
          <w:sz w:val="24"/>
          <w:szCs w:val="24"/>
        </w:rPr>
      </w:pPr>
      <w:r w:rsidRPr="00237BEA">
        <w:rPr>
          <w:sz w:val="24"/>
          <w:szCs w:val="24"/>
        </w:rPr>
        <w:t>4. Conclusion</w:t>
      </w:r>
    </w:p>
    <w:p w14:paraId="710825F1" w14:textId="14469E36" w:rsidR="00CD02AE" w:rsidRPr="00237BEA" w:rsidRDefault="00000000" w:rsidP="00237BEA">
      <w:pPr>
        <w:spacing w:after="200" w:line="360" w:lineRule="auto"/>
        <w:jc w:val="both"/>
      </w:pPr>
      <w:r w:rsidRPr="00237BEA">
        <w:t>This essay has examined how two macro</w:t>
      </w:r>
      <w:r w:rsidR="000D2932" w:rsidRPr="00237BEA">
        <w:t xml:space="preserve"> </w:t>
      </w:r>
      <w:r w:rsidRPr="00237BEA">
        <w:t>environmental forces technological advancement and regulatory/political factors have created opportunities and threats for Tesla and BMW in the EV industry. Tesla, as the pioneer, has benefited significantly from both forces, using technology leadership and regulatory tailwinds to build a strong competitive position. BMW, as the follower, has faced greater pressure to transform its business model but is responding with significant investment in new EV platforms and geographic market expansion.</w:t>
      </w:r>
    </w:p>
    <w:p w14:paraId="354E39D4" w14:textId="0A47F28D" w:rsidR="00237BEA" w:rsidRPr="00237BEA" w:rsidRDefault="00237BEA" w:rsidP="00237BEA">
      <w:pPr>
        <w:spacing w:after="200" w:line="360" w:lineRule="auto"/>
        <w:jc w:val="both"/>
      </w:pPr>
      <w:r w:rsidRPr="00237BEA">
        <w:t xml:space="preserve">Porter's Generic Strategies and Ansoff's Growth Matrix show that both organisations differentiate, but their growth paths differ. Tesla focuses on market penetration, product development, and diversification, while BMW focuses on product and market development during its ICE to EV transition. Both approaches are sensible answers to each company's external environment. </w:t>
      </w:r>
      <w:r w:rsidRPr="00237BEA">
        <w:br/>
        <w:t xml:space="preserve">As BYD overcame Tesla, the EV market may become more competitive (Chia and Kaye, 2026). Global laws and fast evolving technology are pushing all manufacturers toward electrification. Success comes from balancing innovation with operational </w:t>
      </w:r>
      <w:proofErr w:type="gramStart"/>
      <w:r w:rsidR="00C563DB" w:rsidRPr="00237BEA">
        <w:t>discipline</w:t>
      </w:r>
      <w:r w:rsidR="00C563DB">
        <w:t>,</w:t>
      </w:r>
      <w:proofErr w:type="gramEnd"/>
      <w:r w:rsidR="00C563DB">
        <w:t xml:space="preserve"> </w:t>
      </w:r>
      <w:r w:rsidRPr="00237BEA">
        <w:t>a challenge Tesla and BMW are navigating in distinct but instructive ways.</w:t>
      </w:r>
    </w:p>
    <w:p w14:paraId="4F8B3599" w14:textId="77777777" w:rsidR="00225DD9" w:rsidRDefault="00225DD9">
      <w:pPr>
        <w:spacing w:after="200" w:line="360" w:lineRule="auto"/>
      </w:pPr>
    </w:p>
    <w:p w14:paraId="0F72421D" w14:textId="77777777" w:rsidR="00225DD9" w:rsidRDefault="00225DD9">
      <w:pPr>
        <w:spacing w:after="200" w:line="360" w:lineRule="auto"/>
      </w:pPr>
    </w:p>
    <w:p w14:paraId="3017C28A" w14:textId="77777777" w:rsidR="00225DD9" w:rsidRDefault="00225DD9">
      <w:pPr>
        <w:spacing w:after="200" w:line="360" w:lineRule="auto"/>
      </w:pPr>
    </w:p>
    <w:p w14:paraId="7BD578EB" w14:textId="77777777" w:rsidR="00225DD9" w:rsidRDefault="00225DD9">
      <w:pPr>
        <w:spacing w:after="200" w:line="360" w:lineRule="auto"/>
      </w:pPr>
    </w:p>
    <w:p w14:paraId="0881530E" w14:textId="77777777" w:rsidR="00DC621B" w:rsidRDefault="00DC621B">
      <w:pPr>
        <w:pStyle w:val="Heading1"/>
      </w:pPr>
    </w:p>
    <w:p w14:paraId="4F6E26CF" w14:textId="77777777" w:rsidR="00152293" w:rsidRDefault="00152293">
      <w:pPr>
        <w:pStyle w:val="Heading1"/>
      </w:pPr>
    </w:p>
    <w:p w14:paraId="70601E58" w14:textId="5CFD9D1D" w:rsidR="00CD02AE" w:rsidRDefault="00000000">
      <w:pPr>
        <w:pStyle w:val="Heading1"/>
      </w:pPr>
      <w:r>
        <w:t>References</w:t>
      </w:r>
    </w:p>
    <w:p w14:paraId="1F4A4DE4" w14:textId="77777777" w:rsidR="00C563DB" w:rsidRDefault="00C563DB" w:rsidP="00DC621B">
      <w:pPr>
        <w:spacing w:after="200" w:line="360" w:lineRule="auto"/>
        <w:jc w:val="both"/>
      </w:pPr>
    </w:p>
    <w:p w14:paraId="312AD055" w14:textId="5DD0689E" w:rsidR="00DC621B" w:rsidRDefault="00DC621B" w:rsidP="00DC621B">
      <w:pPr>
        <w:spacing w:after="200" w:line="360" w:lineRule="auto"/>
        <w:jc w:val="both"/>
      </w:pPr>
      <w:r w:rsidRPr="00B67C07">
        <w:t xml:space="preserve">ACEA (2024). </w:t>
      </w:r>
      <w:r w:rsidRPr="00B67C07">
        <w:rPr>
          <w:i/>
          <w:iCs/>
        </w:rPr>
        <w:t>New evidence of worsening outlook for electric vehicle market reinforces need for urgent action</w:t>
      </w:r>
      <w:r w:rsidRPr="00B67C07">
        <w:t xml:space="preserve">. [online] ACEA - European Automobile Manufacturers’ Association. Available at: </w:t>
      </w:r>
      <w:hyperlink r:id="rId10" w:history="1">
        <w:r w:rsidRPr="00B67C07">
          <w:rPr>
            <w:rStyle w:val="Hyperlink"/>
          </w:rPr>
          <w:t>https://www.acea.auto/press-release/new-evidence-of-worsening-outlook-electric-vehicle-market-reinforces-need-for-urgent-action/</w:t>
        </w:r>
      </w:hyperlink>
      <w:r w:rsidRPr="00B67C07">
        <w:t>.</w:t>
      </w:r>
    </w:p>
    <w:p w14:paraId="528720DF" w14:textId="77777777" w:rsidR="00DC621B" w:rsidRDefault="00DC621B" w:rsidP="00DC621B">
      <w:pPr>
        <w:spacing w:after="200" w:line="360" w:lineRule="auto"/>
        <w:jc w:val="both"/>
      </w:pPr>
      <w:r w:rsidRPr="003B7871">
        <w:t>Ansoff, H.I. (1957) 'Strategies for diversification', Harvard Business Review, 35(5), pp. 113–124.</w:t>
      </w:r>
    </w:p>
    <w:p w14:paraId="2504FC9B" w14:textId="77777777" w:rsidR="00DC621B" w:rsidRDefault="00DC621B" w:rsidP="00DC621B">
      <w:pPr>
        <w:spacing w:after="200" w:line="360" w:lineRule="auto"/>
        <w:jc w:val="both"/>
      </w:pPr>
      <w:proofErr w:type="spellStart"/>
      <w:r>
        <w:t>BloombergNEF</w:t>
      </w:r>
      <w:proofErr w:type="spellEnd"/>
      <w:r>
        <w:t xml:space="preserve"> (2023) Electric vehicle outlook 2023. Available at: </w:t>
      </w:r>
      <w:hyperlink r:id="rId11" w:history="1">
        <w:r w:rsidRPr="008D2CB5">
          <w:rPr>
            <w:rStyle w:val="Hyperlink"/>
          </w:rPr>
          <w:t>https://about.bnef.com/electric-vehicle-outlo</w:t>
        </w:r>
        <w:r w:rsidRPr="008D2CB5">
          <w:rPr>
            <w:rStyle w:val="Hyperlink"/>
          </w:rPr>
          <w:t>o</w:t>
        </w:r>
        <w:r w:rsidRPr="008D2CB5">
          <w:rPr>
            <w:rStyle w:val="Hyperlink"/>
          </w:rPr>
          <w:t>k/</w:t>
        </w:r>
      </w:hyperlink>
      <w:r>
        <w:t xml:space="preserve">  (Accessed: 10 February 2025).</w:t>
      </w:r>
    </w:p>
    <w:p w14:paraId="4B5B87DF" w14:textId="77777777" w:rsidR="00DC621B" w:rsidRDefault="00DC621B" w:rsidP="00DC621B">
      <w:pPr>
        <w:spacing w:after="200" w:line="360" w:lineRule="auto"/>
        <w:jc w:val="both"/>
      </w:pPr>
      <w:r>
        <w:t>BMW Group (2023) Annual report 2022. Munich: BMW Group. Available at: https://www.bmwgroup.com/en/investor-relations/annual-report.html (Accessed: 12 February 2025).</w:t>
      </w:r>
    </w:p>
    <w:p w14:paraId="11784D62" w14:textId="77777777" w:rsidR="00DC621B" w:rsidRDefault="00DC621B" w:rsidP="00DC621B">
      <w:pPr>
        <w:spacing w:after="200" w:line="360" w:lineRule="auto"/>
        <w:jc w:val="both"/>
      </w:pPr>
      <w:r w:rsidRPr="00E852EC">
        <w:t xml:space="preserve">Bohnsack, R., Kolk, A., </w:t>
      </w:r>
      <w:proofErr w:type="spellStart"/>
      <w:r w:rsidRPr="00E852EC">
        <w:t>Pinkse</w:t>
      </w:r>
      <w:proofErr w:type="spellEnd"/>
      <w:r w:rsidRPr="00E852EC">
        <w:t xml:space="preserve">, J. and </w:t>
      </w:r>
      <w:proofErr w:type="spellStart"/>
      <w:r w:rsidRPr="00E852EC">
        <w:t>Bidmon</w:t>
      </w:r>
      <w:proofErr w:type="spellEnd"/>
      <w:r w:rsidRPr="00E852EC">
        <w:t xml:space="preserve">, C.M. (2020). Driving the Electric bandwagon: the Dynamics of incumbents’ Sustainable Innovation. </w:t>
      </w:r>
      <w:r w:rsidRPr="00E852EC">
        <w:rPr>
          <w:i/>
          <w:iCs/>
        </w:rPr>
        <w:t>Business Strategy and the Environment</w:t>
      </w:r>
      <w:r w:rsidRPr="00E852EC">
        <w:t xml:space="preserve">, [online] 29(2), pp.727–743. </w:t>
      </w:r>
      <w:proofErr w:type="spellStart"/>
      <w:proofErr w:type="gramStart"/>
      <w:r w:rsidRPr="00E852EC">
        <w:t>doi:https</w:t>
      </w:r>
      <w:proofErr w:type="spellEnd"/>
      <w:r w:rsidRPr="00E852EC">
        <w:t>://doi.org/10.1002/bse.2430</w:t>
      </w:r>
      <w:proofErr w:type="gramEnd"/>
      <w:r w:rsidRPr="00E852EC">
        <w:t>.</w:t>
      </w:r>
      <w:r>
        <w:t xml:space="preserve"> </w:t>
      </w:r>
    </w:p>
    <w:p w14:paraId="4F3D5422" w14:textId="77777777" w:rsidR="00DC621B" w:rsidRDefault="00DC621B" w:rsidP="00DC621B">
      <w:pPr>
        <w:spacing w:after="200" w:line="360" w:lineRule="auto"/>
        <w:jc w:val="both"/>
      </w:pPr>
      <w:r>
        <w:t xml:space="preserve">Bohnsack, R., </w:t>
      </w:r>
      <w:proofErr w:type="spellStart"/>
      <w:r>
        <w:t>Pinkse</w:t>
      </w:r>
      <w:proofErr w:type="spellEnd"/>
      <w:r>
        <w:t>, J. and Kolk, A. (2014) 'Business models for sustainable technologies: Exploring business model evolution in the case of electric vehicles', Research Policy, 43(2), pp. 284–300.</w:t>
      </w:r>
    </w:p>
    <w:p w14:paraId="7ED18AA4" w14:textId="77777777" w:rsidR="00DC621B" w:rsidRDefault="00DC621B" w:rsidP="00DC621B">
      <w:pPr>
        <w:spacing w:after="200" w:line="360" w:lineRule="auto"/>
        <w:jc w:val="both"/>
      </w:pPr>
      <w:r>
        <w:t>Chesbrough, H. (2010) 'Business model innovation: Opportunities and barriers', Long Range Planning, 43(2–3), pp. 354–363.</w:t>
      </w:r>
    </w:p>
    <w:p w14:paraId="47C0C42B" w14:textId="77777777" w:rsidR="00DC621B" w:rsidRPr="00DC621B" w:rsidRDefault="00DC621B" w:rsidP="00DC621B">
      <w:pPr>
        <w:spacing w:after="200" w:line="360" w:lineRule="auto"/>
        <w:jc w:val="both"/>
      </w:pPr>
      <w:r w:rsidRPr="00DC621B">
        <w:t xml:space="preserve">Chia, O. and Kaye, D. (2026). China’s BYD overtakes Tesla as world’s top EV seller. </w:t>
      </w:r>
      <w:r w:rsidRPr="00DC621B">
        <w:rPr>
          <w:i/>
          <w:iCs/>
        </w:rPr>
        <w:t>BBC News</w:t>
      </w:r>
      <w:r w:rsidRPr="00DC621B">
        <w:t>. [online] 2 Jan. Available at: https://www.bbc.co.uk/news/articles/cj9rjwpvmpzo.</w:t>
      </w:r>
    </w:p>
    <w:p w14:paraId="49327292" w14:textId="77777777" w:rsidR="00DC621B" w:rsidRDefault="00DC621B" w:rsidP="00DC621B">
      <w:pPr>
        <w:spacing w:after="200" w:line="360" w:lineRule="auto"/>
        <w:jc w:val="both"/>
      </w:pPr>
      <w:r>
        <w:lastRenderedPageBreak/>
        <w:t>European Commission (2023) Regulation of the European Parliament and of the Council setting CO2 emission performance standards for new passenger cars and for new light commercial vehicles. Brussels: European Commission. Available at: https://ec.europa.eu/clima/policies/transport/vehicles/regulation_en (Accessed: 14 February 2025).</w:t>
      </w:r>
    </w:p>
    <w:p w14:paraId="2F6239C9" w14:textId="77777777" w:rsidR="00DC621B" w:rsidRDefault="00DC621B" w:rsidP="00DC621B">
      <w:pPr>
        <w:spacing w:after="200" w:line="360" w:lineRule="auto"/>
        <w:jc w:val="both"/>
      </w:pPr>
      <w:r w:rsidRPr="007D35CD">
        <w:t xml:space="preserve">European Parliament (2022). </w:t>
      </w:r>
      <w:r w:rsidRPr="007D35CD">
        <w:rPr>
          <w:i/>
          <w:iCs/>
        </w:rPr>
        <w:t>EU ban on sale of new petrol and diesel cars from 2035 explained | Topics | European Parliament</w:t>
      </w:r>
      <w:r w:rsidRPr="007D35CD">
        <w:t>. [online] European Parliament. Available at: https://www.europarl.europa.eu/topics/en/article/20221019STO44572/eu-ban-on-sale-of-new-petrol-and-diesel-cars-from-2035-explained.</w:t>
      </w:r>
    </w:p>
    <w:p w14:paraId="664F9954" w14:textId="77777777" w:rsidR="00DC621B" w:rsidRPr="00660580" w:rsidRDefault="00DC621B" w:rsidP="00DC621B">
      <w:pPr>
        <w:spacing w:after="200" w:line="360" w:lineRule="auto"/>
        <w:jc w:val="both"/>
      </w:pPr>
      <w:r w:rsidRPr="00660580">
        <w:t xml:space="preserve">GOV.UK (2023). </w:t>
      </w:r>
      <w:r w:rsidRPr="00660580">
        <w:rPr>
          <w:i/>
          <w:iCs/>
        </w:rPr>
        <w:t>Government Sets out Path to Zero Emission Vehicles by 2035</w:t>
      </w:r>
      <w:r w:rsidRPr="00660580">
        <w:t>. [online] GOV.UK. Available at: https://www.gov.uk/government/news/government-sets-out-path-to-zero-emission-vehicles-by-2035.</w:t>
      </w:r>
    </w:p>
    <w:p w14:paraId="16BA0608" w14:textId="77777777" w:rsidR="00DC621B" w:rsidRDefault="00DC621B" w:rsidP="00DC621B">
      <w:pPr>
        <w:spacing w:after="200" w:line="360" w:lineRule="auto"/>
        <w:jc w:val="both"/>
      </w:pPr>
      <w:r w:rsidRPr="00427FD4">
        <w:t xml:space="preserve">Graham, J.D. and Brungard, E. (2022). Affordable Electric Vehicles: Their Role in Meeting the U.S. Contribution to the Paris Climate Goals. </w:t>
      </w:r>
      <w:r w:rsidRPr="00427FD4">
        <w:rPr>
          <w:i/>
          <w:iCs/>
        </w:rPr>
        <w:t>Frontiers in Environmental Science</w:t>
      </w:r>
      <w:r w:rsidRPr="00427FD4">
        <w:t xml:space="preserve">, 10. </w:t>
      </w:r>
      <w:proofErr w:type="spellStart"/>
      <w:proofErr w:type="gramStart"/>
      <w:r w:rsidRPr="00427FD4">
        <w:t>doi:https</w:t>
      </w:r>
      <w:proofErr w:type="spellEnd"/>
      <w:r w:rsidRPr="00427FD4">
        <w:t>://doi.org/10.3389/fenvs.2022.962942</w:t>
      </w:r>
      <w:proofErr w:type="gramEnd"/>
      <w:r w:rsidRPr="00427FD4">
        <w:t>.</w:t>
      </w:r>
    </w:p>
    <w:p w14:paraId="79862490" w14:textId="77777777" w:rsidR="00DC621B" w:rsidRPr="00DC621B" w:rsidRDefault="00DC621B" w:rsidP="00DC621B">
      <w:pPr>
        <w:spacing w:after="200" w:line="360" w:lineRule="auto"/>
        <w:jc w:val="both"/>
      </w:pPr>
      <w:r w:rsidRPr="00DC621B">
        <w:t xml:space="preserve">IEA (2025). </w:t>
      </w:r>
      <w:r w:rsidRPr="00DC621B">
        <w:rPr>
          <w:i/>
          <w:iCs/>
        </w:rPr>
        <w:t>Trends in the electric car industry – Global EV Outlook 2025 – Analysis - IEA</w:t>
      </w:r>
      <w:r w:rsidRPr="00DC621B">
        <w:t>. [online] IEA. Available at: https://www.iea.org/reports/global-ev-outlook-2025/trends-in-the-electric-car-industry-3.</w:t>
      </w:r>
    </w:p>
    <w:p w14:paraId="2A35A957" w14:textId="77777777" w:rsidR="00DC621B" w:rsidRDefault="00DC621B" w:rsidP="00DC621B">
      <w:pPr>
        <w:spacing w:after="200" w:line="360" w:lineRule="auto"/>
        <w:jc w:val="both"/>
      </w:pPr>
      <w:r>
        <w:t xml:space="preserve">Johnson, G., Whittington, R. and Scholes, K. (2017) Exploring strategy: Text and cases. 11th </w:t>
      </w:r>
      <w:proofErr w:type="spellStart"/>
      <w:r>
        <w:t>edn</w:t>
      </w:r>
      <w:proofErr w:type="spellEnd"/>
      <w:r>
        <w:t>. Harlow: Pearson Education.</w:t>
      </w:r>
    </w:p>
    <w:p w14:paraId="67AE405A" w14:textId="77777777" w:rsidR="00DC621B" w:rsidRDefault="00DC621B" w:rsidP="00DC621B">
      <w:pPr>
        <w:spacing w:after="200" w:line="360" w:lineRule="auto"/>
        <w:jc w:val="both"/>
      </w:pPr>
      <w:r>
        <w:t>KPMG (2023) KPMG global automotive executive survey 2023. Amsterdam: KPMG International. Available at: https://home.kpmg/xx/en/home/insights/2023/01/kpmg-global-automotive-executive-survey-2023.html (Accessed: 13 February 2025).</w:t>
      </w:r>
    </w:p>
    <w:p w14:paraId="22E79D0E" w14:textId="77777777" w:rsidR="00DC621B" w:rsidRPr="00B044A3" w:rsidRDefault="00DC621B" w:rsidP="00DC621B">
      <w:pPr>
        <w:spacing w:after="200" w:line="360" w:lineRule="auto"/>
        <w:jc w:val="both"/>
      </w:pPr>
      <w:r w:rsidRPr="00B044A3">
        <w:t xml:space="preserve">Leggett, T. (2025). </w:t>
      </w:r>
      <w:r w:rsidRPr="00B044A3">
        <w:rPr>
          <w:i/>
          <w:iCs/>
        </w:rPr>
        <w:t>EU waters down plans to end new petrol and diesel car sales by 2035</w:t>
      </w:r>
      <w:r w:rsidRPr="00B044A3">
        <w:t>. [online] BBC News. Available at: https://www.bbc.co.uk/news/articles/crk78y7k8ezo.</w:t>
      </w:r>
    </w:p>
    <w:p w14:paraId="2A80EC31" w14:textId="77777777" w:rsidR="00DC621B" w:rsidRDefault="00DC621B" w:rsidP="00DC621B">
      <w:pPr>
        <w:spacing w:after="200" w:line="360" w:lineRule="auto"/>
        <w:jc w:val="both"/>
      </w:pPr>
      <w:r w:rsidRPr="00813B1F">
        <w:t>Lieberman, M.B. and Montgomery, D.B. (1988) “First-mover advantages,” </w:t>
      </w:r>
      <w:r w:rsidRPr="00813B1F">
        <w:rPr>
          <w:i/>
          <w:iCs/>
        </w:rPr>
        <w:t>Strategic management journal</w:t>
      </w:r>
      <w:r w:rsidRPr="00813B1F">
        <w:t xml:space="preserve">, 9(S1), pp. 41–58. Available at: </w:t>
      </w:r>
      <w:hyperlink r:id="rId12" w:history="1">
        <w:r w:rsidRPr="008D2CB5">
          <w:rPr>
            <w:rStyle w:val="Hyperlink"/>
          </w:rPr>
          <w:t>https://doi.org/10.1002/smj.4250090706</w:t>
        </w:r>
      </w:hyperlink>
      <w:r w:rsidRPr="00813B1F">
        <w:t>.</w:t>
      </w:r>
    </w:p>
    <w:p w14:paraId="2EF1DFEE" w14:textId="77777777" w:rsidR="00DC621B" w:rsidRDefault="00DC621B" w:rsidP="00DC621B">
      <w:pPr>
        <w:spacing w:after="200" w:line="360" w:lineRule="auto"/>
        <w:jc w:val="both"/>
      </w:pPr>
      <w:r>
        <w:lastRenderedPageBreak/>
        <w:t>Lieberman, M.B. and Montgomery, D.B. (1988) 'First-mover advantages', Strategic Management Journal, 9(S1), pp. 41–58.</w:t>
      </w:r>
    </w:p>
    <w:p w14:paraId="102875EB" w14:textId="77777777" w:rsidR="00DC621B" w:rsidRPr="00427FD4" w:rsidRDefault="00DC621B" w:rsidP="00DC621B">
      <w:pPr>
        <w:spacing w:after="200" w:line="360" w:lineRule="auto"/>
        <w:jc w:val="both"/>
      </w:pPr>
      <w:r w:rsidRPr="00427FD4">
        <w:t xml:space="preserve">Liu, C.C., Boothman, S.G. and Graham, J.D. (2025). The Rise and Recent Decline of Tesla’s Share of the U.S. Electric Vehicle Market. </w:t>
      </w:r>
      <w:r w:rsidRPr="00427FD4">
        <w:rPr>
          <w:i/>
          <w:iCs/>
        </w:rPr>
        <w:t>World Electric Vehicle Journal</w:t>
      </w:r>
      <w:r w:rsidRPr="00427FD4">
        <w:t xml:space="preserve">, [online] 16(2), pp.90–90. </w:t>
      </w:r>
      <w:proofErr w:type="spellStart"/>
      <w:proofErr w:type="gramStart"/>
      <w:r w:rsidRPr="00427FD4">
        <w:t>doi:https</w:t>
      </w:r>
      <w:proofErr w:type="spellEnd"/>
      <w:r w:rsidRPr="00427FD4">
        <w:t>://doi.org/10.3390/wevj16020090</w:t>
      </w:r>
      <w:proofErr w:type="gramEnd"/>
      <w:r w:rsidRPr="00427FD4">
        <w:t>.</w:t>
      </w:r>
    </w:p>
    <w:p w14:paraId="7B4084A5" w14:textId="77777777" w:rsidR="00DC621B" w:rsidRPr="00B32974" w:rsidRDefault="00DC621B" w:rsidP="00DC621B">
      <w:pPr>
        <w:spacing w:after="200" w:line="360" w:lineRule="auto"/>
        <w:jc w:val="both"/>
      </w:pPr>
      <w:r w:rsidRPr="00B32974">
        <w:t xml:space="preserve">Oxford College of Marketing (2023). </w:t>
      </w:r>
      <w:r w:rsidRPr="00B32974">
        <w:rPr>
          <w:i/>
          <w:iCs/>
        </w:rPr>
        <w:t>Using The Ansoff Matrix to Develop Marketing Strategy</w:t>
      </w:r>
      <w:r w:rsidRPr="00B32974">
        <w:t>. [online] Oxford College of Marketing. Available at: https://blog.oxfordcollegeofmarketing.com/2016/08/01/using-ansoff-matrix-develop-marketing-strategy/.</w:t>
      </w:r>
    </w:p>
    <w:p w14:paraId="752DAAB2" w14:textId="77777777" w:rsidR="00DC621B" w:rsidRDefault="00DC621B" w:rsidP="00DC621B">
      <w:pPr>
        <w:spacing w:after="200" w:line="360" w:lineRule="auto"/>
        <w:jc w:val="both"/>
      </w:pPr>
      <w:r>
        <w:t xml:space="preserve">Porter, M.E. (1980) Competitive strategy: Techniques for </w:t>
      </w:r>
      <w:proofErr w:type="spellStart"/>
      <w:r>
        <w:t>analyzing</w:t>
      </w:r>
      <w:proofErr w:type="spellEnd"/>
      <w:r>
        <w:t xml:space="preserve"> industries and competitors. New York: Free Press.</w:t>
      </w:r>
    </w:p>
    <w:p w14:paraId="73FA5922" w14:textId="77777777" w:rsidR="00DC621B" w:rsidRPr="00B044A3" w:rsidRDefault="00DC621B" w:rsidP="00DC621B">
      <w:pPr>
        <w:spacing w:after="200" w:line="360" w:lineRule="auto"/>
        <w:jc w:val="both"/>
      </w:pPr>
      <w:r w:rsidRPr="00B044A3">
        <w:t xml:space="preserve">Teece, D.J. (2010). Business Models, Business Strategy and Innovation. </w:t>
      </w:r>
      <w:r w:rsidRPr="00B044A3">
        <w:rPr>
          <w:i/>
          <w:iCs/>
        </w:rPr>
        <w:t>Long Range Planning</w:t>
      </w:r>
      <w:r w:rsidRPr="00B044A3">
        <w:t xml:space="preserve">, 43(2-3), pp.172–194. </w:t>
      </w:r>
      <w:proofErr w:type="spellStart"/>
      <w:proofErr w:type="gramStart"/>
      <w:r w:rsidRPr="00B044A3">
        <w:t>doi:https</w:t>
      </w:r>
      <w:proofErr w:type="spellEnd"/>
      <w:r w:rsidRPr="00B044A3">
        <w:t>://doi.org/10.1016/j.lrp.2009.07.003</w:t>
      </w:r>
      <w:proofErr w:type="gramEnd"/>
      <w:r w:rsidRPr="00B044A3">
        <w:t>.</w:t>
      </w:r>
    </w:p>
    <w:p w14:paraId="663A71E6" w14:textId="77777777" w:rsidR="00DC621B" w:rsidRDefault="00DC621B" w:rsidP="00DC621B">
      <w:pPr>
        <w:spacing w:after="200" w:line="360" w:lineRule="auto"/>
        <w:jc w:val="both"/>
      </w:pPr>
      <w:r>
        <w:t>Tesla Inc. (2022) Tesla 2022 annual report. Palo Alto: Tesla Inc. Available at: https://ir.tesla.com/sec-filings/annual-reports (Accessed: 12 February 2025).</w:t>
      </w:r>
    </w:p>
    <w:p w14:paraId="6B306AD4" w14:textId="77777777" w:rsidR="00DC621B" w:rsidRDefault="00DC621B" w:rsidP="00DC621B">
      <w:pPr>
        <w:spacing w:after="200" w:line="360" w:lineRule="auto"/>
        <w:jc w:val="both"/>
      </w:pPr>
      <w:r>
        <w:t>US Department of Energy (2023) Federal tax credits for new clean vehicles purchased in 2023 or after. Washington, DC: US Department of Energy. Available at: https://www.energy.gov/eere/electricvehicles/federal-tax-credits-new-all-electric-plug-hybrid-and-fuel-cell-electric (Accessed: 15 February 2025).</w:t>
      </w:r>
    </w:p>
    <w:p w14:paraId="1FB26E45" w14:textId="77777777" w:rsidR="00237BEA" w:rsidRPr="00237BEA" w:rsidRDefault="00237BEA" w:rsidP="00237BEA">
      <w:pPr>
        <w:spacing w:after="200" w:line="360" w:lineRule="auto"/>
        <w:jc w:val="both"/>
      </w:pPr>
      <w:r w:rsidRPr="00237BEA">
        <w:t xml:space="preserve">you, E. (2023). </w:t>
      </w:r>
      <w:r w:rsidRPr="00237BEA">
        <w:rPr>
          <w:i/>
          <w:iCs/>
        </w:rPr>
        <w:t>The Electric Car Scheme</w:t>
      </w:r>
      <w:r w:rsidRPr="00237BEA">
        <w:t>. [online] The Electric Car Scheme. Available at: https://www.electriccarscheme.com/blog/everything-you-need-to-know-about-the-highly-anticipated-tesla-cybertruck.</w:t>
      </w:r>
    </w:p>
    <w:p w14:paraId="6A176D27" w14:textId="77777777" w:rsidR="00237BEA" w:rsidRDefault="00237BEA" w:rsidP="00DC621B">
      <w:pPr>
        <w:spacing w:after="200" w:line="360" w:lineRule="auto"/>
        <w:jc w:val="both"/>
      </w:pPr>
    </w:p>
    <w:p w14:paraId="1BF96CAD" w14:textId="77777777" w:rsidR="00E852EC" w:rsidRDefault="00E852EC">
      <w:pPr>
        <w:spacing w:after="200" w:line="360" w:lineRule="auto"/>
      </w:pPr>
    </w:p>
    <w:sectPr w:rsidR="00E852EC">
      <w:headerReference w:type="default" r:id="rId13"/>
      <w:footerReference w:type="defaul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C81B0A" w14:textId="77777777" w:rsidR="004A4B6C" w:rsidRDefault="004A4B6C">
      <w:r>
        <w:separator/>
      </w:r>
    </w:p>
  </w:endnote>
  <w:endnote w:type="continuationSeparator" w:id="0">
    <w:p w14:paraId="4DCC3E5C" w14:textId="77777777" w:rsidR="004A4B6C" w:rsidRDefault="004A4B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5080799"/>
      <w:docPartObj>
        <w:docPartGallery w:val="Page Numbers (Bottom of Page)"/>
        <w:docPartUnique/>
      </w:docPartObj>
    </w:sdtPr>
    <w:sdtEndPr>
      <w:rPr>
        <w:noProof/>
      </w:rPr>
    </w:sdtEndPr>
    <w:sdtContent>
      <w:p w14:paraId="7B94109E" w14:textId="595BAC92" w:rsidR="004877F3" w:rsidRDefault="004877F3" w:rsidP="004877F3">
        <w:pPr>
          <w:pStyle w:val="Footer"/>
        </w:pPr>
        <w:r>
          <w:fldChar w:fldCharType="begin"/>
        </w:r>
        <w:r>
          <w:instrText xml:space="preserve"> PAGE   \* MERGEFORMAT </w:instrText>
        </w:r>
        <w:r>
          <w:fldChar w:fldCharType="separate"/>
        </w:r>
        <w:r>
          <w:rPr>
            <w:noProof/>
          </w:rPr>
          <w:t>2</w:t>
        </w:r>
        <w:r>
          <w:rPr>
            <w:noProof/>
          </w:rPr>
          <w:fldChar w:fldCharType="end"/>
        </w:r>
      </w:p>
    </w:sdtContent>
  </w:sdt>
  <w:p w14:paraId="61BA6E90" w14:textId="1D8B143C" w:rsidR="00CD02AE" w:rsidRDefault="00CD02AE">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DFB59" w14:textId="77777777" w:rsidR="004A4B6C" w:rsidRDefault="004A4B6C">
      <w:r>
        <w:separator/>
      </w:r>
    </w:p>
  </w:footnote>
  <w:footnote w:type="continuationSeparator" w:id="0">
    <w:p w14:paraId="0A475333" w14:textId="77777777" w:rsidR="004A4B6C" w:rsidRDefault="004A4B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C83732" w14:textId="5C95C6CC" w:rsidR="004877F3" w:rsidRDefault="004877F3">
    <w:pPr>
      <w:pStyle w:val="Header"/>
    </w:pPr>
    <w:r>
      <w:rPr>
        <w:noProof/>
      </w:rPr>
      <w:drawing>
        <wp:anchor distT="0" distB="0" distL="114300" distR="114300" simplePos="0" relativeHeight="251658240" behindDoc="0" locked="0" layoutInCell="1" allowOverlap="1" wp14:anchorId="63415F49" wp14:editId="325A6FC5">
          <wp:simplePos x="0" y="0"/>
          <wp:positionH relativeFrom="column">
            <wp:posOffset>-577850</wp:posOffset>
          </wp:positionH>
          <wp:positionV relativeFrom="paragraph">
            <wp:posOffset>-290830</wp:posOffset>
          </wp:positionV>
          <wp:extent cx="1058333" cy="635000"/>
          <wp:effectExtent l="0" t="0" r="8890" b="0"/>
          <wp:wrapSquare wrapText="bothSides"/>
          <wp:docPr id="1663493806" name="Picture 1"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amed UK University of the Year for Teaching Qualit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58333" cy="635000"/>
                  </a:xfrm>
                  <a:prstGeom prst="rect">
                    <a:avLst/>
                  </a:prstGeom>
                  <a:noFill/>
                  <a:ln>
                    <a:noFill/>
                  </a:ln>
                </pic:spPr>
              </pic:pic>
            </a:graphicData>
          </a:graphic>
        </wp:anchor>
      </w:drawing>
    </w:r>
  </w:p>
  <w:p w14:paraId="2D21DB3C" w14:textId="77777777" w:rsidR="004877F3" w:rsidRDefault="004877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81B8A"/>
    <w:multiLevelType w:val="hybridMultilevel"/>
    <w:tmpl w:val="E05EF718"/>
    <w:lvl w:ilvl="0" w:tplc="1C26601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064AFF"/>
    <w:multiLevelType w:val="multilevel"/>
    <w:tmpl w:val="AF2EE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A22447"/>
    <w:multiLevelType w:val="multilevel"/>
    <w:tmpl w:val="F7DAF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6624F3"/>
    <w:multiLevelType w:val="multilevel"/>
    <w:tmpl w:val="618C9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3A3339"/>
    <w:multiLevelType w:val="multilevel"/>
    <w:tmpl w:val="A8F8B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D912F8"/>
    <w:multiLevelType w:val="multilevel"/>
    <w:tmpl w:val="E4669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C35913"/>
    <w:multiLevelType w:val="multilevel"/>
    <w:tmpl w:val="DA324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732E1A"/>
    <w:multiLevelType w:val="multilevel"/>
    <w:tmpl w:val="B066E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266B23"/>
    <w:multiLevelType w:val="multilevel"/>
    <w:tmpl w:val="EA0A0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0A786E"/>
    <w:multiLevelType w:val="multilevel"/>
    <w:tmpl w:val="D49AA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D86FAD"/>
    <w:multiLevelType w:val="hybridMultilevel"/>
    <w:tmpl w:val="F68C0FBE"/>
    <w:lvl w:ilvl="0" w:tplc="2C1A38E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58425B"/>
    <w:multiLevelType w:val="multilevel"/>
    <w:tmpl w:val="C2469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EF6C37"/>
    <w:multiLevelType w:val="multilevel"/>
    <w:tmpl w:val="798A4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E533EC"/>
    <w:multiLevelType w:val="multilevel"/>
    <w:tmpl w:val="5380A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4631AE"/>
    <w:multiLevelType w:val="hybridMultilevel"/>
    <w:tmpl w:val="520AAC6C"/>
    <w:lvl w:ilvl="0" w:tplc="1E96C9BE">
      <w:start w:val="1"/>
      <w:numFmt w:val="bullet"/>
      <w:lvlText w:val="●"/>
      <w:lvlJc w:val="left"/>
      <w:pPr>
        <w:ind w:left="720" w:hanging="360"/>
      </w:pPr>
    </w:lvl>
    <w:lvl w:ilvl="1" w:tplc="F9D895D0">
      <w:start w:val="1"/>
      <w:numFmt w:val="bullet"/>
      <w:lvlText w:val="○"/>
      <w:lvlJc w:val="left"/>
      <w:pPr>
        <w:ind w:left="1440" w:hanging="360"/>
      </w:pPr>
    </w:lvl>
    <w:lvl w:ilvl="2" w:tplc="B682075A">
      <w:start w:val="1"/>
      <w:numFmt w:val="bullet"/>
      <w:lvlText w:val="■"/>
      <w:lvlJc w:val="left"/>
      <w:pPr>
        <w:ind w:left="2160" w:hanging="360"/>
      </w:pPr>
    </w:lvl>
    <w:lvl w:ilvl="3" w:tplc="4920A326">
      <w:start w:val="1"/>
      <w:numFmt w:val="bullet"/>
      <w:lvlText w:val="●"/>
      <w:lvlJc w:val="left"/>
      <w:pPr>
        <w:ind w:left="2880" w:hanging="360"/>
      </w:pPr>
    </w:lvl>
    <w:lvl w:ilvl="4" w:tplc="944C9194">
      <w:start w:val="1"/>
      <w:numFmt w:val="bullet"/>
      <w:lvlText w:val="○"/>
      <w:lvlJc w:val="left"/>
      <w:pPr>
        <w:ind w:left="3600" w:hanging="360"/>
      </w:pPr>
    </w:lvl>
    <w:lvl w:ilvl="5" w:tplc="41FE4340">
      <w:start w:val="1"/>
      <w:numFmt w:val="bullet"/>
      <w:lvlText w:val="■"/>
      <w:lvlJc w:val="left"/>
      <w:pPr>
        <w:ind w:left="4320" w:hanging="360"/>
      </w:pPr>
    </w:lvl>
    <w:lvl w:ilvl="6" w:tplc="7C621F32">
      <w:start w:val="1"/>
      <w:numFmt w:val="bullet"/>
      <w:lvlText w:val="●"/>
      <w:lvlJc w:val="left"/>
      <w:pPr>
        <w:ind w:left="5040" w:hanging="360"/>
      </w:pPr>
    </w:lvl>
    <w:lvl w:ilvl="7" w:tplc="23524C12">
      <w:start w:val="1"/>
      <w:numFmt w:val="bullet"/>
      <w:lvlText w:val="●"/>
      <w:lvlJc w:val="left"/>
      <w:pPr>
        <w:ind w:left="5760" w:hanging="360"/>
      </w:pPr>
    </w:lvl>
    <w:lvl w:ilvl="8" w:tplc="AAE6DF30">
      <w:start w:val="1"/>
      <w:numFmt w:val="bullet"/>
      <w:lvlText w:val="●"/>
      <w:lvlJc w:val="left"/>
      <w:pPr>
        <w:ind w:left="6480" w:hanging="360"/>
      </w:pPr>
    </w:lvl>
  </w:abstractNum>
  <w:abstractNum w:abstractNumId="15" w15:restartNumberingAfterBreak="0">
    <w:nsid w:val="76736825"/>
    <w:multiLevelType w:val="multilevel"/>
    <w:tmpl w:val="316A2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660FD4"/>
    <w:multiLevelType w:val="multilevel"/>
    <w:tmpl w:val="E1AE7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EA5A50"/>
    <w:multiLevelType w:val="multilevel"/>
    <w:tmpl w:val="FAB6C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FD2A74"/>
    <w:multiLevelType w:val="multilevel"/>
    <w:tmpl w:val="99503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E31A5A"/>
    <w:multiLevelType w:val="multilevel"/>
    <w:tmpl w:val="466E3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6554465">
    <w:abstractNumId w:val="14"/>
    <w:lvlOverride w:ilvl="0">
      <w:startOverride w:val="1"/>
    </w:lvlOverride>
  </w:num>
  <w:num w:numId="2" w16cid:durableId="1338464845">
    <w:abstractNumId w:val="10"/>
  </w:num>
  <w:num w:numId="3" w16cid:durableId="1690377020">
    <w:abstractNumId w:val="0"/>
  </w:num>
  <w:num w:numId="4" w16cid:durableId="1740907397">
    <w:abstractNumId w:val="2"/>
    <w:lvlOverride w:ilvl="0">
      <w:lvl w:ilvl="0">
        <w:numFmt w:val="decimal"/>
        <w:lvlText w:val="%1."/>
        <w:lvlJc w:val="left"/>
      </w:lvl>
    </w:lvlOverride>
  </w:num>
  <w:num w:numId="5" w16cid:durableId="620498314">
    <w:abstractNumId w:val="2"/>
    <w:lvlOverride w:ilvl="0">
      <w:lvl w:ilvl="0">
        <w:numFmt w:val="decimal"/>
        <w:lvlText w:val="%1."/>
        <w:lvlJc w:val="left"/>
      </w:lvl>
    </w:lvlOverride>
  </w:num>
  <w:num w:numId="6" w16cid:durableId="677542368">
    <w:abstractNumId w:val="2"/>
    <w:lvlOverride w:ilvl="0">
      <w:lvl w:ilvl="0">
        <w:numFmt w:val="decimal"/>
        <w:lvlText w:val="%1."/>
        <w:lvlJc w:val="left"/>
      </w:lvl>
    </w:lvlOverride>
  </w:num>
  <w:num w:numId="7" w16cid:durableId="1755206852">
    <w:abstractNumId w:val="2"/>
    <w:lvlOverride w:ilvl="0">
      <w:lvl w:ilvl="0">
        <w:numFmt w:val="decimal"/>
        <w:lvlText w:val="%1."/>
        <w:lvlJc w:val="left"/>
      </w:lvl>
    </w:lvlOverride>
  </w:num>
  <w:num w:numId="8" w16cid:durableId="1534078497">
    <w:abstractNumId w:val="11"/>
  </w:num>
  <w:num w:numId="9" w16cid:durableId="1490560156">
    <w:abstractNumId w:val="8"/>
  </w:num>
  <w:num w:numId="10" w16cid:durableId="1588417748">
    <w:abstractNumId w:val="4"/>
  </w:num>
  <w:num w:numId="11" w16cid:durableId="538976570">
    <w:abstractNumId w:val="17"/>
  </w:num>
  <w:num w:numId="12" w16cid:durableId="1070074506">
    <w:abstractNumId w:val="15"/>
    <w:lvlOverride w:ilvl="0">
      <w:lvl w:ilvl="0">
        <w:numFmt w:val="decimal"/>
        <w:lvlText w:val="%1."/>
        <w:lvlJc w:val="left"/>
      </w:lvl>
    </w:lvlOverride>
  </w:num>
  <w:num w:numId="13" w16cid:durableId="1714228894">
    <w:abstractNumId w:val="15"/>
    <w:lvlOverride w:ilvl="0">
      <w:lvl w:ilvl="0">
        <w:numFmt w:val="decimal"/>
        <w:lvlText w:val="%1."/>
        <w:lvlJc w:val="left"/>
      </w:lvl>
    </w:lvlOverride>
  </w:num>
  <w:num w:numId="14" w16cid:durableId="244388783">
    <w:abstractNumId w:val="15"/>
    <w:lvlOverride w:ilvl="0">
      <w:lvl w:ilvl="0">
        <w:numFmt w:val="decimal"/>
        <w:lvlText w:val="%1."/>
        <w:lvlJc w:val="left"/>
      </w:lvl>
    </w:lvlOverride>
  </w:num>
  <w:num w:numId="15" w16cid:durableId="1201287670">
    <w:abstractNumId w:val="15"/>
    <w:lvlOverride w:ilvl="0">
      <w:lvl w:ilvl="0">
        <w:numFmt w:val="decimal"/>
        <w:lvlText w:val="%1."/>
        <w:lvlJc w:val="left"/>
      </w:lvl>
    </w:lvlOverride>
  </w:num>
  <w:num w:numId="16" w16cid:durableId="1996254570">
    <w:abstractNumId w:val="15"/>
    <w:lvlOverride w:ilvl="0">
      <w:lvl w:ilvl="0">
        <w:numFmt w:val="decimal"/>
        <w:lvlText w:val="%1."/>
        <w:lvlJc w:val="left"/>
      </w:lvl>
    </w:lvlOverride>
  </w:num>
  <w:num w:numId="17" w16cid:durableId="1582981003">
    <w:abstractNumId w:val="18"/>
  </w:num>
  <w:num w:numId="18" w16cid:durableId="192379482">
    <w:abstractNumId w:val="3"/>
  </w:num>
  <w:num w:numId="19" w16cid:durableId="1615598751">
    <w:abstractNumId w:val="1"/>
  </w:num>
  <w:num w:numId="20" w16cid:durableId="422266331">
    <w:abstractNumId w:val="19"/>
  </w:num>
  <w:num w:numId="21" w16cid:durableId="167521680">
    <w:abstractNumId w:val="5"/>
  </w:num>
  <w:num w:numId="22" w16cid:durableId="858354665">
    <w:abstractNumId w:val="12"/>
  </w:num>
  <w:num w:numId="23" w16cid:durableId="197133377">
    <w:abstractNumId w:val="16"/>
  </w:num>
  <w:num w:numId="24" w16cid:durableId="1881281648">
    <w:abstractNumId w:val="9"/>
  </w:num>
  <w:num w:numId="25" w16cid:durableId="4090638">
    <w:abstractNumId w:val="6"/>
  </w:num>
  <w:num w:numId="26" w16cid:durableId="685451030">
    <w:abstractNumId w:val="7"/>
  </w:num>
  <w:num w:numId="27" w16cid:durableId="18478685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02AE"/>
    <w:rsid w:val="00003BB4"/>
    <w:rsid w:val="00004D52"/>
    <w:rsid w:val="00040DCD"/>
    <w:rsid w:val="000A5168"/>
    <w:rsid w:val="000D2932"/>
    <w:rsid w:val="0013681A"/>
    <w:rsid w:val="0015001D"/>
    <w:rsid w:val="00152293"/>
    <w:rsid w:val="001B7166"/>
    <w:rsid w:val="001E7AC2"/>
    <w:rsid w:val="001F4115"/>
    <w:rsid w:val="00213107"/>
    <w:rsid w:val="00225DD9"/>
    <w:rsid w:val="00237BEA"/>
    <w:rsid w:val="0025750F"/>
    <w:rsid w:val="00267C47"/>
    <w:rsid w:val="00336ACD"/>
    <w:rsid w:val="003A5AD4"/>
    <w:rsid w:val="003B7871"/>
    <w:rsid w:val="00427FD4"/>
    <w:rsid w:val="00475FB7"/>
    <w:rsid w:val="004877F3"/>
    <w:rsid w:val="004A4B6C"/>
    <w:rsid w:val="004C7CA1"/>
    <w:rsid w:val="004F41F6"/>
    <w:rsid w:val="00551DD8"/>
    <w:rsid w:val="005539D5"/>
    <w:rsid w:val="005949E9"/>
    <w:rsid w:val="00660580"/>
    <w:rsid w:val="00703740"/>
    <w:rsid w:val="007D35CD"/>
    <w:rsid w:val="007E6691"/>
    <w:rsid w:val="00813B1F"/>
    <w:rsid w:val="00926339"/>
    <w:rsid w:val="00975A13"/>
    <w:rsid w:val="00993A9E"/>
    <w:rsid w:val="00996AAE"/>
    <w:rsid w:val="00A41B84"/>
    <w:rsid w:val="00A955F3"/>
    <w:rsid w:val="00AC6108"/>
    <w:rsid w:val="00B044A3"/>
    <w:rsid w:val="00B32974"/>
    <w:rsid w:val="00B67C07"/>
    <w:rsid w:val="00B904AD"/>
    <w:rsid w:val="00BC044E"/>
    <w:rsid w:val="00BD09A8"/>
    <w:rsid w:val="00C563DB"/>
    <w:rsid w:val="00CD02AE"/>
    <w:rsid w:val="00CD7CA7"/>
    <w:rsid w:val="00D17D2F"/>
    <w:rsid w:val="00D45241"/>
    <w:rsid w:val="00D66F90"/>
    <w:rsid w:val="00DB5B34"/>
    <w:rsid w:val="00DC621B"/>
    <w:rsid w:val="00DE65C2"/>
    <w:rsid w:val="00E00DBE"/>
    <w:rsid w:val="00E14620"/>
    <w:rsid w:val="00E3517B"/>
    <w:rsid w:val="00E852EC"/>
    <w:rsid w:val="00E866FD"/>
    <w:rsid w:val="00EB3201"/>
    <w:rsid w:val="00EC6129"/>
    <w:rsid w:val="00F10EF0"/>
    <w:rsid w:val="00F201B2"/>
    <w:rsid w:val="00F9049B"/>
    <w:rsid w:val="00FA078E"/>
    <w:rsid w:val="00FE3C2D"/>
    <w:rsid w:val="00FF7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C11C4"/>
  <w15:docId w15:val="{576FCAD0-D8C5-4E9A-B002-0EF5630E8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000000"/>
      <w:sz w:val="28"/>
      <w:szCs w:val="28"/>
    </w:rPr>
  </w:style>
  <w:style w:type="paragraph" w:styleId="Heading2">
    <w:name w:val="heading 2"/>
    <w:uiPriority w:val="9"/>
    <w:unhideWhenUsed/>
    <w:qFormat/>
    <w:pPr>
      <w:spacing w:before="280" w:after="160"/>
      <w:outlineLvl w:val="1"/>
    </w:pPr>
    <w:rPr>
      <w:b/>
      <w:bCs/>
      <w:color w:val="000000"/>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CommentReference">
    <w:name w:val="annotation reference"/>
    <w:basedOn w:val="DefaultParagraphFont"/>
    <w:uiPriority w:val="99"/>
    <w:semiHidden/>
    <w:unhideWhenUsed/>
    <w:rsid w:val="00BD09A8"/>
    <w:rPr>
      <w:sz w:val="16"/>
      <w:szCs w:val="16"/>
    </w:rPr>
  </w:style>
  <w:style w:type="paragraph" w:styleId="CommentText">
    <w:name w:val="annotation text"/>
    <w:basedOn w:val="Normal"/>
    <w:link w:val="CommentTextChar"/>
    <w:uiPriority w:val="99"/>
    <w:unhideWhenUsed/>
    <w:rsid w:val="00BD09A8"/>
    <w:rPr>
      <w:sz w:val="20"/>
      <w:szCs w:val="20"/>
    </w:rPr>
  </w:style>
  <w:style w:type="character" w:customStyle="1" w:styleId="CommentTextChar">
    <w:name w:val="Comment Text Char"/>
    <w:basedOn w:val="DefaultParagraphFont"/>
    <w:link w:val="CommentText"/>
    <w:uiPriority w:val="99"/>
    <w:rsid w:val="00BD09A8"/>
    <w:rPr>
      <w:sz w:val="20"/>
      <w:szCs w:val="20"/>
    </w:rPr>
  </w:style>
  <w:style w:type="paragraph" w:styleId="CommentSubject">
    <w:name w:val="annotation subject"/>
    <w:basedOn w:val="CommentText"/>
    <w:next w:val="CommentText"/>
    <w:link w:val="CommentSubjectChar"/>
    <w:uiPriority w:val="99"/>
    <w:semiHidden/>
    <w:unhideWhenUsed/>
    <w:rsid w:val="00BD09A8"/>
    <w:rPr>
      <w:b/>
      <w:bCs/>
    </w:rPr>
  </w:style>
  <w:style w:type="character" w:customStyle="1" w:styleId="CommentSubjectChar">
    <w:name w:val="Comment Subject Char"/>
    <w:basedOn w:val="CommentTextChar"/>
    <w:link w:val="CommentSubject"/>
    <w:uiPriority w:val="99"/>
    <w:semiHidden/>
    <w:rsid w:val="00BD09A8"/>
    <w:rPr>
      <w:b/>
      <w:bCs/>
      <w:sz w:val="20"/>
      <w:szCs w:val="20"/>
    </w:rPr>
  </w:style>
  <w:style w:type="character" w:styleId="UnresolvedMention">
    <w:name w:val="Unresolved Mention"/>
    <w:basedOn w:val="DefaultParagraphFont"/>
    <w:uiPriority w:val="99"/>
    <w:semiHidden/>
    <w:unhideWhenUsed/>
    <w:rsid w:val="007E6691"/>
    <w:rPr>
      <w:color w:val="605E5C"/>
      <w:shd w:val="clear" w:color="auto" w:fill="E1DFDD"/>
    </w:rPr>
  </w:style>
  <w:style w:type="character" w:styleId="FollowedHyperlink">
    <w:name w:val="FollowedHyperlink"/>
    <w:basedOn w:val="DefaultParagraphFont"/>
    <w:uiPriority w:val="99"/>
    <w:semiHidden/>
    <w:unhideWhenUsed/>
    <w:rsid w:val="00B044A3"/>
    <w:rPr>
      <w:color w:val="96607D" w:themeColor="followedHyperlink"/>
      <w:u w:val="single"/>
    </w:rPr>
  </w:style>
  <w:style w:type="paragraph" w:styleId="Header">
    <w:name w:val="header"/>
    <w:basedOn w:val="Normal"/>
    <w:link w:val="HeaderChar"/>
    <w:unhideWhenUsed/>
    <w:rsid w:val="004877F3"/>
    <w:pPr>
      <w:tabs>
        <w:tab w:val="center" w:pos="4513"/>
        <w:tab w:val="right" w:pos="9026"/>
      </w:tabs>
    </w:pPr>
  </w:style>
  <w:style w:type="character" w:customStyle="1" w:styleId="HeaderChar">
    <w:name w:val="Header Char"/>
    <w:basedOn w:val="DefaultParagraphFont"/>
    <w:link w:val="Header"/>
    <w:rsid w:val="004877F3"/>
  </w:style>
  <w:style w:type="paragraph" w:styleId="Footer">
    <w:name w:val="footer"/>
    <w:basedOn w:val="Normal"/>
    <w:link w:val="FooterChar"/>
    <w:uiPriority w:val="99"/>
    <w:unhideWhenUsed/>
    <w:rsid w:val="004877F3"/>
    <w:pPr>
      <w:tabs>
        <w:tab w:val="center" w:pos="4513"/>
        <w:tab w:val="right" w:pos="9026"/>
      </w:tabs>
    </w:pPr>
  </w:style>
  <w:style w:type="character" w:customStyle="1" w:styleId="FooterChar">
    <w:name w:val="Footer Char"/>
    <w:basedOn w:val="DefaultParagraphFont"/>
    <w:link w:val="Footer"/>
    <w:uiPriority w:val="99"/>
    <w:rsid w:val="004877F3"/>
  </w:style>
  <w:style w:type="character" w:styleId="PlaceholderText">
    <w:name w:val="Placeholder Text"/>
    <w:basedOn w:val="DefaultParagraphFont"/>
    <w:uiPriority w:val="99"/>
    <w:semiHidden/>
    <w:rsid w:val="004877F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smj.425009070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bout.bnef.com/electric-vehicle-outloo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acea.auto/press-release/new-evidence-of-worsening-outlook-electric-vehicle-market-reinforces-need-for-urgent-actio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A36C53-2AC6-48D8-BBFE-FAF9C1998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13</Pages>
  <Words>3514</Words>
  <Characters>20030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Samsojjaman Siyam (2520477)</dc:creator>
  <cp:keywords/>
  <dc:description/>
  <cp:lastModifiedBy>Md Samsojjaman Siyam (2520477)</cp:lastModifiedBy>
  <cp:revision>2</cp:revision>
  <cp:lastPrinted>2026-02-26T20:35:00Z</cp:lastPrinted>
  <dcterms:created xsi:type="dcterms:W3CDTF">2026-02-26T20:38:00Z</dcterms:created>
  <dcterms:modified xsi:type="dcterms:W3CDTF">2026-02-26T20:38:00Z</dcterms:modified>
</cp:coreProperties>
</file>