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47735" w14:textId="77777777" w:rsidR="00B2446A" w:rsidRPr="00D4547D" w:rsidRDefault="00B2446A" w:rsidP="00B2446A">
      <w:pPr>
        <w:jc w:val="center"/>
        <w:rPr>
          <w:rFonts w:ascii="Arial" w:eastAsia="Arial" w:hAnsi="Arial" w:cs="Arial"/>
          <w:b/>
          <w:sz w:val="40"/>
          <w:szCs w:val="40"/>
        </w:rPr>
      </w:pPr>
      <w:r w:rsidRPr="00D4547D">
        <w:rPr>
          <w:rFonts w:ascii="Arial" w:eastAsia="Arial" w:hAnsi="Arial" w:cs="Arial"/>
          <w:b/>
          <w:noProof/>
          <w:sz w:val="40"/>
          <w:szCs w:val="40"/>
          <w:lang w:val="en-US"/>
        </w:rPr>
        <w:drawing>
          <wp:inline distT="0" distB="0" distL="0" distR="0" wp14:anchorId="11B55EB1" wp14:editId="75FE6CE3">
            <wp:extent cx="3032760" cy="1379220"/>
            <wp:effectExtent l="0" t="0" r="0" b="0"/>
            <wp:docPr id="2569987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2760" cy="1379220"/>
                    </a:xfrm>
                    <a:prstGeom prst="rect">
                      <a:avLst/>
                    </a:prstGeom>
                    <a:noFill/>
                    <a:ln>
                      <a:noFill/>
                    </a:ln>
                  </pic:spPr>
                </pic:pic>
              </a:graphicData>
            </a:graphic>
          </wp:inline>
        </w:drawing>
      </w:r>
    </w:p>
    <w:p w14:paraId="5ACDFC2F" w14:textId="77777777" w:rsidR="00B2446A" w:rsidRPr="00D4547D" w:rsidRDefault="00B2446A" w:rsidP="00B2446A">
      <w:pPr>
        <w:jc w:val="center"/>
        <w:rPr>
          <w:rFonts w:ascii="Arial" w:eastAsia="Arial" w:hAnsi="Arial" w:cs="Arial"/>
          <w:b/>
          <w:sz w:val="40"/>
          <w:szCs w:val="40"/>
        </w:rPr>
      </w:pPr>
    </w:p>
    <w:p w14:paraId="2B507184" w14:textId="6D090E33" w:rsidR="00B2446A" w:rsidRPr="00D4547D" w:rsidRDefault="00B2446A" w:rsidP="00B2446A">
      <w:pPr>
        <w:jc w:val="center"/>
        <w:rPr>
          <w:rFonts w:ascii="Arial" w:eastAsia="Arial" w:hAnsi="Arial" w:cs="Arial"/>
          <w:b/>
          <w:bCs/>
          <w:sz w:val="40"/>
          <w:szCs w:val="40"/>
        </w:rPr>
      </w:pPr>
      <w:r w:rsidRPr="00D4547D">
        <w:rPr>
          <w:rFonts w:ascii="Arial" w:eastAsia="Arial" w:hAnsi="Arial" w:cs="Arial"/>
          <w:b/>
          <w:bCs/>
          <w:sz w:val="40"/>
          <w:szCs w:val="40"/>
        </w:rPr>
        <w:br/>
      </w:r>
      <w:r w:rsidRPr="00D4547D">
        <w:rPr>
          <w:rFonts w:ascii="Arial" w:eastAsia="Arial" w:hAnsi="Arial" w:cs="Arial"/>
          <w:b/>
          <w:bCs/>
          <w:sz w:val="40"/>
          <w:szCs w:val="40"/>
        </w:rPr>
        <w:br/>
        <w:t>Module Title: Sustainable Hospitality &amp; Tourism Management</w:t>
      </w:r>
    </w:p>
    <w:p w14:paraId="43F73D11" w14:textId="77777777" w:rsidR="00E60EBE" w:rsidRDefault="00B2446A" w:rsidP="00E60EBE">
      <w:pPr>
        <w:jc w:val="center"/>
        <w:rPr>
          <w:rFonts w:ascii="Arial" w:eastAsia="Arial" w:hAnsi="Arial" w:cs="Arial"/>
          <w:b/>
          <w:bCs/>
          <w:sz w:val="40"/>
          <w:szCs w:val="40"/>
        </w:rPr>
      </w:pPr>
      <w:r w:rsidRPr="00D4547D">
        <w:rPr>
          <w:rFonts w:ascii="Arial" w:eastAsia="Arial" w:hAnsi="Arial" w:cs="Arial"/>
          <w:b/>
          <w:bCs/>
          <w:sz w:val="40"/>
          <w:szCs w:val="40"/>
        </w:rPr>
        <w:t>Module Code: BMIH5006</w:t>
      </w:r>
    </w:p>
    <w:p w14:paraId="3C282F80" w14:textId="7B50FA7A" w:rsidR="00E7587C" w:rsidRDefault="00E7587C" w:rsidP="00E60EBE">
      <w:pPr>
        <w:jc w:val="center"/>
        <w:rPr>
          <w:rFonts w:ascii="Arial" w:eastAsia="Arial" w:hAnsi="Arial" w:cs="Arial"/>
          <w:b/>
          <w:bCs/>
          <w:sz w:val="40"/>
          <w:szCs w:val="40"/>
        </w:rPr>
      </w:pPr>
      <w:r w:rsidRPr="00D4547D">
        <w:rPr>
          <w:rFonts w:ascii="Arial" w:eastAsia="Arial" w:hAnsi="Arial" w:cs="Arial"/>
          <w:b/>
          <w:bCs/>
          <w:sz w:val="40"/>
          <w:szCs w:val="40"/>
        </w:rPr>
        <w:t>Student Name:</w:t>
      </w:r>
      <w:r>
        <w:rPr>
          <w:rFonts w:ascii="Arial" w:eastAsia="Arial" w:hAnsi="Arial" w:cs="Arial"/>
          <w:b/>
          <w:bCs/>
          <w:sz w:val="40"/>
          <w:szCs w:val="40"/>
        </w:rPr>
        <w:t xml:space="preserve"> Rasel Ahmed</w:t>
      </w:r>
      <w:r w:rsidRPr="00D4547D">
        <w:rPr>
          <w:rFonts w:ascii="Arial" w:eastAsia="Arial" w:hAnsi="Arial" w:cs="Arial"/>
          <w:b/>
          <w:bCs/>
          <w:sz w:val="40"/>
          <w:szCs w:val="40"/>
        </w:rPr>
        <w:br/>
        <w:t>Student Number:</w:t>
      </w:r>
      <w:r>
        <w:rPr>
          <w:rFonts w:ascii="Arial" w:eastAsia="Arial" w:hAnsi="Arial" w:cs="Arial"/>
          <w:b/>
          <w:bCs/>
          <w:sz w:val="40"/>
          <w:szCs w:val="40"/>
        </w:rPr>
        <w:t>2233498</w:t>
      </w:r>
    </w:p>
    <w:p w14:paraId="2A36C1CB" w14:textId="2B465352" w:rsidR="00B2446A" w:rsidRDefault="00B2446A" w:rsidP="00E60EBE">
      <w:pPr>
        <w:jc w:val="center"/>
        <w:rPr>
          <w:rFonts w:ascii="Arial" w:eastAsia="Arial" w:hAnsi="Arial" w:cs="Arial"/>
          <w:b/>
          <w:bCs/>
          <w:sz w:val="40"/>
          <w:szCs w:val="40"/>
        </w:rPr>
      </w:pPr>
      <w:r w:rsidRPr="00D4547D">
        <w:rPr>
          <w:rFonts w:ascii="Arial" w:eastAsia="Arial" w:hAnsi="Arial" w:cs="Arial"/>
          <w:b/>
          <w:bCs/>
          <w:sz w:val="40"/>
          <w:szCs w:val="40"/>
        </w:rPr>
        <w:t>Lecturer’s Name: Lisa Knight</w:t>
      </w:r>
    </w:p>
    <w:p w14:paraId="31273DFC" w14:textId="3BC53BE8" w:rsidR="009D11DE" w:rsidRDefault="009D11DE" w:rsidP="00E60EBE">
      <w:pPr>
        <w:jc w:val="center"/>
        <w:rPr>
          <w:rFonts w:ascii="Arial" w:eastAsia="Arial" w:hAnsi="Arial" w:cs="Arial"/>
          <w:b/>
          <w:bCs/>
          <w:sz w:val="40"/>
          <w:szCs w:val="40"/>
        </w:rPr>
      </w:pPr>
      <w:r>
        <w:rPr>
          <w:rFonts w:ascii="Arial" w:eastAsia="Arial" w:hAnsi="Arial" w:cs="Arial"/>
          <w:b/>
          <w:bCs/>
          <w:sz w:val="40"/>
          <w:szCs w:val="40"/>
        </w:rPr>
        <w:t>Word count:</w:t>
      </w:r>
      <w:r w:rsidR="00992846">
        <w:rPr>
          <w:rFonts w:ascii="Arial" w:eastAsia="Arial" w:hAnsi="Arial" w:cs="Arial"/>
          <w:b/>
          <w:bCs/>
          <w:sz w:val="40"/>
          <w:szCs w:val="40"/>
        </w:rPr>
        <w:t>2100</w:t>
      </w:r>
    </w:p>
    <w:p w14:paraId="2A50589F" w14:textId="77777777" w:rsidR="00B2446A" w:rsidRDefault="00682AFA" w:rsidP="00682AFA">
      <w:pPr>
        <w:spacing w:after="240" w:line="360" w:lineRule="auto"/>
        <w:rPr>
          <w:rFonts w:ascii="Times New Roman" w:eastAsia="Times New Roman" w:hAnsi="Times New Roman" w:cs="Times New Roman"/>
          <w:sz w:val="24"/>
          <w:szCs w:val="24"/>
        </w:rPr>
      </w:pP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p>
    <w:p w14:paraId="1B5A14CF" w14:textId="77777777" w:rsidR="00B2446A" w:rsidRDefault="00B2446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67F8B77" w14:textId="77777777" w:rsidR="00B2446A" w:rsidRPr="00B2446A" w:rsidRDefault="00B2446A" w:rsidP="00B2446A">
      <w:pPr>
        <w:jc w:val="both"/>
        <w:rPr>
          <w:rFonts w:ascii="Arial" w:eastAsia="Times New Roman" w:hAnsi="Arial" w:cs="Arial"/>
          <w:b/>
          <w:bCs/>
          <w:sz w:val="28"/>
          <w:szCs w:val="28"/>
          <w:lang w:val="en-US"/>
        </w:rPr>
      </w:pPr>
      <w:r w:rsidRPr="00B2446A">
        <w:rPr>
          <w:rFonts w:ascii="Arial" w:eastAsia="Times New Roman" w:hAnsi="Arial" w:cs="Arial"/>
          <w:b/>
          <w:bCs/>
          <w:sz w:val="28"/>
          <w:szCs w:val="28"/>
          <w:lang w:val="en-US"/>
        </w:rPr>
        <w:lastRenderedPageBreak/>
        <w:t>Declaration</w:t>
      </w:r>
    </w:p>
    <w:p w14:paraId="609F2A72" w14:textId="6615FCB1" w:rsidR="00B2446A" w:rsidRDefault="00B2446A" w:rsidP="00B2446A">
      <w:pPr>
        <w:spacing w:line="360" w:lineRule="auto"/>
        <w:jc w:val="both"/>
        <w:rPr>
          <w:rFonts w:ascii="Times New Roman" w:eastAsia="Times New Roman" w:hAnsi="Times New Roman" w:cs="Times New Roman"/>
          <w:sz w:val="24"/>
          <w:szCs w:val="24"/>
        </w:rPr>
      </w:pPr>
      <w:r w:rsidRPr="00B2446A">
        <w:rPr>
          <w:rFonts w:ascii="Arial" w:eastAsia="Times New Roman" w:hAnsi="Arial" w:cs="Arial"/>
          <w:sz w:val="24"/>
          <w:szCs w:val="24"/>
          <w:lang w:val="en-US"/>
        </w:rPr>
        <w:t>I confirm that I have not used any Al tools in the research and creation of this assignment. I confirm that I have not presented any Al-generated materials as my own work. I confirm I have copies of my notes and other resources I used, which I may be asked to provide in evidence.</w:t>
      </w:r>
      <w:r>
        <w:rPr>
          <w:rFonts w:ascii="Times New Roman" w:eastAsia="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val="en-GB"/>
        </w:rPr>
        <w:id w:val="304605877"/>
        <w:docPartObj>
          <w:docPartGallery w:val="Table of Contents"/>
          <w:docPartUnique/>
        </w:docPartObj>
      </w:sdtPr>
      <w:sdtContent>
        <w:p w14:paraId="019F9D5E" w14:textId="376FF266" w:rsidR="00682AFA" w:rsidRPr="00CC77EF" w:rsidRDefault="00682AFA" w:rsidP="009D11DE">
          <w:pPr>
            <w:pStyle w:val="TOCHeading"/>
            <w:rPr>
              <w:rFonts w:ascii="Arial" w:hAnsi="Arial" w:cs="Arial"/>
              <w:color w:val="auto"/>
            </w:rPr>
          </w:pPr>
        </w:p>
        <w:p w14:paraId="6364CDFA" w14:textId="77777777" w:rsidR="00682AFA" w:rsidRPr="00682AFA" w:rsidRDefault="00682AFA" w:rsidP="00682AFA">
          <w:pPr>
            <w:rPr>
              <w:lang w:val="en-US"/>
            </w:rPr>
          </w:pPr>
        </w:p>
        <w:p w14:paraId="24F82DF5" w14:textId="6221C4C2" w:rsidR="00682AFA" w:rsidRDefault="00000000"/>
      </w:sdtContent>
    </w:sdt>
    <w:p w14:paraId="6007C7C0"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2586EFFC"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44B16B37"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656B008F"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55015726"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2F79278B"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55EED80F"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46E3AC1D"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274EA742"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0F7356D6"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56D70AA2" w14:textId="77777777" w:rsidR="00CC77EF" w:rsidRDefault="00CC77EF">
      <w:pPr>
        <w:rPr>
          <w:rFonts w:ascii="Arial" w:eastAsia="Times New Roman" w:hAnsi="Arial" w:cs="Arial"/>
          <w:b/>
          <w:bCs/>
          <w:color w:val="000000"/>
          <w:kern w:val="36"/>
          <w:sz w:val="24"/>
          <w:szCs w:val="24"/>
        </w:rPr>
      </w:pPr>
      <w:bookmarkStart w:id="0" w:name="_Toc179734349"/>
      <w:r>
        <w:rPr>
          <w:rFonts w:ascii="Arial" w:eastAsia="Times New Roman" w:hAnsi="Arial" w:cs="Arial"/>
          <w:b/>
          <w:bCs/>
          <w:color w:val="000000"/>
          <w:kern w:val="36"/>
          <w:sz w:val="24"/>
          <w:szCs w:val="24"/>
        </w:rPr>
        <w:br w:type="page"/>
      </w:r>
    </w:p>
    <w:bookmarkEnd w:id="0"/>
    <w:p w14:paraId="12BFE037" w14:textId="36269A32" w:rsidR="00682AFA" w:rsidRPr="00682AFA" w:rsidRDefault="00682AFA" w:rsidP="00682AFA">
      <w:pPr>
        <w:spacing w:before="400" w:after="120" w:line="360" w:lineRule="auto"/>
        <w:jc w:val="both"/>
        <w:outlineLvl w:val="0"/>
        <w:rPr>
          <w:rFonts w:ascii="Times New Roman" w:eastAsia="Times New Roman" w:hAnsi="Times New Roman" w:cs="Times New Roman"/>
          <w:b/>
          <w:bCs/>
          <w:kern w:val="36"/>
          <w:sz w:val="48"/>
          <w:szCs w:val="48"/>
        </w:rPr>
      </w:pPr>
    </w:p>
    <w:p w14:paraId="66095F04"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Facts and circumstances regarding Corporate Social Responsibility derive itself as an organisation’s core dedication for navigating its entire business operations within a sustainable manner along with an ethical manner (</w:t>
      </w:r>
      <w:proofErr w:type="spellStart"/>
      <w:r w:rsidRPr="00682AFA">
        <w:rPr>
          <w:rFonts w:ascii="Arial" w:eastAsia="Times New Roman" w:hAnsi="Arial" w:cs="Arial"/>
          <w:color w:val="000000"/>
          <w:sz w:val="24"/>
          <w:szCs w:val="24"/>
        </w:rPr>
        <w:t>Inkson</w:t>
      </w:r>
      <w:proofErr w:type="spellEnd"/>
      <w:r w:rsidRPr="00682AFA">
        <w:rPr>
          <w:rFonts w:ascii="Arial" w:eastAsia="Times New Roman" w:hAnsi="Arial" w:cs="Arial"/>
          <w:color w:val="000000"/>
          <w:sz w:val="24"/>
          <w:szCs w:val="24"/>
        </w:rPr>
        <w:t xml:space="preserve"> and </w:t>
      </w:r>
      <w:proofErr w:type="spellStart"/>
      <w:r w:rsidRPr="00682AFA">
        <w:rPr>
          <w:rFonts w:ascii="Arial" w:eastAsia="Times New Roman" w:hAnsi="Arial" w:cs="Arial"/>
          <w:color w:val="000000"/>
          <w:sz w:val="24"/>
          <w:szCs w:val="24"/>
        </w:rPr>
        <w:t>Minnaert</w:t>
      </w:r>
      <w:proofErr w:type="spellEnd"/>
      <w:r w:rsidRPr="00682AFA">
        <w:rPr>
          <w:rFonts w:ascii="Arial" w:eastAsia="Times New Roman" w:hAnsi="Arial" w:cs="Arial"/>
          <w:color w:val="000000"/>
          <w:sz w:val="24"/>
          <w:szCs w:val="24"/>
        </w:rPr>
        <w:t>, 2018). It helps to acknowledge environmental, social and impactful economic influences. It engages businesses willingly surpassing regulatory compliances and its circumstances for developing their significant ecological practices, fostering impactful social welfare by promoting ethical governance. Regarding the aspects of the entire hospitality sector, CSR holds a huge significance for fostering sustainability. On the other hand, tourism organisations and hotels dominate potential resources, for instance water, energy, food by operating crucial substantial waste. Moreover, CSR regarding this entire hospitality sector significantly contains programs intended at mitigating carbon footprints, reducing waste, reinforcing local communities, preserving water by fostering equal labour opportunity (Cooper, 2021). </w:t>
      </w:r>
    </w:p>
    <w:p w14:paraId="5B5CC0F2" w14:textId="201199EC" w:rsidR="00682AFA" w:rsidRPr="009D11DE" w:rsidRDefault="00682AFA" w:rsidP="009D11DE">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Over and above that, this essay investigates significant responsibilities regarding CSR for fostering sustainability and its effectiveness within the entire hospitality sector. It concentrates on the United Kingdom’s popular hotel chains, Premier Inn Limited. This essay also evaluates primitive areas where CSR resourcefulness can involve within a potential influence regarding sustainability practices (</w:t>
      </w:r>
      <w:proofErr w:type="spellStart"/>
      <w:r w:rsidRPr="00682AFA">
        <w:rPr>
          <w:rFonts w:ascii="Arial" w:eastAsia="Times New Roman" w:hAnsi="Arial" w:cs="Arial"/>
          <w:color w:val="000000"/>
          <w:sz w:val="24"/>
          <w:szCs w:val="24"/>
        </w:rPr>
        <w:t>Haski-Leventhal</w:t>
      </w:r>
      <w:proofErr w:type="spellEnd"/>
      <w:r w:rsidRPr="00682AFA">
        <w:rPr>
          <w:rFonts w:ascii="Arial" w:eastAsia="Times New Roman" w:hAnsi="Arial" w:cs="Arial"/>
          <w:color w:val="000000"/>
          <w:sz w:val="24"/>
          <w:szCs w:val="24"/>
        </w:rPr>
        <w:t>, 2018). It also estimates the provocations and effective opportunities connected with applying significant CSR policies. Moving along with that by evaluating this hotel’s effective approach towards CSR, it can be very beneficial to elucidate the effectiveness of sustainable practices. It helps to develop the entire hospitality industry’s comprehensive viability and empowerment significantly towards social and ecological results. Apart from that, this essay takes all kinds of efforts to outline the advantages regarding CSR initiatives for operating business practices in a responsible way by maintaining sustainable improvement within this entire sector in a specific way. </w:t>
      </w:r>
    </w:p>
    <w:p w14:paraId="1062EF97"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Premier Inn Limited is involved within Whitbread Plc as it is a crucial subsidiary. It is huge along with most hotel chains in the UK. It includes almost 800 hotels, at least 80000 rooms, and delivers effective services towards millions of customers annually. It is within </w:t>
      </w:r>
      <w:r w:rsidRPr="00682AFA">
        <w:rPr>
          <w:rFonts w:ascii="Arial" w:eastAsia="Times New Roman" w:hAnsi="Arial" w:cs="Arial"/>
          <w:color w:val="000000"/>
          <w:sz w:val="24"/>
          <w:szCs w:val="24"/>
        </w:rPr>
        <w:lastRenderedPageBreak/>
        <w:t>a crucial position as it creates a significant influence by constructive CSR programs (Sloan, Legrand and Chen, 2017). However, it involves its subsidiaries CSR initiatives by foregrounding three core pillars. It contains planets, people and communities. Moreover, these pillars mirror back this organisation’s dedication for navigating responsibly, promoting healthy connections with communities along with its employees, reducing its significant ecological footprints.  </w:t>
      </w:r>
    </w:p>
    <w:p w14:paraId="3E8E280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This hotel’s CSR technique is framed to acknowledge primitive environmental concerns, for instance waste management, energy use, water preservation, etc. It also empowers significantl</w:t>
      </w:r>
      <w:r w:rsidR="00CC77EF">
        <w:rPr>
          <w:rFonts w:ascii="Arial" w:eastAsia="Times New Roman" w:hAnsi="Arial" w:cs="Arial"/>
          <w:color w:val="000000"/>
          <w:sz w:val="24"/>
          <w:szCs w:val="24"/>
        </w:rPr>
        <w:t>y towards primitive social well-</w:t>
      </w:r>
      <w:r w:rsidRPr="00682AFA">
        <w:rPr>
          <w:rFonts w:ascii="Arial" w:eastAsia="Times New Roman" w:hAnsi="Arial" w:cs="Arial"/>
          <w:color w:val="000000"/>
          <w:sz w:val="24"/>
          <w:szCs w:val="24"/>
        </w:rPr>
        <w:t>being by having community support, job opportunities, ethical governance, etc. Moreover, this company is predominantly looking to align its crucial CSR programs with the significant sustainability agenda of the United Kingdom (Management Association, 2018). It is also cohering towards primitive guidelines along with regulations for operating business practices in a responsible way. </w:t>
      </w:r>
    </w:p>
    <w:p w14:paraId="6EA1986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This essay takes all kinds of efforts to elucidate several impactful CSR policies to foster sustainability within this entire hotel chain of the UK. Its CSR approaches are consolidated into several circumstances regarding its business operations. It includes a robust influence towards the aspects of sustainability. Its CSR technique comprehends a crucial range of significant programs and policies framed to mitigate its potential ecological influence by fostering social welfare (Wickham, Donnelly &amp; French, 2021). Furthermore, essential areas of concentrate contain waste management, energy efficiency, community involvement, water preservation, etc. Over and above that, these policies can be very beneficial to mitigate this company’s ecological footprint by elucidating significant opportunities towards brand enhancement along with comprehensive cost-savings. </w:t>
      </w:r>
    </w:p>
    <w:p w14:paraId="485FE8A1"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Waste management holds a significant area where this company has embodied CSR abstracts for fostering sustainability approaches. Circumstances of hotels operate prominent volumes of waste, containing food waste, one-time use plastics, regular waste through kitchens and guest rooms, etc. This hotel chain has applied a panoramic waste management technique intended at mitigating waste, reducing landfill use by developing recycling rates (Jauhari, 2021). </w:t>
      </w:r>
    </w:p>
    <w:p w14:paraId="226C3A3D"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Regarding the waste regulation act of the UK in 2011, prefers businesses to synchronise waste prevention along with fostering recycling. Moreover, Premier Inn Limited, UK has </w:t>
      </w:r>
      <w:r w:rsidRPr="00682AFA">
        <w:rPr>
          <w:rFonts w:ascii="Arial" w:eastAsia="Times New Roman" w:hAnsi="Arial" w:cs="Arial"/>
          <w:color w:val="000000"/>
          <w:sz w:val="24"/>
          <w:szCs w:val="24"/>
        </w:rPr>
        <w:lastRenderedPageBreak/>
        <w:t>launched primitive practices regarding waste segregation in its hotel chains. Additionally, recycle bins along with its circumstances are delivered in underground and guest areas, granting for detachment regarding recyclable attributes. It contains glass, paper, plastic, etc. This hotel chain also mitigates its dependency towards one-time plastics utilisation by putting back disposable toiletry containers with reusable bottles in bathrooms. </w:t>
      </w:r>
    </w:p>
    <w:p w14:paraId="2D02F028"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On the other hand, food waste holds a huge concern regarding the abstracts of the entire hospitality sector. This company has acknowledged this complication by applying portion control estimates in its several restaurant chains, employing significant food waste mitigation programs. It helps to mitigate crucial ecological influences regarding food waste. It also orients significant social responsibilities through delivering food towards needy people.</w:t>
      </w:r>
    </w:p>
    <w:p w14:paraId="64C3F8A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Energy efficiency along with carbon emissions mitigation holds another significant concern. It also provides the elevated preferences towards cooling, heating, lighting along with potential electronic devices in a specific way. This hotel chain has applied various energy savings programs for mitigating its carbon emissions by empowering the crucial aim of the United Kingdom for obtaining non-polluting secretion by 2050. It helps to highlight the crucial climate shift act of the UK in 2008. Premier Inn Limited has put a huge capital of funding significant technologies regarding energy efficiency, containing the comprehensive utilisation regarding LED lighting, smart thermostats, energy saving devices, etc that balance cooling along with heating on the basis of crucial room occupancy (</w:t>
      </w:r>
      <w:proofErr w:type="spellStart"/>
      <w:r w:rsidRPr="00682AFA">
        <w:rPr>
          <w:rFonts w:ascii="Arial" w:eastAsia="Times New Roman" w:hAnsi="Arial" w:cs="Arial"/>
          <w:color w:val="000000"/>
          <w:sz w:val="24"/>
          <w:szCs w:val="24"/>
        </w:rPr>
        <w:t>Korstanje</w:t>
      </w:r>
      <w:proofErr w:type="spellEnd"/>
      <w:r w:rsidRPr="00682AFA">
        <w:rPr>
          <w:rFonts w:ascii="Arial" w:eastAsia="Times New Roman" w:hAnsi="Arial" w:cs="Arial"/>
          <w:color w:val="000000"/>
          <w:sz w:val="24"/>
          <w:szCs w:val="24"/>
        </w:rPr>
        <w:t xml:space="preserve">, George &amp; </w:t>
      </w:r>
      <w:proofErr w:type="spellStart"/>
      <w:r w:rsidRPr="00682AFA">
        <w:rPr>
          <w:rFonts w:ascii="Arial" w:eastAsia="Times New Roman" w:hAnsi="Arial" w:cs="Arial"/>
          <w:color w:val="000000"/>
          <w:sz w:val="24"/>
          <w:szCs w:val="24"/>
        </w:rPr>
        <w:t>Nedelea</w:t>
      </w:r>
      <w:proofErr w:type="spellEnd"/>
      <w:r w:rsidRPr="00682AFA">
        <w:rPr>
          <w:rFonts w:ascii="Arial" w:eastAsia="Times New Roman" w:hAnsi="Arial" w:cs="Arial"/>
          <w:color w:val="000000"/>
          <w:sz w:val="24"/>
          <w:szCs w:val="24"/>
        </w:rPr>
        <w:t>, 2020). Furthermore, these technologies and its aspects can be very beneficial to mitigate energy consumption by uncompromising significance regarding guest’s comfort. </w:t>
      </w:r>
    </w:p>
    <w:p w14:paraId="4D265157"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Apart from that, this popular hotel champion of the UK, supported primitive sources regarding renewable energy. Its dedication for mitigating its harmful carbon footprints orients with the ecological regulations of the entire United Kingdom. For instance, ESOS can be very impactful as it prefers huge business circumstances to scrutinise their primitive energy utilisation by acknowledging developing areas. Its concentration towards significant energy efficiency reinforces international sustainability goals by providing impactful outcomes in prominent cost savings. Mitigated energy consumption shifts towards minimal profitability bills, creating the funding in significant green technologies. </w:t>
      </w:r>
      <w:r w:rsidRPr="00682AFA">
        <w:rPr>
          <w:rFonts w:ascii="Arial" w:eastAsia="Times New Roman" w:hAnsi="Arial" w:cs="Arial"/>
          <w:color w:val="000000"/>
          <w:sz w:val="24"/>
          <w:szCs w:val="24"/>
        </w:rPr>
        <w:lastRenderedPageBreak/>
        <w:t>Over and above that, mitigating carbon footprints develops business’s image towards eco-friendly customers, building a crucial competitive advantage within a growing sustainability-centric market (Edgell, 2020). </w:t>
      </w:r>
    </w:p>
    <w:p w14:paraId="520B656C"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Community involvement along with social responsibility holds another huge potential as a significant CSR technique. Its circumstances broaden out</w:t>
      </w:r>
      <w:r w:rsidR="00CC77EF">
        <w:rPr>
          <w:rFonts w:ascii="Arial" w:eastAsia="Times New Roman" w:hAnsi="Arial" w:cs="Arial"/>
          <w:color w:val="000000"/>
          <w:sz w:val="24"/>
          <w:szCs w:val="24"/>
        </w:rPr>
        <w:t xml:space="preserve"> </w:t>
      </w:r>
      <w:r w:rsidRPr="00682AFA">
        <w:rPr>
          <w:rFonts w:ascii="Arial" w:eastAsia="Times New Roman" w:hAnsi="Arial" w:cs="Arial"/>
          <w:color w:val="000000"/>
          <w:sz w:val="24"/>
          <w:szCs w:val="24"/>
        </w:rPr>
        <w:t>with ecological sustainability by containing social responsibilities along with effective community involvement. Moreover, Premier Inn Limited, UK significantly engaged in crucial programs that reinforce local communities, foster employee welfare by empowering towards a huge social well-being aims. </w:t>
      </w:r>
    </w:p>
    <w:p w14:paraId="1A3ED2E1"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This company has improved partnerships with several local charities along with enterprises, concentrating on programs, for instance job opportunities, education, community improvement, etc. These programs can be very beneficial to build a comprehensive society along with a positive workforce to deliver effective skills along with constructive opportunities towards the abstracts of individuals (</w:t>
      </w:r>
      <w:r w:rsidRPr="00682AFA">
        <w:rPr>
          <w:rFonts w:ascii="Arial" w:eastAsia="Times New Roman" w:hAnsi="Arial" w:cs="Arial"/>
          <w:color w:val="222222"/>
          <w:sz w:val="24"/>
          <w:szCs w:val="24"/>
          <w:shd w:val="clear" w:color="auto" w:fill="FFFFFF"/>
        </w:rPr>
        <w:t>Hayat and Afshari, 2022</w:t>
      </w:r>
      <w:r w:rsidRPr="00682AFA">
        <w:rPr>
          <w:rFonts w:ascii="Arial" w:eastAsia="Times New Roman" w:hAnsi="Arial" w:cs="Arial"/>
          <w:color w:val="000000"/>
          <w:sz w:val="24"/>
          <w:szCs w:val="24"/>
        </w:rPr>
        <w:t>). These individuals might countenance severe complications regarding employment. </w:t>
      </w:r>
    </w:p>
    <w:p w14:paraId="772CB1C4"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Premier Inn Limited, UK takes all kinds of efforts to foster equal labour opportunities and its related practices along with primitive employee welfare by impactful programmes. It includes career improvement initiatives, fair competitive wages, etc. It also contains a crucial concentration regarding inclusion along with diversity. Moreover, these practices boost this business’s image by empowering employee retention and employee gratification. This company’s social responsibility programs elucidate that crucial CSR lengthens far away from ecological concerns by containing community welfare along with social equity. By involving with primitive local communities along with fostering equal labour practices, Premier Inn Limited, UK creates reinforcing connections with its crucial stakeholders.  By empowering a huge aim, it can be able to build an equitable society along with a sustainable society (</w:t>
      </w:r>
      <w:r w:rsidRPr="00682AFA">
        <w:rPr>
          <w:rFonts w:ascii="Arial" w:eastAsia="Times New Roman" w:hAnsi="Arial" w:cs="Arial"/>
          <w:color w:val="222222"/>
          <w:sz w:val="24"/>
          <w:szCs w:val="24"/>
          <w:shd w:val="clear" w:color="auto" w:fill="FFFFFF"/>
        </w:rPr>
        <w:t xml:space="preserve">Fallah Shayan </w:t>
      </w:r>
      <w:r w:rsidRPr="00682AFA">
        <w:rPr>
          <w:rFonts w:ascii="Arial" w:eastAsia="Times New Roman" w:hAnsi="Arial" w:cs="Arial"/>
          <w:i/>
          <w:iCs/>
          <w:color w:val="222222"/>
          <w:sz w:val="24"/>
          <w:szCs w:val="24"/>
          <w:shd w:val="clear" w:color="auto" w:fill="FFFFFF"/>
        </w:rPr>
        <w:t>et al.</w:t>
      </w:r>
      <w:r w:rsidRPr="00682AFA">
        <w:rPr>
          <w:rFonts w:ascii="Arial" w:eastAsia="Times New Roman" w:hAnsi="Arial" w:cs="Arial"/>
          <w:color w:val="222222"/>
          <w:sz w:val="24"/>
          <w:szCs w:val="24"/>
          <w:shd w:val="clear" w:color="auto" w:fill="FFFFFF"/>
        </w:rPr>
        <w:t xml:space="preserve"> 2022</w:t>
      </w:r>
      <w:r w:rsidRPr="00682AFA">
        <w:rPr>
          <w:rFonts w:ascii="Arial" w:eastAsia="Times New Roman" w:hAnsi="Arial" w:cs="Arial"/>
          <w:color w:val="000000"/>
          <w:sz w:val="24"/>
          <w:szCs w:val="24"/>
        </w:rPr>
        <w:t>). </w:t>
      </w:r>
    </w:p>
    <w:p w14:paraId="08AC969B"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Applying CSR policies within this popular hotel chain of the UK, it faces several challenges as this essay presents these in a specific way. </w:t>
      </w:r>
    </w:p>
    <w:p w14:paraId="601A6916"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Functional complexity along with consistency across several destinations derives itself as a potential challenge (</w:t>
      </w:r>
      <w:proofErr w:type="spellStart"/>
      <w:r w:rsidRPr="00682AFA">
        <w:rPr>
          <w:rFonts w:ascii="Arial" w:eastAsia="Times New Roman" w:hAnsi="Arial" w:cs="Arial"/>
          <w:color w:val="222222"/>
          <w:sz w:val="24"/>
          <w:szCs w:val="24"/>
          <w:shd w:val="clear" w:color="auto" w:fill="FFFFFF"/>
        </w:rPr>
        <w:t>Buhalis</w:t>
      </w:r>
      <w:proofErr w:type="spellEnd"/>
      <w:r w:rsidRPr="00682AFA">
        <w:rPr>
          <w:rFonts w:ascii="Arial" w:eastAsia="Times New Roman" w:hAnsi="Arial" w:cs="Arial"/>
          <w:color w:val="222222"/>
          <w:sz w:val="24"/>
          <w:szCs w:val="24"/>
          <w:shd w:val="clear" w:color="auto" w:fill="FFFFFF"/>
        </w:rPr>
        <w:t>, O’Connor and Leung, 2023</w:t>
      </w:r>
      <w:r w:rsidRPr="00682AFA">
        <w:rPr>
          <w:rFonts w:ascii="Arial" w:eastAsia="Times New Roman" w:hAnsi="Arial" w:cs="Arial"/>
          <w:color w:val="000000"/>
          <w:sz w:val="24"/>
          <w:szCs w:val="24"/>
        </w:rPr>
        <w:t xml:space="preserve">). It is engaged in handling sustainability programs across several destinations. Variations in resource availability, </w:t>
      </w:r>
      <w:r w:rsidRPr="00682AFA">
        <w:rPr>
          <w:rFonts w:ascii="Arial" w:eastAsia="Times New Roman" w:hAnsi="Arial" w:cs="Arial"/>
          <w:color w:val="000000"/>
          <w:sz w:val="24"/>
          <w:szCs w:val="24"/>
        </w:rPr>
        <w:lastRenderedPageBreak/>
        <w:t>local regulations, customer expectations, etc describes that significant CSR techniques should be obtained to accomplish particular preferences of each destination. Circumstances of Premier Inn Limited, stabilising an elevated standard regarding sustainability covering its properties prefers significant communication, monitoring, training, etc. It helps to provide a clear comprehension towards its employees, thus they can be able to understand its concepts and significantly implement its circumstances to attain its desired aims. Premier Inn Limited should operate regional differences regarding ecological regulations, for instance waste management regulations, etc (</w:t>
      </w:r>
      <w:r w:rsidRPr="00682AFA">
        <w:rPr>
          <w:rFonts w:ascii="Arial" w:eastAsia="Times New Roman" w:hAnsi="Arial" w:cs="Arial"/>
          <w:color w:val="222222"/>
          <w:sz w:val="24"/>
          <w:szCs w:val="24"/>
          <w:shd w:val="clear" w:color="auto" w:fill="FFFFFF"/>
        </w:rPr>
        <w:t xml:space="preserve">Kaur </w:t>
      </w:r>
      <w:r w:rsidRPr="00682AFA">
        <w:rPr>
          <w:rFonts w:ascii="Arial" w:eastAsia="Times New Roman" w:hAnsi="Arial" w:cs="Arial"/>
          <w:i/>
          <w:iCs/>
          <w:color w:val="222222"/>
          <w:sz w:val="24"/>
          <w:szCs w:val="24"/>
          <w:shd w:val="clear" w:color="auto" w:fill="FFFFFF"/>
        </w:rPr>
        <w:t xml:space="preserve">et al. </w:t>
      </w:r>
      <w:r w:rsidRPr="00682AFA">
        <w:rPr>
          <w:rFonts w:ascii="Arial" w:eastAsia="Times New Roman" w:hAnsi="Arial" w:cs="Arial"/>
          <w:color w:val="222222"/>
          <w:sz w:val="24"/>
          <w:szCs w:val="24"/>
          <w:shd w:val="clear" w:color="auto" w:fill="FFFFFF"/>
        </w:rPr>
        <w:t>2022</w:t>
      </w:r>
      <w:r w:rsidRPr="00682AFA">
        <w:rPr>
          <w:rFonts w:ascii="Arial" w:eastAsia="Times New Roman" w:hAnsi="Arial" w:cs="Arial"/>
          <w:color w:val="000000"/>
          <w:sz w:val="24"/>
          <w:szCs w:val="24"/>
        </w:rPr>
        <w:t>). </w:t>
      </w:r>
    </w:p>
    <w:p w14:paraId="703E5458"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Elevated initial costs along with financial constraints can be another potential challenge. It includes sustainable technologies along with its related crucial practices (</w:t>
      </w:r>
      <w:r w:rsidRPr="00682AFA">
        <w:rPr>
          <w:rFonts w:ascii="Arial" w:eastAsia="Times New Roman" w:hAnsi="Arial" w:cs="Arial"/>
          <w:color w:val="222222"/>
          <w:sz w:val="24"/>
          <w:szCs w:val="24"/>
          <w:shd w:val="clear" w:color="auto" w:fill="FFFFFF"/>
        </w:rPr>
        <w:t xml:space="preserve">Ghani </w:t>
      </w:r>
      <w:r w:rsidRPr="00682AFA">
        <w:rPr>
          <w:rFonts w:ascii="Arial" w:eastAsia="Times New Roman" w:hAnsi="Arial" w:cs="Arial"/>
          <w:i/>
          <w:iCs/>
          <w:color w:val="222222"/>
          <w:sz w:val="24"/>
          <w:szCs w:val="24"/>
          <w:shd w:val="clear" w:color="auto" w:fill="FFFFFF"/>
        </w:rPr>
        <w:t>et al.</w:t>
      </w:r>
      <w:r w:rsidRPr="00682AFA">
        <w:rPr>
          <w:rFonts w:ascii="Arial" w:eastAsia="Times New Roman" w:hAnsi="Arial" w:cs="Arial"/>
          <w:color w:val="222222"/>
          <w:sz w:val="24"/>
          <w:szCs w:val="24"/>
          <w:shd w:val="clear" w:color="auto" w:fill="FFFFFF"/>
        </w:rPr>
        <w:t xml:space="preserve"> 2022</w:t>
      </w:r>
      <w:r w:rsidRPr="00682AFA">
        <w:rPr>
          <w:rFonts w:ascii="Arial" w:eastAsia="Times New Roman" w:hAnsi="Arial" w:cs="Arial"/>
          <w:color w:val="000000"/>
          <w:sz w:val="24"/>
          <w:szCs w:val="24"/>
        </w:rPr>
        <w:t>). Having huge investment within crucial sources of renewable energy, potential systems of energy-efficiency, water saving installation, etc prefers potential financial outlay. It brings immense pressures during economic inflation (</w:t>
      </w:r>
      <w:proofErr w:type="spellStart"/>
      <w:r w:rsidRPr="00682AFA">
        <w:rPr>
          <w:rFonts w:ascii="Arial" w:eastAsia="Times New Roman" w:hAnsi="Arial" w:cs="Arial"/>
          <w:color w:val="222222"/>
          <w:sz w:val="24"/>
          <w:szCs w:val="24"/>
          <w:shd w:val="clear" w:color="auto" w:fill="FFFFFF"/>
        </w:rPr>
        <w:t>Asuata</w:t>
      </w:r>
      <w:proofErr w:type="spellEnd"/>
      <w:r w:rsidRPr="00682AFA">
        <w:rPr>
          <w:rFonts w:ascii="Arial" w:eastAsia="Times New Roman" w:hAnsi="Arial" w:cs="Arial"/>
          <w:color w:val="222222"/>
          <w:sz w:val="24"/>
          <w:szCs w:val="24"/>
          <w:shd w:val="clear" w:color="auto" w:fill="FFFFFF"/>
        </w:rPr>
        <w:t>, 2024</w:t>
      </w:r>
      <w:r w:rsidRPr="00682AFA">
        <w:rPr>
          <w:rFonts w:ascii="Arial" w:eastAsia="Times New Roman" w:hAnsi="Arial" w:cs="Arial"/>
          <w:color w:val="000000"/>
          <w:sz w:val="24"/>
          <w:szCs w:val="24"/>
        </w:rPr>
        <w:t>). This company has handled to bridle this provocation by consolidating sustainability objectives into significant business techniques. It grants it to synchronise funding in crucial green technologies. </w:t>
      </w:r>
    </w:p>
    <w:p w14:paraId="2236AEA1"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Apart from that, measuring the influence regarding significant CSR initiatives elucidates another potential challenge for this company (</w:t>
      </w:r>
      <w:r w:rsidRPr="00682AFA">
        <w:rPr>
          <w:rFonts w:ascii="Arial" w:eastAsia="Times New Roman" w:hAnsi="Arial" w:cs="Arial"/>
          <w:color w:val="222222"/>
          <w:sz w:val="24"/>
          <w:szCs w:val="24"/>
          <w:shd w:val="clear" w:color="auto" w:fill="FFFFFF"/>
        </w:rPr>
        <w:t xml:space="preserve">Abbas </w:t>
      </w:r>
      <w:r w:rsidRPr="00682AFA">
        <w:rPr>
          <w:rFonts w:ascii="Arial" w:eastAsia="Times New Roman" w:hAnsi="Arial" w:cs="Arial"/>
          <w:i/>
          <w:iCs/>
          <w:color w:val="222222"/>
          <w:sz w:val="24"/>
          <w:szCs w:val="24"/>
          <w:shd w:val="clear" w:color="auto" w:fill="FFFFFF"/>
        </w:rPr>
        <w:t>et al.</w:t>
      </w:r>
      <w:r w:rsidRPr="00682AFA">
        <w:rPr>
          <w:rFonts w:ascii="Arial" w:eastAsia="Times New Roman" w:hAnsi="Arial" w:cs="Arial"/>
          <w:color w:val="222222"/>
          <w:sz w:val="24"/>
          <w:szCs w:val="24"/>
          <w:shd w:val="clear" w:color="auto" w:fill="FFFFFF"/>
        </w:rPr>
        <w:t xml:space="preserve"> 2023</w:t>
      </w:r>
      <w:r w:rsidRPr="00682AFA">
        <w:rPr>
          <w:rFonts w:ascii="Arial" w:eastAsia="Times New Roman" w:hAnsi="Arial" w:cs="Arial"/>
          <w:color w:val="000000"/>
          <w:sz w:val="24"/>
          <w:szCs w:val="24"/>
        </w:rPr>
        <w:t>). It is significantly straightforward to follow certain evaluations. For instance, it includes evaluating a huge environmental influence along with social influence, waste reduction, impactful energy utilisation, etc towards significant CSR policies in a specific way. This company depends on significant certification regarding ISO 14001, several third party estimates, etc towards ecological management (New governance and management in touristic destinations, 2022). It helps to verify significant advantages of its crucial sustainability practices. Moreover, these evaluations may not detain circumstances of this company’s empowerment regarding ecological and social welfare. </w:t>
      </w:r>
    </w:p>
    <w:p w14:paraId="26D6174E"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This essay takes into consideration several crucial opportunities along with potential influences of CSR towards Premier Inn Limited as these are mentioned below. This hotel chain's dedication towards sustainability provides advantages to the environment by </w:t>
      </w:r>
      <w:r w:rsidRPr="00682AFA">
        <w:rPr>
          <w:rFonts w:ascii="Arial" w:eastAsia="Times New Roman" w:hAnsi="Arial" w:cs="Arial"/>
          <w:color w:val="000000"/>
          <w:sz w:val="24"/>
          <w:szCs w:val="24"/>
        </w:rPr>
        <w:lastRenderedPageBreak/>
        <w:t>delivering competitive benefits significantly (</w:t>
      </w:r>
      <w:proofErr w:type="spellStart"/>
      <w:r w:rsidRPr="00682AFA">
        <w:rPr>
          <w:rFonts w:ascii="Arial" w:eastAsia="Times New Roman" w:hAnsi="Arial" w:cs="Arial"/>
          <w:color w:val="222222"/>
          <w:sz w:val="24"/>
          <w:szCs w:val="24"/>
          <w:shd w:val="clear" w:color="auto" w:fill="FFFFFF"/>
        </w:rPr>
        <w:t>Iddawala</w:t>
      </w:r>
      <w:proofErr w:type="spellEnd"/>
      <w:r w:rsidRPr="00682AFA">
        <w:rPr>
          <w:rFonts w:ascii="Arial" w:eastAsia="Times New Roman" w:hAnsi="Arial" w:cs="Arial"/>
          <w:color w:val="222222"/>
          <w:sz w:val="24"/>
          <w:szCs w:val="24"/>
          <w:shd w:val="clear" w:color="auto" w:fill="FFFFFF"/>
        </w:rPr>
        <w:t xml:space="preserve">, </w:t>
      </w:r>
      <w:proofErr w:type="spellStart"/>
      <w:r w:rsidRPr="00682AFA">
        <w:rPr>
          <w:rFonts w:ascii="Arial" w:eastAsia="Times New Roman" w:hAnsi="Arial" w:cs="Arial"/>
          <w:color w:val="222222"/>
          <w:sz w:val="24"/>
          <w:szCs w:val="24"/>
          <w:shd w:val="clear" w:color="auto" w:fill="FFFFFF"/>
        </w:rPr>
        <w:t>Welengoda</w:t>
      </w:r>
      <w:proofErr w:type="spellEnd"/>
      <w:r w:rsidRPr="00682AFA">
        <w:rPr>
          <w:rFonts w:ascii="Arial" w:eastAsia="Times New Roman" w:hAnsi="Arial" w:cs="Arial"/>
          <w:color w:val="222222"/>
          <w:sz w:val="24"/>
          <w:szCs w:val="24"/>
          <w:shd w:val="clear" w:color="auto" w:fill="FFFFFF"/>
        </w:rPr>
        <w:t xml:space="preserve"> and </w:t>
      </w:r>
      <w:proofErr w:type="spellStart"/>
      <w:r w:rsidRPr="00682AFA">
        <w:rPr>
          <w:rFonts w:ascii="Arial" w:eastAsia="Times New Roman" w:hAnsi="Arial" w:cs="Arial"/>
          <w:color w:val="222222"/>
          <w:sz w:val="24"/>
          <w:szCs w:val="24"/>
          <w:shd w:val="clear" w:color="auto" w:fill="FFFFFF"/>
        </w:rPr>
        <w:t>Rathnayaka</w:t>
      </w:r>
      <w:proofErr w:type="spellEnd"/>
      <w:r w:rsidRPr="00682AFA">
        <w:rPr>
          <w:rFonts w:ascii="Arial" w:eastAsia="Times New Roman" w:hAnsi="Arial" w:cs="Arial"/>
          <w:color w:val="222222"/>
          <w:sz w:val="24"/>
          <w:szCs w:val="24"/>
          <w:shd w:val="clear" w:color="auto" w:fill="FFFFFF"/>
        </w:rPr>
        <w:t>, 2024</w:t>
      </w:r>
      <w:r w:rsidRPr="00682AFA">
        <w:rPr>
          <w:rFonts w:ascii="Arial" w:eastAsia="Times New Roman" w:hAnsi="Arial" w:cs="Arial"/>
          <w:color w:val="000000"/>
          <w:sz w:val="24"/>
          <w:szCs w:val="24"/>
        </w:rPr>
        <w:t>). </w:t>
      </w:r>
    </w:p>
    <w:p w14:paraId="7E48C361"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Developing brand reputation along with significant customer loyalty is a huge and crucial opportunity (</w:t>
      </w:r>
      <w:r w:rsidRPr="00682AFA">
        <w:rPr>
          <w:rFonts w:ascii="Arial" w:eastAsia="Times New Roman" w:hAnsi="Arial" w:cs="Arial"/>
          <w:color w:val="222222"/>
          <w:sz w:val="24"/>
          <w:szCs w:val="24"/>
          <w:shd w:val="clear" w:color="auto" w:fill="FFFFFF"/>
        </w:rPr>
        <w:t xml:space="preserve">Khan </w:t>
      </w:r>
      <w:r w:rsidRPr="00682AFA">
        <w:rPr>
          <w:rFonts w:ascii="Arial" w:eastAsia="Times New Roman" w:hAnsi="Arial" w:cs="Arial"/>
          <w:i/>
          <w:iCs/>
          <w:color w:val="222222"/>
          <w:sz w:val="24"/>
          <w:szCs w:val="24"/>
          <w:shd w:val="clear" w:color="auto" w:fill="FFFFFF"/>
        </w:rPr>
        <w:t>et al.</w:t>
      </w:r>
      <w:r w:rsidRPr="00682AFA">
        <w:rPr>
          <w:rFonts w:ascii="Arial" w:eastAsia="Times New Roman" w:hAnsi="Arial" w:cs="Arial"/>
          <w:color w:val="222222"/>
          <w:sz w:val="24"/>
          <w:szCs w:val="24"/>
          <w:shd w:val="clear" w:color="auto" w:fill="FFFFFF"/>
        </w:rPr>
        <w:t xml:space="preserve"> 2022</w:t>
      </w:r>
      <w:r w:rsidRPr="00682AFA">
        <w:rPr>
          <w:rFonts w:ascii="Arial" w:eastAsia="Times New Roman" w:hAnsi="Arial" w:cs="Arial"/>
          <w:color w:val="000000"/>
          <w:sz w:val="24"/>
          <w:szCs w:val="24"/>
        </w:rPr>
        <w:t>). Customers are growingly looking for businesses to synchronise social responsibility along with sustainability. This company’s CSR programs, significantly its attempts for mitigating energy consumption, reinforcing local communities, reducing plastic waste, etc (</w:t>
      </w:r>
      <w:proofErr w:type="spellStart"/>
      <w:r w:rsidRPr="00682AFA">
        <w:rPr>
          <w:rFonts w:ascii="Arial" w:eastAsia="Times New Roman" w:hAnsi="Arial" w:cs="Arial"/>
          <w:color w:val="222222"/>
          <w:sz w:val="24"/>
          <w:szCs w:val="24"/>
          <w:shd w:val="clear" w:color="auto" w:fill="FFFFFF"/>
        </w:rPr>
        <w:t>Moyeen</w:t>
      </w:r>
      <w:proofErr w:type="spellEnd"/>
      <w:r w:rsidRPr="00682AFA">
        <w:rPr>
          <w:rFonts w:ascii="Arial" w:eastAsia="Times New Roman" w:hAnsi="Arial" w:cs="Arial"/>
          <w:color w:val="222222"/>
          <w:sz w:val="24"/>
          <w:szCs w:val="24"/>
          <w:shd w:val="clear" w:color="auto" w:fill="FFFFFF"/>
        </w:rPr>
        <w:t xml:space="preserve"> and </w:t>
      </w:r>
      <w:proofErr w:type="spellStart"/>
      <w:r w:rsidRPr="00682AFA">
        <w:rPr>
          <w:rFonts w:ascii="Arial" w:eastAsia="Times New Roman" w:hAnsi="Arial" w:cs="Arial"/>
          <w:color w:val="222222"/>
          <w:sz w:val="24"/>
          <w:szCs w:val="24"/>
          <w:shd w:val="clear" w:color="auto" w:fill="FFFFFF"/>
        </w:rPr>
        <w:t>Mehjabeen</w:t>
      </w:r>
      <w:proofErr w:type="spellEnd"/>
      <w:r w:rsidRPr="00682AFA">
        <w:rPr>
          <w:rFonts w:ascii="Arial" w:eastAsia="Times New Roman" w:hAnsi="Arial" w:cs="Arial"/>
          <w:color w:val="222222"/>
          <w:sz w:val="24"/>
          <w:szCs w:val="24"/>
          <w:shd w:val="clear" w:color="auto" w:fill="FFFFFF"/>
        </w:rPr>
        <w:t>, 2024</w:t>
      </w:r>
      <w:r w:rsidRPr="00682AFA">
        <w:rPr>
          <w:rFonts w:ascii="Arial" w:eastAsia="Times New Roman" w:hAnsi="Arial" w:cs="Arial"/>
          <w:color w:val="000000"/>
          <w:sz w:val="24"/>
          <w:szCs w:val="24"/>
        </w:rPr>
        <w:t>). Thus it can be very beneficial to create a robust image towards corporate citizens in a responsive way. It boosts customer loyalty and its comprehension as well, orients with the preferences of eco-friendly tourists by marshalling with the company's significant cultures.</w:t>
      </w:r>
    </w:p>
    <w:p w14:paraId="487C5B58"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Compliance with significant legislation along with risk mitigation is another impactful opportunity. By significantly applying CSR initiatives and its effectiveness, Premier Inn Limited, UK confirms effective compliance with crucial environmental regulations by mitigating probabilities regarding legal challenges along with significant future fines (</w:t>
      </w:r>
      <w:proofErr w:type="spellStart"/>
      <w:r w:rsidRPr="00682AFA">
        <w:rPr>
          <w:rFonts w:ascii="Arial" w:eastAsia="Times New Roman" w:hAnsi="Arial" w:cs="Arial"/>
          <w:color w:val="000000"/>
          <w:sz w:val="24"/>
          <w:szCs w:val="24"/>
        </w:rPr>
        <w:t>Batabyal</w:t>
      </w:r>
      <w:proofErr w:type="spellEnd"/>
      <w:r w:rsidRPr="00682AFA">
        <w:rPr>
          <w:rFonts w:ascii="Arial" w:eastAsia="Times New Roman" w:hAnsi="Arial" w:cs="Arial"/>
          <w:color w:val="000000"/>
          <w:sz w:val="24"/>
          <w:szCs w:val="24"/>
        </w:rPr>
        <w:t>, 2018). Furthermore, this company’s crucial concentration towards sustainability can be very beneficial to reduce reputational possibilities connected with unsustainable practices within business circumstances, for instance carbon footprints, excessive waste, etc. </w:t>
      </w:r>
    </w:p>
    <w:p w14:paraId="714D71E6" w14:textId="30D3B23A" w:rsidR="00682AFA" w:rsidRDefault="00682AFA" w:rsidP="004A5C16">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Comprehensive cost-savings along with functional efficiency derives itself as a potential opportunity in an efficient way. While CSR programs prefer potential upfront fundings, sometimes it navigates towards comprehensive cost-savings (Costa &amp; Costa, 2022). On the other hand, energy-efficient methodologies, waste reduction initiatives, water saving estimates, etc can be very beneficial to mitigate functional costs past the usual time. It helps to grant this company to navigate business aspects profitably and efficiently. </w:t>
      </w:r>
    </w:p>
    <w:p w14:paraId="104E20C8" w14:textId="77777777" w:rsidR="004A5C16" w:rsidRPr="004A5C16" w:rsidRDefault="004A5C16" w:rsidP="004A5C16">
      <w:pPr>
        <w:spacing w:after="0" w:line="360" w:lineRule="auto"/>
        <w:jc w:val="both"/>
        <w:rPr>
          <w:rFonts w:ascii="Times New Roman" w:eastAsia="Times New Roman" w:hAnsi="Times New Roman" w:cs="Times New Roman"/>
          <w:sz w:val="24"/>
          <w:szCs w:val="24"/>
        </w:rPr>
      </w:pPr>
    </w:p>
    <w:p w14:paraId="431781E9"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After having a detailed discussion, this essay significantly described the CSR initiatives and its potential under the right set of circumstances of Premier Inn Limited, UK. Its approach has significantly empowered fostering sustainability regarding the abstracts of the entire hospitality sector. Significant areas regarding this company have created a substantial influence containing waste management, energy efficiency, and community involvement along with water conservation in a specific way. Having a huge investment </w:t>
      </w:r>
      <w:r w:rsidRPr="00682AFA">
        <w:rPr>
          <w:rFonts w:ascii="Arial" w:eastAsia="Times New Roman" w:hAnsi="Arial" w:cs="Arial"/>
          <w:color w:val="000000"/>
          <w:sz w:val="24"/>
          <w:szCs w:val="24"/>
        </w:rPr>
        <w:lastRenderedPageBreak/>
        <w:t>towards green technologies, for instance renewable energy, LED lighting, etc, this company has mitigated its potential carbon emissions and observes with significant environmental legislation. It contains ESOS regulations, Climate Shift Act of the UK, etc. Moreover, it’s significant waste mitigation attempts, containing the primitive utilisation regarding food waste programs, recycling, etc orients with the waste regulations of the United Kingdom. Water preservation evaluation develops functional efficiency by reinforcing environmental goals.  </w:t>
      </w:r>
    </w:p>
    <w:p w14:paraId="77DF9D2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In spite of provocations, this company has significantly consolidated sustainability within its effective business model, navigating to comprehensive cost-savings, developed brand reputation, boosts customer loyalty, etc. Its social responsibility programs containing community partnerships, employment initiatives, etc elucidates CSR objectives and develops ecological practices towards huge social influences. </w:t>
      </w:r>
    </w:p>
    <w:p w14:paraId="589C2B38"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7A32E592"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0D9E1744"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04EF3DAF"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691E1BF8"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4323D82E" w14:textId="77777777" w:rsidR="00682AFA" w:rsidRDefault="00682AFA" w:rsidP="00682AFA">
      <w:pPr>
        <w:spacing w:before="400" w:after="120" w:line="360" w:lineRule="auto"/>
        <w:jc w:val="both"/>
        <w:outlineLvl w:val="0"/>
        <w:rPr>
          <w:rFonts w:ascii="Arial" w:eastAsia="Times New Roman" w:hAnsi="Arial" w:cs="Arial"/>
          <w:b/>
          <w:bCs/>
          <w:color w:val="000000"/>
          <w:kern w:val="36"/>
          <w:sz w:val="24"/>
          <w:szCs w:val="24"/>
        </w:rPr>
      </w:pPr>
    </w:p>
    <w:p w14:paraId="51292371" w14:textId="71C553B4" w:rsidR="00682AFA" w:rsidRPr="00682AFA" w:rsidRDefault="00682AFA" w:rsidP="00682AFA">
      <w:pPr>
        <w:spacing w:before="400" w:after="120" w:line="360" w:lineRule="auto"/>
        <w:jc w:val="both"/>
        <w:outlineLvl w:val="0"/>
        <w:rPr>
          <w:rFonts w:ascii="Times New Roman" w:eastAsia="Times New Roman" w:hAnsi="Times New Roman" w:cs="Times New Roman"/>
          <w:b/>
          <w:bCs/>
          <w:kern w:val="36"/>
          <w:sz w:val="48"/>
          <w:szCs w:val="48"/>
        </w:rPr>
      </w:pPr>
      <w:bookmarkStart w:id="1" w:name="_Toc179734352"/>
      <w:r w:rsidRPr="00682AFA">
        <w:rPr>
          <w:rFonts w:ascii="Arial" w:eastAsia="Times New Roman" w:hAnsi="Arial" w:cs="Arial"/>
          <w:b/>
          <w:bCs/>
          <w:color w:val="000000"/>
          <w:kern w:val="36"/>
          <w:sz w:val="24"/>
          <w:szCs w:val="24"/>
        </w:rPr>
        <w:t>Reference</w:t>
      </w:r>
      <w:bookmarkEnd w:id="1"/>
      <w:r w:rsidR="004A5C16">
        <w:rPr>
          <w:rFonts w:ascii="Arial" w:eastAsia="Times New Roman" w:hAnsi="Arial" w:cs="Arial"/>
          <w:b/>
          <w:bCs/>
          <w:color w:val="000000"/>
          <w:kern w:val="36"/>
          <w:sz w:val="24"/>
          <w:szCs w:val="24"/>
        </w:rPr>
        <w:t xml:space="preserve"> list:</w:t>
      </w:r>
    </w:p>
    <w:p w14:paraId="324191E0" w14:textId="77777777" w:rsidR="00682AFA" w:rsidRPr="00682AFA" w:rsidRDefault="00682AFA" w:rsidP="00682AFA">
      <w:pPr>
        <w:spacing w:after="0" w:line="360" w:lineRule="auto"/>
        <w:rPr>
          <w:rFonts w:ascii="Times New Roman" w:eastAsia="Times New Roman" w:hAnsi="Times New Roman" w:cs="Times New Roman"/>
          <w:sz w:val="24"/>
          <w:szCs w:val="24"/>
        </w:rPr>
      </w:pPr>
      <w:r w:rsidRPr="00682AFA">
        <w:rPr>
          <w:rFonts w:ascii="Arial" w:eastAsia="Times New Roman" w:hAnsi="Arial" w:cs="Arial"/>
          <w:color w:val="000000"/>
        </w:rPr>
        <w:t> </w:t>
      </w:r>
    </w:p>
    <w:p w14:paraId="18860077"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Abbas, J., </w:t>
      </w:r>
      <w:proofErr w:type="spellStart"/>
      <w:r w:rsidRPr="00682AFA">
        <w:rPr>
          <w:rFonts w:ascii="Arial" w:eastAsia="Times New Roman" w:hAnsi="Arial" w:cs="Arial"/>
          <w:color w:val="222222"/>
          <w:sz w:val="24"/>
          <w:szCs w:val="24"/>
          <w:shd w:val="clear" w:color="auto" w:fill="FFFFFF"/>
        </w:rPr>
        <w:t>Al-Sulaiti</w:t>
      </w:r>
      <w:proofErr w:type="spellEnd"/>
      <w:r w:rsidRPr="00682AFA">
        <w:rPr>
          <w:rFonts w:ascii="Arial" w:eastAsia="Times New Roman" w:hAnsi="Arial" w:cs="Arial"/>
          <w:color w:val="222222"/>
          <w:sz w:val="24"/>
          <w:szCs w:val="24"/>
          <w:shd w:val="clear" w:color="auto" w:fill="FFFFFF"/>
        </w:rPr>
        <w:t xml:space="preserve">, K., Lorente, D.B., Shah, S.A.R. and Shahzad, U., 2023. Reset the industry redux through corporate social responsibility: The COVID-19 tourism impact on hospitality firms through business model innovation. In </w:t>
      </w:r>
      <w:r w:rsidRPr="00682AFA">
        <w:rPr>
          <w:rFonts w:ascii="Arial" w:eastAsia="Times New Roman" w:hAnsi="Arial" w:cs="Arial"/>
          <w:i/>
          <w:iCs/>
          <w:color w:val="222222"/>
          <w:sz w:val="24"/>
          <w:szCs w:val="24"/>
          <w:shd w:val="clear" w:color="auto" w:fill="FFFFFF"/>
        </w:rPr>
        <w:t>Economic growth and environmental quality in a post-pandemic world</w:t>
      </w:r>
      <w:r w:rsidRPr="00682AFA">
        <w:rPr>
          <w:rFonts w:ascii="Arial" w:eastAsia="Times New Roman" w:hAnsi="Arial" w:cs="Arial"/>
          <w:color w:val="222222"/>
          <w:sz w:val="24"/>
          <w:szCs w:val="24"/>
          <w:shd w:val="clear" w:color="auto" w:fill="FFFFFF"/>
        </w:rPr>
        <w:t xml:space="preserve"> (pp. 177-201). Routledge. </w:t>
      </w:r>
      <w:r w:rsidRPr="00682AFA">
        <w:rPr>
          <w:rFonts w:ascii="Arial" w:eastAsia="Times New Roman" w:hAnsi="Arial" w:cs="Arial"/>
          <w:color w:val="000000"/>
          <w:sz w:val="24"/>
          <w:szCs w:val="24"/>
        </w:rPr>
        <w:t xml:space="preserve">Available at: </w:t>
      </w:r>
      <w:hyperlink r:id="rId8" w:history="1">
        <w:r w:rsidRPr="00682AFA">
          <w:rPr>
            <w:rFonts w:ascii="Arial" w:eastAsia="Times New Roman" w:hAnsi="Arial" w:cs="Arial"/>
            <w:color w:val="1155CC"/>
            <w:sz w:val="24"/>
            <w:szCs w:val="24"/>
            <w:u w:val="single"/>
          </w:rPr>
          <w:t>https://www.researchgate.net/profile/Jaffar-Abbas/publication/371440208_Reset_the_Industry_Redux_through_Corporate_Social_Responsibility_The_COVID-19_Tourism_Impact_on_Hospitality_Firms_through_Business_Model_Innovation/links/648c65d695bbbe0c6ecd07ab/Reset-the-Industry-Redux-through-Corporate-Social-Responsibility-The-COVID-19-Tourism-Impact-on-Hospitality-Firms-through-Business-Model-Innovation.pdf</w:t>
        </w:r>
      </w:hyperlink>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color w:val="000000"/>
          <w:sz w:val="24"/>
          <w:szCs w:val="24"/>
        </w:rPr>
        <w:t>(Accessed: 13 October 2024)</w:t>
      </w:r>
    </w:p>
    <w:p w14:paraId="67CC90A6"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222222"/>
          <w:sz w:val="24"/>
          <w:szCs w:val="24"/>
          <w:shd w:val="clear" w:color="auto" w:fill="FFFFFF"/>
        </w:rPr>
        <w:t>Asuata</w:t>
      </w:r>
      <w:proofErr w:type="spellEnd"/>
      <w:r w:rsidRPr="00682AFA">
        <w:rPr>
          <w:rFonts w:ascii="Arial" w:eastAsia="Times New Roman" w:hAnsi="Arial" w:cs="Arial"/>
          <w:color w:val="222222"/>
          <w:sz w:val="24"/>
          <w:szCs w:val="24"/>
          <w:shd w:val="clear" w:color="auto" w:fill="FFFFFF"/>
        </w:rPr>
        <w:t xml:space="preserve">, P., 2024. </w:t>
      </w:r>
      <w:r w:rsidRPr="00682AFA">
        <w:rPr>
          <w:rFonts w:ascii="Arial" w:eastAsia="Times New Roman" w:hAnsi="Arial" w:cs="Arial"/>
          <w:i/>
          <w:iCs/>
          <w:color w:val="222222"/>
          <w:sz w:val="24"/>
          <w:szCs w:val="24"/>
          <w:shd w:val="clear" w:color="auto" w:fill="FFFFFF"/>
        </w:rPr>
        <w:t>Corporate Social Responsibility (CSR) &amp; Corporate Profitability (CP): A Case Study of For-Profit &amp; Non-For-Profit Organizations in the North-East of England</w:t>
      </w:r>
      <w:r w:rsidRPr="00682AFA">
        <w:rPr>
          <w:rFonts w:ascii="Arial" w:eastAsia="Times New Roman" w:hAnsi="Arial" w:cs="Arial"/>
          <w:color w:val="222222"/>
          <w:sz w:val="24"/>
          <w:szCs w:val="24"/>
          <w:shd w:val="clear" w:color="auto" w:fill="FFFFFF"/>
        </w:rPr>
        <w:t xml:space="preserve"> (Doctoral dissertation, The University of Sunderland). </w:t>
      </w:r>
      <w:r w:rsidRPr="00682AFA">
        <w:rPr>
          <w:rFonts w:ascii="Arial" w:eastAsia="Times New Roman" w:hAnsi="Arial" w:cs="Arial"/>
          <w:color w:val="000000"/>
          <w:sz w:val="24"/>
          <w:szCs w:val="24"/>
        </w:rPr>
        <w:t xml:space="preserve">Available at: </w:t>
      </w:r>
      <w:hyperlink r:id="rId9" w:history="1">
        <w:r w:rsidRPr="00682AFA">
          <w:rPr>
            <w:rFonts w:ascii="Arial" w:eastAsia="Times New Roman" w:hAnsi="Arial" w:cs="Arial"/>
            <w:color w:val="1155CC"/>
            <w:sz w:val="24"/>
            <w:szCs w:val="24"/>
            <w:u w:val="single"/>
          </w:rPr>
          <w:t>http://sure.sunderland.ac.uk/id/eprint/17906/2/PETER%20A%20FINAL%20THESIS%202024.pdf</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2DD60BB8"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000000"/>
          <w:sz w:val="24"/>
          <w:szCs w:val="24"/>
        </w:rPr>
        <w:t>Batabyal</w:t>
      </w:r>
      <w:proofErr w:type="spellEnd"/>
      <w:r w:rsidRPr="00682AFA">
        <w:rPr>
          <w:rFonts w:ascii="Arial" w:eastAsia="Times New Roman" w:hAnsi="Arial" w:cs="Arial"/>
          <w:color w:val="000000"/>
          <w:sz w:val="24"/>
          <w:szCs w:val="24"/>
        </w:rPr>
        <w:t xml:space="preserve">. (2018). Managing Sustainable Tourism Resources. IGI Global. Available at:  </w:t>
      </w:r>
      <w:hyperlink r:id="rId10" w:history="1">
        <w:r w:rsidRPr="00682AFA">
          <w:rPr>
            <w:rFonts w:ascii="Arial" w:eastAsia="Times New Roman" w:hAnsi="Arial" w:cs="Arial"/>
            <w:color w:val="1155CC"/>
            <w:sz w:val="24"/>
            <w:szCs w:val="24"/>
            <w:u w:val="single"/>
          </w:rPr>
          <w:t>https://www.researchgate.net/profile/Pratim-Chatterjee/publication/380720105_Impact_of_COVID-19_on_Small_Domestic_and_Inbound_Travel_Agencies_and_Tour_Operators_in_West_Bengal_India_Perspectives_of_Offline_Owners-Managers/links/664ace6d0b0d2845744875be/Impact-of-COVID-19-on-Small-Domestic-and-Inbound-Travel-Agencies-and-Tour-Operators-in-West-Bengal-India-Perspectives-of-Offline-Owners-Managers.pdf</w:t>
        </w:r>
      </w:hyperlink>
      <w:r w:rsidRPr="00682AFA">
        <w:rPr>
          <w:rFonts w:ascii="Arial" w:eastAsia="Times New Roman" w:hAnsi="Arial" w:cs="Arial"/>
          <w:color w:val="000000"/>
          <w:sz w:val="24"/>
          <w:szCs w:val="24"/>
        </w:rPr>
        <w:t xml:space="preserve"> (Accessed: 13 October 2024)</w:t>
      </w:r>
    </w:p>
    <w:p w14:paraId="078C5C67"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222222"/>
          <w:sz w:val="24"/>
          <w:szCs w:val="24"/>
          <w:shd w:val="clear" w:color="auto" w:fill="FFFFFF"/>
        </w:rPr>
        <w:t>Buhalis</w:t>
      </w:r>
      <w:proofErr w:type="spellEnd"/>
      <w:r w:rsidRPr="00682AFA">
        <w:rPr>
          <w:rFonts w:ascii="Arial" w:eastAsia="Times New Roman" w:hAnsi="Arial" w:cs="Arial"/>
          <w:color w:val="222222"/>
          <w:sz w:val="24"/>
          <w:szCs w:val="24"/>
          <w:shd w:val="clear" w:color="auto" w:fill="FFFFFF"/>
        </w:rPr>
        <w:t xml:space="preserve">, D., O’Connor, P. and Leung, R., 2023. Smart hospitality: from smart cities and smart tourism towards agile business ecosystems in networked destinations. </w:t>
      </w:r>
      <w:r w:rsidRPr="00682AFA">
        <w:rPr>
          <w:rFonts w:ascii="Arial" w:eastAsia="Times New Roman" w:hAnsi="Arial" w:cs="Arial"/>
          <w:i/>
          <w:iCs/>
          <w:color w:val="222222"/>
          <w:sz w:val="24"/>
          <w:szCs w:val="24"/>
          <w:shd w:val="clear" w:color="auto" w:fill="FFFFFF"/>
        </w:rPr>
        <w:t>International Journal of Contemporary Hospitality Management</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35</w:t>
      </w:r>
      <w:r w:rsidRPr="00682AFA">
        <w:rPr>
          <w:rFonts w:ascii="Arial" w:eastAsia="Times New Roman" w:hAnsi="Arial" w:cs="Arial"/>
          <w:color w:val="222222"/>
          <w:sz w:val="24"/>
          <w:szCs w:val="24"/>
          <w:shd w:val="clear" w:color="auto" w:fill="FFFFFF"/>
        </w:rPr>
        <w:t xml:space="preserve">(1), pp.369-393. </w:t>
      </w:r>
      <w:r w:rsidRPr="00682AFA">
        <w:rPr>
          <w:rFonts w:ascii="Arial" w:eastAsia="Times New Roman" w:hAnsi="Arial" w:cs="Arial"/>
          <w:color w:val="000000"/>
          <w:sz w:val="24"/>
          <w:szCs w:val="24"/>
        </w:rPr>
        <w:t xml:space="preserve">Available at: </w:t>
      </w:r>
      <w:hyperlink r:id="rId11" w:history="1">
        <w:r w:rsidRPr="00682AFA">
          <w:rPr>
            <w:rFonts w:ascii="Arial" w:eastAsia="Times New Roman" w:hAnsi="Arial" w:cs="Arial"/>
            <w:color w:val="1155CC"/>
            <w:sz w:val="24"/>
            <w:szCs w:val="24"/>
            <w:u w:val="single"/>
          </w:rPr>
          <w:t>http://eprints.bournemouth.ac.uk/37853/1/IJCHM%20SMART%20Hospitality_IJCHM_R2_poc%2011%20Sept.pdf</w:t>
        </w:r>
      </w:hyperlink>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color w:val="000000"/>
          <w:sz w:val="24"/>
          <w:szCs w:val="24"/>
        </w:rPr>
        <w:t>(Accessed: 13 October 2024)</w:t>
      </w:r>
    </w:p>
    <w:p w14:paraId="2EC184A1"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Cooper, C. (2021) Essentials of tourism. Third edition. London: SAGE. Available at: </w:t>
      </w:r>
      <w:hyperlink r:id="rId12" w:history="1">
        <w:r w:rsidRPr="00682AFA">
          <w:rPr>
            <w:rFonts w:ascii="Arial" w:eastAsia="Times New Roman" w:hAnsi="Arial" w:cs="Arial"/>
            <w:color w:val="1155CC"/>
            <w:sz w:val="24"/>
            <w:szCs w:val="24"/>
            <w:u w:val="single"/>
          </w:rPr>
          <w:t>http://www.goodfellowpublishers.com/free_files/Preface,%20contents%20and%20copyright-49fb75618a791b44632d1b317a8d7aa8.pdf</w:t>
        </w:r>
      </w:hyperlink>
      <w:r w:rsidRPr="00682AFA">
        <w:rPr>
          <w:rFonts w:ascii="Arial" w:eastAsia="Times New Roman" w:hAnsi="Arial" w:cs="Arial"/>
          <w:color w:val="000000"/>
          <w:sz w:val="24"/>
          <w:szCs w:val="24"/>
        </w:rPr>
        <w:t xml:space="preserve"> (Accessed: 13 October 2024)</w:t>
      </w:r>
    </w:p>
    <w:p w14:paraId="5109EA95"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lastRenderedPageBreak/>
        <w:t xml:space="preserve">Costa, &amp; Costa, C. (2022). Sustainability and competitiveness in the hospitality industry (Costa &amp; C. Costa, Eds.). Business Science Reference. Available at: </w:t>
      </w:r>
      <w:hyperlink r:id="rId13" w:anchor="page=21" w:history="1">
        <w:r w:rsidRPr="00682AFA">
          <w:rPr>
            <w:rFonts w:ascii="Arial" w:eastAsia="Times New Roman" w:hAnsi="Arial" w:cs="Arial"/>
            <w:color w:val="1155CC"/>
            <w:sz w:val="24"/>
            <w:szCs w:val="24"/>
            <w:u w:val="single"/>
          </w:rPr>
          <w:t>https://www.asau.ru/files/pdf/3312733.pdf#page=21</w:t>
        </w:r>
      </w:hyperlink>
      <w:r w:rsidRPr="00682AFA">
        <w:rPr>
          <w:rFonts w:ascii="Arial" w:eastAsia="Times New Roman" w:hAnsi="Arial" w:cs="Arial"/>
          <w:color w:val="000000"/>
          <w:sz w:val="24"/>
          <w:szCs w:val="24"/>
        </w:rPr>
        <w:t xml:space="preserve"> (Accessed: 13 October 2024)</w:t>
      </w:r>
    </w:p>
    <w:p w14:paraId="047924A8"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Edgell. (2020). Managing sustainable tourism : a legacy for the future (Third edition). Routledge. Available at: </w:t>
      </w:r>
      <w:hyperlink r:id="rId14" w:history="1">
        <w:r w:rsidRPr="00682AFA">
          <w:rPr>
            <w:rFonts w:ascii="Arial" w:eastAsia="Times New Roman" w:hAnsi="Arial" w:cs="Arial"/>
            <w:color w:val="1155CC"/>
            <w:sz w:val="24"/>
            <w:szCs w:val="24"/>
            <w:u w:val="single"/>
          </w:rPr>
          <w:t>http://ebooks.znu.edu.ua/files/Bibliobooks/Inshi68/0049773.pdf</w:t>
        </w:r>
      </w:hyperlink>
      <w:r w:rsidRPr="00682AFA">
        <w:rPr>
          <w:rFonts w:ascii="Arial" w:eastAsia="Times New Roman" w:hAnsi="Arial" w:cs="Arial"/>
          <w:color w:val="000000"/>
          <w:sz w:val="24"/>
          <w:szCs w:val="24"/>
        </w:rPr>
        <w:t xml:space="preserve"> (Accessed: 13 October 2024)</w:t>
      </w:r>
    </w:p>
    <w:p w14:paraId="3680024B"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Fallah Shayan, N., </w:t>
      </w:r>
      <w:proofErr w:type="spellStart"/>
      <w:r w:rsidRPr="00682AFA">
        <w:rPr>
          <w:rFonts w:ascii="Arial" w:eastAsia="Times New Roman" w:hAnsi="Arial" w:cs="Arial"/>
          <w:color w:val="222222"/>
          <w:sz w:val="24"/>
          <w:szCs w:val="24"/>
          <w:shd w:val="clear" w:color="auto" w:fill="FFFFFF"/>
        </w:rPr>
        <w:t>Mohabbati-Kalejahi</w:t>
      </w:r>
      <w:proofErr w:type="spellEnd"/>
      <w:r w:rsidRPr="00682AFA">
        <w:rPr>
          <w:rFonts w:ascii="Arial" w:eastAsia="Times New Roman" w:hAnsi="Arial" w:cs="Arial"/>
          <w:color w:val="222222"/>
          <w:sz w:val="24"/>
          <w:szCs w:val="24"/>
          <w:shd w:val="clear" w:color="auto" w:fill="FFFFFF"/>
        </w:rPr>
        <w:t xml:space="preserve">, N., Alavi, S. and Zahed, M.A., 2022. Sustainable development goals (SDGs) as a framework for corporate social responsibility (CSR). </w:t>
      </w:r>
      <w:r w:rsidRPr="00682AFA">
        <w:rPr>
          <w:rFonts w:ascii="Arial" w:eastAsia="Times New Roman" w:hAnsi="Arial" w:cs="Arial"/>
          <w:i/>
          <w:iCs/>
          <w:color w:val="222222"/>
          <w:sz w:val="24"/>
          <w:szCs w:val="24"/>
          <w:shd w:val="clear" w:color="auto" w:fill="FFFFFF"/>
        </w:rPr>
        <w:t>Sustainability</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14</w:t>
      </w:r>
      <w:r w:rsidRPr="00682AFA">
        <w:rPr>
          <w:rFonts w:ascii="Arial" w:eastAsia="Times New Roman" w:hAnsi="Arial" w:cs="Arial"/>
          <w:color w:val="222222"/>
          <w:sz w:val="24"/>
          <w:szCs w:val="24"/>
          <w:shd w:val="clear" w:color="auto" w:fill="FFFFFF"/>
        </w:rPr>
        <w:t xml:space="preserve">(3), p.1222. </w:t>
      </w:r>
      <w:r w:rsidRPr="00682AFA">
        <w:rPr>
          <w:rFonts w:ascii="Arial" w:eastAsia="Times New Roman" w:hAnsi="Arial" w:cs="Arial"/>
          <w:color w:val="000000"/>
          <w:sz w:val="24"/>
          <w:szCs w:val="24"/>
        </w:rPr>
        <w:t xml:space="preserve">Available at: </w:t>
      </w:r>
      <w:hyperlink r:id="rId15" w:history="1">
        <w:r w:rsidRPr="00682AFA">
          <w:rPr>
            <w:rFonts w:ascii="Arial" w:eastAsia="Times New Roman" w:hAnsi="Arial" w:cs="Arial"/>
            <w:color w:val="1155CC"/>
            <w:sz w:val="24"/>
            <w:szCs w:val="24"/>
            <w:u w:val="single"/>
          </w:rPr>
          <w:t>https://www.mdpi.com/2071-1050/14/3/1222</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67E4D91A"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Ghani, B., Zada, M., Memon, K.R., Ullah, R., Khattak, A., Han, H., Ariza-Montes, A. and Araya-Castillo, L., 2022. Challenges and strategies for employee retention in the hospitality industry: A review. </w:t>
      </w:r>
      <w:r w:rsidRPr="00682AFA">
        <w:rPr>
          <w:rFonts w:ascii="Arial" w:eastAsia="Times New Roman" w:hAnsi="Arial" w:cs="Arial"/>
          <w:i/>
          <w:iCs/>
          <w:color w:val="222222"/>
          <w:sz w:val="24"/>
          <w:szCs w:val="24"/>
          <w:shd w:val="clear" w:color="auto" w:fill="FFFFFF"/>
        </w:rPr>
        <w:t>Sustainability</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14</w:t>
      </w:r>
      <w:r w:rsidRPr="00682AFA">
        <w:rPr>
          <w:rFonts w:ascii="Arial" w:eastAsia="Times New Roman" w:hAnsi="Arial" w:cs="Arial"/>
          <w:color w:val="222222"/>
          <w:sz w:val="24"/>
          <w:szCs w:val="24"/>
          <w:shd w:val="clear" w:color="auto" w:fill="FFFFFF"/>
        </w:rPr>
        <w:t xml:space="preserve">(5), p.2885. </w:t>
      </w:r>
      <w:r w:rsidRPr="00682AFA">
        <w:rPr>
          <w:rFonts w:ascii="Arial" w:eastAsia="Times New Roman" w:hAnsi="Arial" w:cs="Arial"/>
          <w:color w:val="000000"/>
          <w:sz w:val="24"/>
          <w:szCs w:val="24"/>
        </w:rPr>
        <w:t xml:space="preserve">Available at: </w:t>
      </w:r>
      <w:hyperlink r:id="rId16" w:history="1">
        <w:r w:rsidRPr="00682AFA">
          <w:rPr>
            <w:rFonts w:ascii="Arial" w:eastAsia="Times New Roman" w:hAnsi="Arial" w:cs="Arial"/>
            <w:color w:val="1155CC"/>
            <w:sz w:val="24"/>
            <w:szCs w:val="24"/>
            <w:u w:val="single"/>
          </w:rPr>
          <w:t>https://www.mdpi.com/2071-1050/14/5/2885</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51699CD3"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000000"/>
          <w:sz w:val="24"/>
          <w:szCs w:val="24"/>
        </w:rPr>
        <w:t>Haski-Leventhal</w:t>
      </w:r>
      <w:proofErr w:type="spellEnd"/>
      <w:r w:rsidRPr="00682AFA">
        <w:rPr>
          <w:rFonts w:ascii="Arial" w:eastAsia="Times New Roman" w:hAnsi="Arial" w:cs="Arial"/>
          <w:color w:val="000000"/>
          <w:sz w:val="24"/>
          <w:szCs w:val="24"/>
        </w:rPr>
        <w:t xml:space="preserve">, D. (2018) Strategic corporate social responsibility : tools &amp; theories for responsible management. London: SAGE. Available at: </w:t>
      </w:r>
      <w:hyperlink r:id="rId17" w:history="1">
        <w:r w:rsidRPr="00682AFA">
          <w:rPr>
            <w:rFonts w:ascii="Arial" w:eastAsia="Times New Roman" w:hAnsi="Arial" w:cs="Arial"/>
            <w:color w:val="1155CC"/>
            <w:sz w:val="24"/>
            <w:szCs w:val="24"/>
            <w:u w:val="single"/>
          </w:rPr>
          <w:t>https://books.google.com/books?hl=en&amp;lr=&amp;id=BTlODwAAQBAJ&amp;oi=fnd&amp;pg=PP1&amp;dq=Haski-Leventhal,+D.+(2018)+Strategic+corporate+social+responsibility+:+tools+%26+theories+for+responsible+management.+London:+SAGE.&amp;ots=2cEZ9ND5rP&amp;sig=9CwV1Pd-Egu-vhUC8bXRbtHTusg</w:t>
        </w:r>
      </w:hyperlink>
      <w:r w:rsidRPr="00682AFA">
        <w:rPr>
          <w:rFonts w:ascii="Arial" w:eastAsia="Times New Roman" w:hAnsi="Arial" w:cs="Arial"/>
          <w:color w:val="000000"/>
          <w:sz w:val="24"/>
          <w:szCs w:val="24"/>
        </w:rPr>
        <w:t xml:space="preserve"> (Accessed: 13 October 2024)</w:t>
      </w:r>
    </w:p>
    <w:p w14:paraId="5BB2377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Hayat, A. and Afshari, L., 2022. CSR and employee well-being in hospitality industry: A mediation model of job satisfaction and affective commitment. </w:t>
      </w:r>
      <w:r w:rsidRPr="00682AFA">
        <w:rPr>
          <w:rFonts w:ascii="Arial" w:eastAsia="Times New Roman" w:hAnsi="Arial" w:cs="Arial"/>
          <w:i/>
          <w:iCs/>
          <w:color w:val="222222"/>
          <w:sz w:val="24"/>
          <w:szCs w:val="24"/>
          <w:shd w:val="clear" w:color="auto" w:fill="FFFFFF"/>
        </w:rPr>
        <w:t>Journal of Hospitality and Tourism Management</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51</w:t>
      </w:r>
      <w:r w:rsidRPr="00682AFA">
        <w:rPr>
          <w:rFonts w:ascii="Arial" w:eastAsia="Times New Roman" w:hAnsi="Arial" w:cs="Arial"/>
          <w:color w:val="222222"/>
          <w:sz w:val="24"/>
          <w:szCs w:val="24"/>
          <w:shd w:val="clear" w:color="auto" w:fill="FFFFFF"/>
        </w:rPr>
        <w:t xml:space="preserve">, pp.387-396. </w:t>
      </w:r>
      <w:r w:rsidRPr="00682AFA">
        <w:rPr>
          <w:rFonts w:ascii="Arial" w:eastAsia="Times New Roman" w:hAnsi="Arial" w:cs="Arial"/>
          <w:color w:val="000000"/>
          <w:sz w:val="24"/>
          <w:szCs w:val="24"/>
        </w:rPr>
        <w:t xml:space="preserve">Available at: </w:t>
      </w:r>
      <w:hyperlink r:id="rId18" w:history="1">
        <w:r w:rsidRPr="00682AFA">
          <w:rPr>
            <w:rFonts w:ascii="Arial" w:eastAsia="Times New Roman" w:hAnsi="Arial" w:cs="Arial"/>
            <w:color w:val="1155CC"/>
            <w:sz w:val="24"/>
            <w:szCs w:val="24"/>
            <w:u w:val="single"/>
          </w:rPr>
          <w:t>https://www.researchgate.net/profile/Aamir-Hayat/publication/360217242_CSR_and_employee_well-being_in_hospitality_industry_A_mediation_model_of_job_satisfaction_and_affective_commitment/links/642e0648ad9b6d17dc3997e2/CSR-and-employee-well-being-in-hospitality-industry-A-mediation-model-of-job-satisfaction-and-affective-commitment.pdf</w:t>
        </w:r>
      </w:hyperlink>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color w:val="000000"/>
          <w:sz w:val="24"/>
          <w:szCs w:val="24"/>
        </w:rPr>
        <w:t>(Accessed: 13 October 2024)</w:t>
      </w:r>
    </w:p>
    <w:p w14:paraId="5F0606B9"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222222"/>
          <w:sz w:val="24"/>
          <w:szCs w:val="24"/>
          <w:shd w:val="clear" w:color="auto" w:fill="FFFFFF"/>
        </w:rPr>
        <w:lastRenderedPageBreak/>
        <w:t>Iddawala</w:t>
      </w:r>
      <w:proofErr w:type="spellEnd"/>
      <w:r w:rsidRPr="00682AFA">
        <w:rPr>
          <w:rFonts w:ascii="Arial" w:eastAsia="Times New Roman" w:hAnsi="Arial" w:cs="Arial"/>
          <w:color w:val="222222"/>
          <w:sz w:val="24"/>
          <w:szCs w:val="24"/>
          <w:shd w:val="clear" w:color="auto" w:fill="FFFFFF"/>
        </w:rPr>
        <w:t xml:space="preserve">, J., </w:t>
      </w:r>
      <w:proofErr w:type="spellStart"/>
      <w:r w:rsidRPr="00682AFA">
        <w:rPr>
          <w:rFonts w:ascii="Arial" w:eastAsia="Times New Roman" w:hAnsi="Arial" w:cs="Arial"/>
          <w:color w:val="222222"/>
          <w:sz w:val="24"/>
          <w:szCs w:val="24"/>
          <w:shd w:val="clear" w:color="auto" w:fill="FFFFFF"/>
        </w:rPr>
        <w:t>Welengoda</w:t>
      </w:r>
      <w:proofErr w:type="spellEnd"/>
      <w:r w:rsidRPr="00682AFA">
        <w:rPr>
          <w:rFonts w:ascii="Arial" w:eastAsia="Times New Roman" w:hAnsi="Arial" w:cs="Arial"/>
          <w:color w:val="222222"/>
          <w:sz w:val="24"/>
          <w:szCs w:val="24"/>
          <w:shd w:val="clear" w:color="auto" w:fill="FFFFFF"/>
        </w:rPr>
        <w:t xml:space="preserve">, B.M. and </w:t>
      </w:r>
      <w:proofErr w:type="spellStart"/>
      <w:r w:rsidRPr="00682AFA">
        <w:rPr>
          <w:rFonts w:ascii="Arial" w:eastAsia="Times New Roman" w:hAnsi="Arial" w:cs="Arial"/>
          <w:color w:val="222222"/>
          <w:sz w:val="24"/>
          <w:szCs w:val="24"/>
          <w:shd w:val="clear" w:color="auto" w:fill="FFFFFF"/>
        </w:rPr>
        <w:t>Rathnayaka</w:t>
      </w:r>
      <w:proofErr w:type="spellEnd"/>
      <w:r w:rsidRPr="00682AFA">
        <w:rPr>
          <w:rFonts w:ascii="Arial" w:eastAsia="Times New Roman" w:hAnsi="Arial" w:cs="Arial"/>
          <w:color w:val="222222"/>
          <w:sz w:val="24"/>
          <w:szCs w:val="24"/>
          <w:shd w:val="clear" w:color="auto" w:fill="FFFFFF"/>
        </w:rPr>
        <w:t xml:space="preserve">, B.T., 2024. Sustainability practices, sustainable development goals and the hospitality sector: perspectives from Sri Lankan chain hotels. </w:t>
      </w:r>
      <w:r w:rsidRPr="00682AFA">
        <w:rPr>
          <w:rFonts w:ascii="Arial" w:eastAsia="Times New Roman" w:hAnsi="Arial" w:cs="Arial"/>
          <w:i/>
          <w:iCs/>
          <w:color w:val="222222"/>
          <w:sz w:val="24"/>
          <w:szCs w:val="24"/>
          <w:shd w:val="clear" w:color="auto" w:fill="FFFFFF"/>
        </w:rPr>
        <w:t>Research in Hospitality Management</w:t>
      </w:r>
      <w:r w:rsidRPr="00682AFA">
        <w:rPr>
          <w:rFonts w:ascii="Arial" w:eastAsia="Times New Roman" w:hAnsi="Arial" w:cs="Arial"/>
          <w:color w:val="222222"/>
          <w:sz w:val="24"/>
          <w:szCs w:val="24"/>
          <w:shd w:val="clear" w:color="auto" w:fill="FFFFFF"/>
        </w:rPr>
        <w:t xml:space="preserve">, pp.1-12. </w:t>
      </w:r>
      <w:r w:rsidRPr="00682AFA">
        <w:rPr>
          <w:rFonts w:ascii="Arial" w:eastAsia="Times New Roman" w:hAnsi="Arial" w:cs="Arial"/>
          <w:color w:val="000000"/>
          <w:sz w:val="24"/>
          <w:szCs w:val="24"/>
        </w:rPr>
        <w:t xml:space="preserve">Available at: </w:t>
      </w:r>
      <w:hyperlink r:id="rId19" w:history="1">
        <w:r w:rsidRPr="00682AFA">
          <w:rPr>
            <w:rFonts w:ascii="Arial" w:eastAsia="Times New Roman" w:hAnsi="Arial" w:cs="Arial"/>
            <w:color w:val="1155CC"/>
            <w:sz w:val="24"/>
            <w:szCs w:val="24"/>
            <w:u w:val="single"/>
          </w:rPr>
          <w:t>https://www.tandfonline.com/doi/pdf/10.1080/22243534.2024.2393437</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053CE025"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000000"/>
          <w:sz w:val="24"/>
          <w:szCs w:val="24"/>
        </w:rPr>
        <w:t>Inkson</w:t>
      </w:r>
      <w:proofErr w:type="spellEnd"/>
      <w:r w:rsidRPr="00682AFA">
        <w:rPr>
          <w:rFonts w:ascii="Arial" w:eastAsia="Times New Roman" w:hAnsi="Arial" w:cs="Arial"/>
          <w:color w:val="000000"/>
          <w:sz w:val="24"/>
          <w:szCs w:val="24"/>
        </w:rPr>
        <w:t xml:space="preserve">, C. and Minnaert, L. (2018) Tourism management : an introduction. 2nd ed. London: SAGE. Available at: </w:t>
      </w:r>
      <w:hyperlink r:id="rId20" w:history="1">
        <w:r w:rsidRPr="00682AFA">
          <w:rPr>
            <w:rFonts w:ascii="Arial" w:eastAsia="Times New Roman" w:hAnsi="Arial" w:cs="Arial"/>
            <w:color w:val="1155CC"/>
            <w:sz w:val="24"/>
            <w:szCs w:val="24"/>
            <w:u w:val="single"/>
          </w:rPr>
          <w:t>https://books.google.com/books?hl=en&amp;lr=&amp;id=TXJnEAAAQBAJ&amp;oi=fnd&amp;pg=PP1&amp;dq=Inkson,+C.+and+Minnaert,+L.+(2018)+Tourism+management+:+an++introduction.+2nd+ed.+London:+SAGE.&amp;ots=hPhwCADN9N&amp;sig=WxKXlIeBdE8QfIuzk3nG7UMgMs4</w:t>
        </w:r>
      </w:hyperlink>
      <w:r w:rsidRPr="00682AFA">
        <w:rPr>
          <w:rFonts w:ascii="Arial" w:eastAsia="Times New Roman" w:hAnsi="Arial" w:cs="Arial"/>
          <w:color w:val="000000"/>
          <w:sz w:val="24"/>
          <w:szCs w:val="24"/>
        </w:rPr>
        <w:t xml:space="preserve"> (Accessed: 13 October 2024)</w:t>
      </w:r>
    </w:p>
    <w:p w14:paraId="0B6FA55D"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Jauhari, V (2021) ‘Managing Sustainability in the Hospitality and Tourism Industry: Paradigms and Directions for the Future’ 9th </w:t>
      </w:r>
      <w:proofErr w:type="spellStart"/>
      <w:r w:rsidRPr="00682AFA">
        <w:rPr>
          <w:rFonts w:ascii="Arial" w:eastAsia="Times New Roman" w:hAnsi="Arial" w:cs="Arial"/>
          <w:color w:val="000000"/>
          <w:sz w:val="24"/>
          <w:szCs w:val="24"/>
        </w:rPr>
        <w:t>edn.Oakville</w:t>
      </w:r>
      <w:proofErr w:type="spellEnd"/>
      <w:r w:rsidRPr="00682AFA">
        <w:rPr>
          <w:rFonts w:ascii="Arial" w:eastAsia="Times New Roman" w:hAnsi="Arial" w:cs="Arial"/>
          <w:color w:val="000000"/>
          <w:sz w:val="24"/>
          <w:szCs w:val="24"/>
        </w:rPr>
        <w:t xml:space="preserve">: Apple Academic Press. Inc. Available at: </w:t>
      </w:r>
      <w:hyperlink r:id="rId21" w:history="1">
        <w:r w:rsidRPr="00682AFA">
          <w:rPr>
            <w:rFonts w:ascii="Arial" w:eastAsia="Times New Roman" w:hAnsi="Arial" w:cs="Arial"/>
            <w:color w:val="1155CC"/>
            <w:sz w:val="24"/>
            <w:szCs w:val="24"/>
            <w:u w:val="single"/>
          </w:rPr>
          <w:t>https://www.researchgate.net/profile/Larry-Dwyer/publication/317605524_Saluting_while_the_ship_sinks_the_necessity_for_tourism_paradigm_change/links/6538626e73a2865c7ad0f92e/Saluting-while-the-ship-sinks-the-necessity-for-tourism-paradigm-change.pdf</w:t>
        </w:r>
      </w:hyperlink>
      <w:r w:rsidRPr="00682AFA">
        <w:rPr>
          <w:rFonts w:ascii="Arial" w:eastAsia="Times New Roman" w:hAnsi="Arial" w:cs="Arial"/>
          <w:color w:val="000000"/>
          <w:sz w:val="24"/>
          <w:szCs w:val="24"/>
        </w:rPr>
        <w:t xml:space="preserve"> (Accessed: 13 October 2024)</w:t>
      </w:r>
    </w:p>
    <w:p w14:paraId="5527A3EC"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Kaur, P., Talwar, S., </w:t>
      </w:r>
      <w:proofErr w:type="spellStart"/>
      <w:r w:rsidRPr="00682AFA">
        <w:rPr>
          <w:rFonts w:ascii="Arial" w:eastAsia="Times New Roman" w:hAnsi="Arial" w:cs="Arial"/>
          <w:color w:val="222222"/>
          <w:sz w:val="24"/>
          <w:szCs w:val="24"/>
          <w:shd w:val="clear" w:color="auto" w:fill="FFFFFF"/>
        </w:rPr>
        <w:t>Madanaguli</w:t>
      </w:r>
      <w:proofErr w:type="spellEnd"/>
      <w:r w:rsidRPr="00682AFA">
        <w:rPr>
          <w:rFonts w:ascii="Arial" w:eastAsia="Times New Roman" w:hAnsi="Arial" w:cs="Arial"/>
          <w:color w:val="222222"/>
          <w:sz w:val="24"/>
          <w:szCs w:val="24"/>
          <w:shd w:val="clear" w:color="auto" w:fill="FFFFFF"/>
        </w:rPr>
        <w:t xml:space="preserve">, A., Srivastava, S. and Dhir, A., 2022. Corporate social responsibility (CSR) and hospitality sector: Charting new frontiers for restaurant businesses. </w:t>
      </w:r>
      <w:r w:rsidRPr="00682AFA">
        <w:rPr>
          <w:rFonts w:ascii="Arial" w:eastAsia="Times New Roman" w:hAnsi="Arial" w:cs="Arial"/>
          <w:i/>
          <w:iCs/>
          <w:color w:val="222222"/>
          <w:sz w:val="24"/>
          <w:szCs w:val="24"/>
          <w:shd w:val="clear" w:color="auto" w:fill="FFFFFF"/>
        </w:rPr>
        <w:t>Journal of Business Research</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144</w:t>
      </w:r>
      <w:r w:rsidRPr="00682AFA">
        <w:rPr>
          <w:rFonts w:ascii="Arial" w:eastAsia="Times New Roman" w:hAnsi="Arial" w:cs="Arial"/>
          <w:color w:val="222222"/>
          <w:sz w:val="24"/>
          <w:szCs w:val="24"/>
          <w:shd w:val="clear" w:color="auto" w:fill="FFFFFF"/>
        </w:rPr>
        <w:t xml:space="preserve">, pp.1234-1248. </w:t>
      </w:r>
      <w:r w:rsidRPr="00682AFA">
        <w:rPr>
          <w:rFonts w:ascii="Arial" w:eastAsia="Times New Roman" w:hAnsi="Arial" w:cs="Arial"/>
          <w:color w:val="000000"/>
          <w:sz w:val="24"/>
          <w:szCs w:val="24"/>
        </w:rPr>
        <w:t xml:space="preserve">Available at: </w:t>
      </w:r>
      <w:hyperlink r:id="rId22" w:history="1">
        <w:r w:rsidRPr="00682AFA">
          <w:rPr>
            <w:rFonts w:ascii="Arial" w:eastAsia="Times New Roman" w:hAnsi="Arial" w:cs="Arial"/>
            <w:color w:val="1155CC"/>
            <w:sz w:val="24"/>
            <w:szCs w:val="24"/>
            <w:u w:val="single"/>
          </w:rPr>
          <w:t>https://www.sciencedirect.com/science/article/pii/S0148296322000790</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6CC864FB"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222222"/>
          <w:sz w:val="24"/>
          <w:szCs w:val="24"/>
          <w:shd w:val="clear" w:color="auto" w:fill="FFFFFF"/>
        </w:rPr>
        <w:t xml:space="preserve">Khan, R.U., </w:t>
      </w:r>
      <w:proofErr w:type="spellStart"/>
      <w:r w:rsidRPr="00682AFA">
        <w:rPr>
          <w:rFonts w:ascii="Arial" w:eastAsia="Times New Roman" w:hAnsi="Arial" w:cs="Arial"/>
          <w:color w:val="222222"/>
          <w:sz w:val="24"/>
          <w:szCs w:val="24"/>
          <w:shd w:val="clear" w:color="auto" w:fill="FFFFFF"/>
        </w:rPr>
        <w:t>Salamzadeh</w:t>
      </w:r>
      <w:proofErr w:type="spellEnd"/>
      <w:r w:rsidRPr="00682AFA">
        <w:rPr>
          <w:rFonts w:ascii="Arial" w:eastAsia="Times New Roman" w:hAnsi="Arial" w:cs="Arial"/>
          <w:color w:val="222222"/>
          <w:sz w:val="24"/>
          <w:szCs w:val="24"/>
          <w:shd w:val="clear" w:color="auto" w:fill="FFFFFF"/>
        </w:rPr>
        <w:t xml:space="preserve">, Y., Iqbal, Q. and Yang, S., 2022. The impact of customer relationship management and company reputation on customer loyalty: The mediating role of customer satisfaction. </w:t>
      </w:r>
      <w:r w:rsidRPr="00682AFA">
        <w:rPr>
          <w:rFonts w:ascii="Arial" w:eastAsia="Times New Roman" w:hAnsi="Arial" w:cs="Arial"/>
          <w:i/>
          <w:iCs/>
          <w:color w:val="222222"/>
          <w:sz w:val="24"/>
          <w:szCs w:val="24"/>
          <w:shd w:val="clear" w:color="auto" w:fill="FFFFFF"/>
        </w:rPr>
        <w:t>Journal of Relationship Marketing</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21</w:t>
      </w:r>
      <w:r w:rsidRPr="00682AFA">
        <w:rPr>
          <w:rFonts w:ascii="Arial" w:eastAsia="Times New Roman" w:hAnsi="Arial" w:cs="Arial"/>
          <w:color w:val="222222"/>
          <w:sz w:val="24"/>
          <w:szCs w:val="24"/>
          <w:shd w:val="clear" w:color="auto" w:fill="FFFFFF"/>
        </w:rPr>
        <w:t xml:space="preserve">(1), pp.1-26. </w:t>
      </w:r>
      <w:r w:rsidRPr="00682AFA">
        <w:rPr>
          <w:rFonts w:ascii="Arial" w:eastAsia="Times New Roman" w:hAnsi="Arial" w:cs="Arial"/>
          <w:color w:val="000000"/>
          <w:sz w:val="24"/>
          <w:szCs w:val="24"/>
        </w:rPr>
        <w:t xml:space="preserve">Available at: </w:t>
      </w:r>
      <w:hyperlink r:id="rId23" w:history="1">
        <w:r w:rsidRPr="00682AFA">
          <w:rPr>
            <w:rFonts w:ascii="Arial" w:eastAsia="Times New Roman" w:hAnsi="Arial" w:cs="Arial"/>
            <w:color w:val="1155CC"/>
            <w:sz w:val="24"/>
            <w:szCs w:val="24"/>
            <w:u w:val="single"/>
          </w:rPr>
          <w: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w:t>
        </w:r>
      </w:hyperlink>
      <w:r w:rsidRPr="00682AFA">
        <w:rPr>
          <w:rFonts w:ascii="Arial" w:eastAsia="Times New Roman" w:hAnsi="Arial" w:cs="Arial"/>
          <w:color w:val="222222"/>
          <w:sz w:val="20"/>
          <w:szCs w:val="20"/>
          <w:shd w:val="clear" w:color="auto" w:fill="FFFFFF"/>
        </w:rPr>
        <w:t xml:space="preserve"> </w:t>
      </w:r>
      <w:r w:rsidRPr="00682AFA">
        <w:rPr>
          <w:rFonts w:ascii="Arial" w:eastAsia="Times New Roman" w:hAnsi="Arial" w:cs="Arial"/>
          <w:color w:val="000000"/>
          <w:sz w:val="24"/>
          <w:szCs w:val="24"/>
        </w:rPr>
        <w:t>(Accessed: 13 October 2024)</w:t>
      </w:r>
    </w:p>
    <w:p w14:paraId="5ED6DFA0"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000000"/>
          <w:sz w:val="24"/>
          <w:szCs w:val="24"/>
        </w:rPr>
        <w:lastRenderedPageBreak/>
        <w:t>Korstanje</w:t>
      </w:r>
      <w:proofErr w:type="spellEnd"/>
      <w:r w:rsidRPr="00682AFA">
        <w:rPr>
          <w:rFonts w:ascii="Arial" w:eastAsia="Times New Roman" w:hAnsi="Arial" w:cs="Arial"/>
          <w:color w:val="000000"/>
          <w:sz w:val="24"/>
          <w:szCs w:val="24"/>
        </w:rPr>
        <w:t xml:space="preserve">, George, B., &amp; Nedelea, A. (2020). Strategies for promoting sustainable hospitality and tourism services. IGI Global. Available at: </w:t>
      </w:r>
      <w:hyperlink r:id="rId24" w:history="1">
        <w:r w:rsidRPr="00682AFA">
          <w:rPr>
            <w:rFonts w:ascii="Arial" w:eastAsia="Times New Roman" w:hAnsi="Arial" w:cs="Arial"/>
            <w:color w:val="1155CC"/>
            <w:sz w:val="24"/>
            <w:szCs w:val="24"/>
            <w:u w:val="single"/>
          </w:rPr>
          <w:t>https://www.researchgate.net/profile/Ashaq-Najar/publication/342459730_Regional_Food_as_the_Catalyst_for_Cultural_Tourism_in_India/links/618624a0d7d1af224bb9b6b8/Regional-Food-as-the-Catalyst-for-Cultural-Tourism-in-India.pdf</w:t>
        </w:r>
      </w:hyperlink>
      <w:r w:rsidRPr="00682AFA">
        <w:rPr>
          <w:rFonts w:ascii="Arial" w:eastAsia="Times New Roman" w:hAnsi="Arial" w:cs="Arial"/>
          <w:color w:val="000000"/>
          <w:sz w:val="24"/>
          <w:szCs w:val="24"/>
        </w:rPr>
        <w:t xml:space="preserve"> (Accessed: 13 October 2024)</w:t>
      </w:r>
    </w:p>
    <w:p w14:paraId="744DF36F"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Management Association. (2018). Sustainable Tourism. IGI Global. Available at: </w:t>
      </w:r>
      <w:hyperlink r:id="rId25" w:history="1">
        <w:r w:rsidRPr="00682AFA">
          <w:rPr>
            <w:rFonts w:ascii="Arial" w:eastAsia="Times New Roman" w:hAnsi="Arial" w:cs="Arial"/>
            <w:color w:val="1155CC"/>
            <w:sz w:val="24"/>
            <w:szCs w:val="24"/>
            <w:u w:val="single"/>
          </w:rPr>
          <w:t>https://www.academia.edu/download/91351336/15980634.2018.155131220220921-1-doiddu.pdf</w:t>
        </w:r>
      </w:hyperlink>
      <w:r w:rsidRPr="00682AFA">
        <w:rPr>
          <w:rFonts w:ascii="Arial" w:eastAsia="Times New Roman" w:hAnsi="Arial" w:cs="Arial"/>
          <w:color w:val="000000"/>
          <w:sz w:val="24"/>
          <w:szCs w:val="24"/>
        </w:rPr>
        <w:t xml:space="preserve"> (Accessed: 13 October 2024)</w:t>
      </w:r>
    </w:p>
    <w:p w14:paraId="6D80E242"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proofErr w:type="spellStart"/>
      <w:r w:rsidRPr="00682AFA">
        <w:rPr>
          <w:rFonts w:ascii="Arial" w:eastAsia="Times New Roman" w:hAnsi="Arial" w:cs="Arial"/>
          <w:color w:val="222222"/>
          <w:sz w:val="24"/>
          <w:szCs w:val="24"/>
          <w:shd w:val="clear" w:color="auto" w:fill="FFFFFF"/>
        </w:rPr>
        <w:t>Moyeen</w:t>
      </w:r>
      <w:proofErr w:type="spellEnd"/>
      <w:r w:rsidRPr="00682AFA">
        <w:rPr>
          <w:rFonts w:ascii="Arial" w:eastAsia="Times New Roman" w:hAnsi="Arial" w:cs="Arial"/>
          <w:color w:val="222222"/>
          <w:sz w:val="24"/>
          <w:szCs w:val="24"/>
          <w:shd w:val="clear" w:color="auto" w:fill="FFFFFF"/>
        </w:rPr>
        <w:t xml:space="preserve">, A. and Mehjabeen, M., 2024. CSR research in the hotel industry: how it relates to promoting the SDGs. </w:t>
      </w:r>
      <w:r w:rsidRPr="00682AFA">
        <w:rPr>
          <w:rFonts w:ascii="Arial" w:eastAsia="Times New Roman" w:hAnsi="Arial" w:cs="Arial"/>
          <w:i/>
          <w:iCs/>
          <w:color w:val="222222"/>
          <w:sz w:val="24"/>
          <w:szCs w:val="24"/>
          <w:shd w:val="clear" w:color="auto" w:fill="FFFFFF"/>
        </w:rPr>
        <w:t>Social Responsibility Journal</w:t>
      </w:r>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i/>
          <w:iCs/>
          <w:color w:val="222222"/>
          <w:sz w:val="24"/>
          <w:szCs w:val="24"/>
          <w:shd w:val="clear" w:color="auto" w:fill="FFFFFF"/>
        </w:rPr>
        <w:t>20</w:t>
      </w:r>
      <w:r w:rsidRPr="00682AFA">
        <w:rPr>
          <w:rFonts w:ascii="Arial" w:eastAsia="Times New Roman" w:hAnsi="Arial" w:cs="Arial"/>
          <w:color w:val="222222"/>
          <w:sz w:val="24"/>
          <w:szCs w:val="24"/>
          <w:shd w:val="clear" w:color="auto" w:fill="FFFFFF"/>
        </w:rPr>
        <w:t xml:space="preserve">(9), pp.1770-1786. </w:t>
      </w:r>
      <w:r w:rsidRPr="00682AFA">
        <w:rPr>
          <w:rFonts w:ascii="Arial" w:eastAsia="Times New Roman" w:hAnsi="Arial" w:cs="Arial"/>
          <w:color w:val="000000"/>
          <w:sz w:val="24"/>
          <w:szCs w:val="24"/>
        </w:rPr>
        <w:t xml:space="preserve">Available at: </w:t>
      </w:r>
      <w:hyperlink r:id="rId26" w:history="1">
        <w:r w:rsidRPr="00682AFA">
          <w:rPr>
            <w:rFonts w:ascii="Arial" w:eastAsia="Times New Roman" w:hAnsi="Arial" w:cs="Arial"/>
            <w:color w:val="1155CC"/>
            <w:sz w:val="24"/>
            <w:szCs w:val="24"/>
            <w:u w:val="single"/>
          </w:rPr>
          <w:t>https://www.researchgate.net/profile/Melita-Mehjabeen-2/publication/381916518_CSR_research_in_the_hotel_industry_how_it_relates_to_promoting_the_SDGs/links/668c0c16c1cf0d77ffc368ed/CSR-research-in-the-hotel-industry-how-it-relates-to-promoting-the-SDGs.pdf</w:t>
        </w:r>
      </w:hyperlink>
      <w:r w:rsidRPr="00682AFA">
        <w:rPr>
          <w:rFonts w:ascii="Arial" w:eastAsia="Times New Roman" w:hAnsi="Arial" w:cs="Arial"/>
          <w:color w:val="222222"/>
          <w:sz w:val="24"/>
          <w:szCs w:val="24"/>
          <w:shd w:val="clear" w:color="auto" w:fill="FFFFFF"/>
        </w:rPr>
        <w:t xml:space="preserve"> </w:t>
      </w:r>
      <w:r w:rsidRPr="00682AFA">
        <w:rPr>
          <w:rFonts w:ascii="Arial" w:eastAsia="Times New Roman" w:hAnsi="Arial" w:cs="Arial"/>
          <w:color w:val="000000"/>
          <w:sz w:val="24"/>
          <w:szCs w:val="24"/>
        </w:rPr>
        <w:t>(Accessed: 13 October 2024)</w:t>
      </w:r>
    </w:p>
    <w:p w14:paraId="0474DE6A"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New governance and management in touristic destinations. (2022). IGI Global. Available at: </w:t>
      </w:r>
      <w:hyperlink r:id="rId27" w:history="1">
        <w:r w:rsidRPr="00682AFA">
          <w:rPr>
            <w:rFonts w:ascii="Arial" w:eastAsia="Times New Roman" w:hAnsi="Arial" w:cs="Arial"/>
            <w:color w:val="1155CC"/>
            <w:sz w:val="24"/>
            <w:szCs w:val="24"/>
            <w:u w:val="single"/>
          </w:rPr>
          <w:t>https://link.springer.com/chapter/10.1007/978-3-031-25752-0_21</w:t>
        </w:r>
      </w:hyperlink>
      <w:r w:rsidRPr="00682AFA">
        <w:rPr>
          <w:rFonts w:ascii="Arial" w:eastAsia="Times New Roman" w:hAnsi="Arial" w:cs="Arial"/>
          <w:color w:val="000000"/>
          <w:sz w:val="24"/>
          <w:szCs w:val="24"/>
        </w:rPr>
        <w:t xml:space="preserve"> (Accessed: 13 October 2024)</w:t>
      </w:r>
    </w:p>
    <w:p w14:paraId="1285334C"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Sloan, P., Legrand, W. and Chen, J.S. (2017) Sustainability in the hospitality industry : principles of sustainable operations. 3rd </w:t>
      </w:r>
      <w:proofErr w:type="spellStart"/>
      <w:r w:rsidRPr="00682AFA">
        <w:rPr>
          <w:rFonts w:ascii="Arial" w:eastAsia="Times New Roman" w:hAnsi="Arial" w:cs="Arial"/>
          <w:color w:val="000000"/>
          <w:sz w:val="24"/>
          <w:szCs w:val="24"/>
        </w:rPr>
        <w:t>edn</w:t>
      </w:r>
      <w:proofErr w:type="spellEnd"/>
      <w:r w:rsidRPr="00682AFA">
        <w:rPr>
          <w:rFonts w:ascii="Arial" w:eastAsia="Times New Roman" w:hAnsi="Arial" w:cs="Arial"/>
          <w:color w:val="000000"/>
          <w:sz w:val="24"/>
          <w:szCs w:val="24"/>
        </w:rPr>
        <w:t xml:space="preserve">. London: Butterworth-Heinemann. Available at: </w:t>
      </w:r>
      <w:hyperlink r:id="rId28" w:history="1">
        <w:r w:rsidRPr="00682AFA">
          <w:rPr>
            <w:rFonts w:ascii="Arial" w:eastAsia="Times New Roman" w:hAnsi="Arial" w:cs="Arial"/>
            <w:color w:val="1155CC"/>
            <w:sz w:val="24"/>
            <w:szCs w:val="24"/>
            <w:u w:val="single"/>
          </w:rPr>
          <w:t>https://thuvienso.hoasen.edu.vn/bitstream/handle/123456789/8505/Contents.pdf?sequence=3&amp;isAllowed=y</w:t>
        </w:r>
      </w:hyperlink>
      <w:r w:rsidRPr="00682AFA">
        <w:rPr>
          <w:rFonts w:ascii="Arial" w:eastAsia="Times New Roman" w:hAnsi="Arial" w:cs="Arial"/>
          <w:color w:val="000000"/>
          <w:sz w:val="24"/>
          <w:szCs w:val="24"/>
        </w:rPr>
        <w:t xml:space="preserve"> (Accessed: 13 October 2024)</w:t>
      </w:r>
    </w:p>
    <w:p w14:paraId="1B0D9339" w14:textId="77777777" w:rsidR="00682AFA" w:rsidRPr="00682AFA" w:rsidRDefault="00682AFA" w:rsidP="00682AFA">
      <w:pPr>
        <w:spacing w:after="0" w:line="360" w:lineRule="auto"/>
        <w:jc w:val="both"/>
        <w:rPr>
          <w:rFonts w:ascii="Times New Roman" w:eastAsia="Times New Roman" w:hAnsi="Times New Roman" w:cs="Times New Roman"/>
          <w:sz w:val="24"/>
          <w:szCs w:val="24"/>
        </w:rPr>
      </w:pPr>
      <w:r w:rsidRPr="00682AFA">
        <w:rPr>
          <w:rFonts w:ascii="Arial" w:eastAsia="Times New Roman" w:hAnsi="Arial" w:cs="Arial"/>
          <w:color w:val="000000"/>
          <w:sz w:val="24"/>
          <w:szCs w:val="24"/>
        </w:rPr>
        <w:t xml:space="preserve">Wickham, Donnelly, T., &amp; French, L. (2021). Strategic Sustainability Management in the Event Sector. Event Management, 25(3), 279–296. Available at: </w:t>
      </w:r>
      <w:hyperlink r:id="rId29" w:history="1">
        <w:r w:rsidRPr="00682AFA">
          <w:rPr>
            <w:rFonts w:ascii="Arial" w:eastAsia="Times New Roman" w:hAnsi="Arial" w:cs="Arial"/>
            <w:color w:val="1155CC"/>
            <w:sz w:val="24"/>
            <w:szCs w:val="24"/>
            <w:u w:val="single"/>
          </w:rPr>
          <w:t>https://figshare.utas.edu.au/articles/journal_contribution/Strategic_sustainability_management_in_the_event_sector/22992797/1/files/40741931.pdf</w:t>
        </w:r>
      </w:hyperlink>
      <w:r w:rsidRPr="00682AFA">
        <w:rPr>
          <w:rFonts w:ascii="Arial" w:eastAsia="Times New Roman" w:hAnsi="Arial" w:cs="Arial"/>
          <w:color w:val="000000"/>
          <w:sz w:val="24"/>
          <w:szCs w:val="24"/>
        </w:rPr>
        <w:t xml:space="preserve"> (Accessed: 13 October 2024)</w:t>
      </w:r>
    </w:p>
    <w:p w14:paraId="72D5B66A" w14:textId="77777777" w:rsidR="00916F5A" w:rsidRPr="00682AFA" w:rsidRDefault="00682AFA" w:rsidP="00682AFA">
      <w:pPr>
        <w:spacing w:line="360" w:lineRule="auto"/>
      </w:pP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lastRenderedPageBreak/>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r w:rsidRPr="00682AFA">
        <w:rPr>
          <w:rFonts w:ascii="Times New Roman" w:eastAsia="Times New Roman" w:hAnsi="Times New Roman" w:cs="Times New Roman"/>
          <w:sz w:val="24"/>
          <w:szCs w:val="24"/>
        </w:rPr>
        <w:br/>
      </w:r>
    </w:p>
    <w:sectPr w:rsidR="00916F5A" w:rsidRPr="00682AFA" w:rsidSect="00682AFA">
      <w:footerReference w:type="default" r:id="rId3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C0FB04" w14:textId="77777777" w:rsidR="00121E98" w:rsidRDefault="00121E98" w:rsidP="00682AFA">
      <w:pPr>
        <w:spacing w:after="0" w:line="240" w:lineRule="auto"/>
      </w:pPr>
      <w:r>
        <w:separator/>
      </w:r>
    </w:p>
  </w:endnote>
  <w:endnote w:type="continuationSeparator" w:id="0">
    <w:p w14:paraId="25A46020" w14:textId="77777777" w:rsidR="00121E98" w:rsidRDefault="00121E98" w:rsidP="00682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4605876"/>
      <w:docPartObj>
        <w:docPartGallery w:val="Page Numbers (Bottom of Page)"/>
        <w:docPartUnique/>
      </w:docPartObj>
    </w:sdtPr>
    <w:sdtContent>
      <w:sdt>
        <w:sdtPr>
          <w:id w:val="565050523"/>
          <w:docPartObj>
            <w:docPartGallery w:val="Page Numbers (Top of Page)"/>
            <w:docPartUnique/>
          </w:docPartObj>
        </w:sdtPr>
        <w:sdtContent>
          <w:p w14:paraId="433EC5CF" w14:textId="77777777" w:rsidR="00682AFA" w:rsidRDefault="00682AF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C77EF">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C77EF">
              <w:rPr>
                <w:b/>
                <w:noProof/>
              </w:rPr>
              <w:t>14</w:t>
            </w:r>
            <w:r>
              <w:rPr>
                <w:b/>
                <w:sz w:val="24"/>
                <w:szCs w:val="24"/>
              </w:rPr>
              <w:fldChar w:fldCharType="end"/>
            </w:r>
          </w:p>
        </w:sdtContent>
      </w:sdt>
    </w:sdtContent>
  </w:sdt>
  <w:p w14:paraId="5A3774E8" w14:textId="77777777" w:rsidR="00682AFA" w:rsidRDefault="00682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3045FF" w14:textId="77777777" w:rsidR="00121E98" w:rsidRDefault="00121E98" w:rsidP="00682AFA">
      <w:pPr>
        <w:spacing w:after="0" w:line="240" w:lineRule="auto"/>
      </w:pPr>
      <w:r>
        <w:separator/>
      </w:r>
    </w:p>
  </w:footnote>
  <w:footnote w:type="continuationSeparator" w:id="0">
    <w:p w14:paraId="2245EB8D" w14:textId="77777777" w:rsidR="00121E98" w:rsidRDefault="00121E98" w:rsidP="00682A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AFA"/>
    <w:rsid w:val="0001034A"/>
    <w:rsid w:val="00022397"/>
    <w:rsid w:val="00035FB6"/>
    <w:rsid w:val="000767AD"/>
    <w:rsid w:val="00085FBB"/>
    <w:rsid w:val="00087EAA"/>
    <w:rsid w:val="00121E98"/>
    <w:rsid w:val="00122370"/>
    <w:rsid w:val="0012440A"/>
    <w:rsid w:val="00157271"/>
    <w:rsid w:val="00157C68"/>
    <w:rsid w:val="001B2280"/>
    <w:rsid w:val="001B6957"/>
    <w:rsid w:val="001C51FC"/>
    <w:rsid w:val="00212251"/>
    <w:rsid w:val="00212638"/>
    <w:rsid w:val="00216EE0"/>
    <w:rsid w:val="00221FEE"/>
    <w:rsid w:val="002916FD"/>
    <w:rsid w:val="00293065"/>
    <w:rsid w:val="002C3A2E"/>
    <w:rsid w:val="002D753B"/>
    <w:rsid w:val="002E24DE"/>
    <w:rsid w:val="002F3D70"/>
    <w:rsid w:val="00341FCD"/>
    <w:rsid w:val="00377368"/>
    <w:rsid w:val="00385D00"/>
    <w:rsid w:val="003947AC"/>
    <w:rsid w:val="003E5C49"/>
    <w:rsid w:val="003F739A"/>
    <w:rsid w:val="00425BE5"/>
    <w:rsid w:val="00465C1F"/>
    <w:rsid w:val="004A3250"/>
    <w:rsid w:val="004A5C16"/>
    <w:rsid w:val="004C0DC4"/>
    <w:rsid w:val="004D18DC"/>
    <w:rsid w:val="0052258D"/>
    <w:rsid w:val="00541BA3"/>
    <w:rsid w:val="0056478F"/>
    <w:rsid w:val="005736BF"/>
    <w:rsid w:val="00585665"/>
    <w:rsid w:val="00597F99"/>
    <w:rsid w:val="005A5738"/>
    <w:rsid w:val="00600196"/>
    <w:rsid w:val="00675F60"/>
    <w:rsid w:val="00682AFA"/>
    <w:rsid w:val="006B2DA1"/>
    <w:rsid w:val="00723C0D"/>
    <w:rsid w:val="00751403"/>
    <w:rsid w:val="00753AE8"/>
    <w:rsid w:val="007A67BD"/>
    <w:rsid w:val="007B1C5F"/>
    <w:rsid w:val="007D26C1"/>
    <w:rsid w:val="00801CAD"/>
    <w:rsid w:val="00817B63"/>
    <w:rsid w:val="00822BC8"/>
    <w:rsid w:val="008446A9"/>
    <w:rsid w:val="008F7989"/>
    <w:rsid w:val="00907883"/>
    <w:rsid w:val="00916F5A"/>
    <w:rsid w:val="00920E49"/>
    <w:rsid w:val="00953EE8"/>
    <w:rsid w:val="0097283A"/>
    <w:rsid w:val="00977E71"/>
    <w:rsid w:val="00987309"/>
    <w:rsid w:val="00992846"/>
    <w:rsid w:val="00997524"/>
    <w:rsid w:val="009B2FA3"/>
    <w:rsid w:val="009D11DE"/>
    <w:rsid w:val="009F1E54"/>
    <w:rsid w:val="00A346C7"/>
    <w:rsid w:val="00AA01B2"/>
    <w:rsid w:val="00AA086D"/>
    <w:rsid w:val="00AB60E8"/>
    <w:rsid w:val="00B2446A"/>
    <w:rsid w:val="00B6298B"/>
    <w:rsid w:val="00B81F73"/>
    <w:rsid w:val="00C54A62"/>
    <w:rsid w:val="00C720E7"/>
    <w:rsid w:val="00CA5E89"/>
    <w:rsid w:val="00CC77EF"/>
    <w:rsid w:val="00CF1752"/>
    <w:rsid w:val="00D076A3"/>
    <w:rsid w:val="00D30178"/>
    <w:rsid w:val="00D3732F"/>
    <w:rsid w:val="00D54839"/>
    <w:rsid w:val="00D844B0"/>
    <w:rsid w:val="00D8724D"/>
    <w:rsid w:val="00DD4053"/>
    <w:rsid w:val="00DD4B23"/>
    <w:rsid w:val="00DF08EF"/>
    <w:rsid w:val="00E60EBE"/>
    <w:rsid w:val="00E7587C"/>
    <w:rsid w:val="00F16F98"/>
    <w:rsid w:val="00FA6F6B"/>
    <w:rsid w:val="00FB6A46"/>
    <w:rsid w:val="00FD05EA"/>
    <w:rsid w:val="00FD2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17BD9"/>
  <w15:docId w15:val="{65244F8C-CFFB-4F9D-8F1E-BA68AE2C2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F5A"/>
    <w:rPr>
      <w:lang w:val="en-GB"/>
    </w:rPr>
  </w:style>
  <w:style w:type="paragraph" w:styleId="Heading1">
    <w:name w:val="heading 1"/>
    <w:basedOn w:val="Normal"/>
    <w:link w:val="Heading1Char"/>
    <w:uiPriority w:val="9"/>
    <w:qFormat/>
    <w:rsid w:val="00682AF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AF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82AF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682AFA"/>
  </w:style>
  <w:style w:type="character" w:styleId="Hyperlink">
    <w:name w:val="Hyperlink"/>
    <w:basedOn w:val="DefaultParagraphFont"/>
    <w:uiPriority w:val="99"/>
    <w:unhideWhenUsed/>
    <w:rsid w:val="00682AFA"/>
    <w:rPr>
      <w:color w:val="0000FF"/>
      <w:u w:val="single"/>
    </w:rPr>
  </w:style>
  <w:style w:type="paragraph" w:styleId="BalloonText">
    <w:name w:val="Balloon Text"/>
    <w:basedOn w:val="Normal"/>
    <w:link w:val="BalloonTextChar"/>
    <w:uiPriority w:val="99"/>
    <w:semiHidden/>
    <w:unhideWhenUsed/>
    <w:rsid w:val="00682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2AFA"/>
    <w:rPr>
      <w:rFonts w:ascii="Tahoma" w:hAnsi="Tahoma" w:cs="Tahoma"/>
      <w:sz w:val="16"/>
      <w:szCs w:val="16"/>
      <w:lang w:val="en-GB"/>
    </w:rPr>
  </w:style>
  <w:style w:type="paragraph" w:styleId="Header">
    <w:name w:val="header"/>
    <w:basedOn w:val="Normal"/>
    <w:link w:val="HeaderChar"/>
    <w:uiPriority w:val="99"/>
    <w:semiHidden/>
    <w:unhideWhenUsed/>
    <w:rsid w:val="00682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2AFA"/>
    <w:rPr>
      <w:lang w:val="en-GB"/>
    </w:rPr>
  </w:style>
  <w:style w:type="paragraph" w:styleId="Footer">
    <w:name w:val="footer"/>
    <w:basedOn w:val="Normal"/>
    <w:link w:val="FooterChar"/>
    <w:uiPriority w:val="99"/>
    <w:unhideWhenUsed/>
    <w:rsid w:val="00682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AFA"/>
    <w:rPr>
      <w:lang w:val="en-GB"/>
    </w:rPr>
  </w:style>
  <w:style w:type="paragraph" w:styleId="TOCHeading">
    <w:name w:val="TOC Heading"/>
    <w:basedOn w:val="Heading1"/>
    <w:next w:val="Normal"/>
    <w:uiPriority w:val="39"/>
    <w:semiHidden/>
    <w:unhideWhenUsed/>
    <w:qFormat/>
    <w:rsid w:val="00682AF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682A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8469980">
      <w:bodyDiv w:val="1"/>
      <w:marLeft w:val="0"/>
      <w:marRight w:val="0"/>
      <w:marTop w:val="0"/>
      <w:marBottom w:val="0"/>
      <w:divBdr>
        <w:top w:val="none" w:sz="0" w:space="0" w:color="auto"/>
        <w:left w:val="none" w:sz="0" w:space="0" w:color="auto"/>
        <w:bottom w:val="none" w:sz="0" w:space="0" w:color="auto"/>
        <w:right w:val="none" w:sz="0" w:space="0" w:color="auto"/>
      </w:divBdr>
    </w:div>
    <w:div w:id="1398285153">
      <w:bodyDiv w:val="1"/>
      <w:marLeft w:val="0"/>
      <w:marRight w:val="0"/>
      <w:marTop w:val="0"/>
      <w:marBottom w:val="0"/>
      <w:divBdr>
        <w:top w:val="none" w:sz="0" w:space="0" w:color="auto"/>
        <w:left w:val="none" w:sz="0" w:space="0" w:color="auto"/>
        <w:bottom w:val="none" w:sz="0" w:space="0" w:color="auto"/>
        <w:right w:val="none" w:sz="0" w:space="0" w:color="auto"/>
      </w:divBdr>
    </w:div>
    <w:div w:id="210923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Jaffar-Abbas/publication/371440208_Reset_the_Industry_Redux_through_Corporate_Social_Responsibility_The_COVID-19_Tourism_Impact_on_Hospitality_Firms_through_Business_Model_Innovation/links/648c65d695bbbe0c6ecd07ab/Reset-the-Industry-Redux-through-Corporate-Social-Responsibility-The-COVID-19-Tourism-Impact-on-Hospitality-Firms-through-Business-Model-Innovation.pdf" TargetMode="External"/><Relationship Id="rId13" Type="http://schemas.openxmlformats.org/officeDocument/2006/relationships/hyperlink" Target="https://www.asau.ru/files/pdf/3312733.pdf" TargetMode="External"/><Relationship Id="rId18" Type="http://schemas.openxmlformats.org/officeDocument/2006/relationships/hyperlink" Target="https://www.researchgate.net/profile/Aamir-Hayat/publication/360217242_CSR_and_employee_well-being_in_hospitality_industry_A_mediation_model_of_job_satisfaction_and_affective_commitment/links/642e0648ad9b6d17dc3997e2/CSR-and-employee-well-being-in-hospitality-industry-A-mediation-model-of-job-satisfaction-and-affective-commitment.pdf" TargetMode="External"/><Relationship Id="rId26" Type="http://schemas.openxmlformats.org/officeDocument/2006/relationships/hyperlink" Target="https://www.researchgate.net/profile/Melita-Mehjabeen-2/publication/381916518_CSR_research_in_the_hotel_industry_how_it_relates_to_promoting_the_SDGs/links/668c0c16c1cf0d77ffc368ed/CSR-research-in-the-hotel-industry-how-it-relates-to-promoting-the-SDGs.pdf" TargetMode="External"/><Relationship Id="rId3" Type="http://schemas.openxmlformats.org/officeDocument/2006/relationships/settings" Target="settings.xml"/><Relationship Id="rId21" Type="http://schemas.openxmlformats.org/officeDocument/2006/relationships/hyperlink" Target="https://www.researchgate.net/profile/Larry-Dwyer/publication/317605524_Saluting_while_the_ship_sinks_the_necessity_for_tourism_paradigm_change/links/6538626e73a2865c7ad0f92e/Saluting-while-the-ship-sinks-the-necessity-for-tourism-paradigm-change.pdf" TargetMode="External"/><Relationship Id="rId7" Type="http://schemas.openxmlformats.org/officeDocument/2006/relationships/image" Target="media/image1.png"/><Relationship Id="rId12" Type="http://schemas.openxmlformats.org/officeDocument/2006/relationships/hyperlink" Target="http://www.goodfellowpublishers.com/free_files/Preface,%20contents%20and%20copyright-49fb75618a791b44632d1b317a8d7aa8.pdf" TargetMode="External"/><Relationship Id="rId17" Type="http://schemas.openxmlformats.org/officeDocument/2006/relationships/hyperlink" Target="https://books.google.com/books?hl=en&amp;lr=&amp;id=BTlODwAAQBAJ&amp;oi=fnd&amp;pg=PP1&amp;dq=Haski-Leventhal,+D.+(2018)+Strategic+corporate+social+responsibility+:+tools+%26+theories+for+responsible+management.+London:+SAGE.&amp;ots=2cEZ9ND5rP&amp;sig=9CwV1Pd-Egu-vhUC8bXRbtHTusg" TargetMode="External"/><Relationship Id="rId25" Type="http://schemas.openxmlformats.org/officeDocument/2006/relationships/hyperlink" Target="https://www.academia.edu/download/91351336/15980634.2018.155131220220921-1-doiddu.pdf" TargetMode="External"/><Relationship Id="rId2" Type="http://schemas.openxmlformats.org/officeDocument/2006/relationships/styles" Target="styles.xml"/><Relationship Id="rId16" Type="http://schemas.openxmlformats.org/officeDocument/2006/relationships/hyperlink" Target="https://www.mdpi.com/2071-1050/14/5/2885" TargetMode="External"/><Relationship Id="rId20" Type="http://schemas.openxmlformats.org/officeDocument/2006/relationships/hyperlink" Target="https://books.google.com/books?hl=en&amp;lr=&amp;id=TXJnEAAAQBAJ&amp;oi=fnd&amp;pg=PP1&amp;dq=Inkson,+C.+and+Minnaert,+L.+(2018)+Tourism+management+:+an++introduction.+2nd+ed.+London:+SAGE.&amp;ots=hPhwCADN9N&amp;sig=WxKXlIeBdE8QfIuzk3nG7UMgMs4" TargetMode="External"/><Relationship Id="rId29" Type="http://schemas.openxmlformats.org/officeDocument/2006/relationships/hyperlink" Target="https://figshare.utas.edu.au/articles/journal_contribution/Strategic_sustainability_management_in_the_event_sector/22992797/1/files/4074193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prints.bournemouth.ac.uk/37853/1/IJCHM%20SMART%20Hospitality_IJCHM_R2_poc%2011%20Sept.pdf" TargetMode="External"/><Relationship Id="rId24" Type="http://schemas.openxmlformats.org/officeDocument/2006/relationships/hyperlink" Target="https://www.researchgate.net/profile/Ashaq-Najar/publication/342459730_Regional_Food_as_the_Catalyst_for_Cultural_Tourism_in_India/links/618624a0d7d1af224bb9b6b8/Regional-Food-as-the-Catalyst-for-Cultural-Tourism-in-India.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2071-1050/14/3/1222" TargetMode="External"/><Relationship Id="rId23" Type="http://schemas.openxmlformats.org/officeDocument/2006/relationships/hyperlink" Target="https://www.researchgate.net/profile/Rizwan-Khan-9/publication/347112774_The_Impact_of_Customer_Relationship_Management_and_Company_Reputation_on_Customer_Loyalty_The_Mediating_Role_of_Customer_Satisfaction/links/60405aeca6fdcc9c780f7af8/The-Impact-of-Customer-Relationship-Management-and-Company-Reputation-on-Customer-Loyalty-The-Mediating-Role-of-Customer-Satisfaction.pdf" TargetMode="External"/><Relationship Id="rId28" Type="http://schemas.openxmlformats.org/officeDocument/2006/relationships/hyperlink" Target="https://thuvienso.hoasen.edu.vn/bitstream/handle/123456789/8505/Contents.pdf?sequence=3&amp;isAllowed=y" TargetMode="External"/><Relationship Id="rId10" Type="http://schemas.openxmlformats.org/officeDocument/2006/relationships/hyperlink" Target="https://www.researchgate.net/profile/Pratim-Chatterjee/publication/380720105_Impact_of_COVID-19_on_Small_Domestic_and_Inbound_Travel_Agencies_and_Tour_Operators_in_West_Bengal_India_Perspectives_of_Offline_Owners-Managers/links/664ace6d0b0d2845744875be/Impact-of-COVID-19-on-Small-Domestic-and-Inbound-Travel-Agencies-and-Tour-Operators-in-West-Bengal-India-Perspectives-of-Offline-Owners-Managers.pdf" TargetMode="External"/><Relationship Id="rId19" Type="http://schemas.openxmlformats.org/officeDocument/2006/relationships/hyperlink" Target="https://www.tandfonline.com/doi/pdf/10.1080/22243534.2024.239343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re.sunderland.ac.uk/id/eprint/17906/2/PETER%20A%20FINAL%20THESIS%202024.pdf" TargetMode="External"/><Relationship Id="rId14" Type="http://schemas.openxmlformats.org/officeDocument/2006/relationships/hyperlink" Target="http://ebooks.znu.edu.ua/files/Bibliobooks/Inshi68/0049773.pdf" TargetMode="External"/><Relationship Id="rId22" Type="http://schemas.openxmlformats.org/officeDocument/2006/relationships/hyperlink" Target="https://www.sciencedirect.com/science/article/pii/S0148296322000790" TargetMode="External"/><Relationship Id="rId27" Type="http://schemas.openxmlformats.org/officeDocument/2006/relationships/hyperlink" Target="https://link.springer.com/chapter/10.1007/978-3-031-25752-0_2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87B4D-FB30-4F71-A9F9-12A69D218F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4313</Words>
  <Characters>24589</Characters>
  <Application>Microsoft Office Word</Application>
  <DocSecurity>0</DocSecurity>
  <Lines>204</Lines>
  <Paragraphs>57</Paragraphs>
  <ScaleCrop>false</ScaleCrop>
  <Company/>
  <LinksUpToDate>false</LinksUpToDate>
  <CharactersWithSpaces>28845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Rasel Ahmed (2233498)</cp:lastModifiedBy>
  <cp:revision>7</cp:revision>
  <dcterms:created xsi:type="dcterms:W3CDTF">2024-10-21T15:19:00Z</dcterms:created>
  <dcterms:modified xsi:type="dcterms:W3CDTF">2024-10-21T15:22:00Z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15abcc24996e5938b46fa43abc15507a4506aade1fa8d229cb3f96f054a0a12a</vt:lpwstr>
  </property>
</Properties>
</file>