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94305F" w:rsidRDefault="00ED5964">
      <w:r w:rsidRPr="0094305F">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94305F" w:rsidRDefault="00ED5964"/>
    <w:p w14:paraId="3BEDB360" w14:textId="77777777" w:rsidR="00ED5964" w:rsidRPr="0094305F" w:rsidRDefault="00ED5964"/>
    <w:p w14:paraId="2EF804A0" w14:textId="34AEA537" w:rsidR="00ED5964" w:rsidRPr="0094305F" w:rsidRDefault="00ED5964" w:rsidP="00ED5964">
      <w:pPr>
        <w:jc w:val="both"/>
        <w:rPr>
          <w:rFonts w:asciiTheme="minorBidi" w:hAnsiTheme="minorBidi"/>
          <w:sz w:val="28"/>
          <w:szCs w:val="28"/>
        </w:rPr>
      </w:pPr>
      <w:r w:rsidRPr="0094305F">
        <w:rPr>
          <w:rFonts w:asciiTheme="minorBidi" w:hAnsiTheme="minorBidi"/>
          <w:sz w:val="28"/>
          <w:szCs w:val="28"/>
        </w:rPr>
        <w:t xml:space="preserve">Name: </w:t>
      </w:r>
      <w:r w:rsidR="00C62B86" w:rsidRPr="0094305F">
        <w:rPr>
          <w:rFonts w:asciiTheme="minorBidi" w:hAnsiTheme="minorBidi"/>
          <w:sz w:val="28"/>
          <w:szCs w:val="28"/>
        </w:rPr>
        <w:t>Haris Khan</w:t>
      </w:r>
    </w:p>
    <w:p w14:paraId="485B6F49" w14:textId="78E2AA43" w:rsidR="00ED5964" w:rsidRPr="0094305F" w:rsidRDefault="00ED5964" w:rsidP="00ED5964">
      <w:pPr>
        <w:jc w:val="both"/>
        <w:rPr>
          <w:rFonts w:asciiTheme="minorBidi" w:hAnsiTheme="minorBidi"/>
          <w:sz w:val="28"/>
          <w:szCs w:val="28"/>
        </w:rPr>
      </w:pPr>
      <w:r w:rsidRPr="0094305F">
        <w:rPr>
          <w:rFonts w:asciiTheme="minorBidi" w:hAnsiTheme="minorBidi"/>
          <w:sz w:val="28"/>
          <w:szCs w:val="28"/>
        </w:rPr>
        <w:t xml:space="preserve">Student ID: </w:t>
      </w:r>
      <w:r w:rsidR="00C62B86" w:rsidRPr="0094305F">
        <w:rPr>
          <w:rFonts w:asciiTheme="minorBidi" w:hAnsiTheme="minorBidi"/>
          <w:sz w:val="28"/>
          <w:szCs w:val="28"/>
        </w:rPr>
        <w:t>2525257</w:t>
      </w:r>
    </w:p>
    <w:p w14:paraId="3C1E7A20" w14:textId="64C7C3B1" w:rsidR="00ED5964" w:rsidRPr="0094305F" w:rsidRDefault="00ED5964" w:rsidP="00ED5964">
      <w:pPr>
        <w:jc w:val="both"/>
        <w:rPr>
          <w:rFonts w:asciiTheme="minorBidi" w:hAnsiTheme="minorBidi"/>
          <w:sz w:val="28"/>
          <w:szCs w:val="28"/>
        </w:rPr>
      </w:pPr>
      <w:r w:rsidRPr="0094305F">
        <w:rPr>
          <w:rFonts w:asciiTheme="minorBidi" w:hAnsiTheme="minorBidi"/>
          <w:sz w:val="28"/>
          <w:szCs w:val="28"/>
        </w:rPr>
        <w:t xml:space="preserve">Module Code: </w:t>
      </w:r>
      <w:r w:rsidR="00DA2B5E" w:rsidRPr="0094305F">
        <w:rPr>
          <w:rFonts w:asciiTheme="minorBidi" w:hAnsiTheme="minorBidi"/>
          <w:sz w:val="28"/>
          <w:szCs w:val="28"/>
        </w:rPr>
        <w:t>LCHS4007</w:t>
      </w:r>
    </w:p>
    <w:p w14:paraId="4EEB2DA3" w14:textId="5083E3AE" w:rsidR="00ED5964" w:rsidRPr="0094305F" w:rsidRDefault="00ED5964" w:rsidP="00ED5964">
      <w:pPr>
        <w:jc w:val="both"/>
        <w:rPr>
          <w:rFonts w:asciiTheme="minorBidi" w:hAnsiTheme="minorBidi"/>
          <w:sz w:val="28"/>
          <w:szCs w:val="28"/>
        </w:rPr>
      </w:pPr>
      <w:r w:rsidRPr="0094305F">
        <w:rPr>
          <w:rFonts w:asciiTheme="minorBidi" w:hAnsiTheme="minorBidi"/>
          <w:sz w:val="28"/>
          <w:szCs w:val="28"/>
        </w:rPr>
        <w:t xml:space="preserve">Module: </w:t>
      </w:r>
      <w:r w:rsidR="00DA2B5E" w:rsidRPr="0094305F">
        <w:rPr>
          <w:rFonts w:asciiTheme="minorBidi" w:hAnsiTheme="minorBidi"/>
          <w:sz w:val="28"/>
          <w:szCs w:val="28"/>
        </w:rPr>
        <w:t>Digital Skills and Research Methods</w:t>
      </w:r>
    </w:p>
    <w:p w14:paraId="112342CB" w14:textId="404027E1" w:rsidR="00ED5964" w:rsidRPr="0094305F" w:rsidRDefault="00ED5964" w:rsidP="047085D5">
      <w:pPr>
        <w:jc w:val="both"/>
        <w:rPr>
          <w:rFonts w:asciiTheme="minorBidi" w:hAnsiTheme="minorBidi"/>
          <w:sz w:val="28"/>
          <w:szCs w:val="28"/>
        </w:rPr>
      </w:pPr>
      <w:r w:rsidRPr="0094305F">
        <w:rPr>
          <w:rFonts w:asciiTheme="minorBidi" w:hAnsiTheme="minorBidi"/>
          <w:sz w:val="28"/>
          <w:szCs w:val="28"/>
        </w:rPr>
        <w:t xml:space="preserve">Lecturer: </w:t>
      </w:r>
      <w:r w:rsidR="209C60A8" w:rsidRPr="0094305F">
        <w:rPr>
          <w:rFonts w:asciiTheme="minorBidi" w:hAnsiTheme="minorBidi"/>
          <w:sz w:val="28"/>
          <w:szCs w:val="28"/>
        </w:rPr>
        <w:t>Markus Klingelfuss</w:t>
      </w:r>
    </w:p>
    <w:p w14:paraId="78C0B80E" w14:textId="77777777" w:rsidR="00ED5964" w:rsidRPr="0094305F" w:rsidRDefault="00ED5964" w:rsidP="00ED5964">
      <w:pPr>
        <w:jc w:val="both"/>
        <w:rPr>
          <w:rFonts w:asciiTheme="minorBidi" w:hAnsiTheme="minorBidi"/>
          <w:sz w:val="28"/>
          <w:szCs w:val="28"/>
        </w:rPr>
      </w:pPr>
    </w:p>
    <w:p w14:paraId="4A73B1BE" w14:textId="77777777" w:rsidR="00ED5964" w:rsidRPr="0094305F" w:rsidRDefault="00ED5964" w:rsidP="00ED5964">
      <w:pPr>
        <w:jc w:val="both"/>
        <w:rPr>
          <w:rFonts w:asciiTheme="minorBidi" w:hAnsiTheme="minorBidi"/>
          <w:sz w:val="28"/>
          <w:szCs w:val="28"/>
        </w:rPr>
      </w:pPr>
    </w:p>
    <w:p w14:paraId="4F979E62" w14:textId="18C5F01D" w:rsidR="00ED5964" w:rsidRPr="0094305F" w:rsidRDefault="00ED5964" w:rsidP="00ED5964">
      <w:pPr>
        <w:jc w:val="both"/>
        <w:rPr>
          <w:rFonts w:asciiTheme="minorBidi" w:hAnsiTheme="minorBidi"/>
          <w:sz w:val="28"/>
          <w:szCs w:val="28"/>
        </w:rPr>
      </w:pPr>
      <w:r w:rsidRPr="0094305F">
        <w:rPr>
          <w:rFonts w:asciiTheme="minorBidi" w:hAnsiTheme="minorBidi"/>
          <w:sz w:val="28"/>
          <w:szCs w:val="28"/>
        </w:rPr>
        <w:tab/>
      </w:r>
      <w:r w:rsidRPr="0094305F">
        <w:rPr>
          <w:rFonts w:asciiTheme="minorBidi" w:hAnsiTheme="minorBidi"/>
          <w:sz w:val="28"/>
          <w:szCs w:val="28"/>
        </w:rPr>
        <w:tab/>
      </w:r>
      <w:r w:rsidR="006A5CFC" w:rsidRPr="0094305F">
        <w:rPr>
          <w:rFonts w:asciiTheme="minorBidi" w:hAnsiTheme="minorBidi"/>
          <w:sz w:val="28"/>
          <w:szCs w:val="28"/>
        </w:rPr>
        <w:tab/>
      </w:r>
      <w:r w:rsidRPr="0094305F">
        <w:rPr>
          <w:rFonts w:asciiTheme="minorBidi" w:hAnsiTheme="minorBidi"/>
          <w:sz w:val="28"/>
          <w:szCs w:val="28"/>
        </w:rPr>
        <w:t xml:space="preserve">Submitted on:    </w:t>
      </w:r>
      <w:r w:rsidR="00E531E5">
        <w:rPr>
          <w:rFonts w:asciiTheme="minorBidi" w:hAnsiTheme="minorBidi"/>
          <w:sz w:val="28"/>
          <w:szCs w:val="28"/>
        </w:rPr>
        <w:t>26/03/2026</w:t>
      </w:r>
    </w:p>
    <w:p w14:paraId="4180CDBC" w14:textId="77777777" w:rsidR="00ED5964" w:rsidRPr="0094305F"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0"/>
          <w:lang w:val="en-GB" w:eastAsia="zh-CN"/>
          <w14:ligatures w14:val="standardContextual"/>
        </w:rPr>
        <w:id w:val="100920263"/>
        <w:docPartObj>
          <w:docPartGallery w:val="Table of Contents"/>
          <w:docPartUnique/>
        </w:docPartObj>
      </w:sdtPr>
      <w:sdtEndPr>
        <w:rPr>
          <w:b/>
          <w:bCs/>
        </w:rPr>
      </w:sdtEndPr>
      <w:sdtContent>
        <w:p w14:paraId="69A45AB4" w14:textId="1BC22B3F" w:rsidR="00184A9A" w:rsidRPr="0094305F" w:rsidRDefault="00184A9A">
          <w:pPr>
            <w:pStyle w:val="TOCHeading"/>
            <w:rPr>
              <w:lang w:val="en-GB"/>
            </w:rPr>
          </w:pPr>
          <w:r w:rsidRPr="0094305F">
            <w:rPr>
              <w:lang w:val="en-GB"/>
            </w:rPr>
            <w:t>Table of Contents</w:t>
          </w:r>
        </w:p>
        <w:p w14:paraId="5EE1C721" w14:textId="09F89341" w:rsidR="00A95F4C" w:rsidRPr="0094305F" w:rsidRDefault="00184A9A">
          <w:pPr>
            <w:pStyle w:val="TOC1"/>
            <w:tabs>
              <w:tab w:val="right" w:leader="dot" w:pos="9016"/>
            </w:tabs>
            <w:rPr>
              <w:rFonts w:asciiTheme="minorHAnsi" w:hAnsiTheme="minorHAnsi" w:cstheme="minorBidi"/>
              <w:b w:val="0"/>
              <w:bCs w:val="0"/>
              <w:i w:val="0"/>
              <w:iCs w:val="0"/>
            </w:rPr>
          </w:pPr>
          <w:r w:rsidRPr="0094305F">
            <w:rPr>
              <w:b w:val="0"/>
              <w:bCs w:val="0"/>
            </w:rPr>
            <w:fldChar w:fldCharType="begin"/>
          </w:r>
          <w:r w:rsidRPr="0094305F">
            <w:instrText xml:space="preserve"> TOC \o "1-3" \h \z \u </w:instrText>
          </w:r>
          <w:r w:rsidRPr="0094305F">
            <w:rPr>
              <w:b w:val="0"/>
              <w:bCs w:val="0"/>
            </w:rPr>
            <w:fldChar w:fldCharType="separate"/>
          </w:r>
          <w:hyperlink w:anchor="_Toc223613453" w:history="1">
            <w:r w:rsidR="00A95F4C" w:rsidRPr="0094305F">
              <w:rPr>
                <w:rStyle w:val="Hyperlink"/>
              </w:rPr>
              <w:t>Research Report</w:t>
            </w:r>
            <w:r w:rsidR="00A95F4C" w:rsidRPr="0094305F">
              <w:rPr>
                <w:webHidden/>
              </w:rPr>
              <w:tab/>
            </w:r>
          </w:hyperlink>
        </w:p>
        <w:p w14:paraId="16A11E53" w14:textId="0DCDD8D0" w:rsidR="00A95F4C" w:rsidRPr="0094305F" w:rsidRDefault="00A95F4C">
          <w:pPr>
            <w:pStyle w:val="TOC2"/>
            <w:tabs>
              <w:tab w:val="right" w:leader="dot" w:pos="9016"/>
            </w:tabs>
            <w:rPr>
              <w:rFonts w:asciiTheme="minorHAnsi" w:hAnsiTheme="minorHAnsi" w:cstheme="minorBidi"/>
              <w:b w:val="0"/>
              <w:bCs w:val="0"/>
              <w:sz w:val="24"/>
              <w:szCs w:val="24"/>
            </w:rPr>
          </w:pPr>
          <w:hyperlink w:anchor="_Toc223613454" w:history="1">
            <w:r w:rsidRPr="0094305F">
              <w:rPr>
                <w:rStyle w:val="Hyperlink"/>
                <w:rFonts w:cs="Segoe UI"/>
              </w:rPr>
              <w:t>Introduction</w:t>
            </w:r>
            <w:r w:rsidRPr="0094305F">
              <w:rPr>
                <w:webHidden/>
              </w:rPr>
              <w:tab/>
            </w:r>
            <w:r w:rsidR="008019A0">
              <w:rPr>
                <w:webHidden/>
              </w:rPr>
              <w:t>2</w:t>
            </w:r>
          </w:hyperlink>
        </w:p>
        <w:p w14:paraId="3E1507C1" w14:textId="76037739" w:rsidR="00A95F4C" w:rsidRPr="0094305F" w:rsidRDefault="00A95F4C">
          <w:pPr>
            <w:pStyle w:val="TOC2"/>
            <w:tabs>
              <w:tab w:val="right" w:leader="dot" w:pos="9016"/>
            </w:tabs>
            <w:rPr>
              <w:rFonts w:asciiTheme="minorHAnsi" w:hAnsiTheme="minorHAnsi" w:cstheme="minorBidi"/>
              <w:b w:val="0"/>
              <w:bCs w:val="0"/>
              <w:sz w:val="24"/>
              <w:szCs w:val="24"/>
            </w:rPr>
          </w:pPr>
          <w:hyperlink w:anchor="_Toc223613455" w:history="1">
            <w:r w:rsidRPr="0094305F">
              <w:rPr>
                <w:rStyle w:val="Hyperlink"/>
                <w:rFonts w:cs="Segoe UI"/>
              </w:rPr>
              <w:t>1.1 Selection of Research topic</w:t>
            </w:r>
            <w:r w:rsidRPr="0094305F">
              <w:rPr>
                <w:webHidden/>
              </w:rPr>
              <w:tab/>
            </w:r>
            <w:r w:rsidR="008019A0">
              <w:rPr>
                <w:webHidden/>
              </w:rPr>
              <w:t>2</w:t>
            </w:r>
          </w:hyperlink>
        </w:p>
        <w:p w14:paraId="47D75A65" w14:textId="4D17375F" w:rsidR="00A95F4C" w:rsidRPr="0094305F" w:rsidRDefault="00A95F4C">
          <w:pPr>
            <w:pStyle w:val="TOC2"/>
            <w:tabs>
              <w:tab w:val="right" w:leader="dot" w:pos="9016"/>
            </w:tabs>
            <w:rPr>
              <w:rFonts w:asciiTheme="minorHAnsi" w:hAnsiTheme="minorHAnsi" w:cstheme="minorBidi"/>
              <w:b w:val="0"/>
              <w:bCs w:val="0"/>
              <w:sz w:val="24"/>
              <w:szCs w:val="24"/>
            </w:rPr>
          </w:pPr>
          <w:hyperlink w:anchor="_Toc223613456" w:history="1">
            <w:r w:rsidRPr="0094305F">
              <w:rPr>
                <w:rStyle w:val="Hyperlink"/>
                <w:rFonts w:cs="Segoe UI"/>
              </w:rPr>
              <w:t>1.2 Evaluating information sources</w:t>
            </w:r>
            <w:r w:rsidRPr="0094305F">
              <w:rPr>
                <w:webHidden/>
              </w:rPr>
              <w:tab/>
            </w:r>
            <w:r w:rsidR="003E77DD">
              <w:rPr>
                <w:webHidden/>
              </w:rPr>
              <w:t>3</w:t>
            </w:r>
          </w:hyperlink>
        </w:p>
        <w:p w14:paraId="2BB3A205" w14:textId="2DBCB35A" w:rsidR="00A95F4C" w:rsidRPr="0094305F" w:rsidRDefault="00A95F4C">
          <w:pPr>
            <w:pStyle w:val="TOC2"/>
            <w:tabs>
              <w:tab w:val="right" w:leader="dot" w:pos="9016"/>
            </w:tabs>
            <w:rPr>
              <w:rFonts w:asciiTheme="minorHAnsi" w:hAnsiTheme="minorHAnsi" w:cstheme="minorBidi"/>
              <w:b w:val="0"/>
              <w:bCs w:val="0"/>
              <w:sz w:val="24"/>
              <w:szCs w:val="24"/>
            </w:rPr>
          </w:pPr>
          <w:hyperlink w:anchor="_Toc223613457" w:history="1">
            <w:r w:rsidRPr="0094305F">
              <w:rPr>
                <w:rStyle w:val="Hyperlink"/>
              </w:rPr>
              <w:t>1.3 Research Methodologies</w:t>
            </w:r>
            <w:r w:rsidRPr="0094305F">
              <w:rPr>
                <w:webHidden/>
              </w:rPr>
              <w:tab/>
            </w:r>
            <w:r w:rsidR="003E77DD">
              <w:rPr>
                <w:webHidden/>
              </w:rPr>
              <w:t>4</w:t>
            </w:r>
          </w:hyperlink>
        </w:p>
        <w:p w14:paraId="255B5EAD" w14:textId="6F8A30F0" w:rsidR="00A95F4C" w:rsidRPr="0094305F" w:rsidRDefault="00A95F4C">
          <w:pPr>
            <w:pStyle w:val="TOC2"/>
            <w:tabs>
              <w:tab w:val="right" w:leader="dot" w:pos="9016"/>
            </w:tabs>
            <w:rPr>
              <w:rFonts w:asciiTheme="minorHAnsi" w:hAnsiTheme="minorHAnsi" w:cstheme="minorBidi"/>
              <w:b w:val="0"/>
              <w:bCs w:val="0"/>
              <w:sz w:val="24"/>
              <w:szCs w:val="24"/>
            </w:rPr>
          </w:pPr>
          <w:hyperlink w:anchor="_Toc223613458" w:history="1">
            <w:r w:rsidRPr="0094305F">
              <w:rPr>
                <w:rStyle w:val="Hyperlink"/>
              </w:rPr>
              <w:t>1.4 Data Collection</w:t>
            </w:r>
            <w:r w:rsidRPr="0094305F">
              <w:rPr>
                <w:webHidden/>
              </w:rPr>
              <w:tab/>
            </w:r>
            <w:r w:rsidRPr="0094305F">
              <w:rPr>
                <w:webHidden/>
              </w:rPr>
              <w:fldChar w:fldCharType="begin"/>
            </w:r>
            <w:r w:rsidRPr="0094305F">
              <w:rPr>
                <w:webHidden/>
              </w:rPr>
              <w:instrText xml:space="preserve"> PAGEREF _Toc223613458 \h </w:instrText>
            </w:r>
            <w:r w:rsidRPr="0094305F">
              <w:rPr>
                <w:webHidden/>
              </w:rPr>
            </w:r>
            <w:r w:rsidRPr="0094305F">
              <w:rPr>
                <w:webHidden/>
              </w:rPr>
              <w:fldChar w:fldCharType="separate"/>
            </w:r>
            <w:r w:rsidRPr="0094305F">
              <w:rPr>
                <w:webHidden/>
              </w:rPr>
              <w:t>4</w:t>
            </w:r>
            <w:r w:rsidRPr="0094305F">
              <w:rPr>
                <w:webHidden/>
              </w:rPr>
              <w:fldChar w:fldCharType="end"/>
            </w:r>
          </w:hyperlink>
        </w:p>
        <w:p w14:paraId="3D4BE9EA" w14:textId="293D1BFA" w:rsidR="00A95F4C" w:rsidRPr="0094305F" w:rsidRDefault="00A95F4C">
          <w:pPr>
            <w:pStyle w:val="TOC2"/>
            <w:tabs>
              <w:tab w:val="right" w:leader="dot" w:pos="9016"/>
            </w:tabs>
            <w:rPr>
              <w:rFonts w:asciiTheme="minorHAnsi" w:hAnsiTheme="minorHAnsi" w:cstheme="minorBidi"/>
              <w:b w:val="0"/>
              <w:bCs w:val="0"/>
              <w:sz w:val="24"/>
              <w:szCs w:val="24"/>
            </w:rPr>
          </w:pPr>
          <w:hyperlink w:anchor="_Toc223613459" w:history="1">
            <w:r w:rsidRPr="0094305F">
              <w:rPr>
                <w:rStyle w:val="Hyperlink"/>
              </w:rPr>
              <w:t>Conclusion</w:t>
            </w:r>
            <w:r w:rsidRPr="0094305F">
              <w:rPr>
                <w:webHidden/>
              </w:rPr>
              <w:tab/>
            </w:r>
            <w:r w:rsidRPr="0094305F">
              <w:rPr>
                <w:webHidden/>
              </w:rPr>
              <w:fldChar w:fldCharType="begin"/>
            </w:r>
            <w:r w:rsidRPr="0094305F">
              <w:rPr>
                <w:webHidden/>
              </w:rPr>
              <w:instrText xml:space="preserve"> PAGEREF _Toc223613459 \h </w:instrText>
            </w:r>
            <w:r w:rsidRPr="0094305F">
              <w:rPr>
                <w:webHidden/>
              </w:rPr>
            </w:r>
            <w:r w:rsidRPr="0094305F">
              <w:rPr>
                <w:webHidden/>
              </w:rPr>
              <w:fldChar w:fldCharType="separate"/>
            </w:r>
            <w:r w:rsidRPr="0094305F">
              <w:rPr>
                <w:webHidden/>
              </w:rPr>
              <w:t>5</w:t>
            </w:r>
            <w:r w:rsidRPr="0094305F">
              <w:rPr>
                <w:webHidden/>
              </w:rPr>
              <w:fldChar w:fldCharType="end"/>
            </w:r>
          </w:hyperlink>
        </w:p>
        <w:p w14:paraId="24599265" w14:textId="68AC62DA" w:rsidR="00A95F4C" w:rsidRPr="0094305F" w:rsidRDefault="00A95F4C">
          <w:pPr>
            <w:pStyle w:val="TOC2"/>
            <w:tabs>
              <w:tab w:val="right" w:leader="dot" w:pos="9016"/>
            </w:tabs>
            <w:rPr>
              <w:rFonts w:asciiTheme="minorHAnsi" w:hAnsiTheme="minorHAnsi" w:cstheme="minorBidi"/>
              <w:b w:val="0"/>
              <w:bCs w:val="0"/>
              <w:sz w:val="24"/>
              <w:szCs w:val="24"/>
            </w:rPr>
          </w:pPr>
          <w:hyperlink w:anchor="_Toc223613460" w:history="1">
            <w:r w:rsidRPr="0094305F">
              <w:rPr>
                <w:rStyle w:val="Hyperlink"/>
              </w:rPr>
              <w:t>Reference List</w:t>
            </w:r>
            <w:r w:rsidRPr="0094305F">
              <w:rPr>
                <w:webHidden/>
              </w:rPr>
              <w:tab/>
            </w:r>
            <w:r w:rsidR="006B57B6">
              <w:rPr>
                <w:webHidden/>
              </w:rPr>
              <w:t>6</w:t>
            </w:r>
          </w:hyperlink>
        </w:p>
        <w:p w14:paraId="6138A55F" w14:textId="1B52051C" w:rsidR="00184A9A" w:rsidRPr="0094305F" w:rsidRDefault="00184A9A">
          <w:r w:rsidRPr="0094305F">
            <w:rPr>
              <w:b/>
              <w:bCs/>
            </w:rPr>
            <w:fldChar w:fldCharType="end"/>
          </w:r>
        </w:p>
      </w:sdtContent>
    </w:sdt>
    <w:p w14:paraId="4A159F97" w14:textId="77777777" w:rsidR="00ED5964" w:rsidRPr="0094305F" w:rsidRDefault="00ED5964" w:rsidP="00ED5964">
      <w:pPr>
        <w:jc w:val="both"/>
        <w:rPr>
          <w:rFonts w:asciiTheme="minorBidi" w:hAnsiTheme="minorBidi"/>
          <w:b/>
          <w:bCs/>
          <w:sz w:val="28"/>
          <w:szCs w:val="28"/>
        </w:rPr>
      </w:pPr>
    </w:p>
    <w:p w14:paraId="049D5138" w14:textId="77777777" w:rsidR="00674B64" w:rsidRPr="0094305F" w:rsidRDefault="00674B64" w:rsidP="002A5577">
      <w:pPr>
        <w:rPr>
          <w:b/>
          <w:bCs/>
          <w:color w:val="44546A" w:themeColor="text2"/>
          <w:sz w:val="21"/>
          <w:szCs w:val="21"/>
        </w:rPr>
      </w:pPr>
    </w:p>
    <w:p w14:paraId="4AD7A5C1" w14:textId="234A4201" w:rsidR="002A5577" w:rsidRDefault="002A5577" w:rsidP="002A5577">
      <w:pPr>
        <w:rPr>
          <w:b/>
          <w:bCs/>
          <w:color w:val="44546A" w:themeColor="text2"/>
          <w:sz w:val="21"/>
          <w:szCs w:val="21"/>
        </w:rPr>
      </w:pPr>
    </w:p>
    <w:p w14:paraId="54086AE4" w14:textId="77777777" w:rsidR="0079236E" w:rsidRPr="0094305F" w:rsidRDefault="0079236E" w:rsidP="002A5577">
      <w:pPr>
        <w:rPr>
          <w:b/>
          <w:bCs/>
          <w:color w:val="44546A" w:themeColor="text2"/>
          <w:sz w:val="21"/>
          <w:szCs w:val="21"/>
        </w:rPr>
      </w:pPr>
    </w:p>
    <w:p w14:paraId="063FDC2D" w14:textId="77777777" w:rsidR="00D8094E" w:rsidRPr="00D8094E" w:rsidRDefault="00D8094E" w:rsidP="00D8094E">
      <w:pPr>
        <w:spacing w:before="180" w:after="180" w:line="360" w:lineRule="auto"/>
        <w:rPr>
          <w:rFonts w:ascii="Arial" w:eastAsia="Aptos" w:hAnsi="Arial" w:cs="Arial"/>
          <w:b/>
          <w:bCs/>
          <w:kern w:val="0"/>
          <w:sz w:val="22"/>
          <w:u w:val="single"/>
          <w:lang w:eastAsia="en-US"/>
          <w14:ligatures w14:val="none"/>
        </w:rPr>
      </w:pPr>
      <w:r w:rsidRPr="00D8094E">
        <w:rPr>
          <w:rFonts w:ascii="Arial" w:eastAsia="Aptos" w:hAnsi="Arial" w:cs="Arial"/>
          <w:b/>
          <w:bCs/>
          <w:kern w:val="0"/>
          <w:sz w:val="22"/>
          <w:u w:val="single"/>
          <w:lang w:eastAsia="en-US"/>
          <w14:ligatures w14:val="none"/>
        </w:rPr>
        <w:lastRenderedPageBreak/>
        <w:t>Introduction</w:t>
      </w:r>
    </w:p>
    <w:p w14:paraId="5AEE6EFB"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This report critically explores the issue of male mental health within the United Kingdom, a significant and ongoing public health concern characterised by disproportionately high suicide rates and low engagement with mental health services. Despite increasing public awareness and policy attention, men continue to experience poorer mental health outcomes compared to women, particularly in relation to suicide and crisis-level interventions. This highlights a gap between awareness and effective support.</w:t>
      </w:r>
    </w:p>
    <w:p w14:paraId="08247BB6"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The aim of this report is to investigate the underlying causes of poor mental health outcomes among men and to evaluate the research approaches used to study this issue. The objectives include justifying the research topic, critically evaluating relevant information sources, analysing research methodologies, and assessing data collection techniques. The report will also consider the implications of these findings for health and social care practice. Overall, this report adopts a critical and analytical approach to demonstrate a deeper understanding of both the issue and the research processes used to examine it.</w:t>
      </w:r>
    </w:p>
    <w:p w14:paraId="7AAAB780" w14:textId="77777777" w:rsidR="00D8094E" w:rsidRPr="00D8094E" w:rsidRDefault="00D8094E" w:rsidP="00D8094E">
      <w:pPr>
        <w:spacing w:before="180" w:after="180" w:line="360" w:lineRule="auto"/>
        <w:rPr>
          <w:rFonts w:ascii="Arial" w:eastAsia="Aptos" w:hAnsi="Arial" w:cs="Arial"/>
          <w:b/>
          <w:bCs/>
          <w:kern w:val="0"/>
          <w:sz w:val="22"/>
          <w:u w:val="single"/>
          <w:lang w:eastAsia="en-US"/>
          <w14:ligatures w14:val="none"/>
        </w:rPr>
      </w:pPr>
      <w:r w:rsidRPr="00D8094E">
        <w:rPr>
          <w:rFonts w:ascii="Arial" w:eastAsia="Aptos" w:hAnsi="Arial" w:cs="Arial"/>
          <w:b/>
          <w:bCs/>
          <w:kern w:val="0"/>
          <w:sz w:val="22"/>
          <w:u w:val="single"/>
          <w:lang w:eastAsia="en-US"/>
          <w14:ligatures w14:val="none"/>
        </w:rPr>
        <w:t>1.1 Selection of Research Topic</w:t>
      </w:r>
    </w:p>
    <w:p w14:paraId="024EA729"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The issue selected for this research is male mental health in the UK, with a particular focus on the disproportionately high suicide rate among men. Men account for approximately 75% of suicides in the UK, which highlights a clear and persistent gender disparity (Samaritans, 2023). This statistic demonstrates that while mental health conditions affect individuals across all demographics, the consequences for men are often more severe, indicating a failure in early intervention and support systems.</w:t>
      </w:r>
    </w:p>
    <w:p w14:paraId="1E6F7489"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This issue affects men across all age groups; however, evidence suggests that middle-aged men (aged 40–60) are at the greatest risk (ONS, 2022). Critically, this suggests that current mental health services may not be effectively engaging or supporting this demographic. In addition, younger men are increasingly vulnerable due to pressures such as social media influence, identity formation, and societal expectations around masculinity. Therefore, the issue is complex and spans across different stages of life, requiring both preventative and reactive approaches.</w:t>
      </w:r>
    </w:p>
    <w:p w14:paraId="34D67ECB"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The importance of this issue for health and social care organisations lies in the gap between service provision and service utilisation. Although mental health services are widely available through the NHS and third-sector organisations, men are significantly less likely to access them (Mind, 2022). This raises critical concerns about whether services are designed in a way that meets the needs of male service users. For staff, this presents a challenge in identifying and supporting men who may not openly express distress.</w:t>
      </w:r>
    </w:p>
    <w:p w14:paraId="23CB061E"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lastRenderedPageBreak/>
        <w:t>The justification for this research is both social and professional. Socially, the rising awareness of male suicide rates demonstrates the urgency of addressing this issue. Professionally, developing an understanding of male mental health is essential for delivering effective, person-centred care within health and social care settings. This research contributes to personal and professional development by strengthening analytical, evaluative, and research skills, which are essential for evidence-based practice.</w:t>
      </w:r>
    </w:p>
    <w:p w14:paraId="3EB6749B" w14:textId="77777777" w:rsidR="00D8094E" w:rsidRPr="00D8094E" w:rsidRDefault="00D8094E" w:rsidP="00D8094E">
      <w:pPr>
        <w:spacing w:before="180" w:after="180" w:line="360" w:lineRule="auto"/>
        <w:rPr>
          <w:rFonts w:ascii="Arial" w:eastAsia="Aptos" w:hAnsi="Arial" w:cs="Arial"/>
          <w:b/>
          <w:bCs/>
          <w:kern w:val="0"/>
          <w:sz w:val="22"/>
          <w:u w:val="single"/>
          <w:lang w:eastAsia="en-US"/>
          <w14:ligatures w14:val="none"/>
        </w:rPr>
      </w:pPr>
      <w:r w:rsidRPr="00D8094E">
        <w:rPr>
          <w:rFonts w:ascii="Arial" w:eastAsia="Aptos" w:hAnsi="Arial" w:cs="Arial"/>
          <w:b/>
          <w:bCs/>
          <w:kern w:val="0"/>
          <w:sz w:val="22"/>
          <w:u w:val="single"/>
          <w:lang w:eastAsia="en-US"/>
          <w14:ligatures w14:val="none"/>
        </w:rPr>
        <w:t>1.2 Evaluating Information Sources</w:t>
      </w:r>
    </w:p>
    <w:p w14:paraId="78A431A0"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This research uses a range of secondary sources, including charity reports, government statistics, and peer-reviewed academic literature. Key sources include Samaritans (2023), Mind (2022), Office for National Statistics (2022), Addis and Mahalik (2003), and Seidler et al. (2016). These sources provide both quantitative and qualitative insights, allowing for a comprehensive and balanced analysis of the issue.</w:t>
      </w:r>
    </w:p>
    <w:p w14:paraId="4E10C6BA"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The Samaritans (2023) report provides detailed statistical data on suicide rates and highlights key contributing factors such as economic hardship, social isolation, and lack of emotional support. While this source is highly relevant, it is important to critically acknowledge that charity-based reports may emphasise certain findings to support awareness campaigns. However, this limitation is mitigated by cross-referencing with ONS (2022) data, which is widely recognised for its reliability due to rigorous data collection methods and large sample sizes.</w:t>
      </w:r>
    </w:p>
    <w:p w14:paraId="74A4B44B"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Mind (2022) offers valuable insight into help-seeking behaviours, highlighting that men are less likely to access therapy or support services. This finding is supported by Seidler et al. (2016), who argue that traditional masculinity norms discourage men from expressing vulnerability. The consistency between these sources strengthens their credibility and suggests a well-established pattern within the literature.</w:t>
      </w:r>
    </w:p>
    <w:p w14:paraId="6DA5A292"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Using the CRAAP test, these sources demonstrate strong reliability. In terms of currency, all sources are recent and relevant to current UK contexts. Authority is high, particularly for government data and peer-reviewed journals. Accuracy is supported through evidence-based findings, although some sources rely on interpretation rather than primary data. Purpose is primarily to inform and educate; however, potential bias in charity reports must be considered.</w:t>
      </w:r>
    </w:p>
    <w:p w14:paraId="065AA8AA"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 xml:space="preserve">Critically, while these sources provide a strong foundation for understanding male mental health, there are notable gaps. For example, there is limited research focusing on intersectionality, such as how ethnicity, socio-economic status, or sexuality may further influence male mental health outcomes. Additionally, there is insufficient evaluation of the </w:t>
      </w:r>
      <w:r w:rsidRPr="00D8094E">
        <w:rPr>
          <w:rFonts w:ascii="Arial" w:eastAsia="Aptos" w:hAnsi="Arial" w:cs="Arial"/>
          <w:kern w:val="0"/>
          <w:sz w:val="22"/>
          <w:lang w:eastAsia="en-US"/>
          <w14:ligatures w14:val="none"/>
        </w:rPr>
        <w:lastRenderedPageBreak/>
        <w:t>effectiveness of existing interventions. This suggests that while the causes of the issue are well documented, solutions are less clearly defined. Identifying these gaps demonstrates a deeper level of critical engagement with the literature.</w:t>
      </w:r>
    </w:p>
    <w:p w14:paraId="5F052B57" w14:textId="77777777" w:rsidR="00D8094E" w:rsidRPr="00D8094E" w:rsidRDefault="00D8094E" w:rsidP="00D8094E">
      <w:pPr>
        <w:spacing w:before="180" w:after="180" w:line="360" w:lineRule="auto"/>
        <w:rPr>
          <w:rFonts w:ascii="Arial" w:eastAsia="Aptos" w:hAnsi="Arial" w:cs="Arial"/>
          <w:b/>
          <w:bCs/>
          <w:kern w:val="0"/>
          <w:sz w:val="22"/>
          <w:u w:val="single"/>
          <w:lang w:eastAsia="en-US"/>
          <w14:ligatures w14:val="none"/>
        </w:rPr>
      </w:pPr>
      <w:r w:rsidRPr="00D8094E">
        <w:rPr>
          <w:rFonts w:ascii="Arial" w:eastAsia="Aptos" w:hAnsi="Arial" w:cs="Arial"/>
          <w:b/>
          <w:bCs/>
          <w:kern w:val="0"/>
          <w:sz w:val="22"/>
          <w:u w:val="single"/>
          <w:lang w:eastAsia="en-US"/>
          <w14:ligatures w14:val="none"/>
        </w:rPr>
        <w:t>1.3 Research Methodologies</w:t>
      </w:r>
    </w:p>
    <w:p w14:paraId="645CA18A"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Research methodologies refer to the structured approaches used to investigate a research question and produce reliable knowledge (Creswell, 2014). The three main types are qualitative, quantitative, and mixed-methods research. Qualitative research focuses on exploring experiences, meanings, and perceptions, often through interviews or observations. Quantitative research involves numerical data and statistical analysis, allowing researchers to identify patterns and trends. Mixed-methods research combines both approaches to provide a more comprehensive understanding of complex issues.</w:t>
      </w:r>
    </w:p>
    <w:p w14:paraId="50AE0B6A"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In the context of male mental health, quantitative methods are particularly useful for identifying patterns, such as suicide rates and service usage statistics reported by the ONS (2022). However, a key limitation of quantitative research is that it does not explain the underlying reasons behind these patterns. For example, while statistics can show that men are less likely to seek help, they cannot fully explain why this is the case.</w:t>
      </w:r>
    </w:p>
    <w:p w14:paraId="3FF8CB02"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Qualitative research addresses this limitation by exploring personal experiences and social influences, such as stigma and societal expectations around masculinity (Seidler et al., 2016). This type of research provides depth and context, allowing for a better understanding of behavioural patterns.</w:t>
      </w:r>
    </w:p>
    <w:p w14:paraId="4690DBFA"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A mixed-methods approach is therefore the most appropriate for this research. This approach allows for both breadth and depth, enabling the researcher to combine statistical evidence with personal insights. Critically, mixed-methods research allows for triangulation, which improves the validity and reliability of findings. However, it is important to acknowledge that this approach can be more complex and time-consuming to implement. Despite this limitation, its ability to provide a holistic understanding of complex social issues justifies its use.</w:t>
      </w:r>
    </w:p>
    <w:p w14:paraId="3E53CDE7" w14:textId="77777777" w:rsidR="00D8094E" w:rsidRPr="00D8094E" w:rsidRDefault="00D8094E" w:rsidP="00D8094E">
      <w:pPr>
        <w:spacing w:before="180" w:after="180" w:line="360" w:lineRule="auto"/>
        <w:rPr>
          <w:rFonts w:ascii="Arial" w:eastAsia="Aptos" w:hAnsi="Arial" w:cs="Arial"/>
          <w:b/>
          <w:bCs/>
          <w:kern w:val="0"/>
          <w:sz w:val="22"/>
          <w:u w:val="single"/>
          <w:lang w:eastAsia="en-US"/>
          <w14:ligatures w14:val="none"/>
        </w:rPr>
      </w:pPr>
      <w:r w:rsidRPr="00D8094E">
        <w:rPr>
          <w:rFonts w:ascii="Arial" w:eastAsia="Aptos" w:hAnsi="Arial" w:cs="Arial"/>
          <w:b/>
          <w:bCs/>
          <w:kern w:val="0"/>
          <w:sz w:val="22"/>
          <w:u w:val="single"/>
          <w:lang w:eastAsia="en-US"/>
          <w14:ligatures w14:val="none"/>
        </w:rPr>
        <w:t>1.4 Data Collection</w:t>
      </w:r>
    </w:p>
    <w:p w14:paraId="300EE6B8"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Data collection refers to the process of gathering information to answer a research question (Bryman, 2016). There are two main types: primary and secondary data collection. Primary data is collected directly by the researcher through methods such as interviews, surveys, or observations. Secondary data involves analysing existing information, such as reports, statistics, and academic studies.</w:t>
      </w:r>
    </w:p>
    <w:p w14:paraId="46B5E57A"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lastRenderedPageBreak/>
        <w:t>This research primarily uses secondary data, including reports from Samaritans (2023), Mind (2022), and statistical data from ONS (2022). A key advantage of secondary data is that it allows access to large-scale, reliable datasets, which enhances the credibility of the research. It is also time-efficient and cost-effective, making it practical for academic research.</w:t>
      </w:r>
    </w:p>
    <w:p w14:paraId="4B3161D8"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However, there are limitations to using secondary data. The researcher has no control over how the data was originally collected, which may affect its relevance or accuracy. Additionally, secondary data may not fully address specific research questions, particularly those relating to personal experiences.</w:t>
      </w:r>
    </w:p>
    <w:p w14:paraId="40838438"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Primary data, such as interviews with men about their mental health experiences, could provide deeper insights into attitudes, behaviours, and barriers to help-seeking. However, collecting primary data would require ethical approval, time, and resources. It may also present challenges in terms of participant recruitment and reliability.</w:t>
      </w:r>
    </w:p>
    <w:p w14:paraId="10742FA3"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The sources used in this research demonstrate a combination of both data types. For example, ONS data is collected through surveys (primary data), while reports from organisations such as Samaritans analyse and interpret this data (secondary data). Overall, while secondary data is appropriate for this study, incorporating primary data in future research would enhance the depth and validity of findings.</w:t>
      </w:r>
    </w:p>
    <w:p w14:paraId="54544B24" w14:textId="77777777" w:rsidR="00D8094E" w:rsidRPr="00D8094E" w:rsidRDefault="00D8094E" w:rsidP="00D8094E">
      <w:pPr>
        <w:spacing w:before="180" w:after="180" w:line="360" w:lineRule="auto"/>
        <w:rPr>
          <w:rFonts w:ascii="Arial" w:eastAsia="Aptos" w:hAnsi="Arial" w:cs="Arial"/>
          <w:b/>
          <w:bCs/>
          <w:kern w:val="0"/>
          <w:sz w:val="22"/>
          <w:u w:val="single"/>
          <w:lang w:eastAsia="en-US"/>
          <w14:ligatures w14:val="none"/>
        </w:rPr>
      </w:pPr>
      <w:r w:rsidRPr="00D8094E">
        <w:rPr>
          <w:rFonts w:ascii="Arial" w:eastAsia="Aptos" w:hAnsi="Arial" w:cs="Arial"/>
          <w:b/>
          <w:bCs/>
          <w:kern w:val="0"/>
          <w:sz w:val="22"/>
          <w:u w:val="single"/>
          <w:lang w:eastAsia="en-US"/>
          <w14:ligatures w14:val="none"/>
        </w:rPr>
        <w:t>Conclusion</w:t>
      </w:r>
    </w:p>
    <w:p w14:paraId="40D3967E"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This report critically examined male mental health in the UK and evaluated the research approaches used to study this issue. The findings indicate that men experience significantly poorer mental health outcomes due to factors such as societal expectations, low help-seeking behaviour, and social isolation. A mixed-methods approach was identified as the most effective way to understand this complex issue, as it combines statistical data with personal insights.</w:t>
      </w:r>
    </w:p>
    <w:p w14:paraId="104147A1" w14:textId="77777777" w:rsidR="00D8094E" w:rsidRPr="00D8094E" w:rsidRDefault="00D8094E" w:rsidP="00D8094E">
      <w:pPr>
        <w:spacing w:before="180" w:after="180" w:line="360" w:lineRule="auto"/>
        <w:rPr>
          <w:rFonts w:ascii="Arial" w:eastAsia="Aptos" w:hAnsi="Arial" w:cs="Arial"/>
          <w:kern w:val="0"/>
          <w:sz w:val="22"/>
          <w:lang w:eastAsia="en-US"/>
          <w14:ligatures w14:val="none"/>
        </w:rPr>
      </w:pPr>
      <w:r w:rsidRPr="00D8094E">
        <w:rPr>
          <w:rFonts w:ascii="Arial" w:eastAsia="Aptos" w:hAnsi="Arial" w:cs="Arial"/>
          <w:kern w:val="0"/>
          <w:sz w:val="22"/>
          <w:lang w:eastAsia="en-US"/>
          <w14:ligatures w14:val="none"/>
        </w:rPr>
        <w:t>While the research provides valuable understanding, limitations remain, particularly in relation to the effectiveness of interventions and the lack of focus on diverse populations. Therefore, further research is necessary to develop more targeted, inclusive, and effective strategies to improve male mental health outcomes in the UK.</w:t>
      </w:r>
    </w:p>
    <w:p w14:paraId="74AC4940" w14:textId="77777777" w:rsidR="00D8094E" w:rsidRDefault="00D8094E" w:rsidP="004E701B">
      <w:pPr>
        <w:spacing w:before="180" w:after="180" w:line="360" w:lineRule="auto"/>
        <w:rPr>
          <w:rFonts w:ascii="Arial" w:eastAsia="Aptos" w:hAnsi="Arial" w:cs="Arial"/>
          <w:kern w:val="0"/>
          <w:sz w:val="22"/>
          <w:lang w:eastAsia="en-US"/>
          <w14:ligatures w14:val="none"/>
        </w:rPr>
      </w:pPr>
    </w:p>
    <w:p w14:paraId="0D246B24" w14:textId="77777777" w:rsidR="00D8094E" w:rsidRDefault="00D8094E" w:rsidP="004E701B">
      <w:pPr>
        <w:spacing w:before="180" w:after="180" w:line="360" w:lineRule="auto"/>
        <w:rPr>
          <w:rFonts w:ascii="Arial" w:eastAsia="Aptos" w:hAnsi="Arial" w:cs="Arial"/>
          <w:kern w:val="0"/>
          <w:sz w:val="22"/>
          <w:lang w:eastAsia="en-US"/>
          <w14:ligatures w14:val="none"/>
        </w:rPr>
      </w:pPr>
    </w:p>
    <w:p w14:paraId="29B675F1" w14:textId="77777777" w:rsidR="00D8094E" w:rsidRDefault="00D8094E" w:rsidP="004E701B">
      <w:pPr>
        <w:spacing w:before="180" w:after="180" w:line="360" w:lineRule="auto"/>
        <w:rPr>
          <w:rFonts w:ascii="Arial" w:eastAsia="Aptos" w:hAnsi="Arial" w:cs="Arial"/>
          <w:kern w:val="0"/>
          <w:sz w:val="22"/>
          <w:lang w:eastAsia="en-US"/>
          <w14:ligatures w14:val="none"/>
        </w:rPr>
      </w:pPr>
    </w:p>
    <w:p w14:paraId="7CA8EEBC" w14:textId="77777777" w:rsidR="00D8094E" w:rsidRDefault="00D8094E" w:rsidP="004E701B">
      <w:pPr>
        <w:spacing w:before="180" w:after="180" w:line="360" w:lineRule="auto"/>
        <w:rPr>
          <w:rFonts w:ascii="Arial" w:eastAsia="Aptos" w:hAnsi="Arial" w:cs="Arial"/>
          <w:kern w:val="0"/>
          <w:sz w:val="22"/>
          <w:lang w:eastAsia="en-US"/>
          <w14:ligatures w14:val="none"/>
        </w:rPr>
      </w:pPr>
    </w:p>
    <w:p w14:paraId="7DE4BDB2" w14:textId="57D760C9" w:rsidR="004E701B" w:rsidRPr="004E701B" w:rsidRDefault="004E701B" w:rsidP="004E701B">
      <w:pPr>
        <w:spacing w:before="180" w:after="180" w:line="360" w:lineRule="auto"/>
        <w:rPr>
          <w:rFonts w:ascii="Arial" w:eastAsia="Aptos" w:hAnsi="Arial" w:cs="Arial"/>
          <w:kern w:val="0"/>
          <w:sz w:val="22"/>
          <w:lang w:eastAsia="en-US"/>
          <w14:ligatures w14:val="none"/>
        </w:rPr>
      </w:pPr>
      <w:r w:rsidRPr="004E701B">
        <w:rPr>
          <w:rFonts w:ascii="Arial" w:eastAsia="Aptos" w:hAnsi="Arial" w:cs="Arial"/>
          <w:kern w:val="0"/>
          <w:sz w:val="22"/>
          <w:lang w:eastAsia="en-US"/>
          <w14:ligatures w14:val="none"/>
        </w:rPr>
        <w:t>Reference List</w:t>
      </w:r>
    </w:p>
    <w:p w14:paraId="4B4E4EE6" w14:textId="77777777" w:rsidR="004E701B" w:rsidRPr="004E701B" w:rsidRDefault="004E701B" w:rsidP="004E701B">
      <w:pPr>
        <w:spacing w:before="180" w:after="180" w:line="360" w:lineRule="auto"/>
        <w:rPr>
          <w:rFonts w:ascii="Arial" w:eastAsia="Aptos" w:hAnsi="Arial" w:cs="Arial"/>
          <w:kern w:val="0"/>
          <w:sz w:val="22"/>
          <w:lang w:eastAsia="en-US"/>
          <w14:ligatures w14:val="none"/>
        </w:rPr>
      </w:pPr>
      <w:r w:rsidRPr="004E701B">
        <w:rPr>
          <w:rFonts w:ascii="Arial" w:eastAsia="Aptos" w:hAnsi="Arial" w:cs="Arial"/>
          <w:kern w:val="0"/>
          <w:sz w:val="22"/>
          <w:lang w:eastAsia="en-US"/>
          <w14:ligatures w14:val="none"/>
        </w:rPr>
        <w:t>Addis, M.E. and Mahalik, J.R. (2003) ‘Men, masculinity, and the contexts of help seeking’, American Psychologist, 58(1), pp. 5–14.</w:t>
      </w:r>
    </w:p>
    <w:p w14:paraId="1635A380" w14:textId="77777777" w:rsidR="004E701B" w:rsidRPr="004E701B" w:rsidRDefault="004E701B" w:rsidP="004E701B">
      <w:pPr>
        <w:spacing w:before="180" w:after="180" w:line="360" w:lineRule="auto"/>
        <w:rPr>
          <w:rFonts w:ascii="Arial" w:eastAsia="Aptos" w:hAnsi="Arial" w:cs="Arial"/>
          <w:kern w:val="0"/>
          <w:sz w:val="22"/>
          <w:lang w:eastAsia="en-US"/>
          <w14:ligatures w14:val="none"/>
        </w:rPr>
      </w:pPr>
      <w:r w:rsidRPr="004E701B">
        <w:rPr>
          <w:rFonts w:ascii="Arial" w:eastAsia="Aptos" w:hAnsi="Arial" w:cs="Arial"/>
          <w:kern w:val="0"/>
          <w:sz w:val="22"/>
          <w:lang w:eastAsia="en-US"/>
          <w14:ligatures w14:val="none"/>
        </w:rPr>
        <w:t>Bryman, A. (2016) Social Research Methods. 5th edn. Oxford: Oxford University Press.</w:t>
      </w:r>
    </w:p>
    <w:p w14:paraId="22CE2617" w14:textId="77777777" w:rsidR="004E701B" w:rsidRPr="004E701B" w:rsidRDefault="004E701B" w:rsidP="004E701B">
      <w:pPr>
        <w:spacing w:before="180" w:after="180" w:line="360" w:lineRule="auto"/>
        <w:rPr>
          <w:rFonts w:ascii="Arial" w:eastAsia="Aptos" w:hAnsi="Arial" w:cs="Arial"/>
          <w:kern w:val="0"/>
          <w:sz w:val="22"/>
          <w:lang w:eastAsia="en-US"/>
          <w14:ligatures w14:val="none"/>
        </w:rPr>
      </w:pPr>
      <w:r w:rsidRPr="004E701B">
        <w:rPr>
          <w:rFonts w:ascii="Arial" w:eastAsia="Aptos" w:hAnsi="Arial" w:cs="Arial"/>
          <w:kern w:val="0"/>
          <w:sz w:val="22"/>
          <w:lang w:eastAsia="en-US"/>
          <w14:ligatures w14:val="none"/>
        </w:rPr>
        <w:t>Creswell, J.W. (2014) Research Design: Qualitative, Quantitative, and Mixed Methods Approaches. 4th edn. London: Sage.</w:t>
      </w:r>
    </w:p>
    <w:p w14:paraId="599809DC" w14:textId="77777777" w:rsidR="004E701B" w:rsidRPr="004E701B" w:rsidRDefault="004E701B" w:rsidP="004E701B">
      <w:pPr>
        <w:spacing w:before="180" w:after="180" w:line="360" w:lineRule="auto"/>
        <w:rPr>
          <w:rFonts w:ascii="Arial" w:eastAsia="Aptos" w:hAnsi="Arial" w:cs="Arial"/>
          <w:kern w:val="0"/>
          <w:sz w:val="22"/>
          <w:lang w:eastAsia="en-US"/>
          <w14:ligatures w14:val="none"/>
        </w:rPr>
      </w:pPr>
      <w:r w:rsidRPr="004E701B">
        <w:rPr>
          <w:rFonts w:ascii="Arial" w:eastAsia="Aptos" w:hAnsi="Arial" w:cs="Arial"/>
          <w:kern w:val="0"/>
          <w:sz w:val="22"/>
          <w:lang w:eastAsia="en-US"/>
          <w14:ligatures w14:val="none"/>
        </w:rPr>
        <w:t>Mind (2022) Men’s mental health facts. Available at: https://www.mind.org.uk (Accessed: 26 March 2026).</w:t>
      </w:r>
    </w:p>
    <w:p w14:paraId="38BF1E08" w14:textId="77777777" w:rsidR="004E701B" w:rsidRPr="004E701B" w:rsidRDefault="004E701B" w:rsidP="004E701B">
      <w:pPr>
        <w:spacing w:before="180" w:after="180" w:line="360" w:lineRule="auto"/>
        <w:rPr>
          <w:rFonts w:ascii="Arial" w:eastAsia="Aptos" w:hAnsi="Arial" w:cs="Arial"/>
          <w:kern w:val="0"/>
          <w:sz w:val="22"/>
          <w:lang w:eastAsia="en-US"/>
          <w14:ligatures w14:val="none"/>
        </w:rPr>
      </w:pPr>
      <w:r w:rsidRPr="004E701B">
        <w:rPr>
          <w:rFonts w:ascii="Arial" w:eastAsia="Aptos" w:hAnsi="Arial" w:cs="Arial"/>
          <w:kern w:val="0"/>
          <w:sz w:val="22"/>
          <w:lang w:eastAsia="en-US"/>
          <w14:ligatures w14:val="none"/>
        </w:rPr>
        <w:t>Office for National Statistics (2022) Suicides in England and Wales. Available at: https://www.ons.gov.uk (Accessed: 26 March 2026).</w:t>
      </w:r>
    </w:p>
    <w:p w14:paraId="16EFDBF8" w14:textId="77777777" w:rsidR="004E701B" w:rsidRPr="004E701B" w:rsidRDefault="004E701B" w:rsidP="004E701B">
      <w:pPr>
        <w:spacing w:before="180" w:after="180" w:line="360" w:lineRule="auto"/>
        <w:rPr>
          <w:rFonts w:ascii="Arial" w:eastAsia="Aptos" w:hAnsi="Arial" w:cs="Arial"/>
          <w:kern w:val="0"/>
          <w:sz w:val="22"/>
          <w:lang w:eastAsia="en-US"/>
          <w14:ligatures w14:val="none"/>
        </w:rPr>
      </w:pPr>
      <w:r w:rsidRPr="004E701B">
        <w:rPr>
          <w:rFonts w:ascii="Arial" w:eastAsia="Aptos" w:hAnsi="Arial" w:cs="Arial"/>
          <w:kern w:val="0"/>
          <w:sz w:val="22"/>
          <w:lang w:eastAsia="en-US"/>
          <w14:ligatures w14:val="none"/>
        </w:rPr>
        <w:t>Samaritans (2023) Suicide statistics report. Available at: https://www.samaritans.org (Accessed: 26 March 2026).</w:t>
      </w:r>
    </w:p>
    <w:p w14:paraId="0AD68261" w14:textId="77777777" w:rsidR="004E701B" w:rsidRPr="004E701B" w:rsidRDefault="004E701B" w:rsidP="004E701B">
      <w:pPr>
        <w:spacing w:before="180" w:after="180" w:line="360" w:lineRule="auto"/>
        <w:rPr>
          <w:rFonts w:ascii="Arial" w:eastAsia="Aptos" w:hAnsi="Arial" w:cs="Arial"/>
          <w:kern w:val="0"/>
          <w:sz w:val="22"/>
          <w:lang w:eastAsia="en-US"/>
          <w14:ligatures w14:val="none"/>
        </w:rPr>
      </w:pPr>
      <w:r w:rsidRPr="004E701B">
        <w:rPr>
          <w:rFonts w:ascii="Arial" w:eastAsia="Aptos" w:hAnsi="Arial" w:cs="Arial"/>
          <w:kern w:val="0"/>
          <w:sz w:val="22"/>
          <w:lang w:eastAsia="en-US"/>
          <w14:ligatures w14:val="none"/>
        </w:rPr>
        <w:t>Seidler, Z.E. et al. (2016) ‘The role of masculinity in men’s help-seeking for depression’, Clinical Psychology Review, 49, pp. 106–118.</w:t>
      </w:r>
    </w:p>
    <w:p w14:paraId="1D0F2D59" w14:textId="4401E864" w:rsidR="004552CE" w:rsidRPr="00882EDA" w:rsidRDefault="004552CE" w:rsidP="00882EDA">
      <w:pPr>
        <w:spacing w:before="180" w:after="180" w:line="360" w:lineRule="auto"/>
        <w:rPr>
          <w:rFonts w:ascii="Arial" w:eastAsia="Aptos" w:hAnsi="Arial" w:cs="Arial"/>
          <w:kern w:val="0"/>
          <w:sz w:val="22"/>
          <w:lang w:eastAsia="en-US"/>
          <w14:ligatures w14:val="none"/>
        </w:rPr>
      </w:pPr>
    </w:p>
    <w:sectPr w:rsidR="004552CE" w:rsidRPr="00882ED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80254A" w14:textId="77777777" w:rsidR="00D4674C" w:rsidRPr="0094305F" w:rsidRDefault="00D4674C" w:rsidP="003C7C97">
      <w:pPr>
        <w:spacing w:after="0" w:line="240" w:lineRule="auto"/>
      </w:pPr>
      <w:r w:rsidRPr="0094305F">
        <w:separator/>
      </w:r>
    </w:p>
  </w:endnote>
  <w:endnote w:type="continuationSeparator" w:id="0">
    <w:p w14:paraId="349E8BF3" w14:textId="77777777" w:rsidR="00D4674C" w:rsidRPr="0094305F" w:rsidRDefault="00D4674C" w:rsidP="003C7C97">
      <w:pPr>
        <w:spacing w:after="0" w:line="240" w:lineRule="auto"/>
      </w:pPr>
      <w:r w:rsidRPr="0094305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0040141"/>
      <w:docPartObj>
        <w:docPartGallery w:val="Page Numbers (Bottom of Page)"/>
        <w:docPartUnique/>
      </w:docPartObj>
    </w:sdtPr>
    <w:sdtEndPr>
      <w:rPr>
        <w:noProof/>
      </w:rPr>
    </w:sdtEndPr>
    <w:sdtContent>
      <w:p w14:paraId="43AFC803" w14:textId="39D21D5F" w:rsidR="00213575" w:rsidRDefault="00213575">
        <w:pPr>
          <w:pStyle w:val="Footer"/>
        </w:pPr>
        <w:r>
          <w:fldChar w:fldCharType="begin"/>
        </w:r>
        <w:r>
          <w:instrText xml:space="preserve"> PAGE   \* MERGEFORMAT </w:instrText>
        </w:r>
        <w:r>
          <w:fldChar w:fldCharType="separate"/>
        </w:r>
        <w:r>
          <w:rPr>
            <w:noProof/>
          </w:rPr>
          <w:t>2</w:t>
        </w:r>
        <w:r>
          <w:rPr>
            <w:noProof/>
          </w:rPr>
          <w:fldChar w:fldCharType="end"/>
        </w:r>
      </w:p>
    </w:sdtContent>
  </w:sdt>
  <w:p w14:paraId="34AA2E6D" w14:textId="77777777" w:rsidR="00213575" w:rsidRDefault="00213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D78E52" w14:textId="77777777" w:rsidR="00D4674C" w:rsidRPr="0094305F" w:rsidRDefault="00D4674C" w:rsidP="003C7C97">
      <w:pPr>
        <w:spacing w:after="0" w:line="240" w:lineRule="auto"/>
      </w:pPr>
      <w:r w:rsidRPr="0094305F">
        <w:separator/>
      </w:r>
    </w:p>
  </w:footnote>
  <w:footnote w:type="continuationSeparator" w:id="0">
    <w:p w14:paraId="0917CEFF" w14:textId="77777777" w:rsidR="00D4674C" w:rsidRPr="0094305F" w:rsidRDefault="00D4674C" w:rsidP="003C7C97">
      <w:pPr>
        <w:spacing w:after="0" w:line="240" w:lineRule="auto"/>
      </w:pPr>
      <w:r w:rsidRPr="0094305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A55F7"/>
    <w:multiLevelType w:val="hybridMultilevel"/>
    <w:tmpl w:val="5E6CA7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9583561"/>
    <w:multiLevelType w:val="hybridMultilevel"/>
    <w:tmpl w:val="72FCCF76"/>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0"/>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1065684592">
    <w:abstractNumId w:val="8"/>
  </w:num>
  <w:num w:numId="23" w16cid:durableId="8358087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00D3"/>
    <w:rsid w:val="00022C42"/>
    <w:rsid w:val="00027B15"/>
    <w:rsid w:val="00030A05"/>
    <w:rsid w:val="00031FAA"/>
    <w:rsid w:val="00070818"/>
    <w:rsid w:val="0007648A"/>
    <w:rsid w:val="0009688B"/>
    <w:rsid w:val="000A1A55"/>
    <w:rsid w:val="000B7E92"/>
    <w:rsid w:val="000C51B7"/>
    <w:rsid w:val="000C7F0C"/>
    <w:rsid w:val="000D2813"/>
    <w:rsid w:val="000D48E7"/>
    <w:rsid w:val="000D541B"/>
    <w:rsid w:val="00125D37"/>
    <w:rsid w:val="00127C1A"/>
    <w:rsid w:val="00150D81"/>
    <w:rsid w:val="00160F33"/>
    <w:rsid w:val="0018419E"/>
    <w:rsid w:val="00184A9A"/>
    <w:rsid w:val="001944FB"/>
    <w:rsid w:val="001A39C1"/>
    <w:rsid w:val="001D2D82"/>
    <w:rsid w:val="001E30CB"/>
    <w:rsid w:val="001F33DE"/>
    <w:rsid w:val="001F7FEA"/>
    <w:rsid w:val="00213575"/>
    <w:rsid w:val="002205D4"/>
    <w:rsid w:val="00222E92"/>
    <w:rsid w:val="00226D31"/>
    <w:rsid w:val="002370CE"/>
    <w:rsid w:val="002534DC"/>
    <w:rsid w:val="00267A35"/>
    <w:rsid w:val="00283668"/>
    <w:rsid w:val="002A5577"/>
    <w:rsid w:val="002B58E7"/>
    <w:rsid w:val="002C3BC7"/>
    <w:rsid w:val="002F5066"/>
    <w:rsid w:val="002F7E0A"/>
    <w:rsid w:val="00307E3D"/>
    <w:rsid w:val="00310245"/>
    <w:rsid w:val="00323D27"/>
    <w:rsid w:val="003458DB"/>
    <w:rsid w:val="00353422"/>
    <w:rsid w:val="00363E9D"/>
    <w:rsid w:val="00364C35"/>
    <w:rsid w:val="00385AF7"/>
    <w:rsid w:val="00393DFC"/>
    <w:rsid w:val="00395581"/>
    <w:rsid w:val="00396F60"/>
    <w:rsid w:val="003975FF"/>
    <w:rsid w:val="003A51D6"/>
    <w:rsid w:val="003C7C97"/>
    <w:rsid w:val="003E77DD"/>
    <w:rsid w:val="003E7B11"/>
    <w:rsid w:val="003F1305"/>
    <w:rsid w:val="00406B8D"/>
    <w:rsid w:val="00410068"/>
    <w:rsid w:val="004117D3"/>
    <w:rsid w:val="0042295C"/>
    <w:rsid w:val="00426EEC"/>
    <w:rsid w:val="004552CE"/>
    <w:rsid w:val="004739A4"/>
    <w:rsid w:val="00481FF7"/>
    <w:rsid w:val="004E0761"/>
    <w:rsid w:val="004E701B"/>
    <w:rsid w:val="004F1A6E"/>
    <w:rsid w:val="004F3510"/>
    <w:rsid w:val="00500295"/>
    <w:rsid w:val="00510EB8"/>
    <w:rsid w:val="005115E8"/>
    <w:rsid w:val="00516E6D"/>
    <w:rsid w:val="00527AFA"/>
    <w:rsid w:val="005419DA"/>
    <w:rsid w:val="005709B1"/>
    <w:rsid w:val="00572B3B"/>
    <w:rsid w:val="00574938"/>
    <w:rsid w:val="00585F43"/>
    <w:rsid w:val="00587C58"/>
    <w:rsid w:val="005A7FD4"/>
    <w:rsid w:val="005B1A84"/>
    <w:rsid w:val="005D5003"/>
    <w:rsid w:val="005D5457"/>
    <w:rsid w:val="00607A77"/>
    <w:rsid w:val="00612DEA"/>
    <w:rsid w:val="00615F5D"/>
    <w:rsid w:val="006232DF"/>
    <w:rsid w:val="00631865"/>
    <w:rsid w:val="00631F2E"/>
    <w:rsid w:val="006457C0"/>
    <w:rsid w:val="00661758"/>
    <w:rsid w:val="00661BA5"/>
    <w:rsid w:val="00674B64"/>
    <w:rsid w:val="0067612C"/>
    <w:rsid w:val="00690247"/>
    <w:rsid w:val="006A5CFC"/>
    <w:rsid w:val="006B57B6"/>
    <w:rsid w:val="006C5138"/>
    <w:rsid w:val="006D5102"/>
    <w:rsid w:val="006E2C55"/>
    <w:rsid w:val="006E6EE5"/>
    <w:rsid w:val="006F0029"/>
    <w:rsid w:val="007049DA"/>
    <w:rsid w:val="0070530C"/>
    <w:rsid w:val="00750FD8"/>
    <w:rsid w:val="00754D5C"/>
    <w:rsid w:val="00774092"/>
    <w:rsid w:val="00776FF9"/>
    <w:rsid w:val="00782830"/>
    <w:rsid w:val="0078708B"/>
    <w:rsid w:val="0079236E"/>
    <w:rsid w:val="007B0F6D"/>
    <w:rsid w:val="007C533A"/>
    <w:rsid w:val="007C62C3"/>
    <w:rsid w:val="007C686B"/>
    <w:rsid w:val="007F0873"/>
    <w:rsid w:val="007F2408"/>
    <w:rsid w:val="007F6D23"/>
    <w:rsid w:val="008019A0"/>
    <w:rsid w:val="0080421D"/>
    <w:rsid w:val="00814D2F"/>
    <w:rsid w:val="00815117"/>
    <w:rsid w:val="00816C3F"/>
    <w:rsid w:val="008521BD"/>
    <w:rsid w:val="00855F34"/>
    <w:rsid w:val="008826B6"/>
    <w:rsid w:val="00882EDA"/>
    <w:rsid w:val="008A62C3"/>
    <w:rsid w:val="008B0B22"/>
    <w:rsid w:val="008C12BD"/>
    <w:rsid w:val="008C58B0"/>
    <w:rsid w:val="008D0E85"/>
    <w:rsid w:val="00926458"/>
    <w:rsid w:val="00933720"/>
    <w:rsid w:val="0094305F"/>
    <w:rsid w:val="009452E8"/>
    <w:rsid w:val="00950C70"/>
    <w:rsid w:val="00954C96"/>
    <w:rsid w:val="0096303B"/>
    <w:rsid w:val="00965F1E"/>
    <w:rsid w:val="00966075"/>
    <w:rsid w:val="0099515A"/>
    <w:rsid w:val="009A14E6"/>
    <w:rsid w:val="009F341A"/>
    <w:rsid w:val="009F5CE6"/>
    <w:rsid w:val="00A019A8"/>
    <w:rsid w:val="00A035CD"/>
    <w:rsid w:val="00A040F4"/>
    <w:rsid w:val="00A50E80"/>
    <w:rsid w:val="00A53704"/>
    <w:rsid w:val="00A6476D"/>
    <w:rsid w:val="00A667CE"/>
    <w:rsid w:val="00A75042"/>
    <w:rsid w:val="00A774BC"/>
    <w:rsid w:val="00A82678"/>
    <w:rsid w:val="00A935FA"/>
    <w:rsid w:val="00A946CB"/>
    <w:rsid w:val="00A95F4C"/>
    <w:rsid w:val="00AB0ECD"/>
    <w:rsid w:val="00AB7782"/>
    <w:rsid w:val="00AC5C5D"/>
    <w:rsid w:val="00AC7BE2"/>
    <w:rsid w:val="00AD418C"/>
    <w:rsid w:val="00AE35BF"/>
    <w:rsid w:val="00AF484A"/>
    <w:rsid w:val="00B0292C"/>
    <w:rsid w:val="00B1067E"/>
    <w:rsid w:val="00B3448E"/>
    <w:rsid w:val="00B53CA8"/>
    <w:rsid w:val="00B57F44"/>
    <w:rsid w:val="00B72379"/>
    <w:rsid w:val="00B73B30"/>
    <w:rsid w:val="00B81790"/>
    <w:rsid w:val="00B81BBC"/>
    <w:rsid w:val="00BA5308"/>
    <w:rsid w:val="00C23316"/>
    <w:rsid w:val="00C3215E"/>
    <w:rsid w:val="00C40BD3"/>
    <w:rsid w:val="00C47770"/>
    <w:rsid w:val="00C52D50"/>
    <w:rsid w:val="00C62B86"/>
    <w:rsid w:val="00C75856"/>
    <w:rsid w:val="00C77F0C"/>
    <w:rsid w:val="00C83837"/>
    <w:rsid w:val="00C95214"/>
    <w:rsid w:val="00C9526A"/>
    <w:rsid w:val="00C9783E"/>
    <w:rsid w:val="00CA37FC"/>
    <w:rsid w:val="00CB4165"/>
    <w:rsid w:val="00CB7C56"/>
    <w:rsid w:val="00D14A5C"/>
    <w:rsid w:val="00D16404"/>
    <w:rsid w:val="00D3238F"/>
    <w:rsid w:val="00D4674C"/>
    <w:rsid w:val="00D55A3C"/>
    <w:rsid w:val="00D64A0D"/>
    <w:rsid w:val="00D65321"/>
    <w:rsid w:val="00D750B4"/>
    <w:rsid w:val="00D8094E"/>
    <w:rsid w:val="00D81C18"/>
    <w:rsid w:val="00D95CAF"/>
    <w:rsid w:val="00DA2B5E"/>
    <w:rsid w:val="00DA3AAA"/>
    <w:rsid w:val="00DC1CC6"/>
    <w:rsid w:val="00DF5D77"/>
    <w:rsid w:val="00E067A8"/>
    <w:rsid w:val="00E13924"/>
    <w:rsid w:val="00E33758"/>
    <w:rsid w:val="00E531E5"/>
    <w:rsid w:val="00E53E5E"/>
    <w:rsid w:val="00E601AF"/>
    <w:rsid w:val="00E673C5"/>
    <w:rsid w:val="00E67967"/>
    <w:rsid w:val="00E721BA"/>
    <w:rsid w:val="00E76BBB"/>
    <w:rsid w:val="00EA29A5"/>
    <w:rsid w:val="00EC7FD2"/>
    <w:rsid w:val="00ED5964"/>
    <w:rsid w:val="00EE4714"/>
    <w:rsid w:val="00F1720B"/>
    <w:rsid w:val="00F2059E"/>
    <w:rsid w:val="00F36ADC"/>
    <w:rsid w:val="00F44927"/>
    <w:rsid w:val="00F515CA"/>
    <w:rsid w:val="00F605C6"/>
    <w:rsid w:val="00F6785B"/>
    <w:rsid w:val="00F901A1"/>
    <w:rsid w:val="00F911A2"/>
    <w:rsid w:val="00F915D6"/>
    <w:rsid w:val="00FA6F1F"/>
    <w:rsid w:val="00FC5768"/>
    <w:rsid w:val="00FD30EE"/>
    <w:rsid w:val="00FF2B0A"/>
    <w:rsid w:val="047085D5"/>
    <w:rsid w:val="209C60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0" ma:contentTypeDescription="Create a new document." ma:contentTypeScope="" ma:versionID="5359c03394a7e51675323d71bb9443ec">
  <xsd:schema xmlns:xsd="http://www.w3.org/2001/XMLSchema" xmlns:xs="http://www.w3.org/2001/XMLSchema" xmlns:p="http://schemas.microsoft.com/office/2006/metadata/properties" targetNamespace="http://schemas.microsoft.com/office/2006/metadata/properties" ma:root="true" ma:fieldsID="4b795196365d0a2ba85bf44c386000f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A2943-4ED0-44F7-B137-A24830A85F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3.xml><?xml version="1.0" encoding="utf-8"?>
<ds:datastoreItem xmlns:ds="http://schemas.openxmlformats.org/officeDocument/2006/customXml" ds:itemID="{76DCCE70-D044-4AF0-810E-5DD87F67550A}">
  <ds:schemaRefs>
    <ds:schemaRef ds:uri="http://schemas.microsoft.com/sharepoint/v3/contenttype/forms"/>
  </ds:schemaRefs>
</ds:datastoreItem>
</file>

<file path=customXml/itemProps4.xml><?xml version="1.0" encoding="utf-8"?>
<ds:datastoreItem xmlns:ds="http://schemas.openxmlformats.org/officeDocument/2006/customXml" ds:itemID="{41BF9A20-4F0B-4C6B-893A-49286A798EA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6</Pages>
  <Words>1774</Words>
  <Characters>10114</Characters>
  <Application>Microsoft Office Word</Application>
  <DocSecurity>0</DocSecurity>
  <Lines>84</Lines>
  <Paragraphs>23</Paragraphs>
  <ScaleCrop>false</ScaleCrop>
  <Company>University of Wales Trinity Saint David</Company>
  <LinksUpToDate>false</LinksUpToDate>
  <CharactersWithSpaces>11865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Haris Khan</cp:lastModifiedBy>
  <cp:revision>19</cp:revision>
  <dcterms:created xsi:type="dcterms:W3CDTF">2026-03-06T16:07:00Z</dcterms:created>
  <dcterms:modified xsi:type="dcterms:W3CDTF">2026-03-26T22:11:00Z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0x010100451F859B94CFC845B087B0DB7D051B15</vt:lpwstr>
  </property>
</Properties>
</file>