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EC709" w14:textId="77777777" w:rsidR="000B44BD" w:rsidRPr="00C84D82" w:rsidRDefault="000B44BD" w:rsidP="00F66D7E">
      <w:pPr>
        <w:spacing w:line="360" w:lineRule="auto"/>
      </w:pPr>
    </w:p>
    <w:p w14:paraId="5D7A3C89" w14:textId="27AFBEA8" w:rsidR="00F66D7E" w:rsidRPr="00C84D82" w:rsidRDefault="00176D55" w:rsidP="00176D55">
      <w:pPr>
        <w:spacing w:line="360" w:lineRule="auto"/>
        <w:jc w:val="center"/>
      </w:pPr>
      <w:r w:rsidRPr="00176D55">
        <w:drawing>
          <wp:inline distT="0" distB="0" distL="0" distR="0" wp14:anchorId="1C31F56C" wp14:editId="6587425E">
            <wp:extent cx="3367757" cy="1590675"/>
            <wp:effectExtent l="0" t="0" r="0" b="0"/>
            <wp:docPr id="985676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676660" name=""/>
                    <pic:cNvPicPr/>
                  </pic:nvPicPr>
                  <pic:blipFill>
                    <a:blip r:embed="rId7"/>
                    <a:stretch>
                      <a:fillRect/>
                    </a:stretch>
                  </pic:blipFill>
                  <pic:spPr>
                    <a:xfrm>
                      <a:off x="0" y="0"/>
                      <a:ext cx="3372868" cy="1593089"/>
                    </a:xfrm>
                    <a:prstGeom prst="rect">
                      <a:avLst/>
                    </a:prstGeom>
                  </pic:spPr>
                </pic:pic>
              </a:graphicData>
            </a:graphic>
          </wp:inline>
        </w:drawing>
      </w:r>
    </w:p>
    <w:p w14:paraId="55C0DF5F" w14:textId="77777777" w:rsidR="00F66D7E" w:rsidRPr="00C84D82" w:rsidRDefault="00F66D7E" w:rsidP="00F66D7E">
      <w:pPr>
        <w:spacing w:line="360" w:lineRule="auto"/>
      </w:pPr>
    </w:p>
    <w:p w14:paraId="796ABD9B" w14:textId="77777777" w:rsidR="00F66D7E" w:rsidRPr="00176D55" w:rsidRDefault="00F66D7E" w:rsidP="00F66D7E">
      <w:pPr>
        <w:spacing w:line="360" w:lineRule="auto"/>
        <w:jc w:val="center"/>
        <w:rPr>
          <w:b/>
          <w:bCs/>
          <w:szCs w:val="24"/>
        </w:rPr>
      </w:pPr>
      <w:r w:rsidRPr="00176D55">
        <w:rPr>
          <w:b/>
          <w:bCs/>
          <w:szCs w:val="24"/>
        </w:rPr>
        <w:t>STUDENT ID:</w:t>
      </w:r>
      <w:r w:rsidRPr="00176D55">
        <w:rPr>
          <w:rFonts w:ascii="Arial" w:hAnsi="Arial" w:cs="Arial"/>
          <w:color w:val="222222"/>
          <w:szCs w:val="24"/>
          <w:shd w:val="clear" w:color="auto" w:fill="FFFFFF"/>
        </w:rPr>
        <w:t xml:space="preserve"> </w:t>
      </w:r>
      <w:r w:rsidRPr="00176D55">
        <w:rPr>
          <w:b/>
          <w:bCs/>
          <w:szCs w:val="24"/>
        </w:rPr>
        <w:t>2431302</w:t>
      </w:r>
    </w:p>
    <w:p w14:paraId="0EF8EE4E" w14:textId="77777777" w:rsidR="00F66D7E" w:rsidRPr="00176D55" w:rsidRDefault="00F66D7E" w:rsidP="00F66D7E">
      <w:pPr>
        <w:spacing w:line="360" w:lineRule="auto"/>
        <w:jc w:val="center"/>
        <w:rPr>
          <w:b/>
          <w:bCs/>
          <w:szCs w:val="24"/>
        </w:rPr>
      </w:pPr>
      <w:r w:rsidRPr="00176D55">
        <w:rPr>
          <w:b/>
          <w:bCs/>
          <w:szCs w:val="24"/>
        </w:rPr>
        <w:t>STUDENT NAME: Md Shah Alam</w:t>
      </w:r>
    </w:p>
    <w:p w14:paraId="7EDAD7B6" w14:textId="097126CB" w:rsidR="00F66D7E" w:rsidRPr="00176D55" w:rsidRDefault="00F66D7E" w:rsidP="00F66D7E">
      <w:pPr>
        <w:spacing w:line="360" w:lineRule="auto"/>
        <w:jc w:val="center"/>
        <w:rPr>
          <w:b/>
          <w:bCs/>
          <w:szCs w:val="24"/>
        </w:rPr>
      </w:pPr>
      <w:r w:rsidRPr="00176D55">
        <w:rPr>
          <w:b/>
          <w:bCs/>
          <w:szCs w:val="24"/>
        </w:rPr>
        <w:t>MODULE CODE: LCMB7024</w:t>
      </w:r>
    </w:p>
    <w:p w14:paraId="2C9255DB" w14:textId="6FD008DA" w:rsidR="00F66D7E" w:rsidRPr="00176D55" w:rsidRDefault="00F66D7E" w:rsidP="00F66D7E">
      <w:pPr>
        <w:spacing w:line="360" w:lineRule="auto"/>
        <w:jc w:val="center"/>
        <w:rPr>
          <w:b/>
          <w:bCs/>
          <w:szCs w:val="24"/>
        </w:rPr>
      </w:pPr>
      <w:r w:rsidRPr="00176D55">
        <w:rPr>
          <w:b/>
          <w:bCs/>
          <w:szCs w:val="24"/>
        </w:rPr>
        <w:t>MODULE NAME: Marketing Management</w:t>
      </w:r>
    </w:p>
    <w:p w14:paraId="38A87B0A" w14:textId="77777777" w:rsidR="00F66D7E" w:rsidRPr="00176D55" w:rsidRDefault="00F66D7E" w:rsidP="00F66D7E">
      <w:pPr>
        <w:spacing w:line="360" w:lineRule="auto"/>
        <w:jc w:val="center"/>
        <w:rPr>
          <w:b/>
          <w:bCs/>
          <w:szCs w:val="24"/>
        </w:rPr>
      </w:pPr>
      <w:r w:rsidRPr="00176D55">
        <w:rPr>
          <w:b/>
          <w:bCs/>
          <w:szCs w:val="24"/>
        </w:rPr>
        <w:t>ASSESMENT TITLE: Assessment component 1:</w:t>
      </w:r>
    </w:p>
    <w:p w14:paraId="3284F418" w14:textId="77777777" w:rsidR="00F66D7E" w:rsidRPr="00176D55" w:rsidRDefault="00F66D7E" w:rsidP="00F66D7E">
      <w:pPr>
        <w:spacing w:line="360" w:lineRule="auto"/>
        <w:jc w:val="center"/>
        <w:rPr>
          <w:b/>
          <w:bCs/>
          <w:szCs w:val="24"/>
        </w:rPr>
      </w:pPr>
      <w:r w:rsidRPr="00176D55">
        <w:rPr>
          <w:b/>
          <w:bCs/>
          <w:szCs w:val="24"/>
        </w:rPr>
        <w:t>Marketing Environment</w:t>
      </w:r>
    </w:p>
    <w:p w14:paraId="04F48C67" w14:textId="319515CF" w:rsidR="00F66D7E" w:rsidRPr="00176D55" w:rsidRDefault="00F66D7E" w:rsidP="00F66D7E">
      <w:pPr>
        <w:spacing w:line="360" w:lineRule="auto"/>
        <w:jc w:val="center"/>
        <w:rPr>
          <w:b/>
          <w:bCs/>
          <w:szCs w:val="24"/>
        </w:rPr>
      </w:pPr>
      <w:r w:rsidRPr="00176D55">
        <w:rPr>
          <w:b/>
          <w:bCs/>
          <w:szCs w:val="24"/>
        </w:rPr>
        <w:t>Analysis</w:t>
      </w:r>
    </w:p>
    <w:p w14:paraId="34BAF6BA" w14:textId="70D1F215" w:rsidR="00F66D7E" w:rsidRDefault="00F66D7E" w:rsidP="00F66D7E">
      <w:pPr>
        <w:spacing w:line="360" w:lineRule="auto"/>
        <w:jc w:val="center"/>
        <w:rPr>
          <w:b/>
          <w:bCs/>
          <w:szCs w:val="24"/>
        </w:rPr>
      </w:pPr>
      <w:r w:rsidRPr="00176D55">
        <w:rPr>
          <w:b/>
          <w:bCs/>
          <w:szCs w:val="24"/>
        </w:rPr>
        <w:t>LECTURER: Dr Laila Maazouz (London)</w:t>
      </w:r>
    </w:p>
    <w:p w14:paraId="02A0E25A" w14:textId="67D4AFA5" w:rsidR="00176D55" w:rsidRPr="00176D55" w:rsidRDefault="00176D55" w:rsidP="00F66D7E">
      <w:pPr>
        <w:spacing w:line="360" w:lineRule="auto"/>
        <w:jc w:val="center"/>
        <w:rPr>
          <w:b/>
          <w:bCs/>
          <w:szCs w:val="24"/>
        </w:rPr>
      </w:pPr>
      <w:r>
        <w:rPr>
          <w:b/>
          <w:bCs/>
          <w:szCs w:val="24"/>
        </w:rPr>
        <w:t>Word Count: 2475 words</w:t>
      </w:r>
    </w:p>
    <w:p w14:paraId="4140FF6C" w14:textId="611291AF" w:rsidR="00F66D7E" w:rsidRPr="00C84D82" w:rsidRDefault="00F66D7E" w:rsidP="00176D55">
      <w:pPr>
        <w:rPr>
          <w:b/>
          <w:bCs/>
          <w:sz w:val="28"/>
          <w:szCs w:val="28"/>
        </w:rPr>
      </w:pPr>
      <w:r w:rsidRPr="00C84D82">
        <w:rPr>
          <w:b/>
          <w:bCs/>
          <w:sz w:val="28"/>
          <w:szCs w:val="28"/>
        </w:rPr>
        <w:br w:type="page"/>
      </w:r>
    </w:p>
    <w:sdt>
      <w:sdtPr>
        <w:rPr>
          <w:rFonts w:ascii="Times New Roman" w:eastAsiaTheme="minorHAnsi" w:hAnsi="Times New Roman" w:cstheme="minorBidi"/>
          <w:color w:val="auto"/>
          <w:kern w:val="2"/>
          <w:sz w:val="24"/>
          <w:szCs w:val="22"/>
          <w:lang w:val="en-GB"/>
        </w:rPr>
        <w:id w:val="-1099093727"/>
        <w:docPartObj>
          <w:docPartGallery w:val="Table of Contents"/>
          <w:docPartUnique/>
        </w:docPartObj>
      </w:sdtPr>
      <w:sdtEndPr>
        <w:rPr>
          <w:b/>
          <w:bCs/>
          <w:noProof/>
        </w:rPr>
      </w:sdtEndPr>
      <w:sdtContent>
        <w:p w14:paraId="08722571" w14:textId="5DE2C226" w:rsidR="00F66D7E" w:rsidRPr="00C84D82" w:rsidRDefault="00F66D7E">
          <w:pPr>
            <w:pStyle w:val="TOCHeading"/>
            <w:rPr>
              <w:lang w:val="en-GB"/>
            </w:rPr>
          </w:pPr>
          <w:r w:rsidRPr="00C84D82">
            <w:rPr>
              <w:lang w:val="en-GB"/>
            </w:rPr>
            <w:t>Table of Contents</w:t>
          </w:r>
        </w:p>
        <w:p w14:paraId="1E9BBEA0" w14:textId="4A43DF41" w:rsidR="00D10791" w:rsidRDefault="00F66D7E">
          <w:pPr>
            <w:pStyle w:val="TOC1"/>
            <w:tabs>
              <w:tab w:val="right" w:leader="dot" w:pos="9350"/>
            </w:tabs>
            <w:rPr>
              <w:rFonts w:asciiTheme="minorHAnsi" w:eastAsiaTheme="minorEastAsia" w:hAnsiTheme="minorHAnsi"/>
              <w:noProof/>
              <w:szCs w:val="24"/>
              <w:lang w:val="en-US"/>
            </w:rPr>
          </w:pPr>
          <w:r w:rsidRPr="00C84D82">
            <w:fldChar w:fldCharType="begin"/>
          </w:r>
          <w:r w:rsidRPr="00C84D82">
            <w:instrText xml:space="preserve"> TOC \o "1-3" \h \z \u </w:instrText>
          </w:r>
          <w:r w:rsidRPr="00C84D82">
            <w:fldChar w:fldCharType="separate"/>
          </w:r>
          <w:hyperlink w:anchor="_Toc214286524" w:history="1">
            <w:r w:rsidR="00D10791" w:rsidRPr="00D21CE4">
              <w:rPr>
                <w:rStyle w:val="Hyperlink"/>
                <w:rFonts w:eastAsia="Times New Roman"/>
                <w:noProof/>
              </w:rPr>
              <w:t>1. Introduction</w:t>
            </w:r>
            <w:r w:rsidR="00D10791">
              <w:rPr>
                <w:noProof/>
                <w:webHidden/>
              </w:rPr>
              <w:tab/>
            </w:r>
            <w:r w:rsidR="00D10791">
              <w:rPr>
                <w:noProof/>
                <w:webHidden/>
              </w:rPr>
              <w:fldChar w:fldCharType="begin"/>
            </w:r>
            <w:r w:rsidR="00D10791">
              <w:rPr>
                <w:noProof/>
                <w:webHidden/>
              </w:rPr>
              <w:instrText xml:space="preserve"> PAGEREF _Toc214286524 \h </w:instrText>
            </w:r>
            <w:r w:rsidR="00D10791">
              <w:rPr>
                <w:noProof/>
                <w:webHidden/>
              </w:rPr>
            </w:r>
            <w:r w:rsidR="00D10791">
              <w:rPr>
                <w:noProof/>
                <w:webHidden/>
              </w:rPr>
              <w:fldChar w:fldCharType="separate"/>
            </w:r>
            <w:r w:rsidR="00D10791">
              <w:rPr>
                <w:noProof/>
                <w:webHidden/>
              </w:rPr>
              <w:t>3</w:t>
            </w:r>
            <w:r w:rsidR="00D10791">
              <w:rPr>
                <w:noProof/>
                <w:webHidden/>
              </w:rPr>
              <w:fldChar w:fldCharType="end"/>
            </w:r>
          </w:hyperlink>
        </w:p>
        <w:p w14:paraId="57ECC728" w14:textId="17797386" w:rsidR="00D10791" w:rsidRDefault="00D10791">
          <w:pPr>
            <w:pStyle w:val="TOC1"/>
            <w:tabs>
              <w:tab w:val="right" w:leader="dot" w:pos="9350"/>
            </w:tabs>
            <w:rPr>
              <w:rFonts w:asciiTheme="minorHAnsi" w:eastAsiaTheme="minorEastAsia" w:hAnsiTheme="minorHAnsi"/>
              <w:noProof/>
              <w:szCs w:val="24"/>
              <w:lang w:val="en-US"/>
            </w:rPr>
          </w:pPr>
          <w:hyperlink w:anchor="_Toc214286525" w:history="1">
            <w:r w:rsidRPr="00D21CE4">
              <w:rPr>
                <w:rStyle w:val="Hyperlink"/>
                <w:rFonts w:eastAsia="Times New Roman"/>
                <w:noProof/>
              </w:rPr>
              <w:t>2. Theoretical Framework: Macro Environment &amp; Strategic Marketing Positioning</w:t>
            </w:r>
            <w:r>
              <w:rPr>
                <w:noProof/>
                <w:webHidden/>
              </w:rPr>
              <w:tab/>
            </w:r>
            <w:r>
              <w:rPr>
                <w:noProof/>
                <w:webHidden/>
              </w:rPr>
              <w:fldChar w:fldCharType="begin"/>
            </w:r>
            <w:r>
              <w:rPr>
                <w:noProof/>
                <w:webHidden/>
              </w:rPr>
              <w:instrText xml:space="preserve"> PAGEREF _Toc214286525 \h </w:instrText>
            </w:r>
            <w:r>
              <w:rPr>
                <w:noProof/>
                <w:webHidden/>
              </w:rPr>
            </w:r>
            <w:r>
              <w:rPr>
                <w:noProof/>
                <w:webHidden/>
              </w:rPr>
              <w:fldChar w:fldCharType="separate"/>
            </w:r>
            <w:r>
              <w:rPr>
                <w:noProof/>
                <w:webHidden/>
              </w:rPr>
              <w:t>3</w:t>
            </w:r>
            <w:r>
              <w:rPr>
                <w:noProof/>
                <w:webHidden/>
              </w:rPr>
              <w:fldChar w:fldCharType="end"/>
            </w:r>
          </w:hyperlink>
        </w:p>
        <w:p w14:paraId="31A1365E" w14:textId="3B15AA60" w:rsidR="00D10791" w:rsidRDefault="00D10791">
          <w:pPr>
            <w:pStyle w:val="TOC1"/>
            <w:tabs>
              <w:tab w:val="right" w:leader="dot" w:pos="9350"/>
            </w:tabs>
            <w:rPr>
              <w:rFonts w:asciiTheme="minorHAnsi" w:eastAsiaTheme="minorEastAsia" w:hAnsiTheme="minorHAnsi"/>
              <w:noProof/>
              <w:szCs w:val="24"/>
              <w:lang w:val="en-US"/>
            </w:rPr>
          </w:pPr>
          <w:hyperlink w:anchor="_Toc214286526" w:history="1">
            <w:r w:rsidRPr="00D21CE4">
              <w:rPr>
                <w:rStyle w:val="Hyperlink"/>
                <w:noProof/>
              </w:rPr>
              <w:t>Task 1: Critical Environmental Analysis</w:t>
            </w:r>
            <w:r>
              <w:rPr>
                <w:noProof/>
                <w:webHidden/>
              </w:rPr>
              <w:tab/>
            </w:r>
            <w:r>
              <w:rPr>
                <w:noProof/>
                <w:webHidden/>
              </w:rPr>
              <w:fldChar w:fldCharType="begin"/>
            </w:r>
            <w:r>
              <w:rPr>
                <w:noProof/>
                <w:webHidden/>
              </w:rPr>
              <w:instrText xml:space="preserve"> PAGEREF _Toc214286526 \h </w:instrText>
            </w:r>
            <w:r>
              <w:rPr>
                <w:noProof/>
                <w:webHidden/>
              </w:rPr>
            </w:r>
            <w:r>
              <w:rPr>
                <w:noProof/>
                <w:webHidden/>
              </w:rPr>
              <w:fldChar w:fldCharType="separate"/>
            </w:r>
            <w:r>
              <w:rPr>
                <w:noProof/>
                <w:webHidden/>
              </w:rPr>
              <w:t>4</w:t>
            </w:r>
            <w:r>
              <w:rPr>
                <w:noProof/>
                <w:webHidden/>
              </w:rPr>
              <w:fldChar w:fldCharType="end"/>
            </w:r>
          </w:hyperlink>
        </w:p>
        <w:p w14:paraId="10AF7471" w14:textId="33D06E50" w:rsidR="00D10791" w:rsidRDefault="00D10791">
          <w:pPr>
            <w:pStyle w:val="TOC2"/>
            <w:tabs>
              <w:tab w:val="right" w:leader="dot" w:pos="9350"/>
            </w:tabs>
            <w:rPr>
              <w:rFonts w:asciiTheme="minorHAnsi" w:eastAsiaTheme="minorEastAsia" w:hAnsiTheme="minorHAnsi"/>
              <w:noProof/>
              <w:szCs w:val="24"/>
              <w:lang w:val="en-US"/>
            </w:rPr>
          </w:pPr>
          <w:hyperlink w:anchor="_Toc214286527" w:history="1">
            <w:r w:rsidRPr="00D21CE4">
              <w:rPr>
                <w:rStyle w:val="Hyperlink"/>
                <w:rFonts w:cs="Times New Roman"/>
                <w:noProof/>
              </w:rPr>
              <w:t>3. Macro Actor 1: Technological Environment</w:t>
            </w:r>
            <w:r>
              <w:rPr>
                <w:noProof/>
                <w:webHidden/>
              </w:rPr>
              <w:tab/>
            </w:r>
            <w:r>
              <w:rPr>
                <w:noProof/>
                <w:webHidden/>
              </w:rPr>
              <w:fldChar w:fldCharType="begin"/>
            </w:r>
            <w:r>
              <w:rPr>
                <w:noProof/>
                <w:webHidden/>
              </w:rPr>
              <w:instrText xml:space="preserve"> PAGEREF _Toc214286527 \h </w:instrText>
            </w:r>
            <w:r>
              <w:rPr>
                <w:noProof/>
                <w:webHidden/>
              </w:rPr>
            </w:r>
            <w:r>
              <w:rPr>
                <w:noProof/>
                <w:webHidden/>
              </w:rPr>
              <w:fldChar w:fldCharType="separate"/>
            </w:r>
            <w:r>
              <w:rPr>
                <w:noProof/>
                <w:webHidden/>
              </w:rPr>
              <w:t>4</w:t>
            </w:r>
            <w:r>
              <w:rPr>
                <w:noProof/>
                <w:webHidden/>
              </w:rPr>
              <w:fldChar w:fldCharType="end"/>
            </w:r>
          </w:hyperlink>
        </w:p>
        <w:p w14:paraId="3612C0AF" w14:textId="44E10B13" w:rsidR="00D10791" w:rsidRDefault="00D10791">
          <w:pPr>
            <w:pStyle w:val="TOC2"/>
            <w:tabs>
              <w:tab w:val="right" w:leader="dot" w:pos="9350"/>
            </w:tabs>
            <w:rPr>
              <w:rFonts w:asciiTheme="minorHAnsi" w:eastAsiaTheme="minorEastAsia" w:hAnsiTheme="minorHAnsi"/>
              <w:noProof/>
              <w:szCs w:val="24"/>
              <w:lang w:val="en-US"/>
            </w:rPr>
          </w:pPr>
          <w:hyperlink w:anchor="_Toc214286528" w:history="1">
            <w:r w:rsidRPr="00D21CE4">
              <w:rPr>
                <w:rStyle w:val="Hyperlink"/>
                <w:rFonts w:cs="Times New Roman"/>
                <w:noProof/>
              </w:rPr>
              <w:t>4. Macro Actor 2: Regulatory/Legal Environment</w:t>
            </w:r>
            <w:r>
              <w:rPr>
                <w:noProof/>
                <w:webHidden/>
              </w:rPr>
              <w:tab/>
            </w:r>
            <w:r>
              <w:rPr>
                <w:noProof/>
                <w:webHidden/>
              </w:rPr>
              <w:fldChar w:fldCharType="begin"/>
            </w:r>
            <w:r>
              <w:rPr>
                <w:noProof/>
                <w:webHidden/>
              </w:rPr>
              <w:instrText xml:space="preserve"> PAGEREF _Toc214286528 \h </w:instrText>
            </w:r>
            <w:r>
              <w:rPr>
                <w:noProof/>
                <w:webHidden/>
              </w:rPr>
            </w:r>
            <w:r>
              <w:rPr>
                <w:noProof/>
                <w:webHidden/>
              </w:rPr>
              <w:fldChar w:fldCharType="separate"/>
            </w:r>
            <w:r>
              <w:rPr>
                <w:noProof/>
                <w:webHidden/>
              </w:rPr>
              <w:t>6</w:t>
            </w:r>
            <w:r>
              <w:rPr>
                <w:noProof/>
                <w:webHidden/>
              </w:rPr>
              <w:fldChar w:fldCharType="end"/>
            </w:r>
          </w:hyperlink>
        </w:p>
        <w:p w14:paraId="0876C4CE" w14:textId="308FF4ED" w:rsidR="00D10791" w:rsidRDefault="00D10791">
          <w:pPr>
            <w:pStyle w:val="TOC1"/>
            <w:tabs>
              <w:tab w:val="right" w:leader="dot" w:pos="9350"/>
            </w:tabs>
            <w:rPr>
              <w:rFonts w:asciiTheme="minorHAnsi" w:eastAsiaTheme="minorEastAsia" w:hAnsiTheme="minorHAnsi"/>
              <w:noProof/>
              <w:szCs w:val="24"/>
              <w:lang w:val="en-US"/>
            </w:rPr>
          </w:pPr>
          <w:hyperlink w:anchor="_Toc214286529" w:history="1">
            <w:r w:rsidRPr="00D21CE4">
              <w:rPr>
                <w:rStyle w:val="Hyperlink"/>
                <w:noProof/>
              </w:rPr>
              <w:t>Task 2: Strategic Response Analysis</w:t>
            </w:r>
            <w:r>
              <w:rPr>
                <w:noProof/>
                <w:webHidden/>
              </w:rPr>
              <w:tab/>
            </w:r>
            <w:r>
              <w:rPr>
                <w:noProof/>
                <w:webHidden/>
              </w:rPr>
              <w:fldChar w:fldCharType="begin"/>
            </w:r>
            <w:r>
              <w:rPr>
                <w:noProof/>
                <w:webHidden/>
              </w:rPr>
              <w:instrText xml:space="preserve"> PAGEREF _Toc214286529 \h </w:instrText>
            </w:r>
            <w:r>
              <w:rPr>
                <w:noProof/>
                <w:webHidden/>
              </w:rPr>
            </w:r>
            <w:r>
              <w:rPr>
                <w:noProof/>
                <w:webHidden/>
              </w:rPr>
              <w:fldChar w:fldCharType="separate"/>
            </w:r>
            <w:r>
              <w:rPr>
                <w:noProof/>
                <w:webHidden/>
              </w:rPr>
              <w:t>7</w:t>
            </w:r>
            <w:r>
              <w:rPr>
                <w:noProof/>
                <w:webHidden/>
              </w:rPr>
              <w:fldChar w:fldCharType="end"/>
            </w:r>
          </w:hyperlink>
        </w:p>
        <w:p w14:paraId="4F68D466" w14:textId="1982567D" w:rsidR="00D10791" w:rsidRDefault="00D10791">
          <w:pPr>
            <w:pStyle w:val="TOC2"/>
            <w:tabs>
              <w:tab w:val="right" w:leader="dot" w:pos="9350"/>
            </w:tabs>
            <w:rPr>
              <w:rFonts w:asciiTheme="minorHAnsi" w:eastAsiaTheme="minorEastAsia" w:hAnsiTheme="minorHAnsi"/>
              <w:noProof/>
              <w:szCs w:val="24"/>
              <w:lang w:val="en-US"/>
            </w:rPr>
          </w:pPr>
          <w:hyperlink w:anchor="_Toc214286530" w:history="1">
            <w:r w:rsidRPr="00D21CE4">
              <w:rPr>
                <w:rStyle w:val="Hyperlink"/>
                <w:rFonts w:cs="Times New Roman"/>
                <w:noProof/>
              </w:rPr>
              <w:t>5. Strategic Responses of Pioneers (Tesla)</w:t>
            </w:r>
            <w:r>
              <w:rPr>
                <w:noProof/>
                <w:webHidden/>
              </w:rPr>
              <w:tab/>
            </w:r>
            <w:r>
              <w:rPr>
                <w:noProof/>
                <w:webHidden/>
              </w:rPr>
              <w:fldChar w:fldCharType="begin"/>
            </w:r>
            <w:r>
              <w:rPr>
                <w:noProof/>
                <w:webHidden/>
              </w:rPr>
              <w:instrText xml:space="preserve"> PAGEREF _Toc214286530 \h </w:instrText>
            </w:r>
            <w:r>
              <w:rPr>
                <w:noProof/>
                <w:webHidden/>
              </w:rPr>
            </w:r>
            <w:r>
              <w:rPr>
                <w:noProof/>
                <w:webHidden/>
              </w:rPr>
              <w:fldChar w:fldCharType="separate"/>
            </w:r>
            <w:r>
              <w:rPr>
                <w:noProof/>
                <w:webHidden/>
              </w:rPr>
              <w:t>7</w:t>
            </w:r>
            <w:r>
              <w:rPr>
                <w:noProof/>
                <w:webHidden/>
              </w:rPr>
              <w:fldChar w:fldCharType="end"/>
            </w:r>
          </w:hyperlink>
        </w:p>
        <w:p w14:paraId="03A9246D" w14:textId="0CEEF90D" w:rsidR="00D10791" w:rsidRDefault="00D10791">
          <w:pPr>
            <w:pStyle w:val="TOC2"/>
            <w:tabs>
              <w:tab w:val="right" w:leader="dot" w:pos="9350"/>
            </w:tabs>
            <w:rPr>
              <w:rFonts w:asciiTheme="minorHAnsi" w:eastAsiaTheme="minorEastAsia" w:hAnsiTheme="minorHAnsi"/>
              <w:noProof/>
              <w:szCs w:val="24"/>
              <w:lang w:val="en-US"/>
            </w:rPr>
          </w:pPr>
          <w:hyperlink w:anchor="_Toc214286531" w:history="1">
            <w:r w:rsidRPr="00D21CE4">
              <w:rPr>
                <w:rStyle w:val="Hyperlink"/>
                <w:rFonts w:cs="Times New Roman"/>
                <w:noProof/>
              </w:rPr>
              <w:t>6. Strategic Responses of Followers</w:t>
            </w:r>
            <w:r>
              <w:rPr>
                <w:noProof/>
                <w:webHidden/>
              </w:rPr>
              <w:tab/>
            </w:r>
            <w:r>
              <w:rPr>
                <w:noProof/>
                <w:webHidden/>
              </w:rPr>
              <w:fldChar w:fldCharType="begin"/>
            </w:r>
            <w:r>
              <w:rPr>
                <w:noProof/>
                <w:webHidden/>
              </w:rPr>
              <w:instrText xml:space="preserve"> PAGEREF _Toc214286531 \h </w:instrText>
            </w:r>
            <w:r>
              <w:rPr>
                <w:noProof/>
                <w:webHidden/>
              </w:rPr>
            </w:r>
            <w:r>
              <w:rPr>
                <w:noProof/>
                <w:webHidden/>
              </w:rPr>
              <w:fldChar w:fldCharType="separate"/>
            </w:r>
            <w:r>
              <w:rPr>
                <w:noProof/>
                <w:webHidden/>
              </w:rPr>
              <w:t>9</w:t>
            </w:r>
            <w:r>
              <w:rPr>
                <w:noProof/>
                <w:webHidden/>
              </w:rPr>
              <w:fldChar w:fldCharType="end"/>
            </w:r>
          </w:hyperlink>
        </w:p>
        <w:p w14:paraId="0AE71522" w14:textId="795BBB5E" w:rsidR="00D10791" w:rsidRDefault="00D10791">
          <w:pPr>
            <w:pStyle w:val="TOC2"/>
            <w:tabs>
              <w:tab w:val="right" w:leader="dot" w:pos="9350"/>
            </w:tabs>
            <w:rPr>
              <w:rFonts w:asciiTheme="minorHAnsi" w:eastAsiaTheme="minorEastAsia" w:hAnsiTheme="minorHAnsi"/>
              <w:noProof/>
              <w:szCs w:val="24"/>
              <w:lang w:val="en-US"/>
            </w:rPr>
          </w:pPr>
          <w:hyperlink w:anchor="_Toc214286532" w:history="1">
            <w:r w:rsidRPr="00D21CE4">
              <w:rPr>
                <w:rStyle w:val="Hyperlink"/>
                <w:rFonts w:cs="Times New Roman"/>
                <w:noProof/>
              </w:rPr>
              <w:t>7. Comparative Discussion &amp; Synthesis</w:t>
            </w:r>
            <w:r>
              <w:rPr>
                <w:noProof/>
                <w:webHidden/>
              </w:rPr>
              <w:tab/>
            </w:r>
            <w:r>
              <w:rPr>
                <w:noProof/>
                <w:webHidden/>
              </w:rPr>
              <w:fldChar w:fldCharType="begin"/>
            </w:r>
            <w:r>
              <w:rPr>
                <w:noProof/>
                <w:webHidden/>
              </w:rPr>
              <w:instrText xml:space="preserve"> PAGEREF _Toc214286532 \h </w:instrText>
            </w:r>
            <w:r>
              <w:rPr>
                <w:noProof/>
                <w:webHidden/>
              </w:rPr>
            </w:r>
            <w:r>
              <w:rPr>
                <w:noProof/>
                <w:webHidden/>
              </w:rPr>
              <w:fldChar w:fldCharType="separate"/>
            </w:r>
            <w:r>
              <w:rPr>
                <w:noProof/>
                <w:webHidden/>
              </w:rPr>
              <w:t>10</w:t>
            </w:r>
            <w:r>
              <w:rPr>
                <w:noProof/>
                <w:webHidden/>
              </w:rPr>
              <w:fldChar w:fldCharType="end"/>
            </w:r>
          </w:hyperlink>
        </w:p>
        <w:p w14:paraId="5E228148" w14:textId="7F476B14" w:rsidR="00D10791" w:rsidRDefault="00D10791">
          <w:pPr>
            <w:pStyle w:val="TOC1"/>
            <w:tabs>
              <w:tab w:val="right" w:leader="dot" w:pos="9350"/>
            </w:tabs>
            <w:rPr>
              <w:rFonts w:asciiTheme="minorHAnsi" w:eastAsiaTheme="minorEastAsia" w:hAnsiTheme="minorHAnsi"/>
              <w:noProof/>
              <w:szCs w:val="24"/>
              <w:lang w:val="en-US"/>
            </w:rPr>
          </w:pPr>
          <w:hyperlink w:anchor="_Toc214286533" w:history="1">
            <w:r w:rsidRPr="00D21CE4">
              <w:rPr>
                <w:rStyle w:val="Hyperlink"/>
                <w:noProof/>
              </w:rPr>
              <w:t>8. Conclusion</w:t>
            </w:r>
            <w:r>
              <w:rPr>
                <w:noProof/>
                <w:webHidden/>
              </w:rPr>
              <w:tab/>
            </w:r>
            <w:r>
              <w:rPr>
                <w:noProof/>
                <w:webHidden/>
              </w:rPr>
              <w:fldChar w:fldCharType="begin"/>
            </w:r>
            <w:r>
              <w:rPr>
                <w:noProof/>
                <w:webHidden/>
              </w:rPr>
              <w:instrText xml:space="preserve"> PAGEREF _Toc214286533 \h </w:instrText>
            </w:r>
            <w:r>
              <w:rPr>
                <w:noProof/>
                <w:webHidden/>
              </w:rPr>
            </w:r>
            <w:r>
              <w:rPr>
                <w:noProof/>
                <w:webHidden/>
              </w:rPr>
              <w:fldChar w:fldCharType="separate"/>
            </w:r>
            <w:r>
              <w:rPr>
                <w:noProof/>
                <w:webHidden/>
              </w:rPr>
              <w:t>10</w:t>
            </w:r>
            <w:r>
              <w:rPr>
                <w:noProof/>
                <w:webHidden/>
              </w:rPr>
              <w:fldChar w:fldCharType="end"/>
            </w:r>
          </w:hyperlink>
        </w:p>
        <w:p w14:paraId="6CC68F61" w14:textId="4CEBDE00" w:rsidR="00D10791" w:rsidRDefault="00D10791">
          <w:pPr>
            <w:pStyle w:val="TOC1"/>
            <w:tabs>
              <w:tab w:val="right" w:leader="dot" w:pos="9350"/>
            </w:tabs>
            <w:rPr>
              <w:rFonts w:asciiTheme="minorHAnsi" w:eastAsiaTheme="minorEastAsia" w:hAnsiTheme="minorHAnsi"/>
              <w:noProof/>
              <w:szCs w:val="24"/>
              <w:lang w:val="en-US"/>
            </w:rPr>
          </w:pPr>
          <w:hyperlink w:anchor="_Toc214286534" w:history="1">
            <w:r w:rsidRPr="00D21CE4">
              <w:rPr>
                <w:rStyle w:val="Hyperlink"/>
                <w:noProof/>
                <w:lang w:val="en-US"/>
              </w:rPr>
              <w:t>References</w:t>
            </w:r>
            <w:r>
              <w:rPr>
                <w:noProof/>
                <w:webHidden/>
              </w:rPr>
              <w:tab/>
            </w:r>
            <w:r>
              <w:rPr>
                <w:noProof/>
                <w:webHidden/>
              </w:rPr>
              <w:fldChar w:fldCharType="begin"/>
            </w:r>
            <w:r>
              <w:rPr>
                <w:noProof/>
                <w:webHidden/>
              </w:rPr>
              <w:instrText xml:space="preserve"> PAGEREF _Toc214286534 \h </w:instrText>
            </w:r>
            <w:r>
              <w:rPr>
                <w:noProof/>
                <w:webHidden/>
              </w:rPr>
            </w:r>
            <w:r>
              <w:rPr>
                <w:noProof/>
                <w:webHidden/>
              </w:rPr>
              <w:fldChar w:fldCharType="separate"/>
            </w:r>
            <w:r>
              <w:rPr>
                <w:noProof/>
                <w:webHidden/>
              </w:rPr>
              <w:t>12</w:t>
            </w:r>
            <w:r>
              <w:rPr>
                <w:noProof/>
                <w:webHidden/>
              </w:rPr>
              <w:fldChar w:fldCharType="end"/>
            </w:r>
          </w:hyperlink>
        </w:p>
        <w:p w14:paraId="1E131960" w14:textId="18776F7B" w:rsidR="00F66D7E" w:rsidRPr="00C84D82" w:rsidRDefault="00F66D7E">
          <w:r w:rsidRPr="00C84D82">
            <w:rPr>
              <w:b/>
              <w:bCs/>
              <w:noProof/>
            </w:rPr>
            <w:fldChar w:fldCharType="end"/>
          </w:r>
        </w:p>
      </w:sdtContent>
    </w:sdt>
    <w:p w14:paraId="5BE8109B" w14:textId="77777777" w:rsidR="00F66D7E" w:rsidRPr="00C84D82" w:rsidRDefault="00F66D7E" w:rsidP="00F66D7E">
      <w:pPr>
        <w:spacing w:line="360" w:lineRule="auto"/>
        <w:rPr>
          <w:b/>
          <w:bCs/>
          <w:sz w:val="28"/>
          <w:szCs w:val="28"/>
        </w:rPr>
      </w:pPr>
    </w:p>
    <w:p w14:paraId="4F96CFB2" w14:textId="547B8562" w:rsidR="00F66D7E" w:rsidRPr="00C84D82" w:rsidRDefault="00F66D7E">
      <w:pPr>
        <w:jc w:val="left"/>
        <w:rPr>
          <w:b/>
          <w:bCs/>
          <w:sz w:val="28"/>
          <w:szCs w:val="28"/>
        </w:rPr>
      </w:pPr>
      <w:r w:rsidRPr="00C84D82">
        <w:rPr>
          <w:b/>
          <w:bCs/>
          <w:sz w:val="28"/>
          <w:szCs w:val="28"/>
        </w:rPr>
        <w:br w:type="page"/>
      </w:r>
    </w:p>
    <w:p w14:paraId="64B62479" w14:textId="547B8562" w:rsidR="00761E5D" w:rsidRPr="00C84D82" w:rsidRDefault="00761E5D" w:rsidP="00761E5D">
      <w:pPr>
        <w:pStyle w:val="Heading1"/>
        <w:rPr>
          <w:rFonts w:eastAsia="Times New Roman"/>
        </w:rPr>
      </w:pPr>
      <w:bookmarkStart w:id="0" w:name="_Toc214286524"/>
      <w:r w:rsidRPr="00C84D82">
        <w:rPr>
          <w:rFonts w:eastAsia="Times New Roman"/>
        </w:rPr>
        <w:lastRenderedPageBreak/>
        <w:t>1. Introduction</w:t>
      </w:r>
      <w:bookmarkEnd w:id="0"/>
      <w:r w:rsidRPr="00C84D82">
        <w:rPr>
          <w:rFonts w:eastAsia="Times New Roman"/>
        </w:rPr>
        <w:t xml:space="preserve"> </w:t>
      </w:r>
    </w:p>
    <w:p w14:paraId="3AA2259A" w14:textId="1C24E7CF" w:rsidR="00761E5D" w:rsidRPr="00C84D82" w:rsidRDefault="0092779C" w:rsidP="00761E5D">
      <w:pPr>
        <w:spacing w:before="100" w:beforeAutospacing="1" w:after="100" w:afterAutospacing="1" w:line="360" w:lineRule="auto"/>
        <w:rPr>
          <w:rFonts w:eastAsia="Times New Roman" w:cs="Times New Roman"/>
          <w:kern w:val="0"/>
          <w:szCs w:val="24"/>
          <w14:ligatures w14:val="none"/>
        </w:rPr>
      </w:pPr>
      <w:r w:rsidRPr="0092779C">
        <w:rPr>
          <w:rFonts w:eastAsia="Times New Roman" w:cs="Times New Roman"/>
          <w:kern w:val="0"/>
          <w:szCs w:val="24"/>
          <w14:ligatures w14:val="none"/>
        </w:rPr>
        <w:t>This article is a critical analysis of the reaction of organisations that are in the Electric Vehicle (EV) business in regards to the response to significant macro-environmental forces, particularly the technological and regulatory/legal forces. Being one of the most disruptive sectors in the world, the EV sector is influenced by accelerated innovation rates, stricter environmental laws, and the changed consumer demands, all of which predispose these two macro actors as especially important to strategic marketing management. The analysis differentiates pioneers, who enter first and seek to influence technologies and market standards and followers, who enter late and enjoy learning and other benefits of imitation and cost-effectiveness. Combining the latest marketing theory and current research, the assignment assesses the opportunity and threat created by the shifts in technological and regulatory environments to both types of firms, and how organisations can adapt strategically to the changing global market characterised by turbulence and innovation</w:t>
      </w:r>
      <w:r w:rsidR="00761E5D" w:rsidRPr="00C84D82">
        <w:rPr>
          <w:rFonts w:eastAsia="Times New Roman" w:cs="Times New Roman"/>
          <w:kern w:val="0"/>
          <w:szCs w:val="24"/>
          <w14:ligatures w14:val="none"/>
        </w:rPr>
        <w:t>.</w:t>
      </w:r>
    </w:p>
    <w:p w14:paraId="068FCCE8" w14:textId="7DDE81C4" w:rsidR="00761E5D" w:rsidRPr="00C84D82" w:rsidRDefault="00761E5D" w:rsidP="00761E5D">
      <w:pPr>
        <w:pStyle w:val="Heading1"/>
        <w:rPr>
          <w:rFonts w:eastAsia="Times New Roman"/>
        </w:rPr>
      </w:pPr>
      <w:bookmarkStart w:id="1" w:name="_Toc214286525"/>
      <w:r w:rsidRPr="00C84D82">
        <w:rPr>
          <w:rFonts w:eastAsia="Times New Roman"/>
        </w:rPr>
        <w:t>2. Theoretical Framework: Macro Environment &amp; Strategic Marketing Positioning</w:t>
      </w:r>
      <w:bookmarkEnd w:id="1"/>
      <w:r w:rsidRPr="00C84D82">
        <w:rPr>
          <w:rFonts w:eastAsia="Times New Roman"/>
        </w:rPr>
        <w:t xml:space="preserve"> </w:t>
      </w:r>
    </w:p>
    <w:p w14:paraId="66EAC5F4" w14:textId="77777777" w:rsidR="006C7F60" w:rsidRPr="006C7F60" w:rsidRDefault="00686084" w:rsidP="006C7F60">
      <w:pPr>
        <w:spacing w:before="100" w:beforeAutospacing="1" w:after="100" w:afterAutospacing="1" w:line="360" w:lineRule="auto"/>
        <w:rPr>
          <w:rFonts w:eastAsia="Times New Roman" w:cs="Times New Roman"/>
          <w:kern w:val="0"/>
          <w:szCs w:val="24"/>
          <w14:ligatures w14:val="none"/>
        </w:rPr>
      </w:pPr>
      <w:r w:rsidRPr="00686084">
        <w:rPr>
          <w:rFonts w:eastAsia="Times New Roman" w:cs="Times New Roman"/>
          <w:kern w:val="0"/>
          <w:szCs w:val="24"/>
          <w14:ligatures w14:val="none"/>
        </w:rPr>
        <w:t xml:space="preserve">Strategic marketing decisions are influenced by the macro environment and PESTEL analysis is a tool that is used extensively to evaluate the external forces. </w:t>
      </w:r>
      <w:r w:rsidR="006C7F60" w:rsidRPr="006C7F60">
        <w:rPr>
          <w:rFonts w:eastAsia="Times New Roman" w:cs="Times New Roman"/>
          <w:kern w:val="0"/>
          <w:szCs w:val="24"/>
          <w14:ligatures w14:val="none"/>
        </w:rPr>
        <w:t>The strength is in the fact that it presents a systematic lens to determine the political, economic, social, technological, environmental and legal forces that can create competitiveness. Recent research emphasizes its usefulness in turbulent industries such as EVs, where a rapid influx of technology and unpredictability of regulations constantly changes the market frontiers (Palazzo and Micozzi, 2024). Modern critiques, however, say that PESTEL can be too fixed, is purely descriptive and not forecastive, and ignores the interaction between factors, such as how regulatory change can hasten the adoption of technology. In addition, researchers note that overuse of PESTEL can overly simplify complex macro shifts, which leads them to scan rather than plan (Mir, 2025).</w:t>
      </w:r>
    </w:p>
    <w:p w14:paraId="61F10314" w14:textId="7296A12F" w:rsidR="00C60FC8" w:rsidRPr="00C60FC8" w:rsidRDefault="006C7F60" w:rsidP="006C7F60">
      <w:pPr>
        <w:spacing w:before="100" w:beforeAutospacing="1" w:after="100" w:afterAutospacing="1" w:line="360" w:lineRule="auto"/>
        <w:rPr>
          <w:rFonts w:eastAsia="Times New Roman" w:cs="Times New Roman"/>
          <w:kern w:val="0"/>
          <w:szCs w:val="24"/>
          <w:lang w:val="en-US"/>
          <w14:ligatures w14:val="none"/>
        </w:rPr>
      </w:pPr>
      <w:r w:rsidRPr="006C7F60">
        <w:rPr>
          <w:rFonts w:eastAsia="Times New Roman" w:cs="Times New Roman"/>
          <w:kern w:val="0"/>
          <w:szCs w:val="24"/>
          <w14:ligatures w14:val="none"/>
        </w:rPr>
        <w:t xml:space="preserve">In order to study strategic responses, they must be differentiated between pioneers and followers. In their classic research, Lieberman and Montgomery (1988) assert that pioneers attain technological leadership, asset pre-emption and customer loyalty. Nevertheless, subsequent studies indicate that these benefits are by no means universal, since first movers tend to </w:t>
      </w:r>
      <w:r w:rsidRPr="006C7F60">
        <w:rPr>
          <w:rFonts w:eastAsia="Times New Roman" w:cs="Times New Roman"/>
          <w:kern w:val="0"/>
          <w:szCs w:val="24"/>
          <w14:ligatures w14:val="none"/>
        </w:rPr>
        <w:lastRenderedPageBreak/>
        <w:t>encounter high sunk costs, technological lock-in, and high obsolescence in industries with low product lifecycles (Querbes and Frenken, 2016).</w:t>
      </w:r>
      <w:r>
        <w:rPr>
          <w:rFonts w:eastAsia="Times New Roman" w:cs="Times New Roman"/>
          <w:kern w:val="0"/>
          <w:szCs w:val="24"/>
          <w14:ligatures w14:val="none"/>
        </w:rPr>
        <w:t xml:space="preserve"> </w:t>
      </w:r>
      <w:r w:rsidR="00C60FC8" w:rsidRPr="00C60FC8">
        <w:rPr>
          <w:rFonts w:eastAsia="Times New Roman" w:cs="Times New Roman"/>
          <w:kern w:val="0"/>
          <w:szCs w:val="24"/>
          <w:lang w:val="en-US"/>
          <w14:ligatures w14:val="none"/>
        </w:rPr>
        <w:t>Followers benefit from learning spillovers, lower development risk, and flexible positioning, though they remain constrained by switching costs and established consumer loyalties (Parry and Sarma, 2019).</w:t>
      </w:r>
    </w:p>
    <w:p w14:paraId="598DF1C7" w14:textId="77C7589B" w:rsidR="00F66D7E" w:rsidRPr="00C60FC8" w:rsidRDefault="00C60FC8" w:rsidP="00686084">
      <w:pPr>
        <w:spacing w:before="100" w:beforeAutospacing="1" w:after="100" w:afterAutospacing="1" w:line="360" w:lineRule="auto"/>
        <w:rPr>
          <w:rFonts w:eastAsia="Times New Roman" w:cs="Times New Roman"/>
          <w:kern w:val="0"/>
          <w:szCs w:val="24"/>
          <w:lang w:val="en-US"/>
          <w14:ligatures w14:val="none"/>
        </w:rPr>
      </w:pPr>
      <w:r w:rsidRPr="00C60FC8">
        <w:rPr>
          <w:rFonts w:eastAsia="Times New Roman" w:cs="Times New Roman"/>
          <w:kern w:val="0"/>
          <w:szCs w:val="24"/>
          <w:lang w:val="en-US"/>
          <w14:ligatures w14:val="none"/>
        </w:rPr>
        <w:t>To enhance analytical depth, this paper adopts the dynamic capabilities framework, emphasising firms’ ability to sense, seize, and reconfigure resources under uncertainty (Teece, 2025). Together with insights from disruptive innovation and market turbulence theory (Nadda et al., 2022; Khajeheian et al., 2018), these perspectives explain why firms exposed to similar environments perform differently and how technological shifts can either reinforce pioneer advantages or enable follower breakthroughs</w:t>
      </w:r>
      <w:r w:rsidR="00761E5D" w:rsidRPr="00C84D82">
        <w:rPr>
          <w:rFonts w:eastAsia="Times New Roman" w:cs="Times New Roman"/>
          <w:kern w:val="0"/>
          <w:szCs w:val="24"/>
          <w14:ligatures w14:val="none"/>
        </w:rPr>
        <w:t>.</w:t>
      </w:r>
    </w:p>
    <w:p w14:paraId="79DE3A81" w14:textId="4D5F3C02" w:rsidR="00F66D7E" w:rsidRPr="00C84D82" w:rsidRDefault="00F66D7E" w:rsidP="00761E5D">
      <w:pPr>
        <w:pStyle w:val="Heading1"/>
        <w:spacing w:line="360" w:lineRule="auto"/>
      </w:pPr>
      <w:bookmarkStart w:id="2" w:name="_Toc214286526"/>
      <w:r w:rsidRPr="00C84D82">
        <w:t>Task 1: Critical Environmental Analysis</w:t>
      </w:r>
      <w:bookmarkEnd w:id="2"/>
    </w:p>
    <w:p w14:paraId="60D8A639" w14:textId="5F42381D" w:rsidR="00686084" w:rsidRPr="00686084" w:rsidRDefault="00F66D7E" w:rsidP="00686084">
      <w:pPr>
        <w:pStyle w:val="Heading2"/>
        <w:spacing w:line="360" w:lineRule="auto"/>
        <w:rPr>
          <w:rFonts w:ascii="Times New Roman" w:hAnsi="Times New Roman" w:cs="Times New Roman"/>
          <w:color w:val="auto"/>
          <w:sz w:val="26"/>
          <w:szCs w:val="26"/>
        </w:rPr>
      </w:pPr>
      <w:bookmarkStart w:id="3" w:name="_Toc214286527"/>
      <w:r w:rsidRPr="00C84D82">
        <w:rPr>
          <w:rFonts w:ascii="Times New Roman" w:hAnsi="Times New Roman" w:cs="Times New Roman"/>
          <w:color w:val="auto"/>
          <w:sz w:val="26"/>
          <w:szCs w:val="26"/>
        </w:rPr>
        <w:t>3. Macro Actor 1: Technological Environment</w:t>
      </w:r>
      <w:bookmarkEnd w:id="3"/>
    </w:p>
    <w:p w14:paraId="3AA795E6" w14:textId="77777777" w:rsidR="006723D7" w:rsidRDefault="006723D7" w:rsidP="00686084">
      <w:pPr>
        <w:spacing w:line="360" w:lineRule="auto"/>
        <w:rPr>
          <w:szCs w:val="24"/>
        </w:rPr>
      </w:pPr>
    </w:p>
    <w:p w14:paraId="70CAF6AD" w14:textId="56C60EF9" w:rsidR="006723D7" w:rsidRDefault="006723D7" w:rsidP="006723D7">
      <w:pPr>
        <w:spacing w:line="360" w:lineRule="auto"/>
        <w:jc w:val="center"/>
        <w:rPr>
          <w:szCs w:val="24"/>
        </w:rPr>
      </w:pPr>
      <w:r w:rsidRPr="006723D7">
        <w:rPr>
          <w:noProof/>
          <w:szCs w:val="24"/>
        </w:rPr>
        <w:drawing>
          <wp:inline distT="0" distB="0" distL="0" distR="0" wp14:anchorId="07393C67" wp14:editId="39CEFC02">
            <wp:extent cx="5353797" cy="2276793"/>
            <wp:effectExtent l="0" t="0" r="0" b="9525"/>
            <wp:docPr id="529499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99491" name=""/>
                    <pic:cNvPicPr/>
                  </pic:nvPicPr>
                  <pic:blipFill>
                    <a:blip r:embed="rId8"/>
                    <a:stretch>
                      <a:fillRect/>
                    </a:stretch>
                  </pic:blipFill>
                  <pic:spPr>
                    <a:xfrm>
                      <a:off x="0" y="0"/>
                      <a:ext cx="5353797" cy="2276793"/>
                    </a:xfrm>
                    <a:prstGeom prst="rect">
                      <a:avLst/>
                    </a:prstGeom>
                  </pic:spPr>
                </pic:pic>
              </a:graphicData>
            </a:graphic>
          </wp:inline>
        </w:drawing>
      </w:r>
    </w:p>
    <w:p w14:paraId="51532BC1" w14:textId="7B3BAE25" w:rsidR="006723D7" w:rsidRDefault="006723D7" w:rsidP="006723D7">
      <w:pPr>
        <w:spacing w:line="360" w:lineRule="auto"/>
        <w:jc w:val="center"/>
        <w:rPr>
          <w:szCs w:val="24"/>
        </w:rPr>
      </w:pPr>
      <w:r>
        <w:rPr>
          <w:szCs w:val="24"/>
        </w:rPr>
        <w:t xml:space="preserve">Fig </w:t>
      </w:r>
      <w:r w:rsidR="00BA5AE6">
        <w:rPr>
          <w:szCs w:val="24"/>
        </w:rPr>
        <w:t>1</w:t>
      </w:r>
      <w:r>
        <w:rPr>
          <w:szCs w:val="24"/>
        </w:rPr>
        <w:t>: Volume weighted average lithium-ion battery pack and cell price split, 2013-24</w:t>
      </w:r>
    </w:p>
    <w:p w14:paraId="17AA928B" w14:textId="10B02A4B" w:rsidR="006723D7" w:rsidRDefault="006723D7" w:rsidP="006723D7">
      <w:pPr>
        <w:spacing w:line="360" w:lineRule="auto"/>
        <w:jc w:val="center"/>
        <w:rPr>
          <w:szCs w:val="24"/>
        </w:rPr>
      </w:pPr>
      <w:r>
        <w:rPr>
          <w:szCs w:val="24"/>
        </w:rPr>
        <w:t xml:space="preserve">Source: </w:t>
      </w:r>
      <w:r w:rsidRPr="006723D7">
        <w:rPr>
          <w:szCs w:val="24"/>
        </w:rPr>
        <w:t>(BloombergNEF, 2024)</w:t>
      </w:r>
    </w:p>
    <w:p w14:paraId="2AE3C6CB" w14:textId="0B3C91DE" w:rsidR="00686084" w:rsidRPr="00686084" w:rsidRDefault="00686084" w:rsidP="00686084">
      <w:pPr>
        <w:spacing w:line="360" w:lineRule="auto"/>
        <w:rPr>
          <w:szCs w:val="24"/>
        </w:rPr>
      </w:pPr>
      <w:r w:rsidRPr="00686084">
        <w:rPr>
          <w:szCs w:val="24"/>
        </w:rPr>
        <w:t xml:space="preserve">The most radical macro-environmental driver influencing the global Electric Vehicle (EV) market is technological change, which makes the dominant companies struggle with the pressure of quick and striking competition against the followers. </w:t>
      </w:r>
      <w:r w:rsidR="00BA5AE6">
        <w:rPr>
          <w:szCs w:val="24"/>
        </w:rPr>
        <w:t>T</w:t>
      </w:r>
      <w:r w:rsidRPr="00686084">
        <w:rPr>
          <w:szCs w:val="24"/>
        </w:rPr>
        <w:t xml:space="preserve">he EV-related R&amp;D investment is on </w:t>
      </w:r>
      <w:r w:rsidRPr="00686084">
        <w:rPr>
          <w:szCs w:val="24"/>
        </w:rPr>
        <w:lastRenderedPageBreak/>
        <w:t>the rise in the last decade and it represents a rapid progress in battery chemistry, AI-based driving systems, power electronics, and charging infrastructure</w:t>
      </w:r>
      <w:r w:rsidR="00BA5AE6">
        <w:rPr>
          <w:szCs w:val="24"/>
        </w:rPr>
        <w:t xml:space="preserve"> </w:t>
      </w:r>
      <w:r w:rsidR="00BA5AE6" w:rsidRPr="00BA5AE6">
        <w:rPr>
          <w:szCs w:val="24"/>
        </w:rPr>
        <w:t>(IEA, 2024)</w:t>
      </w:r>
      <w:r w:rsidRPr="00686084">
        <w:rPr>
          <w:szCs w:val="24"/>
        </w:rPr>
        <w:t>. This speed of innovation is consistent with the literature about fast-paced innovative environments as the technology advances quicker than the market and regulatory frameworks stabilise (Teece, 2020).</w:t>
      </w:r>
    </w:p>
    <w:p w14:paraId="7F4E2D4A" w14:textId="244004F2" w:rsidR="00686084" w:rsidRPr="00686084" w:rsidRDefault="00686084" w:rsidP="00686084">
      <w:pPr>
        <w:spacing w:line="360" w:lineRule="auto"/>
        <w:rPr>
          <w:szCs w:val="24"/>
        </w:rPr>
      </w:pPr>
      <w:r w:rsidRPr="00686084">
        <w:rPr>
          <w:szCs w:val="24"/>
        </w:rPr>
        <w:t xml:space="preserve">These changes present massive opportunities to the first movers like Tesla, BYD, and Rivian. First-mover companies acquire special learning benefits in terms of proprietary battery architecture, vertically integrated software, and early experience in AI-based self-driving. The technological abilities enhance brand differentiation and provide the portfolios of patents that can slow imitation (Anderson et al., 2022). These benefits are further magnified by the sharp drop in the prices of lithium-ion batteries (see Figure </w:t>
      </w:r>
      <w:r w:rsidR="00BA5AE6">
        <w:rPr>
          <w:szCs w:val="24"/>
        </w:rPr>
        <w:t>1</w:t>
      </w:r>
      <w:r w:rsidRPr="00686084">
        <w:rPr>
          <w:szCs w:val="24"/>
        </w:rPr>
        <w:t>) which has allowed pioneer companies to scale production sooner and influence consumer behavior with regards to performance, range and digital capability. Another way that a network effect is reinforced is through early market presence, which enables leaders to shape the standards of technologies like the format of charging connector or vehicle-to-grid protocols (Yasin et al., 2025).</w:t>
      </w:r>
    </w:p>
    <w:p w14:paraId="752C6987" w14:textId="77777777" w:rsidR="00686084" w:rsidRPr="00686084" w:rsidRDefault="00686084" w:rsidP="00686084">
      <w:pPr>
        <w:spacing w:line="360" w:lineRule="auto"/>
        <w:rPr>
          <w:szCs w:val="24"/>
        </w:rPr>
      </w:pPr>
      <w:r w:rsidRPr="00686084">
        <w:rPr>
          <w:szCs w:val="24"/>
        </w:rPr>
        <w:t>Nevertheless, the same turbulence of technology poses great dangers to innovative companies. The cost of R&amp;D is high and the process of innovation is capital-intensive, which amplifies the exposure of the technology to disruptions - especially since emerging chemistries (solid-state, sodium-ion), autonomous driving risks, and AI safety limits can quickly render current investments unnecessary (KPMG, 2023). According to the theory of the disruption proposed by Christensen, pioneers are usually in an out-of-proportional exposure when the current technological path is suddenly altered (Nadda et al., 2022). The pace of change also shrinks product lifecycle, putting the pressure on the need to keep models and software architecture updated.</w:t>
      </w:r>
    </w:p>
    <w:p w14:paraId="7E1810D4" w14:textId="418AE8CD" w:rsidR="00D10791" w:rsidRPr="00D10791" w:rsidRDefault="00D10791" w:rsidP="00D10791">
      <w:pPr>
        <w:spacing w:line="360" w:lineRule="auto"/>
        <w:rPr>
          <w:szCs w:val="24"/>
          <w:lang w:val="en-US"/>
        </w:rPr>
      </w:pPr>
      <w:r w:rsidRPr="00D10791">
        <w:rPr>
          <w:szCs w:val="24"/>
          <w:lang w:val="en-US"/>
        </w:rPr>
        <w:t xml:space="preserve">For followers, technological change can create opportunities. </w:t>
      </w:r>
      <w:r w:rsidR="006C7F60" w:rsidRPr="006C7F60">
        <w:rPr>
          <w:szCs w:val="24"/>
          <w:lang w:val="en-US"/>
        </w:rPr>
        <w:t>Reverse engineering, licensing, learning spillovers, cheaper batteries, open-source software, and shared manufacturing ecosystems can allow late entrants such as XPeng, NIO, and Xiaomi to adopt proven and less expensive technologies (Jagani, Marsillac and Hong, 2024). They also have an advantage of seeing what pioneers do wrong and investing at the right time</w:t>
      </w:r>
      <w:r w:rsidRPr="00D10791">
        <w:rPr>
          <w:szCs w:val="24"/>
          <w:lang w:val="en-US"/>
        </w:rPr>
        <w:t>.</w:t>
      </w:r>
    </w:p>
    <w:p w14:paraId="7C4A876E" w14:textId="77777777" w:rsidR="00D10791" w:rsidRPr="00D10791" w:rsidRDefault="00D10791" w:rsidP="00D10791">
      <w:pPr>
        <w:spacing w:line="360" w:lineRule="auto"/>
        <w:rPr>
          <w:szCs w:val="24"/>
          <w:lang w:val="en-US"/>
        </w:rPr>
      </w:pPr>
      <w:r w:rsidRPr="00D10791">
        <w:rPr>
          <w:szCs w:val="24"/>
          <w:lang w:val="en-US"/>
        </w:rPr>
        <w:t xml:space="preserve">However, the risks for followers remain significant. They must overcome established charging networks, strong brand loyalty, and high switching costs tied to pioneers’ integrated software </w:t>
      </w:r>
      <w:r w:rsidRPr="00D10791">
        <w:rPr>
          <w:szCs w:val="24"/>
          <w:lang w:val="en-US"/>
        </w:rPr>
        <w:lastRenderedPageBreak/>
        <w:t>ecosystems. Rapid technological cycles also mean pioneers often advance to the next generation before followers catch up. Dynamic capabilities research shows this creates a persistent lag, making it difficult for followers to escape technological dependency (Dr Soumya Suvarna, 2024).</w:t>
      </w:r>
    </w:p>
    <w:p w14:paraId="39085674" w14:textId="34679FDE" w:rsidR="00F66D7E" w:rsidRPr="00C84D82" w:rsidRDefault="00686084" w:rsidP="00686084">
      <w:pPr>
        <w:spacing w:line="360" w:lineRule="auto"/>
        <w:rPr>
          <w:szCs w:val="24"/>
        </w:rPr>
      </w:pPr>
      <w:r w:rsidRPr="00686084">
        <w:rPr>
          <w:szCs w:val="24"/>
        </w:rPr>
        <w:t>Altogether, the technological environment introduces asymmetric effects, innovators are able to acquire an early advantage but will face the danger of high volatility, whereas followers may enjoy economies of scale but be lock-out by the strategy in fast-changing technological ecosystems</w:t>
      </w:r>
      <w:r w:rsidR="00F66D7E" w:rsidRPr="00C84D82">
        <w:rPr>
          <w:szCs w:val="24"/>
        </w:rPr>
        <w:t>.</w:t>
      </w:r>
    </w:p>
    <w:p w14:paraId="4F7B0409" w14:textId="49FC6A97" w:rsidR="00F66D7E" w:rsidRPr="00C84D82" w:rsidRDefault="00F66D7E" w:rsidP="00761E5D">
      <w:pPr>
        <w:pStyle w:val="Heading2"/>
        <w:spacing w:line="360" w:lineRule="auto"/>
        <w:rPr>
          <w:rFonts w:ascii="Times New Roman" w:hAnsi="Times New Roman" w:cs="Times New Roman"/>
          <w:color w:val="auto"/>
          <w:sz w:val="26"/>
          <w:szCs w:val="26"/>
        </w:rPr>
      </w:pPr>
      <w:bookmarkStart w:id="4" w:name="_Toc214286528"/>
      <w:r w:rsidRPr="00C84D82">
        <w:rPr>
          <w:rFonts w:ascii="Times New Roman" w:hAnsi="Times New Roman" w:cs="Times New Roman"/>
          <w:color w:val="auto"/>
          <w:sz w:val="26"/>
          <w:szCs w:val="26"/>
        </w:rPr>
        <w:t>4. Macro Actor 2: Regulatory/Legal Environment</w:t>
      </w:r>
      <w:bookmarkEnd w:id="4"/>
      <w:r w:rsidRPr="00C84D82">
        <w:rPr>
          <w:rFonts w:ascii="Times New Roman" w:hAnsi="Times New Roman" w:cs="Times New Roman"/>
          <w:color w:val="auto"/>
          <w:sz w:val="26"/>
          <w:szCs w:val="26"/>
        </w:rPr>
        <w:t xml:space="preserve"> </w:t>
      </w:r>
    </w:p>
    <w:p w14:paraId="09CBC537" w14:textId="2BA0EDAD" w:rsidR="00686084" w:rsidRPr="00686084" w:rsidRDefault="00686084" w:rsidP="00686084">
      <w:pPr>
        <w:spacing w:line="360" w:lineRule="auto"/>
        <w:rPr>
          <w:szCs w:val="24"/>
        </w:rPr>
      </w:pPr>
      <w:r w:rsidRPr="00686084">
        <w:rPr>
          <w:szCs w:val="24"/>
        </w:rPr>
        <w:t>One of the main structural forces that are transforming the competitive behaviour in the EV industry is regulatory and legal change. In the case of pioneers, tightening the belt has obvious possibilities. Tightening CO 2 regulations and zero-emissions vehicle requirements increase the market ceiling of EVs, which practically expands the market that innovators assisted in developing. Diffusion is increased by regulatory incentives (subsidies, tax breaks, access to low-emission zones) and rewards initial innovators who have already had experience of scale, production experience, and compliance expertise. Furthermore, innovators are able to use regulatory involvement, such as taking part in setting standards, safety testing, and certification, to institutionalise technological decisions (e.g., charging standards), so that subsequent entrants have to incur switching expenses (Malik et al., 2025). Regulatory environments are thus able to transform initial investments in technology which is first mover to lasting competitive moats.</w:t>
      </w:r>
    </w:p>
    <w:p w14:paraId="69598381" w14:textId="77777777" w:rsidR="00686084" w:rsidRPr="00686084" w:rsidRDefault="00686084" w:rsidP="00686084">
      <w:pPr>
        <w:spacing w:line="360" w:lineRule="auto"/>
        <w:rPr>
          <w:szCs w:val="24"/>
        </w:rPr>
      </w:pPr>
      <w:r w:rsidRPr="00686084">
        <w:rPr>
          <w:szCs w:val="24"/>
        </w:rPr>
        <w:t>Nonetheless, regulation is also a great threat to innovators. Capital and operation overheads are augmented by compliance costs, including balancing the high safety and software-update requirements to conforming to new battery recycling and supply-chain due-diligence regulations. Incumbent investments can be left hanging when a regulation is abruptly changed (e.g., by banning some battery chemistries, tightening the regulations on data-protection of vehicle telematics) (Udendhran et al., 2025; Froese, 2024). The body of literature on regulatory uncertainty proves that rules are able to make markets but they also cause strategic risk to firms that heavily invested in a specific technological path (Teece, 2020).</w:t>
      </w:r>
    </w:p>
    <w:p w14:paraId="2A16D25E" w14:textId="77777777" w:rsidR="00686084" w:rsidRPr="00686084" w:rsidRDefault="00686084" w:rsidP="00686084">
      <w:pPr>
        <w:spacing w:line="360" w:lineRule="auto"/>
        <w:rPr>
          <w:szCs w:val="24"/>
        </w:rPr>
      </w:pPr>
      <w:r w:rsidRPr="00686084">
        <w:rPr>
          <w:szCs w:val="24"/>
        </w:rPr>
        <w:lastRenderedPageBreak/>
        <w:t>To the followers, there are enabling and constraining effects of regulatory change. Government procurement favoritism, special subsidies to the local manufacturers, and technology-neutral rules that even the playing field (such as allowing the followers to enter with competitive, lower-cost models) are the opportunities. The followers may use policy windows (such as stimulus-related local content requirements) to go viral (Cui and Zhao, 2024).</w:t>
      </w:r>
    </w:p>
    <w:p w14:paraId="48912635" w14:textId="77777777" w:rsidR="00686084" w:rsidRPr="00686084" w:rsidRDefault="00686084" w:rsidP="00686084">
      <w:pPr>
        <w:spacing w:line="360" w:lineRule="auto"/>
        <w:rPr>
          <w:szCs w:val="24"/>
        </w:rPr>
      </w:pPr>
      <w:r w:rsidRPr="00686084">
        <w:rPr>
          <w:szCs w:val="24"/>
        </w:rPr>
        <w:t>However, there are threatening obstacles to followers. In a world in which the regulators favor early standard-setters or establish economies of scale in compliance, late entrants can face increased marginal costs and institutional costs. The localization needs and the national security regulations may divide markets at the disadvantage of foreign adherents. Also, non-tariff barriers to entry may be put in place by regulatory capture by the dominant firms, i.e. lobbying or establishing proprietary standards. The evidence of the literature, therefore, indicates a subtle finding that regulation may make the market more democratic as well as reinforce incumbency based on the policy structure and timing (Wang and Witlox, 2025).</w:t>
      </w:r>
    </w:p>
    <w:p w14:paraId="132A115B" w14:textId="03D0AA63" w:rsidR="00F66D7E" w:rsidRPr="00C84D82" w:rsidRDefault="00686084" w:rsidP="00686084">
      <w:pPr>
        <w:spacing w:line="360" w:lineRule="auto"/>
        <w:rPr>
          <w:szCs w:val="24"/>
        </w:rPr>
      </w:pPr>
      <w:r w:rsidRPr="00686084">
        <w:rPr>
          <w:szCs w:val="24"/>
        </w:rPr>
        <w:t>Overall, the regulatory/legal environment is a two sided sword, it increases the overall market potential and authorises EV transition (benefits both pioneers and followers) but also, it increases structural gains to firms that create, or quickly adapt to, regulatory regimes and punishes those who move late or lack sufficient means</w:t>
      </w:r>
      <w:r w:rsidR="00F66D7E" w:rsidRPr="00C84D82">
        <w:rPr>
          <w:szCs w:val="24"/>
        </w:rPr>
        <w:t>.</w:t>
      </w:r>
    </w:p>
    <w:p w14:paraId="4DA831C5" w14:textId="378DBCA9" w:rsidR="00F66D7E" w:rsidRPr="00C84D82" w:rsidRDefault="00F66D7E" w:rsidP="00761E5D">
      <w:pPr>
        <w:pStyle w:val="Heading1"/>
        <w:spacing w:line="360" w:lineRule="auto"/>
      </w:pPr>
      <w:bookmarkStart w:id="5" w:name="_Toc214286529"/>
      <w:r w:rsidRPr="00C84D82">
        <w:t>Task 2: Strategic Response Analysis</w:t>
      </w:r>
      <w:bookmarkEnd w:id="5"/>
    </w:p>
    <w:p w14:paraId="55158CB2" w14:textId="7074D8A5" w:rsidR="00F66D7E" w:rsidRPr="00C84D82" w:rsidRDefault="00F66D7E" w:rsidP="00761E5D">
      <w:pPr>
        <w:pStyle w:val="Heading2"/>
        <w:spacing w:line="360" w:lineRule="auto"/>
        <w:rPr>
          <w:rFonts w:ascii="Times New Roman" w:hAnsi="Times New Roman" w:cs="Times New Roman"/>
          <w:color w:val="auto"/>
          <w:sz w:val="26"/>
          <w:szCs w:val="26"/>
        </w:rPr>
      </w:pPr>
      <w:bookmarkStart w:id="6" w:name="_Toc214286530"/>
      <w:r w:rsidRPr="00C84D82">
        <w:rPr>
          <w:rFonts w:ascii="Times New Roman" w:hAnsi="Times New Roman" w:cs="Times New Roman"/>
          <w:color w:val="auto"/>
          <w:sz w:val="26"/>
          <w:szCs w:val="26"/>
        </w:rPr>
        <w:t>5. Strategic Responses of Pioneers (Tesla)</w:t>
      </w:r>
      <w:bookmarkEnd w:id="6"/>
      <w:r w:rsidRPr="00C84D82">
        <w:rPr>
          <w:rFonts w:ascii="Times New Roman" w:hAnsi="Times New Roman" w:cs="Times New Roman"/>
          <w:color w:val="auto"/>
          <w:sz w:val="26"/>
          <w:szCs w:val="26"/>
        </w:rPr>
        <w:t xml:space="preserve"> </w:t>
      </w:r>
    </w:p>
    <w:p w14:paraId="08BBC658" w14:textId="77777777" w:rsidR="00686084" w:rsidRDefault="00686084" w:rsidP="00686084">
      <w:pPr>
        <w:spacing w:line="360" w:lineRule="auto"/>
        <w:rPr>
          <w:szCs w:val="24"/>
        </w:rPr>
      </w:pPr>
      <w:r w:rsidRPr="00686084">
        <w:rPr>
          <w:szCs w:val="24"/>
        </w:rPr>
        <w:t xml:space="preserve">Being a leader in the EV market, Tesla has strategic reactions to technological and regulatory macro-environmental pressures based on dynamic capabilities, which includes sensing the emergent changes, capturing the market opportunities, and rearranging the resources more rapidly than competitors. As a part of technological environment, Tesla implements a vigorous innovation policy, which is manifested in its vertical integration of batteries, custom software base, and quick OTA (over-the-air) updates (Bongdap, 2024). The decisions enable Tesla to turn technological turbulence into constant performance diversification. The market-shaping theory describes the active process of Tesla imposing its vision of the industry through the promotion of its NACS charging standard and releasing some patents to speed up the process of the ecosystem lock-in (Li et al., 2024). However, the associated risks are too high, innovation velocity is </w:t>
      </w:r>
      <w:r w:rsidRPr="00686084">
        <w:rPr>
          <w:szCs w:val="24"/>
        </w:rPr>
        <w:lastRenderedPageBreak/>
        <w:t>extremely fast, sunk costs are revealed, Tesla is exposed to technological obsolescence, and an excessive complexity burden is introduced, which followers unconstrained by legacy can take advantage of (Lu, 2024).</w:t>
      </w:r>
    </w:p>
    <w:p w14:paraId="1A8190CE" w14:textId="33B3F0ED" w:rsidR="00E62628" w:rsidRDefault="00E62628" w:rsidP="00E62628">
      <w:pPr>
        <w:spacing w:line="360" w:lineRule="auto"/>
        <w:jc w:val="center"/>
        <w:rPr>
          <w:szCs w:val="24"/>
        </w:rPr>
      </w:pPr>
      <w:r w:rsidRPr="00E62628">
        <w:rPr>
          <w:noProof/>
          <w:szCs w:val="24"/>
        </w:rPr>
        <w:drawing>
          <wp:inline distT="0" distB="0" distL="0" distR="0" wp14:anchorId="192E73CA" wp14:editId="261CCEFF">
            <wp:extent cx="5325218" cy="3086531"/>
            <wp:effectExtent l="0" t="0" r="0" b="0"/>
            <wp:docPr id="1550103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03642" name=""/>
                    <pic:cNvPicPr/>
                  </pic:nvPicPr>
                  <pic:blipFill>
                    <a:blip r:embed="rId9"/>
                    <a:stretch>
                      <a:fillRect/>
                    </a:stretch>
                  </pic:blipFill>
                  <pic:spPr>
                    <a:xfrm>
                      <a:off x="0" y="0"/>
                      <a:ext cx="5325218" cy="3086531"/>
                    </a:xfrm>
                    <a:prstGeom prst="rect">
                      <a:avLst/>
                    </a:prstGeom>
                  </pic:spPr>
                </pic:pic>
              </a:graphicData>
            </a:graphic>
          </wp:inline>
        </w:drawing>
      </w:r>
    </w:p>
    <w:p w14:paraId="70C02A85" w14:textId="461943C2" w:rsidR="00E62628" w:rsidRDefault="00E62628" w:rsidP="00E62628">
      <w:pPr>
        <w:spacing w:line="360" w:lineRule="auto"/>
        <w:jc w:val="center"/>
        <w:rPr>
          <w:szCs w:val="24"/>
        </w:rPr>
      </w:pPr>
      <w:r>
        <w:rPr>
          <w:szCs w:val="24"/>
        </w:rPr>
        <w:t xml:space="preserve">Fig 2: </w:t>
      </w:r>
      <w:r w:rsidRPr="00E62628">
        <w:rPr>
          <w:szCs w:val="24"/>
        </w:rPr>
        <w:t>Visual evidence for Tesla’s supply constraints</w:t>
      </w:r>
    </w:p>
    <w:p w14:paraId="5EE1F505" w14:textId="1600BAD4" w:rsidR="00E62628" w:rsidRPr="00686084" w:rsidRDefault="00E62628" w:rsidP="00E62628">
      <w:pPr>
        <w:spacing w:line="360" w:lineRule="auto"/>
        <w:jc w:val="center"/>
        <w:rPr>
          <w:szCs w:val="24"/>
        </w:rPr>
      </w:pPr>
      <w:r>
        <w:rPr>
          <w:szCs w:val="24"/>
        </w:rPr>
        <w:t xml:space="preserve">Source: </w:t>
      </w:r>
      <w:r w:rsidRPr="00E62628">
        <w:rPr>
          <w:szCs w:val="24"/>
        </w:rPr>
        <w:t>(Liu, Boothman and Graham, 2025)</w:t>
      </w:r>
    </w:p>
    <w:p w14:paraId="26B4E680" w14:textId="77777777" w:rsidR="00686084" w:rsidRPr="00686084" w:rsidRDefault="00686084" w:rsidP="00686084">
      <w:pPr>
        <w:spacing w:line="360" w:lineRule="auto"/>
        <w:rPr>
          <w:szCs w:val="24"/>
        </w:rPr>
      </w:pPr>
      <w:r w:rsidRPr="00686084">
        <w:rPr>
          <w:szCs w:val="24"/>
        </w:rPr>
        <w:t>Changes in regulations have a similar proactive reaction. Tesla connects to policymakers and climate-oriented organizations to design ZEV mandates, tax credit frameworks, and battery recycling frameworks - enhancing the idea of institutional alignment between its business model and its regulatory orientation. This allows Tesla to gain first-mover advantages including favourable access to subsidies and early compliance. But, Tesla is susceptible to policy changes (e.g. changing U.S. tax credits) and geopolitical differentiation in compliance regimes, when using regulatory incentives (Liu, Boothman and Graham, 2025).</w:t>
      </w:r>
    </w:p>
    <w:p w14:paraId="04FB8FC0" w14:textId="77777777" w:rsidR="00686084" w:rsidRPr="00686084" w:rsidRDefault="00686084" w:rsidP="00686084">
      <w:pPr>
        <w:spacing w:line="360" w:lineRule="auto"/>
        <w:rPr>
          <w:szCs w:val="24"/>
        </w:rPr>
      </w:pPr>
      <w:r w:rsidRPr="00686084">
        <w:rPr>
          <w:szCs w:val="24"/>
        </w:rPr>
        <w:t xml:space="preserve">The brand narration and relational marketing employed by Tesla enhance its pioneer position. Its story-line that incorporates technological futurism, environmental mission, and charismatic leadership establishes strong customer lock-in and community advocacy. It underpins a Blue Ocean positioning according to which Tesla is not just a car factory but a platform of clean-energy technologies ( Making Megatrends Applicable For Individual Opportunity Forecasts And </w:t>
      </w:r>
      <w:r w:rsidRPr="00686084">
        <w:rPr>
          <w:szCs w:val="24"/>
        </w:rPr>
        <w:lastRenderedPageBreak/>
        <w:t>Strategic Development Tesla Inc.: Electrifying the Automotive Market with Blue Ocean Strategy, 2024). However, the reliance on a personality-based storyline brings reputational instability and runs a risk of getting regulated on the basis of overstated autonomy.</w:t>
      </w:r>
    </w:p>
    <w:p w14:paraId="37317DF7" w14:textId="44089890" w:rsidR="00F66D7E" w:rsidRPr="00C84D82" w:rsidRDefault="00686084" w:rsidP="00686084">
      <w:pPr>
        <w:spacing w:line="360" w:lineRule="auto"/>
        <w:rPr>
          <w:szCs w:val="24"/>
        </w:rPr>
      </w:pPr>
      <w:r w:rsidRPr="00686084">
        <w:rPr>
          <w:szCs w:val="24"/>
        </w:rPr>
        <w:t>On the whole, the strategic reactions of Tesla can be used to understand the strong and weak aspects of being a pioneer in unstable macro environments</w:t>
      </w:r>
      <w:r w:rsidR="00E62628">
        <w:rPr>
          <w:szCs w:val="24"/>
        </w:rPr>
        <w:t>,</w:t>
      </w:r>
      <w:r w:rsidRPr="00686084">
        <w:rPr>
          <w:szCs w:val="24"/>
        </w:rPr>
        <w:t xml:space="preserve"> it is able to reshape markets more quickly than other market participants, yet its risk-taking innovation, regulatory entanglement, and ecosystem long-term promises make it more vulnerable to uncertainty, path dependency, and cross-market inconsistency</w:t>
      </w:r>
      <w:r w:rsidR="00F66D7E" w:rsidRPr="00C84D82">
        <w:rPr>
          <w:szCs w:val="24"/>
        </w:rPr>
        <w:t>.</w:t>
      </w:r>
    </w:p>
    <w:p w14:paraId="6E776034" w14:textId="7454C6D3" w:rsidR="00761E5D" w:rsidRPr="00C84D82" w:rsidRDefault="00761E5D" w:rsidP="00761E5D">
      <w:pPr>
        <w:pStyle w:val="Heading2"/>
        <w:spacing w:line="360" w:lineRule="auto"/>
        <w:rPr>
          <w:rFonts w:ascii="Times New Roman" w:hAnsi="Times New Roman" w:cs="Times New Roman"/>
          <w:color w:val="auto"/>
          <w:sz w:val="26"/>
          <w:szCs w:val="26"/>
        </w:rPr>
      </w:pPr>
      <w:bookmarkStart w:id="7" w:name="_Toc214286531"/>
      <w:r w:rsidRPr="00C84D82">
        <w:rPr>
          <w:rFonts w:ascii="Times New Roman" w:hAnsi="Times New Roman" w:cs="Times New Roman"/>
          <w:color w:val="auto"/>
          <w:sz w:val="26"/>
          <w:szCs w:val="26"/>
        </w:rPr>
        <w:t>6. Strategic Responses of Followers</w:t>
      </w:r>
      <w:bookmarkEnd w:id="7"/>
      <w:r w:rsidRPr="00C84D82">
        <w:rPr>
          <w:rFonts w:ascii="Times New Roman" w:hAnsi="Times New Roman" w:cs="Times New Roman"/>
          <w:color w:val="auto"/>
          <w:sz w:val="26"/>
          <w:szCs w:val="26"/>
        </w:rPr>
        <w:t xml:space="preserve"> </w:t>
      </w:r>
    </w:p>
    <w:p w14:paraId="6D1DBC40" w14:textId="53925C6E" w:rsidR="00686084" w:rsidRPr="00686084" w:rsidRDefault="00686084" w:rsidP="00686084">
      <w:pPr>
        <w:spacing w:line="360" w:lineRule="auto"/>
        <w:rPr>
          <w:szCs w:val="24"/>
        </w:rPr>
      </w:pPr>
      <w:r w:rsidRPr="00686084">
        <w:rPr>
          <w:szCs w:val="24"/>
        </w:rPr>
        <w:t xml:space="preserve">Players in the EV sector are implementing an entirely new (but more advanced) set of tactics to react to technological and regulatory challenges that are being created by innovators. </w:t>
      </w:r>
      <w:r w:rsidR="00E62628">
        <w:rPr>
          <w:szCs w:val="24"/>
        </w:rPr>
        <w:t>S</w:t>
      </w:r>
      <w:r w:rsidRPr="00686084">
        <w:rPr>
          <w:szCs w:val="24"/>
        </w:rPr>
        <w:t>ince the market share of pioneers levels off or decreases, the market share of follower firms increases consistently</w:t>
      </w:r>
      <w:r w:rsidR="00E62628">
        <w:rPr>
          <w:szCs w:val="24"/>
        </w:rPr>
        <w:t xml:space="preserve">. </w:t>
      </w:r>
      <w:r w:rsidRPr="00686084">
        <w:rPr>
          <w:szCs w:val="24"/>
        </w:rPr>
        <w:t>Adaptive imitation allows the followers to also benefit of experimentation services of pioneers without the same risk of R&amp;D. Companies like BYD only integrate the already established battery chemistries, charging systems and safety systems when they become sure about the technology. This is in line with the Learning-curve and absorptive-capacity models, which will enable the followers to internalise the external knowledge more effectively. But imitation is not entirely derivative; the followers mix opportunistic innovation, e.g. a blade battery in BYD, and generate hybrid competitive advantages without closing the pioneer-follower gap (Yan, 2022).</w:t>
      </w:r>
    </w:p>
    <w:p w14:paraId="28CBCF73" w14:textId="77777777" w:rsidR="00686084" w:rsidRPr="00686084" w:rsidRDefault="00686084" w:rsidP="00686084">
      <w:pPr>
        <w:spacing w:line="360" w:lineRule="auto"/>
        <w:rPr>
          <w:szCs w:val="24"/>
        </w:rPr>
      </w:pPr>
      <w:r w:rsidRPr="00686084">
        <w:rPr>
          <w:szCs w:val="24"/>
        </w:rPr>
        <w:t>A major reaction is that of cost leadership especially among the Chinese manufacturers. Followers are able to lower pioneer prices by 2040 percent in certain sectors using value-chain reconfiguration, localisation of production, and scale-based procurement efficiencies (Fan et al., 2025; Fan, Huang and Wang, 2021). Although this increases market access, it can also lock the followers in low-margin strategic positions that can fall to a shock in commodity prices and tightening of regulations regarding battery sourcing ethics (IEA, 2023).</w:t>
      </w:r>
    </w:p>
    <w:p w14:paraId="2DE22D58" w14:textId="77777777" w:rsidR="00686084" w:rsidRPr="00686084" w:rsidRDefault="00686084" w:rsidP="00686084">
      <w:pPr>
        <w:spacing w:line="360" w:lineRule="auto"/>
        <w:rPr>
          <w:szCs w:val="24"/>
        </w:rPr>
      </w:pPr>
      <w:r w:rsidRPr="00686084">
        <w:rPr>
          <w:szCs w:val="24"/>
        </w:rPr>
        <w:t xml:space="preserve">The benefits of the followers increase in specific circumstances with regulatory pressure. When there are compliance frameworks that come into place with pioneers having set benchmarks, followers can design regulation-ready models at reduced marginal cost (Deloitte, 2022). </w:t>
      </w:r>
      <w:r w:rsidRPr="00686084">
        <w:rPr>
          <w:szCs w:val="24"/>
        </w:rPr>
        <w:lastRenderedPageBreak/>
        <w:t>Nevertheless, by entrenching premature standards, like charging standards, followers suffer the lock-in costs, strengthening technological reliance on infrastructure innovators (Cavus et al., 2025).</w:t>
      </w:r>
    </w:p>
    <w:p w14:paraId="58F25625" w14:textId="4A3D08DC" w:rsidR="00686084" w:rsidRPr="00686084" w:rsidRDefault="00686084" w:rsidP="00686084">
      <w:pPr>
        <w:spacing w:line="360" w:lineRule="auto"/>
        <w:rPr>
          <w:szCs w:val="24"/>
        </w:rPr>
      </w:pPr>
      <w:r w:rsidRPr="00686084">
        <w:rPr>
          <w:szCs w:val="24"/>
        </w:rPr>
        <w:t>Scalability is also fast thereby enhancing competition among the followers.</w:t>
      </w:r>
      <w:r w:rsidR="00176D55">
        <w:rPr>
          <w:szCs w:val="24"/>
        </w:rPr>
        <w:t xml:space="preserve"> </w:t>
      </w:r>
      <w:r w:rsidRPr="00686084">
        <w:rPr>
          <w:szCs w:val="24"/>
        </w:rPr>
        <w:t>However, a high level of scalability brings about exposure to the recalls, political risk in international markets and susceptibility to regulatory fragmentation.</w:t>
      </w:r>
    </w:p>
    <w:p w14:paraId="5C19DA9E" w14:textId="160C0CE2" w:rsidR="00761E5D" w:rsidRPr="00C84D82" w:rsidRDefault="00686084" w:rsidP="00686084">
      <w:pPr>
        <w:spacing w:line="360" w:lineRule="auto"/>
        <w:rPr>
          <w:szCs w:val="24"/>
        </w:rPr>
      </w:pPr>
      <w:r w:rsidRPr="00686084">
        <w:rPr>
          <w:szCs w:val="24"/>
        </w:rPr>
        <w:t>In general, adherents are winning because of strategic agility, cost engineering, and selective innovation, but they are limited by structural constraints related to late-mover disadvantages, reliance on ecosystems, and regulatory asymmetry</w:t>
      </w:r>
      <w:r w:rsidR="00761E5D" w:rsidRPr="00C84D82">
        <w:rPr>
          <w:szCs w:val="24"/>
        </w:rPr>
        <w:t>.</w:t>
      </w:r>
    </w:p>
    <w:p w14:paraId="00F4D2B1" w14:textId="3A752355" w:rsidR="00761E5D" w:rsidRPr="00C84D82" w:rsidRDefault="00761E5D" w:rsidP="00761E5D">
      <w:pPr>
        <w:pStyle w:val="Heading2"/>
        <w:spacing w:line="360" w:lineRule="auto"/>
        <w:rPr>
          <w:rFonts w:ascii="Times New Roman" w:hAnsi="Times New Roman" w:cs="Times New Roman"/>
          <w:color w:val="auto"/>
          <w:sz w:val="26"/>
          <w:szCs w:val="26"/>
        </w:rPr>
      </w:pPr>
      <w:bookmarkStart w:id="8" w:name="_Toc214286532"/>
      <w:r w:rsidRPr="00C84D82">
        <w:rPr>
          <w:rFonts w:ascii="Times New Roman" w:hAnsi="Times New Roman" w:cs="Times New Roman"/>
          <w:color w:val="auto"/>
          <w:sz w:val="26"/>
          <w:szCs w:val="26"/>
        </w:rPr>
        <w:t>7. Comparative Discussion &amp; Synthesis</w:t>
      </w:r>
      <w:bookmarkEnd w:id="8"/>
      <w:r w:rsidRPr="00C84D82">
        <w:rPr>
          <w:rFonts w:ascii="Times New Roman" w:hAnsi="Times New Roman" w:cs="Times New Roman"/>
          <w:color w:val="auto"/>
          <w:sz w:val="26"/>
          <w:szCs w:val="26"/>
        </w:rPr>
        <w:t xml:space="preserve"> </w:t>
      </w:r>
    </w:p>
    <w:p w14:paraId="4B4382BA" w14:textId="7D7ABAE6" w:rsidR="00761E5D" w:rsidRPr="00C84D82" w:rsidRDefault="00C60FC8" w:rsidP="00761E5D">
      <w:pPr>
        <w:spacing w:line="360" w:lineRule="auto"/>
        <w:rPr>
          <w:szCs w:val="24"/>
        </w:rPr>
      </w:pPr>
      <w:r w:rsidRPr="00C60FC8">
        <w:rPr>
          <w:szCs w:val="24"/>
        </w:rPr>
        <w:t>Leaders and followers respond to technological and regulatory shifts in distinct yet interdependent ways. Pioneers perform strongly under high innovation speed and regulatory ambiguity, shaping standards and gaining symbolic leadership. However, scholars argue that these advantages fade when market turbulence accelerates imitation, eroding first-mover gains. Followers benefit once regulatory signals stabilise and technologies mature, enabling learning efficiencies and cost advantages that outweigh late-entry risks. Yet opposing perspectives note that followers face structural barriers when pioneers institutionalise standards or create ecosystem lock-in that</w:t>
      </w:r>
      <w:r w:rsidR="00D10791">
        <w:rPr>
          <w:szCs w:val="24"/>
        </w:rPr>
        <w:t xml:space="preserve"> </w:t>
      </w:r>
      <w:r w:rsidRPr="00C60FC8">
        <w:rPr>
          <w:szCs w:val="24"/>
        </w:rPr>
        <w:t>limits competitive catch-up</w:t>
      </w:r>
      <w:r w:rsidR="00686084" w:rsidRPr="00686084">
        <w:rPr>
          <w:szCs w:val="24"/>
        </w:rPr>
        <w:t>. The final result is that competitive performance depends not on the type of organisation but on alignment of external volatility to internal learning capacity, making agility or originality the better strategic logic</w:t>
      </w:r>
      <w:r w:rsidR="00761E5D" w:rsidRPr="00C84D82">
        <w:rPr>
          <w:szCs w:val="24"/>
        </w:rPr>
        <w:t>.</w:t>
      </w:r>
    </w:p>
    <w:p w14:paraId="5031A58F" w14:textId="3BF1F8AD" w:rsidR="00761E5D" w:rsidRPr="00C84D82" w:rsidRDefault="00761E5D" w:rsidP="00761E5D">
      <w:pPr>
        <w:pStyle w:val="Heading1"/>
        <w:spacing w:line="360" w:lineRule="auto"/>
      </w:pPr>
      <w:bookmarkStart w:id="9" w:name="_Toc214286533"/>
      <w:r w:rsidRPr="00C84D82">
        <w:t>8. Conclusion</w:t>
      </w:r>
      <w:bookmarkEnd w:id="9"/>
      <w:r w:rsidRPr="00C84D82">
        <w:t xml:space="preserve"> </w:t>
      </w:r>
    </w:p>
    <w:p w14:paraId="1BA93BA3" w14:textId="58E3B674" w:rsidR="00761E5D" w:rsidRDefault="0092779C" w:rsidP="00761E5D">
      <w:pPr>
        <w:spacing w:line="360" w:lineRule="auto"/>
        <w:rPr>
          <w:szCs w:val="24"/>
        </w:rPr>
      </w:pPr>
      <w:r w:rsidRPr="0092779C">
        <w:rPr>
          <w:szCs w:val="24"/>
        </w:rPr>
        <w:t xml:space="preserve">As </w:t>
      </w:r>
      <w:r>
        <w:rPr>
          <w:szCs w:val="24"/>
        </w:rPr>
        <w:t>demonstrated</w:t>
      </w:r>
      <w:r w:rsidRPr="0092779C">
        <w:rPr>
          <w:szCs w:val="24"/>
        </w:rPr>
        <w:t xml:space="preserve"> in this paper, technological innovation and regulatory evolution substantially transform competitive pressures within the EV industry and present asymmetric opportunities and threats to the first mover and followers of the trend. First mover advantages include early-influence and market-making, but with great uncertainty and obsolescence and drawbacks include learning efficiencies, which are constrained by ecosystem lock-in, and late-entry barriers. Analysis confirms the second assertion that strategic management marketing needs alignment of organisational capabilities with the volatile macro environmental forces instead of just market position. With the quickening pace of technological disruption and the growing interventionist </w:t>
      </w:r>
      <w:r w:rsidRPr="0092779C">
        <w:rPr>
          <w:szCs w:val="24"/>
        </w:rPr>
        <w:lastRenderedPageBreak/>
        <w:t>nature of regulation, companies need to enhance dynamic capabilities, become responsively innovative, and foresee the direction of the policy. Such macro players will further reformulate marketing strategy, differentiation, and long-term competitiveness in the worldwide EV environment</w:t>
      </w:r>
      <w:r w:rsidR="00761E5D" w:rsidRPr="00C84D82">
        <w:rPr>
          <w:szCs w:val="24"/>
        </w:rPr>
        <w:t>.</w:t>
      </w:r>
    </w:p>
    <w:p w14:paraId="7AA4E07C" w14:textId="2244E451" w:rsidR="00D10791" w:rsidRDefault="00D10791">
      <w:pPr>
        <w:jc w:val="left"/>
        <w:rPr>
          <w:szCs w:val="24"/>
        </w:rPr>
      </w:pPr>
      <w:r>
        <w:rPr>
          <w:szCs w:val="24"/>
        </w:rPr>
        <w:br w:type="page"/>
      </w:r>
    </w:p>
    <w:p w14:paraId="1F85B163" w14:textId="72831649" w:rsidR="00D10791" w:rsidRPr="00D10791" w:rsidRDefault="00D10791" w:rsidP="00D10791">
      <w:pPr>
        <w:pStyle w:val="Heading1"/>
        <w:rPr>
          <w:lang w:val="en-US"/>
        </w:rPr>
      </w:pPr>
      <w:bookmarkStart w:id="10" w:name="_Toc214286534"/>
      <w:r w:rsidRPr="00D10791">
        <w:rPr>
          <w:lang w:val="en-US"/>
        </w:rPr>
        <w:lastRenderedPageBreak/>
        <w:t>Reference</w:t>
      </w:r>
      <w:r>
        <w:rPr>
          <w:lang w:val="en-US"/>
        </w:rPr>
        <w:t>s</w:t>
      </w:r>
      <w:bookmarkEnd w:id="10"/>
    </w:p>
    <w:p w14:paraId="49E95ED1" w14:textId="77777777" w:rsidR="00D10791" w:rsidRDefault="00D10791" w:rsidP="00D10791">
      <w:pPr>
        <w:spacing w:line="360" w:lineRule="auto"/>
        <w:rPr>
          <w:szCs w:val="24"/>
          <w:lang w:val="en-US"/>
        </w:rPr>
      </w:pPr>
    </w:p>
    <w:p w14:paraId="0EA62CE1" w14:textId="77777777" w:rsidR="00D10791" w:rsidRPr="00D10791" w:rsidRDefault="00D10791" w:rsidP="00D10791">
      <w:pPr>
        <w:spacing w:line="360" w:lineRule="auto"/>
        <w:rPr>
          <w:szCs w:val="24"/>
          <w:lang w:val="en-US"/>
        </w:rPr>
      </w:pPr>
      <w:r w:rsidRPr="00D10791">
        <w:rPr>
          <w:szCs w:val="24"/>
          <w:lang w:val="en-US"/>
        </w:rPr>
        <w:t xml:space="preserve">Anderson, E.G., Bhargava, H.K., Boehm, J. and Parker, G. (2022). Electric Vehicles Are a Platform Business: What Firms Need to Know. </w:t>
      </w:r>
      <w:r w:rsidRPr="00D10791">
        <w:rPr>
          <w:i/>
          <w:iCs/>
          <w:szCs w:val="24"/>
          <w:lang w:val="en-US"/>
        </w:rPr>
        <w:t>California Management Review</w:t>
      </w:r>
      <w:r w:rsidRPr="00D10791">
        <w:rPr>
          <w:szCs w:val="24"/>
          <w:lang w:val="en-US"/>
        </w:rPr>
        <w:t>, 64(4), pp.135–154. doi:https://doi.org/10.1177/00081256221107420.</w:t>
      </w:r>
    </w:p>
    <w:p w14:paraId="62B9EFCA" w14:textId="77777777" w:rsidR="00D10791" w:rsidRPr="00D10791" w:rsidRDefault="00D10791" w:rsidP="00D10791">
      <w:pPr>
        <w:spacing w:line="360" w:lineRule="auto"/>
        <w:rPr>
          <w:szCs w:val="24"/>
          <w:lang w:val="en-US"/>
        </w:rPr>
      </w:pPr>
      <w:r w:rsidRPr="00D10791">
        <w:rPr>
          <w:szCs w:val="24"/>
          <w:lang w:val="en-US"/>
        </w:rPr>
        <w:t xml:space="preserve">BloombergNEF (2024). </w:t>
      </w:r>
      <w:r w:rsidRPr="00D10791">
        <w:rPr>
          <w:i/>
          <w:iCs/>
          <w:szCs w:val="24"/>
          <w:lang w:val="en-US"/>
        </w:rPr>
        <w:t>Lithium-Ion Battery Pack Prices See Largest Drop Since 2017, Falling to $115 per Kilowatt-Hour: BloombergNEF - BloombergNEF</w:t>
      </w:r>
      <w:r w:rsidRPr="00D10791">
        <w:rPr>
          <w:szCs w:val="24"/>
          <w:lang w:val="en-US"/>
        </w:rPr>
        <w:t>. [online] BloombergNEF. Available at: https://about.bnef.com/insights/commodities/lithium-ion-battery-pack-prices-see-largest-drop-since-2017-falling-to-115-per-kilowatt-hour-bloombergnef/.</w:t>
      </w:r>
    </w:p>
    <w:p w14:paraId="1230F0E0" w14:textId="77777777" w:rsidR="00D10791" w:rsidRPr="00D10791" w:rsidRDefault="00D10791" w:rsidP="00D10791">
      <w:pPr>
        <w:spacing w:line="360" w:lineRule="auto"/>
        <w:rPr>
          <w:szCs w:val="24"/>
          <w:lang w:val="en-US"/>
        </w:rPr>
      </w:pPr>
      <w:r w:rsidRPr="00D10791">
        <w:rPr>
          <w:szCs w:val="24"/>
          <w:lang w:val="en-US"/>
        </w:rPr>
        <w:t xml:space="preserve">Bongdap, N. (2024). </w:t>
      </w:r>
      <w:r w:rsidRPr="00D10791">
        <w:rPr>
          <w:i/>
          <w:iCs/>
          <w:szCs w:val="24"/>
          <w:lang w:val="en-US"/>
        </w:rPr>
        <w:t>Why Vertical Integration Worked for Tesla (And Why It Might Not Work for You)</w:t>
      </w:r>
      <w:r w:rsidRPr="00D10791">
        <w:rPr>
          <w:szCs w:val="24"/>
          <w:lang w:val="en-US"/>
        </w:rPr>
        <w:t>. [online] Eightception. Available at: https://eightception.com/tesla-vertical-integration-strategy/.</w:t>
      </w:r>
    </w:p>
    <w:p w14:paraId="7A9588B4" w14:textId="77777777" w:rsidR="00D10791" w:rsidRPr="00D10791" w:rsidRDefault="00D10791" w:rsidP="00D10791">
      <w:pPr>
        <w:spacing w:line="360" w:lineRule="auto"/>
        <w:rPr>
          <w:szCs w:val="24"/>
          <w:lang w:val="en-US"/>
        </w:rPr>
      </w:pPr>
      <w:r w:rsidRPr="00D10791">
        <w:rPr>
          <w:szCs w:val="24"/>
          <w:lang w:val="en-US"/>
        </w:rPr>
        <w:t xml:space="preserve">Cavus, M., Ayan, H., Bell, M. and Dissanayake, D. (2025). Advances in Energy Storage, AI Optimisation, and Cybersecurity for Electric Vehicle Grid Integration. </w:t>
      </w:r>
      <w:r w:rsidRPr="00D10791">
        <w:rPr>
          <w:i/>
          <w:iCs/>
          <w:szCs w:val="24"/>
          <w:lang w:val="en-US"/>
        </w:rPr>
        <w:t>Energies</w:t>
      </w:r>
      <w:r w:rsidRPr="00D10791">
        <w:rPr>
          <w:szCs w:val="24"/>
          <w:lang w:val="en-US"/>
        </w:rPr>
        <w:t>, 18(17), p.4599. doi:https://doi.org/10.3390/en18174599.</w:t>
      </w:r>
    </w:p>
    <w:p w14:paraId="55AA5E98" w14:textId="77777777" w:rsidR="00D10791" w:rsidRPr="00D10791" w:rsidRDefault="00D10791" w:rsidP="00D10791">
      <w:pPr>
        <w:spacing w:line="360" w:lineRule="auto"/>
        <w:rPr>
          <w:szCs w:val="24"/>
          <w:lang w:val="en-US"/>
        </w:rPr>
      </w:pPr>
      <w:r w:rsidRPr="00D10791">
        <w:rPr>
          <w:szCs w:val="24"/>
          <w:lang w:val="en-US"/>
        </w:rPr>
        <w:t xml:space="preserve">Cui, S. and Zhao, N. (2024). A Study on the Current Status and Future Prospects of EV Automotive Market. </w:t>
      </w:r>
      <w:r w:rsidRPr="00D10791">
        <w:rPr>
          <w:i/>
          <w:iCs/>
          <w:szCs w:val="24"/>
          <w:lang w:val="en-US"/>
        </w:rPr>
        <w:t>Journal of Social Science and Cultural Development</w:t>
      </w:r>
      <w:r w:rsidRPr="00D10791">
        <w:rPr>
          <w:szCs w:val="24"/>
          <w:lang w:val="en-US"/>
        </w:rPr>
        <w:t>, 1(2). doi:https://doi.org/10.70767/jsscd.v1i2.296.</w:t>
      </w:r>
    </w:p>
    <w:p w14:paraId="03FBDB24" w14:textId="77777777" w:rsidR="00D10791" w:rsidRPr="00D10791" w:rsidRDefault="00D10791" w:rsidP="00D10791">
      <w:pPr>
        <w:spacing w:line="360" w:lineRule="auto"/>
        <w:rPr>
          <w:szCs w:val="24"/>
          <w:lang w:val="en-US"/>
        </w:rPr>
      </w:pPr>
      <w:r w:rsidRPr="00D10791">
        <w:rPr>
          <w:szCs w:val="24"/>
          <w:lang w:val="en-US"/>
        </w:rPr>
        <w:t xml:space="preserve">Deloitte (2022). </w:t>
      </w:r>
      <w:r w:rsidRPr="00D10791">
        <w:rPr>
          <w:i/>
          <w:iCs/>
          <w:szCs w:val="24"/>
          <w:lang w:val="en-US"/>
        </w:rPr>
        <w:t>2022 Global Automotive Consumer Study</w:t>
      </w:r>
      <w:r w:rsidRPr="00D10791">
        <w:rPr>
          <w:szCs w:val="24"/>
          <w:lang w:val="en-US"/>
        </w:rPr>
        <w:t>. [online] www.deloitte.com. Available at: https://www.deloitte.com/na/en/Industries/automotive/perspectives/global-automotive-consumer-study.html.</w:t>
      </w:r>
    </w:p>
    <w:p w14:paraId="7012B976" w14:textId="77777777" w:rsidR="00D10791" w:rsidRPr="00D10791" w:rsidRDefault="00D10791" w:rsidP="00D10791">
      <w:pPr>
        <w:spacing w:line="360" w:lineRule="auto"/>
        <w:rPr>
          <w:szCs w:val="24"/>
          <w:lang w:val="en-US"/>
        </w:rPr>
      </w:pPr>
      <w:r w:rsidRPr="00D10791">
        <w:rPr>
          <w:szCs w:val="24"/>
          <w:lang w:val="en-US"/>
        </w:rPr>
        <w:t xml:space="preserve">Dr Soumya Suvarna (2024). A Strategic Examination of the Electric Vehicle (EV) Industry: Unveiling Opportunities and Challenges for Tesla’s Continued Dominance. </w:t>
      </w:r>
      <w:r w:rsidRPr="00D10791">
        <w:rPr>
          <w:i/>
          <w:iCs/>
          <w:szCs w:val="24"/>
          <w:lang w:val="en-US"/>
        </w:rPr>
        <w:t xml:space="preserve">JOURNAL OF SCIENTIFIC RESEARCH AND TECHNOLOGY(JSRT) </w:t>
      </w:r>
      <w:r w:rsidRPr="00D10791">
        <w:rPr>
          <w:szCs w:val="24"/>
          <w:lang w:val="en-US"/>
        </w:rPr>
        <w:t>, 2(5), pp.51–54.</w:t>
      </w:r>
    </w:p>
    <w:p w14:paraId="1961C55A" w14:textId="77777777" w:rsidR="00D10791" w:rsidRPr="00D10791" w:rsidRDefault="00D10791" w:rsidP="00D10791">
      <w:pPr>
        <w:spacing w:line="360" w:lineRule="auto"/>
        <w:rPr>
          <w:szCs w:val="24"/>
          <w:lang w:val="en-US"/>
        </w:rPr>
      </w:pPr>
      <w:r w:rsidRPr="00D10791">
        <w:rPr>
          <w:szCs w:val="24"/>
          <w:lang w:val="en-US"/>
        </w:rPr>
        <w:t xml:space="preserve">Fan, H., Li, Z., Duan, Y. and Wang, B. (2025). Incentive policy formulation for China’s electric vehicle market: Navigating pathways to sustainable mobility with a green premium analytical model. </w:t>
      </w:r>
      <w:r w:rsidRPr="00D10791">
        <w:rPr>
          <w:i/>
          <w:iCs/>
          <w:szCs w:val="24"/>
          <w:lang w:val="en-US"/>
        </w:rPr>
        <w:t>Energy Policy</w:t>
      </w:r>
      <w:r w:rsidRPr="00D10791">
        <w:rPr>
          <w:szCs w:val="24"/>
          <w:lang w:val="en-US"/>
        </w:rPr>
        <w:t>, 202(114610), p.114610. doi:https://doi.org/10.1016/j.enpol.2025.114610.</w:t>
      </w:r>
    </w:p>
    <w:p w14:paraId="56DCCD4F" w14:textId="77777777" w:rsidR="00D10791" w:rsidRPr="00D10791" w:rsidRDefault="00D10791" w:rsidP="00D10791">
      <w:pPr>
        <w:spacing w:line="360" w:lineRule="auto"/>
        <w:rPr>
          <w:szCs w:val="24"/>
          <w:lang w:val="en-US"/>
        </w:rPr>
      </w:pPr>
      <w:r w:rsidRPr="00D10791">
        <w:rPr>
          <w:szCs w:val="24"/>
          <w:lang w:val="en-US"/>
        </w:rPr>
        <w:lastRenderedPageBreak/>
        <w:t xml:space="preserve">Fan, Z.-P., Huang, S. and Wang, X. (2021). The vertical cooperation and pricing strategies of electric vehicle supply chain under brand competition. </w:t>
      </w:r>
      <w:r w:rsidRPr="00D10791">
        <w:rPr>
          <w:i/>
          <w:iCs/>
          <w:szCs w:val="24"/>
          <w:lang w:val="en-US"/>
        </w:rPr>
        <w:t>Computers &amp; Industrial Engineering</w:t>
      </w:r>
      <w:r w:rsidRPr="00D10791">
        <w:rPr>
          <w:szCs w:val="24"/>
          <w:lang w:val="en-US"/>
        </w:rPr>
        <w:t>, 152, p.106968. doi:https://doi.org/10.1016/j.cie.2020.106968.</w:t>
      </w:r>
    </w:p>
    <w:p w14:paraId="6FBD31B4" w14:textId="77777777" w:rsidR="00D10791" w:rsidRPr="00D10791" w:rsidRDefault="00D10791" w:rsidP="00D10791">
      <w:pPr>
        <w:spacing w:line="360" w:lineRule="auto"/>
        <w:rPr>
          <w:szCs w:val="24"/>
          <w:lang w:val="en-US"/>
        </w:rPr>
      </w:pPr>
      <w:r w:rsidRPr="00D10791">
        <w:rPr>
          <w:szCs w:val="24"/>
          <w:lang w:val="en-US"/>
        </w:rPr>
        <w:t xml:space="preserve">Froese, M. (2024). </w:t>
      </w:r>
      <w:r w:rsidRPr="00D10791">
        <w:rPr>
          <w:i/>
          <w:iCs/>
          <w:szCs w:val="24"/>
          <w:lang w:val="en-US"/>
        </w:rPr>
        <w:t>Legal and regulatory considerations for EV infrastructure development</w:t>
      </w:r>
      <w:r w:rsidRPr="00D10791">
        <w:rPr>
          <w:szCs w:val="24"/>
          <w:lang w:val="en-US"/>
        </w:rPr>
        <w:t>. [online] EV Engineering &amp; Infrastructure. Available at: https://www.evengineeringonline.com/legal-and-regulatory-considerations-for-ev-infrastructure-development/.</w:t>
      </w:r>
    </w:p>
    <w:p w14:paraId="4828B6B5" w14:textId="77777777" w:rsidR="00D10791" w:rsidRPr="00D10791" w:rsidRDefault="00D10791" w:rsidP="00D10791">
      <w:pPr>
        <w:spacing w:line="360" w:lineRule="auto"/>
        <w:rPr>
          <w:szCs w:val="24"/>
          <w:lang w:val="en-US"/>
        </w:rPr>
      </w:pPr>
      <w:r w:rsidRPr="00D10791">
        <w:rPr>
          <w:szCs w:val="24"/>
          <w:lang w:val="en-US"/>
        </w:rPr>
        <w:t xml:space="preserve">IEA (2023). </w:t>
      </w:r>
      <w:r w:rsidRPr="00D10791">
        <w:rPr>
          <w:i/>
          <w:iCs/>
          <w:szCs w:val="24"/>
          <w:lang w:val="en-US"/>
        </w:rPr>
        <w:t>Global EV Outlook 2023 Catching up with climate ambitions</w:t>
      </w:r>
      <w:r w:rsidRPr="00D10791">
        <w:rPr>
          <w:szCs w:val="24"/>
          <w:lang w:val="en-US"/>
        </w:rPr>
        <w:t>. [online] International Energy Agency. Available at: https://iea.blob.core.windows.net/assets/dacf14d2-eabc-498a-8263-9f97fd5dc327/GEVO2023.pdf.</w:t>
      </w:r>
    </w:p>
    <w:p w14:paraId="5CF62262" w14:textId="77777777" w:rsidR="00D10791" w:rsidRPr="00D10791" w:rsidRDefault="00D10791" w:rsidP="00D10791">
      <w:pPr>
        <w:spacing w:line="360" w:lineRule="auto"/>
        <w:rPr>
          <w:szCs w:val="24"/>
          <w:lang w:val="en-US"/>
        </w:rPr>
      </w:pPr>
      <w:r w:rsidRPr="00D10791">
        <w:rPr>
          <w:szCs w:val="24"/>
          <w:lang w:val="en-US"/>
        </w:rPr>
        <w:t xml:space="preserve">IEA (2024). </w:t>
      </w:r>
      <w:r w:rsidRPr="00D10791">
        <w:rPr>
          <w:i/>
          <w:iCs/>
          <w:szCs w:val="24"/>
          <w:lang w:val="en-US"/>
        </w:rPr>
        <w:t>Global EV Outlook 2024 Moving towards increased affordability</w:t>
      </w:r>
      <w:r w:rsidRPr="00D10791">
        <w:rPr>
          <w:szCs w:val="24"/>
          <w:lang w:val="en-US"/>
        </w:rPr>
        <w:t>. [online] International Energy Agency. Available at: https://iea.blob.core.windows.net/assets/a9e3544b-0b12-4e15-b407-65f5c8ce1b5f/GlobalEVOutlook2024.pdf.</w:t>
      </w:r>
    </w:p>
    <w:p w14:paraId="6991E144" w14:textId="77777777" w:rsidR="00D10791" w:rsidRPr="00D10791" w:rsidRDefault="00D10791" w:rsidP="00D10791">
      <w:pPr>
        <w:spacing w:line="360" w:lineRule="auto"/>
        <w:rPr>
          <w:szCs w:val="24"/>
          <w:lang w:val="en-US"/>
        </w:rPr>
      </w:pPr>
      <w:r w:rsidRPr="00D10791">
        <w:rPr>
          <w:szCs w:val="24"/>
          <w:lang w:val="en-US"/>
        </w:rPr>
        <w:t xml:space="preserve">Jagani, S., Marsillac, E. and Hong, P. (2024). The Electric Vehicle Supply Chain Ecosystem: Changing Roles of Automotive Suppliers. </w:t>
      </w:r>
      <w:r w:rsidRPr="00D10791">
        <w:rPr>
          <w:i/>
          <w:iCs/>
          <w:szCs w:val="24"/>
          <w:lang w:val="en-US"/>
        </w:rPr>
        <w:t>Sustainability</w:t>
      </w:r>
      <w:r w:rsidRPr="00D10791">
        <w:rPr>
          <w:szCs w:val="24"/>
          <w:lang w:val="en-US"/>
        </w:rPr>
        <w:t>, 16(4), p.1570. doi:https://doi.org/10.3390/su16041570.</w:t>
      </w:r>
    </w:p>
    <w:p w14:paraId="1C7BDB7A" w14:textId="77777777" w:rsidR="00D10791" w:rsidRPr="00D10791" w:rsidRDefault="00D10791" w:rsidP="00D10791">
      <w:pPr>
        <w:spacing w:line="360" w:lineRule="auto"/>
        <w:rPr>
          <w:szCs w:val="24"/>
          <w:lang w:val="en-US"/>
        </w:rPr>
      </w:pPr>
      <w:r w:rsidRPr="00D10791">
        <w:rPr>
          <w:szCs w:val="24"/>
          <w:lang w:val="en-US"/>
        </w:rPr>
        <w:t xml:space="preserve">Khajeheian, D., Friedrichsen, M. and MödingerW. (2018). </w:t>
      </w:r>
      <w:r w:rsidRPr="00D10791">
        <w:rPr>
          <w:i/>
          <w:iCs/>
          <w:szCs w:val="24"/>
          <w:lang w:val="en-US"/>
        </w:rPr>
        <w:t>Competitiveness in Emerging Markets : Market Dynamics in the Age of Disruptive Technologies</w:t>
      </w:r>
      <w:r w:rsidRPr="00D10791">
        <w:rPr>
          <w:szCs w:val="24"/>
          <w:lang w:val="en-US"/>
        </w:rPr>
        <w:t>. Springer International Publishing.</w:t>
      </w:r>
    </w:p>
    <w:p w14:paraId="569F8EC4" w14:textId="77777777" w:rsidR="00D10791" w:rsidRPr="00D10791" w:rsidRDefault="00D10791" w:rsidP="00D10791">
      <w:pPr>
        <w:spacing w:line="360" w:lineRule="auto"/>
        <w:rPr>
          <w:szCs w:val="24"/>
          <w:lang w:val="en-US"/>
        </w:rPr>
      </w:pPr>
      <w:r w:rsidRPr="00D10791">
        <w:rPr>
          <w:szCs w:val="24"/>
          <w:lang w:val="en-US"/>
        </w:rPr>
        <w:t xml:space="preserve">KPMG (2023). </w:t>
      </w:r>
      <w:r w:rsidRPr="00D10791">
        <w:rPr>
          <w:i/>
          <w:iCs/>
          <w:szCs w:val="24"/>
          <w:lang w:val="en-US"/>
        </w:rPr>
        <w:t>Technology at the forefront of electric vehicles</w:t>
      </w:r>
      <w:r w:rsidRPr="00D10791">
        <w:rPr>
          <w:szCs w:val="24"/>
          <w:lang w:val="en-US"/>
        </w:rPr>
        <w:t>. [online] Available at: https://assets.kpmg.com/content/dam/kpmg/in/pdf/2023/04/Technology-at-the-forefront-of-Electric-Vehicle.pdf.</w:t>
      </w:r>
    </w:p>
    <w:p w14:paraId="4234DEED" w14:textId="77777777" w:rsidR="00D10791" w:rsidRPr="00D10791" w:rsidRDefault="00D10791" w:rsidP="00D10791">
      <w:pPr>
        <w:spacing w:line="360" w:lineRule="auto"/>
        <w:rPr>
          <w:szCs w:val="24"/>
          <w:lang w:val="en-US"/>
        </w:rPr>
      </w:pPr>
      <w:r w:rsidRPr="00D10791">
        <w:rPr>
          <w:szCs w:val="24"/>
          <w:lang w:val="en-US"/>
        </w:rPr>
        <w:t xml:space="preserve">Li, C., Na, J., Nan, K., Qin, J. and Wu, M. (2024). Tesla’s product improvement strategies in the electric vehicle market. </w:t>
      </w:r>
      <w:r w:rsidRPr="00D10791">
        <w:rPr>
          <w:i/>
          <w:iCs/>
          <w:szCs w:val="24"/>
          <w:lang w:val="en-US"/>
        </w:rPr>
        <w:t>Advances in economics, Management and Political Sciences</w:t>
      </w:r>
      <w:r w:rsidRPr="00D10791">
        <w:rPr>
          <w:szCs w:val="24"/>
          <w:lang w:val="en-US"/>
        </w:rPr>
        <w:t>, 92(1), pp.177–185. doi:https://doi.org/10.54254/2754-1169/92/20231197.</w:t>
      </w:r>
    </w:p>
    <w:p w14:paraId="01590F41" w14:textId="77777777" w:rsidR="00D10791" w:rsidRPr="00D10791" w:rsidRDefault="00D10791" w:rsidP="00D10791">
      <w:pPr>
        <w:spacing w:line="360" w:lineRule="auto"/>
        <w:rPr>
          <w:szCs w:val="24"/>
          <w:lang w:val="en-US"/>
        </w:rPr>
      </w:pPr>
      <w:r w:rsidRPr="00D10791">
        <w:rPr>
          <w:szCs w:val="24"/>
          <w:lang w:val="en-US"/>
        </w:rPr>
        <w:t xml:space="preserve">Lieberman, M.B. and Montgomery, D.B. (1988). First-Mover Advantages. </w:t>
      </w:r>
      <w:r w:rsidRPr="00D10791">
        <w:rPr>
          <w:i/>
          <w:iCs/>
          <w:szCs w:val="24"/>
          <w:lang w:val="en-US"/>
        </w:rPr>
        <w:t>Strategic Management Journal</w:t>
      </w:r>
      <w:r w:rsidRPr="00D10791">
        <w:rPr>
          <w:szCs w:val="24"/>
          <w:lang w:val="en-US"/>
        </w:rPr>
        <w:t>, 9(S1), pp.41–58. doi:https://doi.org/10.1002/smj.4250090706.</w:t>
      </w:r>
    </w:p>
    <w:p w14:paraId="50AAEC55" w14:textId="77777777" w:rsidR="00D10791" w:rsidRPr="00D10791" w:rsidRDefault="00D10791" w:rsidP="00D10791">
      <w:pPr>
        <w:spacing w:line="360" w:lineRule="auto"/>
        <w:rPr>
          <w:szCs w:val="24"/>
          <w:lang w:val="en-US"/>
        </w:rPr>
      </w:pPr>
      <w:r w:rsidRPr="00D10791">
        <w:rPr>
          <w:szCs w:val="24"/>
          <w:lang w:val="en-US"/>
        </w:rPr>
        <w:lastRenderedPageBreak/>
        <w:t xml:space="preserve">Liu, C.C., Boothman, S.G. and Graham, J.D. (2025). The Rise and Recent Decline of Tesla’s Share of the U.S. Electric Vehicle Market. </w:t>
      </w:r>
      <w:r w:rsidRPr="00D10791">
        <w:rPr>
          <w:i/>
          <w:iCs/>
          <w:szCs w:val="24"/>
          <w:lang w:val="en-US"/>
        </w:rPr>
        <w:t>World Electric Vehicle Journal</w:t>
      </w:r>
      <w:r w:rsidRPr="00D10791">
        <w:rPr>
          <w:szCs w:val="24"/>
          <w:lang w:val="en-US"/>
        </w:rPr>
        <w:t>, 16(2), pp.90–90. doi:https://doi.org/10.3390/wevj16020090.</w:t>
      </w:r>
    </w:p>
    <w:p w14:paraId="483949CD" w14:textId="77777777" w:rsidR="00D10791" w:rsidRPr="00D10791" w:rsidRDefault="00D10791" w:rsidP="00D10791">
      <w:pPr>
        <w:spacing w:line="360" w:lineRule="auto"/>
        <w:rPr>
          <w:szCs w:val="24"/>
          <w:lang w:val="en-US"/>
        </w:rPr>
      </w:pPr>
      <w:r w:rsidRPr="00D10791">
        <w:rPr>
          <w:szCs w:val="24"/>
          <w:lang w:val="en-US"/>
        </w:rPr>
        <w:t xml:space="preserve">Lu, S. (2024). Overcoming obstacles of Tesla: Strategies for problem-solving. </w:t>
      </w:r>
      <w:r w:rsidRPr="00D10791">
        <w:rPr>
          <w:i/>
          <w:iCs/>
          <w:szCs w:val="24"/>
          <w:lang w:val="en-US"/>
        </w:rPr>
        <w:t>Highlights in Business Economics and Management</w:t>
      </w:r>
      <w:r w:rsidRPr="00D10791">
        <w:rPr>
          <w:szCs w:val="24"/>
          <w:lang w:val="en-US"/>
        </w:rPr>
        <w:t>, 40, pp.514–519. doi:https://doi.org/10.54097/cw7ssm33.</w:t>
      </w:r>
    </w:p>
    <w:p w14:paraId="58D1295E" w14:textId="77777777" w:rsidR="00D10791" w:rsidRPr="00D10791" w:rsidRDefault="00D10791" w:rsidP="00D10791">
      <w:pPr>
        <w:spacing w:line="360" w:lineRule="auto"/>
        <w:rPr>
          <w:szCs w:val="24"/>
          <w:lang w:val="en-US"/>
        </w:rPr>
      </w:pPr>
      <w:r w:rsidRPr="00D10791">
        <w:rPr>
          <w:szCs w:val="24"/>
          <w:lang w:val="en-US"/>
        </w:rPr>
        <w:t>Making Megatrends Applicable For Individual Opportunity Forecasts And Strategic Development Tesla Inc.: Electrifying the Automotive Market with Blue Ocean Strategy. (2024). Available at: https://www.megastrat.eu/wp-content/uploads/2024/09/MEGASTRAT-Case-Study_Tesla-Blue-Ocean-Strategy.pdf.</w:t>
      </w:r>
    </w:p>
    <w:p w14:paraId="6B2CEA91" w14:textId="77777777" w:rsidR="00D10791" w:rsidRPr="00D10791" w:rsidRDefault="00D10791" w:rsidP="00D10791">
      <w:pPr>
        <w:spacing w:line="360" w:lineRule="auto"/>
        <w:rPr>
          <w:szCs w:val="24"/>
          <w:lang w:val="en-US"/>
        </w:rPr>
      </w:pPr>
      <w:r w:rsidRPr="00D10791">
        <w:rPr>
          <w:szCs w:val="24"/>
          <w:lang w:val="en-US"/>
        </w:rPr>
        <w:t xml:space="preserve">Malik, M.A.I., Kalam, M.A., Ikram, A., Zeeshan, S. and Raza Zahidi, S.Q. (2025). Energy transition towards electric vehicle technology: Recent advancements. </w:t>
      </w:r>
      <w:r w:rsidRPr="00D10791">
        <w:rPr>
          <w:i/>
          <w:iCs/>
          <w:szCs w:val="24"/>
          <w:lang w:val="en-US"/>
        </w:rPr>
        <w:t>Energy Reports</w:t>
      </w:r>
      <w:r w:rsidRPr="00D10791">
        <w:rPr>
          <w:szCs w:val="24"/>
          <w:lang w:val="en-US"/>
        </w:rPr>
        <w:t>, 13, pp.2958–2996. doi:https://doi.org/10.1016/j.egyr.2025.02.029.</w:t>
      </w:r>
    </w:p>
    <w:p w14:paraId="352F9A56" w14:textId="77777777" w:rsidR="00D10791" w:rsidRPr="00D10791" w:rsidRDefault="00D10791" w:rsidP="00D10791">
      <w:pPr>
        <w:spacing w:line="360" w:lineRule="auto"/>
        <w:rPr>
          <w:szCs w:val="24"/>
          <w:lang w:val="en-US"/>
        </w:rPr>
      </w:pPr>
      <w:r w:rsidRPr="00D10791">
        <w:rPr>
          <w:szCs w:val="24"/>
          <w:lang w:val="en-US"/>
        </w:rPr>
        <w:t xml:space="preserve">MAXIMIZE MARKET RESEARCH. (2025). </w:t>
      </w:r>
      <w:r w:rsidRPr="00D10791">
        <w:rPr>
          <w:i/>
          <w:iCs/>
          <w:szCs w:val="24"/>
          <w:lang w:val="en-US"/>
        </w:rPr>
        <w:t>Electric Vehicle Market: Size, Dynamics, Regional Insights and Market Segment Analysis (2023-2029)</w:t>
      </w:r>
      <w:r w:rsidRPr="00D10791">
        <w:rPr>
          <w:szCs w:val="24"/>
          <w:lang w:val="en-US"/>
        </w:rPr>
        <w:t>. [online] Available at: https://www.maximizemarketresearch.com/market-report/global-electric-vehicle-market/1408/.</w:t>
      </w:r>
    </w:p>
    <w:p w14:paraId="7E40B12D" w14:textId="77777777" w:rsidR="00D10791" w:rsidRPr="00D10791" w:rsidRDefault="00D10791" w:rsidP="00D10791">
      <w:pPr>
        <w:spacing w:line="360" w:lineRule="auto"/>
        <w:rPr>
          <w:szCs w:val="24"/>
          <w:lang w:val="en-US"/>
        </w:rPr>
      </w:pPr>
      <w:r w:rsidRPr="00D10791">
        <w:rPr>
          <w:szCs w:val="24"/>
          <w:lang w:val="en-US"/>
        </w:rPr>
        <w:t xml:space="preserve">Mir, D.A. (2025). </w:t>
      </w:r>
      <w:r w:rsidRPr="00D10791">
        <w:rPr>
          <w:i/>
          <w:iCs/>
          <w:szCs w:val="24"/>
          <w:lang w:val="en-US"/>
        </w:rPr>
        <w:t>Strategic Management Theory and Application</w:t>
      </w:r>
      <w:r w:rsidRPr="00D10791">
        <w:rPr>
          <w:szCs w:val="24"/>
          <w:lang w:val="en-US"/>
        </w:rPr>
        <w:t>. Crown Publishing.</w:t>
      </w:r>
    </w:p>
    <w:p w14:paraId="12DA06AF" w14:textId="77777777" w:rsidR="00D10791" w:rsidRPr="00D10791" w:rsidRDefault="00D10791" w:rsidP="00D10791">
      <w:pPr>
        <w:spacing w:line="360" w:lineRule="auto"/>
        <w:rPr>
          <w:szCs w:val="24"/>
          <w:lang w:val="en-US"/>
        </w:rPr>
      </w:pPr>
      <w:r w:rsidRPr="00D10791">
        <w:rPr>
          <w:szCs w:val="24"/>
          <w:lang w:val="en-US"/>
        </w:rPr>
        <w:t xml:space="preserve">Nadda, V., Tyagi, P., Singh, M. and Tyagi, P. (2022). </w:t>
      </w:r>
      <w:r w:rsidRPr="00D10791">
        <w:rPr>
          <w:i/>
          <w:iCs/>
          <w:szCs w:val="24"/>
          <w:lang w:val="en-US"/>
        </w:rPr>
        <w:t>Disruptive Innovation and Emerging Technologies for Business Excellence in the Service Sector</w:t>
      </w:r>
      <w:r w:rsidRPr="00D10791">
        <w:rPr>
          <w:szCs w:val="24"/>
          <w:lang w:val="en-US"/>
        </w:rPr>
        <w:t>. IGI Global.</w:t>
      </w:r>
    </w:p>
    <w:p w14:paraId="513F1A73" w14:textId="77777777" w:rsidR="00D10791" w:rsidRPr="00D10791" w:rsidRDefault="00D10791" w:rsidP="00D10791">
      <w:pPr>
        <w:spacing w:line="360" w:lineRule="auto"/>
        <w:rPr>
          <w:szCs w:val="24"/>
          <w:lang w:val="en-US"/>
        </w:rPr>
      </w:pPr>
      <w:r w:rsidRPr="00D10791">
        <w:rPr>
          <w:szCs w:val="24"/>
          <w:lang w:val="en-US"/>
        </w:rPr>
        <w:t xml:space="preserve">Palazzo, M. and Micozzi, A. (2024). </w:t>
      </w:r>
      <w:r w:rsidRPr="00D10791">
        <w:rPr>
          <w:i/>
          <w:iCs/>
          <w:szCs w:val="24"/>
          <w:lang w:val="en-US"/>
        </w:rPr>
        <w:t>Rethinking Decision-Making Strategies and Tools</w:t>
      </w:r>
      <w:r w:rsidRPr="00D10791">
        <w:rPr>
          <w:szCs w:val="24"/>
          <w:lang w:val="en-US"/>
        </w:rPr>
        <w:t>. Emerald Group Publishing.</w:t>
      </w:r>
    </w:p>
    <w:p w14:paraId="7CE6946D" w14:textId="77777777" w:rsidR="00D10791" w:rsidRPr="00D10791" w:rsidRDefault="00D10791" w:rsidP="00D10791">
      <w:pPr>
        <w:spacing w:line="360" w:lineRule="auto"/>
        <w:rPr>
          <w:szCs w:val="24"/>
          <w:lang w:val="en-US"/>
        </w:rPr>
      </w:pPr>
      <w:r w:rsidRPr="00D10791">
        <w:rPr>
          <w:szCs w:val="24"/>
          <w:lang w:val="en-US"/>
        </w:rPr>
        <w:t xml:space="preserve">Parry, M.E. and Sarma, S. (2019). The impact of pioneer adopter characteristics and perceptions on the perceived costs of switching to a follower product. </w:t>
      </w:r>
      <w:r w:rsidRPr="00D10791">
        <w:rPr>
          <w:i/>
          <w:iCs/>
          <w:szCs w:val="24"/>
          <w:lang w:val="en-US"/>
        </w:rPr>
        <w:t>Asia Pacific Journal of Marketing and Logistics</w:t>
      </w:r>
      <w:r w:rsidRPr="00D10791">
        <w:rPr>
          <w:szCs w:val="24"/>
          <w:lang w:val="en-US"/>
        </w:rPr>
        <w:t>, 31(4), pp.875–897. doi:https://doi.org/10.1108/apjml-03-2018-0113.</w:t>
      </w:r>
    </w:p>
    <w:p w14:paraId="3E87E618" w14:textId="77777777" w:rsidR="00176D55" w:rsidRDefault="00D10791" w:rsidP="00D10791">
      <w:pPr>
        <w:spacing w:line="360" w:lineRule="auto"/>
        <w:rPr>
          <w:szCs w:val="24"/>
          <w:lang w:val="en-US"/>
        </w:rPr>
      </w:pPr>
      <w:r w:rsidRPr="00D10791">
        <w:rPr>
          <w:szCs w:val="24"/>
          <w:lang w:val="en-US"/>
        </w:rPr>
        <w:t xml:space="preserve">Querbes, A. and Frenken, K. (2016). Evolving user needs and late-mover advantage. </w:t>
      </w:r>
      <w:r w:rsidRPr="00D10791">
        <w:rPr>
          <w:i/>
          <w:iCs/>
          <w:szCs w:val="24"/>
          <w:lang w:val="en-US"/>
        </w:rPr>
        <w:t>Strategic Organization</w:t>
      </w:r>
      <w:r w:rsidRPr="00D10791">
        <w:rPr>
          <w:szCs w:val="24"/>
          <w:lang w:val="en-US"/>
        </w:rPr>
        <w:t>, 15(1), pp.67–90. doi:https://doi.org/10.1177/1476127016648498.</w:t>
      </w:r>
    </w:p>
    <w:p w14:paraId="43D7C43B" w14:textId="1A154F17" w:rsidR="00D10791" w:rsidRPr="00D10791" w:rsidRDefault="00D10791" w:rsidP="00D10791">
      <w:pPr>
        <w:spacing w:line="360" w:lineRule="auto"/>
        <w:rPr>
          <w:szCs w:val="24"/>
          <w:lang w:val="en-US"/>
        </w:rPr>
      </w:pPr>
      <w:r w:rsidRPr="00D10791">
        <w:rPr>
          <w:szCs w:val="24"/>
          <w:lang w:val="en-US"/>
        </w:rPr>
        <w:lastRenderedPageBreak/>
        <w:t xml:space="preserve">Teece, D.J. (2020). Innovation, governance, and capabilities: implications for competition policy: A Tribute to Nobel Laureate Oliver Williamson by his Colleague and Mentee David J. Teece. </w:t>
      </w:r>
      <w:r w:rsidRPr="00D10791">
        <w:rPr>
          <w:i/>
          <w:iCs/>
          <w:szCs w:val="24"/>
          <w:lang w:val="en-US"/>
        </w:rPr>
        <w:t>Industrial and Corporate Change</w:t>
      </w:r>
      <w:r w:rsidRPr="00D10791">
        <w:rPr>
          <w:szCs w:val="24"/>
          <w:lang w:val="en-US"/>
        </w:rPr>
        <w:t>, 29(5), pp.1075–1099. doi:https://doi.org/10.1093/icc/dtaa043.</w:t>
      </w:r>
    </w:p>
    <w:p w14:paraId="478FDEAE" w14:textId="77777777" w:rsidR="00D10791" w:rsidRPr="00D10791" w:rsidRDefault="00D10791" w:rsidP="00D10791">
      <w:pPr>
        <w:spacing w:line="360" w:lineRule="auto"/>
        <w:rPr>
          <w:szCs w:val="24"/>
          <w:lang w:val="en-US"/>
        </w:rPr>
      </w:pPr>
      <w:r w:rsidRPr="00D10791">
        <w:rPr>
          <w:szCs w:val="24"/>
          <w:lang w:val="en-US"/>
        </w:rPr>
        <w:t xml:space="preserve">Teece, D.J. (2025). </w:t>
      </w:r>
      <w:r w:rsidRPr="00D10791">
        <w:rPr>
          <w:i/>
          <w:iCs/>
          <w:szCs w:val="24"/>
          <w:lang w:val="en-US"/>
        </w:rPr>
        <w:t>Dynamic Capabilities and Related Paradigms</w:t>
      </w:r>
      <w:r w:rsidRPr="00D10791">
        <w:rPr>
          <w:szCs w:val="24"/>
          <w:lang w:val="en-US"/>
        </w:rPr>
        <w:t>. Cambridge University Press.</w:t>
      </w:r>
    </w:p>
    <w:p w14:paraId="755E8B7B" w14:textId="77777777" w:rsidR="00D10791" w:rsidRPr="00D10791" w:rsidRDefault="00D10791" w:rsidP="00D10791">
      <w:pPr>
        <w:spacing w:line="360" w:lineRule="auto"/>
        <w:rPr>
          <w:szCs w:val="24"/>
          <w:lang w:val="en-US"/>
        </w:rPr>
      </w:pPr>
      <w:r w:rsidRPr="00D10791">
        <w:rPr>
          <w:szCs w:val="24"/>
          <w:lang w:val="en-US"/>
        </w:rPr>
        <w:t xml:space="preserve">Udendhran, R., Mohan, T.R., R, B., Uthra, R.A., G, A.C., Selvakumarasamy, S., Dinesh, G., Mukhopadhyay, M., Saraswat, V. and Chakraborty, P. (2025). Transitioning to Sustainable E-Vehicle Systems – Global Perspectives on the Challenges, Policies and Opportunities. </w:t>
      </w:r>
      <w:r w:rsidRPr="00D10791">
        <w:rPr>
          <w:i/>
          <w:iCs/>
          <w:szCs w:val="24"/>
          <w:lang w:val="en-US"/>
        </w:rPr>
        <w:t>Journal of Hazardous Materials Advances</w:t>
      </w:r>
      <w:r w:rsidRPr="00D10791">
        <w:rPr>
          <w:szCs w:val="24"/>
          <w:lang w:val="en-US"/>
        </w:rPr>
        <w:t>, 17(100619), p.100619. doi:https://doi.org/10.1016/j.hazadv.2025.100619.</w:t>
      </w:r>
    </w:p>
    <w:p w14:paraId="4719D875" w14:textId="77777777" w:rsidR="00D10791" w:rsidRPr="00D10791" w:rsidRDefault="00D10791" w:rsidP="00D10791">
      <w:pPr>
        <w:spacing w:line="360" w:lineRule="auto"/>
        <w:rPr>
          <w:szCs w:val="24"/>
          <w:lang w:val="en-US"/>
        </w:rPr>
      </w:pPr>
      <w:r w:rsidRPr="00D10791">
        <w:rPr>
          <w:szCs w:val="24"/>
          <w:lang w:val="en-US"/>
        </w:rPr>
        <w:t xml:space="preserve">Wang, Y. and Witlox, F. (2025). Global trends in electric vehicle adoption and the impact of environmental awareness, user attributes, and barriers. </w:t>
      </w:r>
      <w:r w:rsidRPr="00D10791">
        <w:rPr>
          <w:i/>
          <w:iCs/>
          <w:szCs w:val="24"/>
          <w:lang w:val="en-US"/>
        </w:rPr>
        <w:t>Energy Reports</w:t>
      </w:r>
      <w:r w:rsidRPr="00D10791">
        <w:rPr>
          <w:szCs w:val="24"/>
          <w:lang w:val="en-US"/>
        </w:rPr>
        <w:t>, 13, pp.1125–1137. doi:https://doi.org/10.1016/j.egyr.2024.12.054.</w:t>
      </w:r>
    </w:p>
    <w:p w14:paraId="4591D433" w14:textId="77777777" w:rsidR="00D10791" w:rsidRPr="00D10791" w:rsidRDefault="00D10791" w:rsidP="00D10791">
      <w:pPr>
        <w:spacing w:line="360" w:lineRule="auto"/>
        <w:rPr>
          <w:szCs w:val="24"/>
          <w:lang w:val="en-US"/>
        </w:rPr>
      </w:pPr>
      <w:r w:rsidRPr="00D10791">
        <w:rPr>
          <w:szCs w:val="24"/>
          <w:lang w:val="en-US"/>
        </w:rPr>
        <w:t xml:space="preserve">Yan, J. (2022). BYD and Tesla’s competitive advantages and future development prospects. </w:t>
      </w:r>
      <w:r w:rsidRPr="00D10791">
        <w:rPr>
          <w:i/>
          <w:iCs/>
          <w:szCs w:val="24"/>
          <w:lang w:val="en-US"/>
        </w:rPr>
        <w:t>BCP Business &amp; Management</w:t>
      </w:r>
      <w:r w:rsidRPr="00D10791">
        <w:rPr>
          <w:szCs w:val="24"/>
          <w:lang w:val="en-US"/>
        </w:rPr>
        <w:t>, 18(18), pp.442–450. doi:https://doi.org/10.54691/bcpbm.v18i.583.</w:t>
      </w:r>
    </w:p>
    <w:p w14:paraId="06867E40" w14:textId="77777777" w:rsidR="00D10791" w:rsidRPr="00D10791" w:rsidRDefault="00D10791" w:rsidP="00D10791">
      <w:pPr>
        <w:spacing w:line="360" w:lineRule="auto"/>
        <w:rPr>
          <w:szCs w:val="24"/>
          <w:lang w:val="en-US"/>
        </w:rPr>
      </w:pPr>
      <w:r w:rsidRPr="00D10791">
        <w:rPr>
          <w:szCs w:val="24"/>
          <w:lang w:val="en-US"/>
        </w:rPr>
        <w:t xml:space="preserve">Yasin, A., Ayman Mdallal, Kasem, A.H. and ElSaid, K. (2025). Advancements in EV Charging Standards and Technologies for Sustainable Transportation. </w:t>
      </w:r>
      <w:r w:rsidRPr="00D10791">
        <w:rPr>
          <w:i/>
          <w:iCs/>
          <w:szCs w:val="24"/>
          <w:lang w:val="en-US"/>
        </w:rPr>
        <w:t>Renewable and Sustainable Energy Technology</w:t>
      </w:r>
      <w:r w:rsidRPr="00D10791">
        <w:rPr>
          <w:szCs w:val="24"/>
          <w:lang w:val="en-US"/>
        </w:rPr>
        <w:t>. doi:https://doi.org/10.53941/rest.2025.100010.</w:t>
      </w:r>
    </w:p>
    <w:p w14:paraId="47F7C739" w14:textId="77777777" w:rsidR="00D10791" w:rsidRPr="00C84D82" w:rsidRDefault="00D10791" w:rsidP="00761E5D">
      <w:pPr>
        <w:spacing w:line="360" w:lineRule="auto"/>
        <w:rPr>
          <w:szCs w:val="24"/>
        </w:rPr>
      </w:pPr>
    </w:p>
    <w:p w14:paraId="3E873202" w14:textId="77777777" w:rsidR="00761E5D" w:rsidRPr="00C84D82" w:rsidRDefault="00761E5D" w:rsidP="00761E5D">
      <w:pPr>
        <w:spacing w:line="360" w:lineRule="auto"/>
        <w:rPr>
          <w:szCs w:val="24"/>
        </w:rPr>
      </w:pPr>
    </w:p>
    <w:p w14:paraId="3EDCB32B" w14:textId="77777777" w:rsidR="00761E5D" w:rsidRPr="00C84D82" w:rsidRDefault="00761E5D" w:rsidP="00761E5D">
      <w:pPr>
        <w:spacing w:line="360" w:lineRule="auto"/>
        <w:rPr>
          <w:szCs w:val="24"/>
        </w:rPr>
      </w:pPr>
    </w:p>
    <w:p w14:paraId="1B7FB40C" w14:textId="77777777" w:rsidR="00761E5D" w:rsidRPr="00C84D82" w:rsidRDefault="00761E5D" w:rsidP="00F66D7E">
      <w:pPr>
        <w:spacing w:line="360" w:lineRule="auto"/>
        <w:rPr>
          <w:szCs w:val="24"/>
        </w:rPr>
      </w:pPr>
    </w:p>
    <w:p w14:paraId="435B818B" w14:textId="77777777" w:rsidR="00F66D7E" w:rsidRPr="00C84D82" w:rsidRDefault="00F66D7E" w:rsidP="00F66D7E">
      <w:pPr>
        <w:spacing w:line="360" w:lineRule="auto"/>
        <w:rPr>
          <w:szCs w:val="24"/>
        </w:rPr>
      </w:pPr>
    </w:p>
    <w:p w14:paraId="63E6774C" w14:textId="77777777" w:rsidR="00F66D7E" w:rsidRPr="00C84D82" w:rsidRDefault="00F66D7E" w:rsidP="00F66D7E">
      <w:pPr>
        <w:spacing w:line="360" w:lineRule="auto"/>
        <w:rPr>
          <w:szCs w:val="24"/>
        </w:rPr>
      </w:pPr>
    </w:p>
    <w:p w14:paraId="68776740" w14:textId="77777777" w:rsidR="00F66D7E" w:rsidRPr="00C84D82" w:rsidRDefault="00F66D7E" w:rsidP="00F66D7E">
      <w:pPr>
        <w:spacing w:line="360" w:lineRule="auto"/>
        <w:rPr>
          <w:szCs w:val="24"/>
        </w:rPr>
      </w:pPr>
    </w:p>
    <w:p w14:paraId="15F38497" w14:textId="77777777" w:rsidR="00F66D7E" w:rsidRPr="00C84D82" w:rsidRDefault="00F66D7E" w:rsidP="00F66D7E">
      <w:pPr>
        <w:spacing w:line="360" w:lineRule="auto"/>
        <w:jc w:val="center"/>
      </w:pPr>
    </w:p>
    <w:sectPr w:rsidR="00F66D7E" w:rsidRPr="00C84D8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E92DE" w14:textId="77777777" w:rsidR="00AF7B77" w:rsidRDefault="00AF7B77" w:rsidP="00F66D7E">
      <w:pPr>
        <w:spacing w:after="0" w:line="240" w:lineRule="auto"/>
      </w:pPr>
      <w:r>
        <w:separator/>
      </w:r>
    </w:p>
  </w:endnote>
  <w:endnote w:type="continuationSeparator" w:id="0">
    <w:p w14:paraId="0DF44C38" w14:textId="77777777" w:rsidR="00AF7B77" w:rsidRDefault="00AF7B77" w:rsidP="00F66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449165"/>
      <w:docPartObj>
        <w:docPartGallery w:val="Page Numbers (Bottom of Page)"/>
        <w:docPartUnique/>
      </w:docPartObj>
    </w:sdtPr>
    <w:sdtEndPr>
      <w:rPr>
        <w:noProof/>
      </w:rPr>
    </w:sdtEndPr>
    <w:sdtContent>
      <w:p w14:paraId="2C4F4437" w14:textId="1C8B01AA" w:rsidR="00F66D7E" w:rsidRDefault="00F66D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C28A4E" w14:textId="77777777" w:rsidR="00F66D7E" w:rsidRDefault="00F66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50181" w14:textId="77777777" w:rsidR="00AF7B77" w:rsidRDefault="00AF7B77" w:rsidP="00F66D7E">
      <w:pPr>
        <w:spacing w:after="0" w:line="240" w:lineRule="auto"/>
      </w:pPr>
      <w:r>
        <w:separator/>
      </w:r>
    </w:p>
  </w:footnote>
  <w:footnote w:type="continuationSeparator" w:id="0">
    <w:p w14:paraId="3C694C22" w14:textId="77777777" w:rsidR="00AF7B77" w:rsidRDefault="00AF7B77" w:rsidP="00F66D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6D7E"/>
    <w:rsid w:val="000B44BD"/>
    <w:rsid w:val="000E7C20"/>
    <w:rsid w:val="00167D08"/>
    <w:rsid w:val="00176D55"/>
    <w:rsid w:val="001B3973"/>
    <w:rsid w:val="002232F3"/>
    <w:rsid w:val="00270484"/>
    <w:rsid w:val="003A4308"/>
    <w:rsid w:val="004616B6"/>
    <w:rsid w:val="004715EA"/>
    <w:rsid w:val="005A4499"/>
    <w:rsid w:val="006723D7"/>
    <w:rsid w:val="0067630E"/>
    <w:rsid w:val="00686084"/>
    <w:rsid w:val="006C1908"/>
    <w:rsid w:val="006C7F60"/>
    <w:rsid w:val="006E0ED3"/>
    <w:rsid w:val="007337DD"/>
    <w:rsid w:val="00761E5D"/>
    <w:rsid w:val="007738F5"/>
    <w:rsid w:val="00925788"/>
    <w:rsid w:val="0092779C"/>
    <w:rsid w:val="00977E1C"/>
    <w:rsid w:val="009B6393"/>
    <w:rsid w:val="009C62CA"/>
    <w:rsid w:val="00A34C8F"/>
    <w:rsid w:val="00A63C54"/>
    <w:rsid w:val="00AF7B77"/>
    <w:rsid w:val="00BA5AE6"/>
    <w:rsid w:val="00BC750C"/>
    <w:rsid w:val="00C42D1B"/>
    <w:rsid w:val="00C60FC8"/>
    <w:rsid w:val="00C84D82"/>
    <w:rsid w:val="00CD6021"/>
    <w:rsid w:val="00D10791"/>
    <w:rsid w:val="00D65105"/>
    <w:rsid w:val="00E230E1"/>
    <w:rsid w:val="00E62628"/>
    <w:rsid w:val="00EE5F87"/>
    <w:rsid w:val="00F52665"/>
    <w:rsid w:val="00F66D7E"/>
    <w:rsid w:val="00FA0E44"/>
    <w:rsid w:val="00FC3C94"/>
    <w:rsid w:val="00FF1A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22717"/>
  <w15:chartTrackingRefBased/>
  <w15:docId w15:val="{DF27B049-2D24-4C4B-8179-2EDDDD8DD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D7E"/>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67D0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66D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6D7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6D7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6D7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66D7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66D7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66D7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66D7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D0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66D7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66D7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66D7E"/>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66D7E"/>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66D7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66D7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66D7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66D7E"/>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66D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D7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66D7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D7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6D7E"/>
    <w:pPr>
      <w:spacing w:before="160"/>
      <w:jc w:val="center"/>
    </w:pPr>
    <w:rPr>
      <w:i/>
      <w:iCs/>
      <w:color w:val="404040" w:themeColor="text1" w:themeTint="BF"/>
    </w:rPr>
  </w:style>
  <w:style w:type="character" w:customStyle="1" w:styleId="QuoteChar">
    <w:name w:val="Quote Char"/>
    <w:basedOn w:val="DefaultParagraphFont"/>
    <w:link w:val="Quote"/>
    <w:uiPriority w:val="29"/>
    <w:rsid w:val="00F66D7E"/>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66D7E"/>
    <w:pPr>
      <w:ind w:left="720"/>
      <w:contextualSpacing/>
    </w:pPr>
  </w:style>
  <w:style w:type="character" w:styleId="IntenseEmphasis">
    <w:name w:val="Intense Emphasis"/>
    <w:basedOn w:val="DefaultParagraphFont"/>
    <w:uiPriority w:val="21"/>
    <w:qFormat/>
    <w:rsid w:val="00F66D7E"/>
    <w:rPr>
      <w:i/>
      <w:iCs/>
      <w:color w:val="2F5496" w:themeColor="accent1" w:themeShade="BF"/>
    </w:rPr>
  </w:style>
  <w:style w:type="paragraph" w:styleId="IntenseQuote">
    <w:name w:val="Intense Quote"/>
    <w:basedOn w:val="Normal"/>
    <w:next w:val="Normal"/>
    <w:link w:val="IntenseQuoteChar"/>
    <w:uiPriority w:val="30"/>
    <w:qFormat/>
    <w:rsid w:val="00F66D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6D7E"/>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66D7E"/>
    <w:rPr>
      <w:b/>
      <w:bCs/>
      <w:smallCaps/>
      <w:color w:val="2F5496" w:themeColor="accent1" w:themeShade="BF"/>
      <w:spacing w:val="5"/>
    </w:rPr>
  </w:style>
  <w:style w:type="paragraph" w:styleId="Header">
    <w:name w:val="header"/>
    <w:basedOn w:val="Normal"/>
    <w:link w:val="HeaderChar"/>
    <w:uiPriority w:val="99"/>
    <w:unhideWhenUsed/>
    <w:rsid w:val="00F66D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6D7E"/>
    <w:rPr>
      <w:rFonts w:ascii="Times New Roman" w:hAnsi="Times New Roman"/>
      <w:sz w:val="24"/>
      <w:lang w:val="en-GB"/>
    </w:rPr>
  </w:style>
  <w:style w:type="paragraph" w:styleId="Footer">
    <w:name w:val="footer"/>
    <w:basedOn w:val="Normal"/>
    <w:link w:val="FooterChar"/>
    <w:uiPriority w:val="99"/>
    <w:unhideWhenUsed/>
    <w:rsid w:val="00F66D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6D7E"/>
    <w:rPr>
      <w:rFonts w:ascii="Times New Roman" w:hAnsi="Times New Roman"/>
      <w:sz w:val="24"/>
      <w:lang w:val="en-GB"/>
    </w:rPr>
  </w:style>
  <w:style w:type="paragraph" w:styleId="TOCHeading">
    <w:name w:val="TOC Heading"/>
    <w:basedOn w:val="Heading1"/>
    <w:next w:val="Normal"/>
    <w:uiPriority w:val="39"/>
    <w:unhideWhenUsed/>
    <w:qFormat/>
    <w:rsid w:val="00F66D7E"/>
    <w:pPr>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F66D7E"/>
    <w:pPr>
      <w:spacing w:after="100"/>
    </w:pPr>
  </w:style>
  <w:style w:type="paragraph" w:styleId="TOC2">
    <w:name w:val="toc 2"/>
    <w:basedOn w:val="Normal"/>
    <w:next w:val="Normal"/>
    <w:autoRedefine/>
    <w:uiPriority w:val="39"/>
    <w:unhideWhenUsed/>
    <w:rsid w:val="00F66D7E"/>
    <w:pPr>
      <w:spacing w:after="100"/>
      <w:ind w:left="240"/>
    </w:pPr>
  </w:style>
  <w:style w:type="character" w:styleId="Hyperlink">
    <w:name w:val="Hyperlink"/>
    <w:basedOn w:val="DefaultParagraphFont"/>
    <w:uiPriority w:val="99"/>
    <w:unhideWhenUsed/>
    <w:rsid w:val="00F66D7E"/>
    <w:rPr>
      <w:color w:val="0563C1" w:themeColor="hyperlink"/>
      <w:u w:val="single"/>
    </w:rPr>
  </w:style>
  <w:style w:type="paragraph" w:styleId="TOC3">
    <w:name w:val="toc 3"/>
    <w:basedOn w:val="Normal"/>
    <w:next w:val="Normal"/>
    <w:autoRedefine/>
    <w:uiPriority w:val="39"/>
    <w:unhideWhenUsed/>
    <w:rsid w:val="00761E5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701BB-ACC0-4D69-AD6A-3E87CD230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15</Pages>
  <Words>3968</Words>
  <Characters>22621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2025-11-15T10:27:00Z</dcterms:created>
  <dcterms:modified xsi:type="dcterms:W3CDTF">2025-11-20T08:33:00Z</dcterms:modified>
</cp:coreProperties>
</file>